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Table of Contents</w:t>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3D3935"/>
        </w:rPr>
        <w:t>UNITED STATES</w:t>
      </w:r>
    </w:p>
    <w:p>
      <w:pPr>
        <w:spacing w:after="0" w:line="181" w:lineRule="exact"/>
        <w:rPr>
          <w:sz w:val="24"/>
          <w:szCs w:val="24"/>
          <w:color w:val="auto"/>
        </w:rPr>
      </w:pPr>
    </w:p>
    <w:p>
      <w:pPr>
        <w:jc w:val="center"/>
        <w:ind w:right="-80"/>
        <w:spacing w:after="0"/>
        <w:rPr>
          <w:sz w:val="20"/>
          <w:szCs w:val="20"/>
          <w:color w:val="auto"/>
        </w:rPr>
      </w:pPr>
      <w:r>
        <w:rPr>
          <w:rFonts w:ascii="Arial" w:cs="Arial" w:eastAsia="Arial" w:hAnsi="Arial"/>
          <w:sz w:val="16"/>
          <w:szCs w:val="16"/>
          <w:b w:val="1"/>
          <w:bCs w:val="1"/>
          <w:color w:val="3D3935"/>
        </w:rPr>
        <w:t>SECURITIES AND EXCHANGE COMMISSION</w:t>
      </w:r>
    </w:p>
    <w:p>
      <w:pPr>
        <w:spacing w:after="0" w:line="16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3D3935"/>
        </w:rPr>
        <w:t>Washington, D.C. 20549</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24"/>
          <w:szCs w:val="24"/>
          <w:b w:val="1"/>
          <w:bCs w:val="1"/>
          <w:color w:val="3D3935"/>
        </w:rPr>
        <w:t>SCHEDULE 14A</w:t>
      </w:r>
    </w:p>
    <w:p>
      <w:pPr>
        <w:spacing w:after="0" w:line="278" w:lineRule="exact"/>
        <w:rPr>
          <w:sz w:val="24"/>
          <w:szCs w:val="24"/>
          <w:color w:val="auto"/>
        </w:rPr>
      </w:pPr>
    </w:p>
    <w:p>
      <w:pPr>
        <w:jc w:val="center"/>
        <w:ind w:right="-60"/>
        <w:spacing w:after="0"/>
        <w:rPr>
          <w:sz w:val="20"/>
          <w:szCs w:val="20"/>
          <w:color w:val="auto"/>
        </w:rPr>
      </w:pPr>
      <w:r>
        <w:rPr>
          <w:rFonts w:ascii="Arial" w:cs="Arial" w:eastAsia="Arial" w:hAnsi="Arial"/>
          <w:sz w:val="16"/>
          <w:szCs w:val="16"/>
          <w:b w:val="1"/>
          <w:bCs w:val="1"/>
          <w:color w:val="3D3935"/>
        </w:rPr>
        <w:t>Proxy Statement Pursuant to Section 14(a) of the Securities</w:t>
      </w:r>
    </w:p>
    <w:p>
      <w:pPr>
        <w:spacing w:after="0" w:line="181"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3D3935"/>
        </w:rPr>
        <w:t>Exchange Act of 1934</w:t>
      </w:r>
    </w:p>
    <w:p>
      <w:pPr>
        <w:spacing w:after="0" w:line="226" w:lineRule="exact"/>
        <w:rPr>
          <w:sz w:val="24"/>
          <w:szCs w:val="24"/>
          <w:color w:val="auto"/>
        </w:rPr>
      </w:pPr>
    </w:p>
    <w:p>
      <w:pPr>
        <w:ind w:left="920" w:hanging="163"/>
        <w:spacing w:after="0" w:line="184" w:lineRule="exact"/>
        <w:tabs>
          <w:tab w:leader="none" w:pos="920" w:val="left"/>
        </w:tabs>
        <w:numPr>
          <w:ilvl w:val="0"/>
          <w:numId w:val="1"/>
        </w:numPr>
        <w:rPr>
          <w:rFonts w:ascii="MS PGothic" w:cs="MS PGothic" w:eastAsia="MS PGothic" w:hAnsi="MS PGothic"/>
          <w:sz w:val="16"/>
          <w:szCs w:val="16"/>
          <w:color w:val="3D3935"/>
        </w:rPr>
      </w:pPr>
      <w:r>
        <w:rPr>
          <w:rFonts w:ascii="Arial" w:cs="Arial" w:eastAsia="Arial" w:hAnsi="Arial"/>
          <w:sz w:val="16"/>
          <w:szCs w:val="16"/>
          <w:color w:val="3D3935"/>
        </w:rPr>
        <w:t xml:space="preserve">Filed by the Registrant </w:t>
      </w:r>
      <w:r>
        <w:rPr>
          <w:rFonts w:ascii="Arial" w:cs="Arial" w:eastAsia="Arial" w:hAnsi="Arial"/>
          <w:sz w:val="16"/>
          <w:szCs w:val="16"/>
          <w:color w:val="3E3935"/>
        </w:rPr>
        <w:t xml:space="preserve">                                              </w:t>
      </w:r>
      <w:r>
        <w:rPr>
          <w:rFonts w:ascii="Arial" w:cs="Arial" w:eastAsia="Arial" w:hAnsi="Arial"/>
          <w:sz w:val="16"/>
          <w:szCs w:val="16"/>
          <w:color w:val="3D3935"/>
        </w:rPr>
        <w:t xml:space="preserve"> </w:t>
      </w:r>
      <w:r>
        <w:rPr>
          <w:rFonts w:ascii="MS PGothic" w:cs="MS PGothic" w:eastAsia="MS PGothic" w:hAnsi="MS PGothic"/>
          <w:sz w:val="16"/>
          <w:szCs w:val="16"/>
          <w:color w:val="3D3935"/>
        </w:rPr>
        <w:t>☐</w:t>
      </w:r>
      <w:r>
        <w:rPr>
          <w:rFonts w:ascii="Arial" w:cs="Arial" w:eastAsia="Arial" w:hAnsi="Arial"/>
          <w:sz w:val="16"/>
          <w:szCs w:val="16"/>
          <w:color w:val="3E3935"/>
        </w:rPr>
        <w:t xml:space="preserve"> </w:t>
      </w:r>
      <w:r>
        <w:rPr>
          <w:rFonts w:ascii="Arial" w:cs="Arial" w:eastAsia="Arial" w:hAnsi="Arial"/>
          <w:sz w:val="16"/>
          <w:szCs w:val="16"/>
          <w:color w:val="3D3935"/>
        </w:rPr>
        <w:t xml:space="preserve"> Filed</w:t>
      </w:r>
      <w:r>
        <w:rPr>
          <w:rFonts w:ascii="Arial" w:cs="Arial" w:eastAsia="Arial" w:hAnsi="Arial"/>
          <w:sz w:val="16"/>
          <w:szCs w:val="16"/>
          <w:color w:val="3E3935"/>
        </w:rPr>
        <w:t xml:space="preserve"> </w:t>
      </w:r>
      <w:r>
        <w:rPr>
          <w:rFonts w:ascii="Arial" w:cs="Arial" w:eastAsia="Arial" w:hAnsi="Arial"/>
          <w:sz w:val="16"/>
          <w:szCs w:val="16"/>
          <w:color w:val="3D3935"/>
        </w:rPr>
        <w:t xml:space="preserve"> by a Party other than the Registrant</w:t>
      </w:r>
    </w:p>
    <w:p>
      <w:pPr>
        <w:spacing w:after="0" w:line="332" w:lineRule="exact"/>
        <w:rPr>
          <w:sz w:val="24"/>
          <w:szCs w:val="24"/>
          <w:color w:val="auto"/>
        </w:rPr>
      </w:pPr>
    </w:p>
    <w:p>
      <w:pPr>
        <w:ind w:left="160"/>
        <w:spacing w:after="0"/>
        <w:rPr>
          <w:sz w:val="20"/>
          <w:szCs w:val="20"/>
          <w:color w:val="auto"/>
        </w:rPr>
      </w:pPr>
      <w:r>
        <w:rPr>
          <w:rFonts w:ascii="Arial" w:cs="Arial" w:eastAsia="Arial" w:hAnsi="Arial"/>
          <w:sz w:val="23"/>
          <w:szCs w:val="23"/>
          <w:b w:val="1"/>
          <w:bCs w:val="1"/>
          <w:color w:val="3D3935"/>
        </w:rPr>
        <w:t>Check the appropriate box:</w:t>
      </w:r>
    </w:p>
    <w:p>
      <w:pPr>
        <w:spacing w:after="0" w:line="92" w:lineRule="exact"/>
        <w:rPr>
          <w:sz w:val="24"/>
          <w:szCs w:val="24"/>
          <w:color w:val="auto"/>
        </w:rPr>
      </w:pPr>
    </w:p>
    <w:p>
      <w:pPr>
        <w:ind w:left="560" w:hanging="401"/>
        <w:spacing w:after="0"/>
        <w:tabs>
          <w:tab w:leader="none" w:pos="560" w:val="left"/>
        </w:tabs>
        <w:numPr>
          <w:ilvl w:val="0"/>
          <w:numId w:val="2"/>
        </w:numPr>
        <w:rPr>
          <w:rFonts w:ascii="MS PGothic" w:cs="MS PGothic" w:eastAsia="MS PGothic" w:hAnsi="MS PGothic"/>
          <w:sz w:val="20"/>
          <w:szCs w:val="20"/>
          <w:color w:val="3D3935"/>
        </w:rPr>
      </w:pPr>
      <w:r>
        <w:rPr>
          <w:rFonts w:ascii="Arial" w:cs="Arial" w:eastAsia="Arial" w:hAnsi="Arial"/>
          <w:sz w:val="16"/>
          <w:szCs w:val="16"/>
          <w:color w:val="3D3935"/>
        </w:rPr>
        <w:t>Preliminary Proxy Statement</w:t>
      </w:r>
    </w:p>
    <w:p>
      <w:pPr>
        <w:spacing w:after="0" w:line="70" w:lineRule="exact"/>
        <w:rPr>
          <w:sz w:val="24"/>
          <w:szCs w:val="24"/>
          <w:color w:val="auto"/>
        </w:rPr>
      </w:pPr>
    </w:p>
    <w:p>
      <w:pPr>
        <w:ind w:left="160"/>
        <w:spacing w:after="0" w:line="230" w:lineRule="exact"/>
        <w:rPr>
          <w:sz w:val="20"/>
          <w:szCs w:val="20"/>
          <w:color w:val="auto"/>
        </w:rPr>
      </w:pPr>
      <w:r>
        <w:rPr>
          <w:rFonts w:ascii="MS PGothic" w:cs="MS PGothic" w:eastAsia="MS PGothic" w:hAnsi="MS PGothic"/>
          <w:sz w:val="20"/>
          <w:szCs w:val="20"/>
          <w:color w:val="3D3935"/>
        </w:rPr>
        <w:t>☐</w:t>
      </w:r>
      <w:r>
        <w:rPr>
          <w:rFonts w:ascii="Arial" w:cs="Arial" w:eastAsia="Arial" w:hAnsi="Arial"/>
          <w:sz w:val="20"/>
          <w:szCs w:val="20"/>
          <w:b w:val="1"/>
          <w:bCs w:val="1"/>
          <w:color w:val="3D3935"/>
        </w:rPr>
        <w:t xml:space="preserve"> </w:t>
      </w:r>
      <w:r>
        <w:rPr>
          <w:rFonts w:ascii="Arial" w:cs="Arial" w:eastAsia="Arial" w:hAnsi="Arial"/>
          <w:sz w:val="16"/>
          <w:szCs w:val="16"/>
          <w:color w:val="3D3935"/>
        </w:rPr>
        <w:t>CONFIDENTIAL, FOR USE OF THE COMMISSION ONLY (AS PERMITTED BY RULE 14a-6(e)(2))</w:t>
      </w:r>
    </w:p>
    <w:p>
      <w:pPr>
        <w:spacing w:after="0" w:line="40" w:lineRule="exact"/>
        <w:rPr>
          <w:sz w:val="24"/>
          <w:szCs w:val="24"/>
          <w:color w:val="auto"/>
        </w:rPr>
      </w:pPr>
    </w:p>
    <w:p>
      <w:pPr>
        <w:ind w:left="160" w:right="6379" w:hanging="1"/>
        <w:spacing w:after="0" w:line="272" w:lineRule="exact"/>
        <w:tabs>
          <w:tab w:leader="none" w:pos="555" w:val="left"/>
        </w:tabs>
        <w:numPr>
          <w:ilvl w:val="0"/>
          <w:numId w:val="3"/>
        </w:numPr>
        <w:rPr>
          <w:rFonts w:ascii="MS PGothic" w:cs="MS PGothic" w:eastAsia="MS PGothic" w:hAnsi="MS PGothic"/>
          <w:sz w:val="20"/>
          <w:szCs w:val="20"/>
          <w:color w:val="3D3935"/>
        </w:rPr>
      </w:pPr>
      <w:r>
        <w:rPr>
          <w:rFonts w:ascii="Arial" w:cs="Arial" w:eastAsia="Arial" w:hAnsi="Arial"/>
          <w:sz w:val="16"/>
          <w:szCs w:val="16"/>
          <w:color w:val="3D3935"/>
        </w:rPr>
        <w:t xml:space="preserve">Definitive Proxy Statement </w:t>
      </w:r>
      <w:r>
        <w:rPr>
          <w:rFonts w:ascii="MS PGothic" w:cs="MS PGothic" w:eastAsia="MS PGothic" w:hAnsi="MS PGothic"/>
          <w:sz w:val="19"/>
          <w:szCs w:val="19"/>
          <w:color w:val="3D3935"/>
        </w:rPr>
        <w:t>☐</w:t>
      </w:r>
      <w:r>
        <w:rPr>
          <w:rFonts w:ascii="Arial" w:cs="Arial" w:eastAsia="Arial" w:hAnsi="Arial"/>
          <w:sz w:val="19"/>
          <w:szCs w:val="19"/>
          <w:b w:val="1"/>
          <w:bCs w:val="1"/>
          <w:color w:val="3D3935"/>
        </w:rPr>
        <w:t xml:space="preserve"> </w:t>
      </w:r>
      <w:r>
        <w:rPr>
          <w:rFonts w:ascii="Arial" w:cs="Arial" w:eastAsia="Arial" w:hAnsi="Arial"/>
          <w:sz w:val="16"/>
          <w:szCs w:val="16"/>
          <w:color w:val="3D3935"/>
        </w:rPr>
        <w:t>Definitive Additional Materials</w:t>
      </w:r>
    </w:p>
    <w:p>
      <w:pPr>
        <w:spacing w:after="0" w:line="1" w:lineRule="exact"/>
        <w:rPr>
          <w:rFonts w:ascii="MS PGothic" w:cs="MS PGothic" w:eastAsia="MS PGothic" w:hAnsi="MS PGothic"/>
          <w:sz w:val="20"/>
          <w:szCs w:val="20"/>
          <w:color w:val="3D3935"/>
        </w:rPr>
      </w:pPr>
    </w:p>
    <w:p>
      <w:pPr>
        <w:ind w:left="160"/>
        <w:spacing w:after="0" w:line="230" w:lineRule="exact"/>
        <w:rPr>
          <w:rFonts w:ascii="MS PGothic" w:cs="MS PGothic" w:eastAsia="MS PGothic" w:hAnsi="MS PGothic"/>
          <w:sz w:val="20"/>
          <w:szCs w:val="20"/>
          <w:color w:val="3D3935"/>
        </w:rPr>
      </w:pPr>
      <w:r>
        <w:rPr>
          <w:rFonts w:ascii="MS PGothic" w:cs="MS PGothic" w:eastAsia="MS PGothic" w:hAnsi="MS PGothic"/>
          <w:sz w:val="20"/>
          <w:szCs w:val="20"/>
          <w:color w:val="3D3935"/>
        </w:rPr>
        <w:t>☐</w:t>
      </w:r>
      <w:r>
        <w:rPr>
          <w:rFonts w:ascii="Arial" w:cs="Arial" w:eastAsia="Arial" w:hAnsi="Arial"/>
          <w:sz w:val="20"/>
          <w:szCs w:val="20"/>
          <w:b w:val="1"/>
          <w:bCs w:val="1"/>
          <w:color w:val="3D3935"/>
        </w:rPr>
        <w:t xml:space="preserve"> </w:t>
      </w:r>
      <w:r>
        <w:rPr>
          <w:rFonts w:ascii="Arial" w:cs="Arial" w:eastAsia="Arial" w:hAnsi="Arial"/>
          <w:sz w:val="16"/>
          <w:szCs w:val="16"/>
          <w:color w:val="3D3935"/>
        </w:rPr>
        <w:t>Soliciting Material under §.240.14a-12</w:t>
      </w:r>
    </w:p>
    <w:p>
      <w:pPr>
        <w:spacing w:after="0" w:line="203" w:lineRule="exact"/>
        <w:rPr>
          <w:sz w:val="24"/>
          <w:szCs w:val="24"/>
          <w:color w:val="auto"/>
        </w:rPr>
      </w:pPr>
    </w:p>
    <w:p>
      <w:pPr>
        <w:jc w:val="center"/>
        <w:ind w:right="-100"/>
        <w:spacing w:after="0"/>
        <w:rPr>
          <w:sz w:val="20"/>
          <w:szCs w:val="20"/>
          <w:color w:val="auto"/>
        </w:rPr>
      </w:pPr>
      <w:r>
        <w:rPr>
          <w:rFonts w:ascii="Arial" w:cs="Arial" w:eastAsia="Arial" w:hAnsi="Arial"/>
          <w:sz w:val="32"/>
          <w:szCs w:val="32"/>
          <w:b w:val="1"/>
          <w:bCs w:val="1"/>
          <w:color w:val="0071CE"/>
        </w:rPr>
        <w:t>GENERAL MOTORS COMPANY</w:t>
      </w:r>
    </w:p>
    <w:p>
      <w:pPr>
        <w:spacing w:after="0" w:line="242" w:lineRule="exact"/>
        <w:rPr>
          <w:sz w:val="24"/>
          <w:szCs w:val="24"/>
          <w:color w:val="auto"/>
        </w:rPr>
      </w:pPr>
    </w:p>
    <w:p>
      <w:pPr>
        <w:ind w:left="2720"/>
        <w:spacing w:after="0"/>
        <w:rPr>
          <w:sz w:val="20"/>
          <w:szCs w:val="20"/>
          <w:color w:val="auto"/>
        </w:rPr>
      </w:pPr>
      <w:r>
        <w:rPr>
          <w:rFonts w:ascii="Arial" w:cs="Arial" w:eastAsia="Arial" w:hAnsi="Arial"/>
          <w:sz w:val="16"/>
          <w:szCs w:val="16"/>
          <w:color w:val="3D3935"/>
        </w:rPr>
        <w:t>300 Renaissance Center, Detroit, Michigan 48265</w:t>
      </w:r>
    </w:p>
    <w:p>
      <w:pPr>
        <w:spacing w:after="0" w:line="250" w:lineRule="exact"/>
        <w:rPr>
          <w:sz w:val="24"/>
          <w:szCs w:val="24"/>
          <w:color w:val="auto"/>
        </w:rPr>
      </w:pPr>
    </w:p>
    <w:p>
      <w:pPr>
        <w:jc w:val="center"/>
        <w:ind w:right="-180"/>
        <w:spacing w:after="0"/>
        <w:rPr>
          <w:sz w:val="20"/>
          <w:szCs w:val="20"/>
          <w:color w:val="auto"/>
        </w:rPr>
      </w:pPr>
      <w:r>
        <w:rPr>
          <w:rFonts w:ascii="Arial" w:cs="Arial" w:eastAsia="Arial" w:hAnsi="Arial"/>
          <w:sz w:val="16"/>
          <w:szCs w:val="16"/>
          <w:i w:val="1"/>
          <w:iCs w:val="1"/>
          <w:color w:val="3D3935"/>
        </w:rPr>
        <w:t>(Name of Registrant as Specified In Its Charter)</w:t>
      </w:r>
    </w:p>
    <w:p>
      <w:pPr>
        <w:spacing w:after="0" w:line="167" w:lineRule="exact"/>
        <w:rPr>
          <w:sz w:val="24"/>
          <w:szCs w:val="24"/>
          <w:color w:val="auto"/>
        </w:rPr>
      </w:pPr>
    </w:p>
    <w:p>
      <w:pPr>
        <w:jc w:val="center"/>
        <w:ind w:right="-220"/>
        <w:spacing w:after="0"/>
        <w:rPr>
          <w:sz w:val="20"/>
          <w:szCs w:val="20"/>
          <w:color w:val="auto"/>
        </w:rPr>
      </w:pPr>
      <w:r>
        <w:rPr>
          <w:rFonts w:ascii="Arial" w:cs="Arial" w:eastAsia="Arial" w:hAnsi="Arial"/>
          <w:sz w:val="16"/>
          <w:szCs w:val="16"/>
          <w:i w:val="1"/>
          <w:iCs w:val="1"/>
          <w:color w:val="3D3935"/>
        </w:rPr>
        <w:t>(Name of Person(s) Filing Proxy Statement, if other than the Registrant)</w:t>
      </w:r>
    </w:p>
    <w:p>
      <w:pPr>
        <w:spacing w:after="0" w:line="294" w:lineRule="exact"/>
        <w:rPr>
          <w:sz w:val="24"/>
          <w:szCs w:val="24"/>
          <w:color w:val="auto"/>
        </w:rPr>
      </w:pPr>
    </w:p>
    <w:p>
      <w:pPr>
        <w:ind w:left="160"/>
        <w:spacing w:after="0"/>
        <w:rPr>
          <w:sz w:val="20"/>
          <w:szCs w:val="20"/>
          <w:color w:val="auto"/>
        </w:rPr>
      </w:pPr>
      <w:r>
        <w:rPr>
          <w:rFonts w:ascii="Arial" w:cs="Arial" w:eastAsia="Arial" w:hAnsi="Arial"/>
          <w:sz w:val="23"/>
          <w:szCs w:val="23"/>
          <w:b w:val="1"/>
          <w:bCs w:val="1"/>
          <w:color w:val="3D3935"/>
        </w:rPr>
        <w:t>Payment of Filing Fee (Check all boxes that apply):</w:t>
      </w:r>
    </w:p>
    <w:p>
      <w:pPr>
        <w:spacing w:after="0" w:line="57" w:lineRule="exact"/>
        <w:rPr>
          <w:sz w:val="24"/>
          <w:szCs w:val="24"/>
          <w:color w:val="auto"/>
        </w:rPr>
      </w:pPr>
    </w:p>
    <w:p>
      <w:pPr>
        <w:ind w:left="160"/>
        <w:spacing w:after="0" w:line="184" w:lineRule="exact"/>
        <w:tabs>
          <w:tab w:leader="none" w:pos="580" w:val="left"/>
        </w:tabs>
        <w:rPr>
          <w:sz w:val="20"/>
          <w:szCs w:val="20"/>
          <w:color w:val="auto"/>
        </w:rPr>
      </w:pPr>
      <w:r>
        <w:rPr>
          <w:rFonts w:ascii="Arial" w:cs="Arial" w:eastAsia="Arial" w:hAnsi="Arial"/>
          <w:sz w:val="16"/>
          <w:szCs w:val="16"/>
          <w:b w:val="1"/>
          <w:bCs w:val="1"/>
          <w:color w:val="3D3935"/>
        </w:rPr>
        <w:t> </w:t>
      </w:r>
      <w:r>
        <w:rPr>
          <w:rFonts w:ascii="MS PGothic" w:cs="MS PGothic" w:eastAsia="MS PGothic" w:hAnsi="MS PGothic"/>
          <w:sz w:val="16"/>
          <w:szCs w:val="16"/>
          <w:color w:val="3D3935"/>
        </w:rPr>
        <w:t>☑</w:t>
      </w:r>
      <w:r>
        <w:rPr>
          <w:sz w:val="20"/>
          <w:szCs w:val="20"/>
          <w:color w:val="auto"/>
        </w:rPr>
        <w:tab/>
      </w:r>
      <w:r>
        <w:rPr>
          <w:rFonts w:ascii="Arial" w:cs="Arial" w:eastAsia="Arial" w:hAnsi="Arial"/>
          <w:sz w:val="16"/>
          <w:szCs w:val="16"/>
          <w:b w:val="1"/>
          <w:bCs w:val="1"/>
          <w:color w:val="3D3935"/>
        </w:rPr>
        <w:t>No fee required</w:t>
      </w:r>
    </w:p>
    <w:p>
      <w:pPr>
        <w:spacing w:after="0" w:line="88" w:lineRule="exact"/>
        <w:rPr>
          <w:sz w:val="24"/>
          <w:szCs w:val="24"/>
          <w:color w:val="auto"/>
        </w:rPr>
      </w:pPr>
    </w:p>
    <w:p>
      <w:pPr>
        <w:ind w:left="160"/>
        <w:spacing w:after="0" w:line="184" w:lineRule="exact"/>
        <w:rPr>
          <w:sz w:val="20"/>
          <w:szCs w:val="20"/>
          <w:color w:val="auto"/>
        </w:rPr>
      </w:pPr>
      <w:r>
        <w:rPr>
          <w:rFonts w:ascii="Arial" w:cs="Arial" w:eastAsia="Arial" w:hAnsi="Arial"/>
          <w:sz w:val="16"/>
          <w:szCs w:val="16"/>
          <w:b w:val="1"/>
          <w:bCs w:val="1"/>
          <w:color w:val="3D3935"/>
        </w:rPr>
        <w:t> </w:t>
      </w:r>
      <w:r>
        <w:rPr>
          <w:rFonts w:ascii="MS PGothic" w:cs="MS PGothic" w:eastAsia="MS PGothic" w:hAnsi="MS PGothic"/>
          <w:sz w:val="16"/>
          <w:szCs w:val="16"/>
          <w:color w:val="3D3935"/>
        </w:rPr>
        <w:t>☐</w:t>
      </w:r>
      <w:r>
        <w:rPr>
          <w:rFonts w:ascii="Arial" w:cs="Arial" w:eastAsia="Arial" w:hAnsi="Arial"/>
          <w:sz w:val="16"/>
          <w:szCs w:val="16"/>
          <w:b w:val="1"/>
          <w:bCs w:val="1"/>
          <w:color w:val="3D3935"/>
        </w:rPr>
        <w:t xml:space="preserve">  Fee paid previously with preliminary materials</w:t>
      </w:r>
    </w:p>
    <w:p>
      <w:pPr>
        <w:spacing w:after="0" w:line="86" w:lineRule="exact"/>
        <w:rPr>
          <w:sz w:val="24"/>
          <w:szCs w:val="24"/>
          <w:color w:val="auto"/>
        </w:rPr>
      </w:pPr>
    </w:p>
    <w:p>
      <w:pPr>
        <w:ind w:left="160"/>
        <w:spacing w:after="0" w:line="184" w:lineRule="exact"/>
        <w:rPr>
          <w:sz w:val="20"/>
          <w:szCs w:val="20"/>
          <w:color w:val="auto"/>
        </w:rPr>
      </w:pPr>
      <w:r>
        <w:rPr>
          <w:rFonts w:ascii="Arial" w:cs="Arial" w:eastAsia="Arial" w:hAnsi="Arial"/>
          <w:sz w:val="16"/>
          <w:szCs w:val="16"/>
          <w:b w:val="1"/>
          <w:bCs w:val="1"/>
          <w:color w:val="3D3935"/>
        </w:rPr>
        <w:t> </w:t>
      </w:r>
      <w:r>
        <w:rPr>
          <w:rFonts w:ascii="MS PGothic" w:cs="MS PGothic" w:eastAsia="MS PGothic" w:hAnsi="MS PGothic"/>
          <w:sz w:val="16"/>
          <w:szCs w:val="16"/>
          <w:color w:val="3D3935"/>
        </w:rPr>
        <w:t>☐</w:t>
      </w:r>
      <w:r>
        <w:rPr>
          <w:rFonts w:ascii="Arial" w:cs="Arial" w:eastAsia="Arial" w:hAnsi="Arial"/>
          <w:sz w:val="16"/>
          <w:szCs w:val="16"/>
          <w:b w:val="1"/>
          <w:bCs w:val="1"/>
          <w:color w:val="3D3935"/>
        </w:rPr>
        <w:t xml:space="preserve">  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-519430</wp:posOffset>
            </wp:positionH>
            <wp:positionV relativeFrom="paragraph">
              <wp:posOffset>3297555</wp:posOffset>
            </wp:positionV>
            <wp:extent cx="6810375" cy="14820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10375" cy="1482090"/>
                    </a:xfrm>
                    <a:prstGeom prst="rect">
                      <a:avLst/>
                    </a:prstGeom>
                    <a:noFill/>
                  </pic:spPr>
                </pic:pic>
              </a:graphicData>
            </a:graphic>
          </wp:anchor>
        </w:drawing>
      </w:r>
    </w:p>
    <w:p>
      <w:pPr>
        <w:sectPr>
          <w:pgSz w:w="11900" w:h="16838" w:orient="portrait"/>
          <w:cols w:equalWidth="0" w:num="1">
            <w:col w:w="9059"/>
          </w:cols>
          <w:pgMar w:left="1400" w:top="495"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103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1037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To Our Fellow Shareholders,</w:t>
      </w:r>
    </w:p>
    <w:p>
      <w:pPr>
        <w:spacing w:after="0" w:line="127" w:lineRule="exact"/>
        <w:rPr>
          <w:sz w:val="20"/>
          <w:szCs w:val="20"/>
          <w:color w:val="auto"/>
        </w:rPr>
      </w:pPr>
    </w:p>
    <w:p>
      <w:pPr>
        <w:ind w:right="420"/>
        <w:spacing w:after="0" w:line="281" w:lineRule="auto"/>
        <w:rPr>
          <w:sz w:val="20"/>
          <w:szCs w:val="20"/>
          <w:color w:val="auto"/>
        </w:rPr>
      </w:pPr>
      <w:r>
        <w:rPr>
          <w:rFonts w:ascii="Arial" w:cs="Arial" w:eastAsia="Arial" w:hAnsi="Arial"/>
          <w:sz w:val="16"/>
          <w:szCs w:val="16"/>
          <w:color w:val="3D3935"/>
        </w:rPr>
        <w:t>As shared last year, we learned valuable lessons in 2023 as the Company progressed through its multi-year transformation, which provided an opportunity for the Board to refine the Company’s strategic priorities and drive execution with a heightened sense of accountability. We are happy to report that these strategic adjustments led to exceptional performance</w:t>
      </w:r>
    </w:p>
    <w:p>
      <w:pPr>
        <w:spacing w:after="0" w:line="2" w:lineRule="exact"/>
        <w:rPr>
          <w:sz w:val="20"/>
          <w:szCs w:val="20"/>
          <w:color w:val="auto"/>
        </w:rPr>
      </w:pPr>
    </w:p>
    <w:p>
      <w:pPr>
        <w:ind w:right="300"/>
        <w:spacing w:after="0" w:line="321" w:lineRule="auto"/>
        <w:rPr>
          <w:sz w:val="20"/>
          <w:szCs w:val="20"/>
          <w:color w:val="auto"/>
        </w:rPr>
      </w:pPr>
      <w:r>
        <w:rPr>
          <w:rFonts w:ascii="Arial" w:cs="Arial" w:eastAsia="Arial" w:hAnsi="Arial"/>
          <w:sz w:val="16"/>
          <w:szCs w:val="16"/>
          <w:color w:val="3D3935"/>
        </w:rPr>
        <w:t>across the business, culminating in exceptional results, as reflected in our shareholder returns – approximately 50% total return that outperformed key competitors as well as the S&amp;P 500 Index in 2024.</w:t>
      </w:r>
    </w:p>
    <w:p>
      <w:pPr>
        <w:spacing w:after="0" w:line="74" w:lineRule="exact"/>
        <w:rPr>
          <w:sz w:val="20"/>
          <w:szCs w:val="20"/>
          <w:color w:val="auto"/>
        </w:rPr>
      </w:pPr>
    </w:p>
    <w:p>
      <w:pPr>
        <w:spacing w:after="0"/>
        <w:rPr>
          <w:sz w:val="20"/>
          <w:szCs w:val="20"/>
          <w:color w:val="auto"/>
        </w:rPr>
      </w:pPr>
      <w:r>
        <w:rPr>
          <w:rFonts w:ascii="Arial" w:cs="Arial" w:eastAsia="Arial" w:hAnsi="Arial"/>
          <w:sz w:val="19"/>
          <w:szCs w:val="19"/>
          <w:b w:val="1"/>
          <w:bCs w:val="1"/>
          <w:color w:val="3D3935"/>
        </w:rPr>
        <w:t>Consistent Execution and Balanced Capital Allocation is Driving Strong Shareholder Returns</w:t>
      </w:r>
    </w:p>
    <w:p>
      <w:pPr>
        <w:sectPr>
          <w:pgSz w:w="11900" w:h="16991" w:orient="portrait"/>
          <w:cols w:equalWidth="0" w:num="1">
            <w:col w:w="9260"/>
          </w:cols>
          <w:pgMar w:left="1400" w:top="1440" w:right="1239" w:bottom="0" w:gutter="0" w:footer="0" w:header="0"/>
        </w:sectPr>
      </w:pPr>
    </w:p>
    <w:p>
      <w:pPr>
        <w:spacing w:after="0" w:line="201" w:lineRule="exact"/>
        <w:rPr>
          <w:sz w:val="20"/>
          <w:szCs w:val="20"/>
          <w:color w:val="auto"/>
        </w:rPr>
      </w:pPr>
    </w:p>
    <w:p>
      <w:pPr>
        <w:ind w:right="400"/>
        <w:spacing w:after="0" w:line="283" w:lineRule="auto"/>
        <w:rPr>
          <w:sz w:val="20"/>
          <w:szCs w:val="20"/>
          <w:color w:val="auto"/>
        </w:rPr>
      </w:pPr>
      <w:r>
        <w:rPr>
          <w:rFonts w:ascii="Arial" w:cs="Arial" w:eastAsia="Arial" w:hAnsi="Arial"/>
          <w:sz w:val="16"/>
          <w:szCs w:val="16"/>
          <w:color w:val="3D3935"/>
        </w:rPr>
        <w:t>GM had an outstanding 2024, including a more than 9% increase in revenue year-over-year to $187 billion, net income attributable to shareholders of $6 billion, automotive operating cash flow of $23.9 billion, diluted earnings per share of $6.37, record EBIT-adjusted of $14.9 billion, and record EPS-diluted-adjusted of $10.60. We also successfully launched a number of important vehicles across our profitable ICE portfolio and growing EV business, further strengthening what we believe is the best product portfolio in the industry. As we scaled production, we became the number two seller of EVs in North America in the second half of the year and our portfolio reached variable profit positive in the fourth quarter. The result was more high-quality vehicles in the hands of our customers, all while maintaining industry-leading pricing and significantly lower than average incentive spending.</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0072CE"/>
        </w:rPr>
        <w:t>Performance Highlights</w:t>
      </w:r>
    </w:p>
    <w:p>
      <w:pPr>
        <w:spacing w:after="0" w:line="324" w:lineRule="exact"/>
        <w:rPr>
          <w:sz w:val="20"/>
          <w:szCs w:val="20"/>
          <w:color w:val="auto"/>
        </w:rPr>
      </w:pPr>
    </w:p>
    <w:p>
      <w:pPr>
        <w:jc w:val="center"/>
        <w:ind w:right="900"/>
        <w:spacing w:after="0"/>
        <w:rPr>
          <w:sz w:val="20"/>
          <w:szCs w:val="20"/>
          <w:color w:val="auto"/>
        </w:rPr>
      </w:pPr>
      <w:r>
        <w:rPr>
          <w:rFonts w:ascii="Arial" w:cs="Arial" w:eastAsia="Arial" w:hAnsi="Arial"/>
          <w:sz w:val="16"/>
          <w:szCs w:val="16"/>
          <w:b w:val="1"/>
          <w:bCs w:val="1"/>
          <w:color w:val="3D3935"/>
        </w:rPr>
        <w:t>Revenue</w:t>
      </w:r>
    </w:p>
    <w:p>
      <w:pPr>
        <w:spacing w:after="0" w:line="33" w:lineRule="exact"/>
        <w:rPr>
          <w:sz w:val="20"/>
          <w:szCs w:val="20"/>
          <w:color w:val="auto"/>
        </w:rPr>
      </w:pPr>
    </w:p>
    <w:p>
      <w:pPr>
        <w:ind w:left="820"/>
        <w:spacing w:after="0"/>
        <w:rPr>
          <w:sz w:val="20"/>
          <w:szCs w:val="20"/>
          <w:color w:val="auto"/>
        </w:rPr>
      </w:pPr>
      <w:r>
        <w:rPr>
          <w:rFonts w:ascii="Arial" w:cs="Arial" w:eastAsia="Arial" w:hAnsi="Arial"/>
          <w:sz w:val="43"/>
          <w:szCs w:val="43"/>
          <w:b w:val="1"/>
          <w:bCs w:val="1"/>
          <w:color w:val="0072CE"/>
        </w:rPr>
        <w:t>$187B</w:t>
      </w:r>
    </w:p>
    <w:p>
      <w:pPr>
        <w:spacing w:after="0" w:line="20" w:lineRule="exact"/>
        <w:rPr>
          <w:sz w:val="20"/>
          <w:szCs w:val="20"/>
          <w:color w:val="auto"/>
        </w:rPr>
      </w:pPr>
    </w:p>
    <w:p>
      <w:pPr>
        <w:jc w:val="center"/>
        <w:ind w:right="960"/>
        <w:spacing w:after="0"/>
        <w:rPr>
          <w:sz w:val="20"/>
          <w:szCs w:val="20"/>
          <w:color w:val="auto"/>
        </w:rPr>
      </w:pPr>
      <w:r>
        <w:rPr>
          <w:rFonts w:ascii="Arial" w:cs="Arial" w:eastAsia="Arial" w:hAnsi="Arial"/>
          <w:sz w:val="16"/>
          <w:szCs w:val="16"/>
          <w:color w:val="3D3935"/>
        </w:rPr>
        <w:t>(9%</w:t>
      </w:r>
      <w:r>
        <w:rPr>
          <w:rFonts w:ascii="Wingdings" w:cs="Wingdings" w:eastAsia="Wingdings" w:hAnsi="Wingdings"/>
          <w:sz w:val="16"/>
          <w:szCs w:val="16"/>
          <w:b w:val="1"/>
          <w:bCs w:val="1"/>
          <w:color w:val="3D3935"/>
        </w:rPr>
        <w:t>á</w:t>
      </w:r>
      <w:r>
        <w:rPr>
          <w:rFonts w:ascii="Arial" w:cs="Arial" w:eastAsia="Arial" w:hAnsi="Arial"/>
          <w:sz w:val="16"/>
          <w:szCs w:val="16"/>
          <w:color w:val="3D3935"/>
        </w:rPr>
        <w:t xml:space="preserve"> compared to 2023)</w:t>
      </w:r>
    </w:p>
    <w:p>
      <w:pPr>
        <w:spacing w:after="0" w:line="38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3D3935"/>
        </w:rPr>
        <w:t>Return to Shareholders</w:t>
      </w:r>
    </w:p>
    <w:p>
      <w:pPr>
        <w:spacing w:after="0" w:line="33" w:lineRule="exact"/>
        <w:rPr>
          <w:sz w:val="20"/>
          <w:szCs w:val="20"/>
          <w:color w:val="auto"/>
        </w:rPr>
      </w:pPr>
    </w:p>
    <w:p>
      <w:pPr>
        <w:jc w:val="center"/>
        <w:ind w:right="940"/>
        <w:spacing w:after="0"/>
        <w:rPr>
          <w:sz w:val="20"/>
          <w:szCs w:val="20"/>
          <w:color w:val="auto"/>
        </w:rPr>
      </w:pPr>
      <w:r>
        <w:rPr>
          <w:rFonts w:ascii="Arial" w:cs="Arial" w:eastAsia="Arial" w:hAnsi="Arial"/>
          <w:sz w:val="43"/>
          <w:szCs w:val="43"/>
          <w:b w:val="1"/>
          <w:bCs w:val="1"/>
          <w:color w:val="0072CE"/>
        </w:rPr>
        <w:t>$7.6B</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3D3935"/>
        </w:rPr>
        <w:t>(through share buybacks and dividends)</w:t>
      </w:r>
    </w:p>
    <w:p>
      <w:pPr>
        <w:spacing w:after="0" w:line="853" w:lineRule="exact"/>
        <w:rPr>
          <w:sz w:val="20"/>
          <w:szCs w:val="20"/>
          <w:color w:val="auto"/>
        </w:rPr>
      </w:pPr>
    </w:p>
    <w:p>
      <w:pPr>
        <w:sectPr>
          <w:pgSz w:w="11900" w:h="16991" w:orient="portrait"/>
          <w:cols w:equalWidth="0" w:num="2">
            <w:col w:w="4720" w:space="720"/>
            <w:col w:w="3820"/>
          </w:cols>
          <w:pgMar w:left="1400" w:top="1440" w:right="1239" w:bottom="0" w:gutter="0" w:footer="0" w:header="0"/>
          <w:type w:val="continuous"/>
        </w:sectPr>
      </w:pPr>
    </w:p>
    <w:p>
      <w:pPr>
        <w:ind w:right="360"/>
        <w:spacing w:after="0" w:line="321" w:lineRule="auto"/>
        <w:rPr>
          <w:sz w:val="20"/>
          <w:szCs w:val="20"/>
          <w:color w:val="auto"/>
        </w:rPr>
      </w:pPr>
      <w:r>
        <w:rPr>
          <w:rFonts w:ascii="Arial" w:cs="Arial" w:eastAsia="Arial" w:hAnsi="Arial"/>
          <w:sz w:val="16"/>
          <w:szCs w:val="16"/>
          <w:color w:val="3D3935"/>
        </w:rPr>
        <w:t>We have continued to allocate capital in a balanced and consistent manner, returning $7.6 billion to shareholders through share buybacks and dividends in 2024, and earlier this year authorizing another $6 billion share repurchase while increasing</w:t>
      </w:r>
    </w:p>
    <w:p>
      <w:pPr>
        <w:sectPr>
          <w:pgSz w:w="11900" w:h="16991" w:orient="portrait"/>
          <w:cols w:equalWidth="0" w:num="1">
            <w:col w:w="9260"/>
          </w:cols>
          <w:pgMar w:left="1400" w:top="1440" w:right="1239" w:bottom="0" w:gutter="0" w:footer="0" w:header="0"/>
          <w:type w:val="continuous"/>
        </w:sectPr>
      </w:pPr>
    </w:p>
    <w:bookmarkStart w:id="3" w:name="page4"/>
    <w:bookmarkEnd w:id="3"/>
    <w:p>
      <w:pPr>
        <w:spacing w:after="0"/>
        <w:tabs>
          <w:tab w:leader="none" w:pos="3240" w:val="left"/>
        </w:tabs>
        <w:rPr>
          <w:sz w:val="20"/>
          <w:szCs w:val="20"/>
          <w:color w:val="auto"/>
        </w:rPr>
      </w:pPr>
      <w:r>
        <w:rPr>
          <w:rFonts w:ascii="Arial" w:cs="Arial" w:eastAsia="Arial" w:hAnsi="Arial"/>
          <w:sz w:val="16"/>
          <w:szCs w:val="16"/>
          <w:color w:val="3D3935"/>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4219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10375" cy="4219575"/>
                    </a:xfrm>
                    <a:prstGeom prst="rect">
                      <a:avLst/>
                    </a:prstGeom>
                    <a:noFill/>
                  </pic:spPr>
                </pic:pic>
              </a:graphicData>
            </a:graphic>
          </wp:anchor>
        </w:drawing>
        <w:t>the quarterly dividend by $0.03 per share.</w:t>
        <w:tab/>
        <w:t>We also implemented difficult but necessary restructuring actions in 2024. In</w:t>
      </w:r>
    </w:p>
    <w:p>
      <w:pPr>
        <w:spacing w:after="0" w:line="86" w:lineRule="exact"/>
        <w:rPr>
          <w:sz w:val="20"/>
          <w:szCs w:val="20"/>
          <w:color w:val="auto"/>
        </w:rPr>
      </w:pPr>
    </w:p>
    <w:p>
      <w:pPr>
        <w:ind w:right="299"/>
        <w:spacing w:after="0" w:line="288" w:lineRule="auto"/>
        <w:rPr>
          <w:sz w:val="20"/>
          <w:szCs w:val="20"/>
          <w:color w:val="auto"/>
        </w:rPr>
      </w:pPr>
      <w:r>
        <w:rPr>
          <w:rFonts w:ascii="Arial" w:cs="Arial" w:eastAsia="Arial" w:hAnsi="Arial"/>
          <w:sz w:val="16"/>
          <w:szCs w:val="16"/>
          <w:color w:val="3D3935"/>
        </w:rPr>
        <w:t>China, we collaborated with our partner on a restructuring plan designed to return our joint venture to profitability through plant closures, portfolio optimization, and other initiatives. Our work in China has already yielded results, with China auto equity income turning positive in the fourth quarter of 2024 before restructuring charges. We also stopped funding Cruise’s robotaxi development and combined the GM and Cruise technical teams to prioritize the development of advanced driver assistance systems on a path to fully autonomous personal vehicles. We believe this refocused AV strategy will be less capital intensive and deliver AV technology to our customers sooner. Collectively, we believe these actions will help further strengthen our investment grade balance sheet.</w:t>
      </w:r>
    </w:p>
    <w:p>
      <w:pPr>
        <w:spacing w:after="0" w:line="102" w:lineRule="exact"/>
        <w:rPr>
          <w:sz w:val="20"/>
          <w:szCs w:val="20"/>
          <w:color w:val="auto"/>
        </w:rPr>
      </w:pPr>
    </w:p>
    <w:p>
      <w:pPr>
        <w:ind w:right="279"/>
        <w:spacing w:after="0" w:line="286" w:lineRule="auto"/>
        <w:rPr>
          <w:sz w:val="20"/>
          <w:szCs w:val="20"/>
          <w:color w:val="auto"/>
        </w:rPr>
      </w:pPr>
      <w:r>
        <w:rPr>
          <w:rFonts w:ascii="Arial" w:cs="Arial" w:eastAsia="Arial" w:hAnsi="Arial"/>
          <w:sz w:val="16"/>
          <w:szCs w:val="16"/>
          <w:color w:val="3D3935"/>
        </w:rPr>
        <w:t>Despite this success, we recognize that there is significant work and opportunity ahead of us, particularly in a period of industry uncertainty that will require both decisiveness and agility. We believe the Company continues to have the right strategy for our customers and shareholders. We believe our approach will ensure that General Motors remains at the forefront of the future of transportation by leveraging advanced software, hardware, and battery technology to build safer, smarter, and lower-emission cars and trucks. We will be guided by the customer and continue to offer a diverse portfolio of innovative gasoline-powered vehicles and the industry’s broadest range of EVs. Moreover, we strongly believe in the transformative potential of software, including artificial intelligence, and autonomous vehicles to eliminate human driving error, save lives, and improve mobility for everyone. And we remain committed to enforcing a culture of safety at the center of everything we do.</w:t>
      </w:r>
    </w:p>
    <w:p>
      <w:pPr>
        <w:spacing w:after="0" w:line="106" w:lineRule="exact"/>
        <w:rPr>
          <w:sz w:val="20"/>
          <w:szCs w:val="20"/>
          <w:color w:val="auto"/>
        </w:rPr>
      </w:pPr>
    </w:p>
    <w:p>
      <w:pPr>
        <w:ind w:right="179"/>
        <w:spacing w:after="0" w:line="291" w:lineRule="auto"/>
        <w:rPr>
          <w:sz w:val="20"/>
          <w:szCs w:val="20"/>
          <w:color w:val="auto"/>
        </w:rPr>
      </w:pPr>
      <w:r>
        <w:rPr>
          <w:rFonts w:ascii="Arial" w:cs="Arial" w:eastAsia="Arial" w:hAnsi="Arial"/>
          <w:sz w:val="16"/>
          <w:szCs w:val="16"/>
          <w:color w:val="3D3935"/>
        </w:rPr>
        <w:t>We acknowledge that some shareholders expressed concerns last year regarding our annual Say-on-Pay proposal, and the outcome of the vote was not one we consider acceptable. In response, we conducted an extensive listening tour with shareholders to better understand and address their concerns. For a detailed account of what we heard and the enhancements we made to our compensation program, please see the Compensation Committee letter to shareholders and the Compensation Discussion and Analysis beginning on page 43 of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ind w:right="19"/>
        <w:spacing w:after="0"/>
        <w:tabs>
          <w:tab w:leader="none" w:pos="20" w:val="left"/>
        </w:tabs>
        <w:rPr>
          <w:sz w:val="20"/>
          <w:szCs w:val="20"/>
          <w:color w:val="auto"/>
        </w:rPr>
      </w:pPr>
      <w:r>
        <w:rPr>
          <w:rFonts w:ascii="Arial" w:cs="Arial" w:eastAsia="Arial" w:hAnsi="Arial"/>
          <w:sz w:val="14"/>
          <w:szCs w:val="14"/>
          <w:b w:val="1"/>
          <w:bCs w:val="1"/>
          <w:color w:val="0072CE"/>
        </w:rPr>
        <w:t>2025 Proxy Statement</w:t>
      </w:r>
      <w:r>
        <w:rPr>
          <w:sz w:val="20"/>
          <w:szCs w:val="20"/>
          <w:color w:val="auto"/>
        </w:rPr>
        <w:tab/>
      </w:r>
      <w:r>
        <w:rPr>
          <w:rFonts w:ascii="Arial" w:cs="Arial" w:eastAsia="Arial" w:hAnsi="Arial"/>
          <w:sz w:val="14"/>
          <w:szCs w:val="14"/>
          <w:b w:val="1"/>
          <w:bCs w:val="1"/>
          <w:color w:val="3D3935"/>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6214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10375" cy="6214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Continued Evolution of Our Leadership and Team</w:t>
      </w:r>
    </w:p>
    <w:p>
      <w:pPr>
        <w:spacing w:after="0" w:line="99" w:lineRule="exact"/>
        <w:rPr>
          <w:sz w:val="20"/>
          <w:szCs w:val="20"/>
          <w:color w:val="auto"/>
        </w:rPr>
      </w:pPr>
    </w:p>
    <w:p>
      <w:pPr>
        <w:ind w:right="99"/>
        <w:spacing w:after="0" w:line="291" w:lineRule="auto"/>
        <w:rPr>
          <w:sz w:val="20"/>
          <w:szCs w:val="20"/>
          <w:color w:val="auto"/>
        </w:rPr>
      </w:pPr>
      <w:r>
        <w:rPr>
          <w:rFonts w:ascii="Arial" w:cs="Arial" w:eastAsia="Arial" w:hAnsi="Arial"/>
          <w:sz w:val="16"/>
          <w:szCs w:val="16"/>
          <w:color w:val="3D3935"/>
        </w:rPr>
        <w:t>The Board’s five-year succession roadmap, established in 2019, has helped the Company execute its strategic plan, manage Board succession, and create shareholder value. This important work is ongoing. Since the last annual meeting, we elected Alfred (“Al”) F. Kelly, Jr. to the Board to provide financial, technology, and customer insights, and to leverage his experience driving transformative change at Visa Inc. Al’s addition enhances the blend of relevant skills and experience that the Board needs during this critical phase of our evolution.</w:t>
      </w:r>
    </w:p>
    <w:p>
      <w:pPr>
        <w:spacing w:after="0" w:line="113" w:lineRule="exact"/>
        <w:rPr>
          <w:sz w:val="20"/>
          <w:szCs w:val="20"/>
          <w:color w:val="auto"/>
        </w:rPr>
      </w:pPr>
    </w:p>
    <w:p>
      <w:pPr>
        <w:ind w:right="179"/>
        <w:spacing w:after="0" w:line="283" w:lineRule="auto"/>
        <w:rPr>
          <w:sz w:val="20"/>
          <w:szCs w:val="20"/>
          <w:color w:val="auto"/>
        </w:rPr>
      </w:pPr>
      <w:r>
        <w:rPr>
          <w:rFonts w:ascii="Arial" w:cs="Arial" w:eastAsia="Arial" w:hAnsi="Arial"/>
          <w:sz w:val="16"/>
          <w:szCs w:val="16"/>
          <w:color w:val="3D3935"/>
        </w:rPr>
        <w:t>As we welcome Al, the Board’s leadership is also evolving. Following years of distinguished service, Linda Gooden and Thomas (“Tom”) Schoewe will not stand for re-election this year. Both have been valuable representatives for shareholders. Tom is recognized in the industry as an outstanding Audit Committee chair and Linda was integral to the creation of the Risk and Cybersecurity Committee that helps oversee important enterprise and strategic risks and opportunities and monitor risks and trends related to cybersecurity and data management. While their experience and acumen will be difficult to replace, both Linda and Tom have been working to ensure a smooth transition to their respective successor committee chairs. Effective as of the annual meeting, Wesley (“Wes”) Bush will succeed Tom as the Chair of the Audit Committee and Devin Wenig will transition to lead the Executive Compensation Committee, while Wes remains a committee member. Judith (“Jami”) Miscik assumed the role of Chair of the Risk and Cybersecurity Committee from Linda at the start of this year. The Board is grateful for Linda and Tom’s invaluable service and many contributions over the years and looks forward to the continued effective leadership of our Committees by Wes, Devin, and Jami.</w:t>
      </w:r>
    </w:p>
    <w:p>
      <w:pPr>
        <w:spacing w:after="0" w:line="125" w:lineRule="exact"/>
        <w:rPr>
          <w:sz w:val="20"/>
          <w:szCs w:val="20"/>
          <w:color w:val="auto"/>
        </w:rPr>
      </w:pPr>
    </w:p>
    <w:p>
      <w:pPr>
        <w:ind w:right="239"/>
        <w:spacing w:after="0" w:line="301" w:lineRule="auto"/>
        <w:rPr>
          <w:sz w:val="20"/>
          <w:szCs w:val="20"/>
          <w:color w:val="auto"/>
        </w:rPr>
      </w:pPr>
      <w:r>
        <w:rPr>
          <w:rFonts w:ascii="Arial" w:cs="Arial" w:eastAsia="Arial" w:hAnsi="Arial"/>
          <w:sz w:val="16"/>
          <w:szCs w:val="16"/>
          <w:color w:val="3D3935"/>
        </w:rPr>
        <w:t>The Board has also asked Patricia (“Pat”) Russo to remain its Independent Lead Director to ensure continuity during this period of transition. Given her extensive tenure and deep knowledge of the Company, and amidst the departure of Tom and Linda, Pat’s leadership has been and will continue to be invaluable as we advance our strategic priorities.</w:t>
      </w:r>
    </w:p>
    <w:p>
      <w:pPr>
        <w:spacing w:after="0" w:line="91" w:lineRule="exact"/>
        <w:rPr>
          <w:sz w:val="20"/>
          <w:szCs w:val="20"/>
          <w:color w:val="auto"/>
        </w:rPr>
      </w:pPr>
    </w:p>
    <w:p>
      <w:pPr>
        <w:ind w:right="59"/>
        <w:spacing w:after="0" w:line="289" w:lineRule="auto"/>
        <w:rPr>
          <w:sz w:val="20"/>
          <w:szCs w:val="20"/>
          <w:color w:val="auto"/>
        </w:rPr>
      </w:pPr>
      <w:r>
        <w:rPr>
          <w:rFonts w:ascii="Arial" w:cs="Arial" w:eastAsia="Arial" w:hAnsi="Arial"/>
          <w:sz w:val="16"/>
          <w:szCs w:val="16"/>
          <w:color w:val="3D3935"/>
        </w:rPr>
        <w:t>Over the past year, we have also continued to focus on our management succession plan and evolving the skills of the Senior Leadership Team to reflect the growing needs of the business, particularly in areas such as technology. The Board regularly meets with the next generation of talent as we plan for the Company’s future. We are supportive of efforts to broaden the strong set of internal skills with fresh perspectives from other industries and believe we have a robust talent development process that is setting the foundation for the future and enabling us to effectively compete against both traditional automakers and new competitors.</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Annual Meeting Preview</w:t>
      </w:r>
    </w:p>
    <w:p>
      <w:pPr>
        <w:spacing w:after="0" w:line="99" w:lineRule="exact"/>
        <w:rPr>
          <w:sz w:val="20"/>
          <w:szCs w:val="20"/>
          <w:color w:val="auto"/>
        </w:rPr>
      </w:pPr>
    </w:p>
    <w:p>
      <w:pPr>
        <w:ind w:right="199"/>
        <w:spacing w:after="0" w:line="295" w:lineRule="auto"/>
        <w:rPr>
          <w:sz w:val="20"/>
          <w:szCs w:val="20"/>
          <w:color w:val="auto"/>
        </w:rPr>
      </w:pPr>
      <w:r>
        <w:rPr>
          <w:rFonts w:ascii="Arial" w:cs="Arial" w:eastAsia="Arial" w:hAnsi="Arial"/>
          <w:sz w:val="16"/>
          <w:szCs w:val="16"/>
          <w:color w:val="3D3935"/>
        </w:rPr>
        <w:t>We encourage you to review this Proxy Statement that describes our corporate governance practices that foster effective oversight of the Company’s business risks and strategy. We look forward to hearing from you at the annual meeting and at that time will provide a further update on the Company’s performance and answer your questions. Thank you in advance for your continued support of General Motors and votes in alignment with the Board’s recommendation.</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3D3935"/>
        </w:rPr>
        <w:t>Sincerely,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3D3935"/>
        </w:rPr>
        <w:t>2025 General Motors Board of Directors</w:t>
      </w:r>
    </w:p>
    <w:p>
      <w:pPr>
        <w:sectPr>
          <w:pgSz w:w="11900" w:h="16838" w:orient="portrait"/>
          <w:cols w:equalWidth="0" w:num="1">
            <w:col w:w="9059"/>
          </w:cols>
          <w:pgMar w:left="1400" w:top="166" w:right="1440" w:bottom="0" w:gutter="0" w:footer="0" w:header="0"/>
        </w:sectPr>
      </w:pPr>
    </w:p>
    <w:bookmarkStart w:id="4" w:name="page5"/>
    <w:bookmarkEnd w:id="4"/>
    <w:p>
      <w:pPr>
        <w:ind w:left="80"/>
        <w:spacing w:after="0"/>
        <w:tabs>
          <w:tab w:leader="none" w:pos="1360" w:val="left"/>
          <w:tab w:leader="none" w:pos="3040" w:val="left"/>
          <w:tab w:leader="none" w:pos="4740" w:val="left"/>
          <w:tab w:leader="none" w:pos="5980" w:val="left"/>
          <w:tab w:leader="none" w:pos="7600" w:val="left"/>
        </w:tabs>
        <w:rPr>
          <w:sz w:val="20"/>
          <w:szCs w:val="20"/>
          <w:color w:val="auto"/>
        </w:rPr>
      </w:pPr>
      <w:r>
        <w:rPr>
          <w:rFonts w:ascii="Arial" w:cs="Arial" w:eastAsia="Arial" w:hAnsi="Arial"/>
          <w:sz w:val="16"/>
          <w:szCs w:val="16"/>
          <w:b w:val="1"/>
          <w:bCs w:val="1"/>
          <w:color w:val="0072CE"/>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2642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10375" cy="2642235"/>
                    </a:xfrm>
                    <a:prstGeom prst="rect">
                      <a:avLst/>
                    </a:prstGeom>
                    <a:noFill/>
                  </pic:spPr>
                </pic:pic>
              </a:graphicData>
            </a:graphic>
          </wp:anchor>
        </w:drawing>
        <w:t>Mary T. Barra</w:t>
      </w:r>
      <w:r>
        <w:rPr>
          <w:sz w:val="20"/>
          <w:szCs w:val="20"/>
          <w:color w:val="auto"/>
        </w:rPr>
        <w:tab/>
      </w:r>
      <w:r>
        <w:rPr>
          <w:rFonts w:ascii="Arial" w:cs="Arial" w:eastAsia="Arial" w:hAnsi="Arial"/>
          <w:sz w:val="16"/>
          <w:szCs w:val="16"/>
          <w:b w:val="1"/>
          <w:bCs w:val="1"/>
          <w:color w:val="0072CE"/>
        </w:rPr>
        <w:t>Patricia F. Russo</w:t>
      </w:r>
      <w:r>
        <w:rPr>
          <w:sz w:val="20"/>
          <w:szCs w:val="20"/>
          <w:color w:val="auto"/>
        </w:rPr>
        <w:tab/>
      </w:r>
      <w:r>
        <w:rPr>
          <w:rFonts w:ascii="Arial" w:cs="Arial" w:eastAsia="Arial" w:hAnsi="Arial"/>
          <w:sz w:val="16"/>
          <w:szCs w:val="16"/>
          <w:b w:val="1"/>
          <w:bCs w:val="1"/>
          <w:color w:val="0072CE"/>
        </w:rPr>
        <w:t>Wesley G. Bush</w:t>
      </w:r>
      <w:r>
        <w:rPr>
          <w:sz w:val="20"/>
          <w:szCs w:val="20"/>
          <w:color w:val="auto"/>
        </w:rPr>
        <w:tab/>
      </w:r>
      <w:r>
        <w:rPr>
          <w:rFonts w:ascii="Arial" w:cs="Arial" w:eastAsia="Arial" w:hAnsi="Arial"/>
          <w:sz w:val="16"/>
          <w:szCs w:val="16"/>
          <w:b w:val="1"/>
          <w:bCs w:val="1"/>
          <w:color w:val="0072CE"/>
        </w:rPr>
        <w:t>Joanne C.</w:t>
      </w:r>
      <w:r>
        <w:rPr>
          <w:sz w:val="20"/>
          <w:szCs w:val="20"/>
          <w:color w:val="auto"/>
        </w:rPr>
        <w:tab/>
      </w:r>
      <w:r>
        <w:rPr>
          <w:rFonts w:ascii="Arial" w:cs="Arial" w:eastAsia="Arial" w:hAnsi="Arial"/>
          <w:sz w:val="16"/>
          <w:szCs w:val="16"/>
          <w:b w:val="1"/>
          <w:bCs w:val="1"/>
          <w:color w:val="0072CE"/>
        </w:rPr>
        <w:t>Joseph Jimenez</w:t>
      </w:r>
      <w:r>
        <w:rPr>
          <w:sz w:val="20"/>
          <w:szCs w:val="20"/>
          <w:color w:val="auto"/>
        </w:rPr>
        <w:tab/>
      </w:r>
      <w:r>
        <w:rPr>
          <w:rFonts w:ascii="Arial" w:cs="Arial" w:eastAsia="Arial" w:hAnsi="Arial"/>
          <w:sz w:val="15"/>
          <w:szCs w:val="15"/>
          <w:b w:val="1"/>
          <w:bCs w:val="1"/>
          <w:color w:val="0072CE"/>
        </w:rPr>
        <w:t>Alfred F. Kelly, Jr.</w:t>
      </w:r>
    </w:p>
    <w:p>
      <w:pPr>
        <w:spacing w:after="0" w:line="39" w:lineRule="exact"/>
        <w:rPr>
          <w:sz w:val="20"/>
          <w:szCs w:val="20"/>
          <w:color w:val="auto"/>
        </w:rPr>
      </w:pPr>
    </w:p>
    <w:p>
      <w:pPr>
        <w:ind w:left="80"/>
        <w:spacing w:after="0"/>
        <w:tabs>
          <w:tab w:leader="none" w:pos="1540" w:val="left"/>
          <w:tab w:leader="none" w:pos="4660" w:val="left"/>
        </w:tabs>
        <w:rPr>
          <w:sz w:val="20"/>
          <w:szCs w:val="20"/>
          <w:color w:val="auto"/>
        </w:rPr>
      </w:pPr>
      <w:r>
        <w:rPr>
          <w:rFonts w:ascii="Arial" w:cs="Arial" w:eastAsia="Arial" w:hAnsi="Arial"/>
          <w:sz w:val="16"/>
          <w:szCs w:val="16"/>
          <w:color w:val="3D3935"/>
        </w:rPr>
        <w:t>Chair and CEO</w:t>
      </w:r>
      <w:r>
        <w:rPr>
          <w:sz w:val="20"/>
          <w:szCs w:val="20"/>
          <w:color w:val="auto"/>
        </w:rPr>
        <w:tab/>
      </w:r>
      <w:r>
        <w:rPr>
          <w:rFonts w:ascii="Arial" w:cs="Arial" w:eastAsia="Arial" w:hAnsi="Arial"/>
          <w:sz w:val="16"/>
          <w:szCs w:val="16"/>
          <w:color w:val="3D3935"/>
        </w:rPr>
        <w:t>Independent</w:t>
      </w:r>
      <w:r>
        <w:rPr>
          <w:sz w:val="20"/>
          <w:szCs w:val="20"/>
          <w:color w:val="auto"/>
        </w:rPr>
        <w:tab/>
      </w:r>
      <w:r>
        <w:rPr>
          <w:rFonts w:ascii="Arial" w:cs="Arial" w:eastAsia="Arial" w:hAnsi="Arial"/>
          <w:sz w:val="16"/>
          <w:szCs w:val="16"/>
          <w:b w:val="1"/>
          <w:bCs w:val="1"/>
          <w:color w:val="0072CE"/>
        </w:rPr>
        <w:t>Crevoiserat</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6"/>
          <w:szCs w:val="16"/>
          <w:color w:val="3D3935"/>
        </w:rPr>
        <w:t>Lead Director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80"/>
        <w:spacing w:after="0"/>
        <w:tabs>
          <w:tab w:leader="none" w:pos="2360" w:val="left"/>
          <w:tab w:leader="none" w:pos="4000" w:val="left"/>
          <w:tab w:leader="none" w:pos="5600" w:val="left"/>
          <w:tab w:leader="none" w:pos="7180" w:val="left"/>
        </w:tabs>
        <w:rPr>
          <w:sz w:val="20"/>
          <w:szCs w:val="20"/>
          <w:color w:val="auto"/>
        </w:rPr>
      </w:pPr>
      <w:r>
        <w:rPr>
          <w:rFonts w:ascii="Arial" w:cs="Arial" w:eastAsia="Arial" w:hAnsi="Arial"/>
          <w:sz w:val="16"/>
          <w:szCs w:val="16"/>
          <w:b w:val="1"/>
          <w:bCs w:val="1"/>
          <w:color w:val="0072CE"/>
        </w:rPr>
        <w:t>Jonathan McNeill</w:t>
      </w:r>
      <w:r>
        <w:rPr>
          <w:sz w:val="20"/>
          <w:szCs w:val="20"/>
          <w:color w:val="auto"/>
        </w:rPr>
        <w:tab/>
      </w:r>
      <w:r>
        <w:rPr>
          <w:rFonts w:ascii="Arial" w:cs="Arial" w:eastAsia="Arial" w:hAnsi="Arial"/>
          <w:sz w:val="16"/>
          <w:szCs w:val="16"/>
          <w:b w:val="1"/>
          <w:bCs w:val="1"/>
          <w:color w:val="0072CE"/>
        </w:rPr>
        <w:t>Judith A. Miscik</w:t>
      </w:r>
      <w:r>
        <w:rPr>
          <w:sz w:val="20"/>
          <w:szCs w:val="20"/>
          <w:color w:val="auto"/>
        </w:rPr>
        <w:tab/>
      </w:r>
      <w:r>
        <w:rPr>
          <w:rFonts w:ascii="Arial" w:cs="Arial" w:eastAsia="Arial" w:hAnsi="Arial"/>
          <w:sz w:val="16"/>
          <w:szCs w:val="16"/>
          <w:b w:val="1"/>
          <w:bCs w:val="1"/>
          <w:color w:val="0072CE"/>
        </w:rPr>
        <w:t>Mark A. Tatum</w:t>
      </w:r>
      <w:r>
        <w:rPr>
          <w:sz w:val="20"/>
          <w:szCs w:val="20"/>
          <w:color w:val="auto"/>
        </w:rPr>
        <w:tab/>
      </w:r>
      <w:r>
        <w:rPr>
          <w:rFonts w:ascii="Arial" w:cs="Arial" w:eastAsia="Arial" w:hAnsi="Arial"/>
          <w:sz w:val="16"/>
          <w:szCs w:val="16"/>
          <w:b w:val="1"/>
          <w:bCs w:val="1"/>
          <w:color w:val="0072CE"/>
        </w:rPr>
        <w:t>Jan E. Tighe</w:t>
      </w:r>
      <w:r>
        <w:rPr>
          <w:sz w:val="20"/>
          <w:szCs w:val="20"/>
          <w:color w:val="auto"/>
        </w:rPr>
        <w:tab/>
      </w:r>
      <w:r>
        <w:rPr>
          <w:rFonts w:ascii="Arial" w:cs="Arial" w:eastAsia="Arial" w:hAnsi="Arial"/>
          <w:sz w:val="15"/>
          <w:szCs w:val="15"/>
          <w:b w:val="1"/>
          <w:bCs w:val="1"/>
          <w:color w:val="0072CE"/>
        </w:rPr>
        <w:t>Devin N. Wenig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779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10375" cy="779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1980"/>
        <w:spacing w:after="0" w:line="293" w:lineRule="auto"/>
        <w:rPr>
          <w:sz w:val="20"/>
          <w:szCs w:val="20"/>
          <w:color w:val="auto"/>
        </w:rPr>
      </w:pPr>
      <w:r>
        <w:rPr>
          <w:rFonts w:ascii="Arial" w:cs="Arial" w:eastAsia="Arial" w:hAnsi="Arial"/>
          <w:sz w:val="49"/>
          <w:szCs w:val="49"/>
          <w:b w:val="1"/>
          <w:bCs w:val="1"/>
          <w:color w:val="3D3935"/>
        </w:rPr>
        <w:t>Notice of 2025 Annual Meeting of Shareholders</w:t>
      </w:r>
    </w:p>
    <w:p>
      <w:pPr>
        <w:spacing w:after="0" w:line="143"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Meeting Information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458"/>
        </w:trPr>
        <w:tc>
          <w:tcPr>
            <w:tcW w:w="2440" w:type="dxa"/>
            <w:vAlign w:val="bottom"/>
            <w:shd w:val="clear" w:color="auto" w:fill="F0F3F5"/>
          </w:tcPr>
          <w:p>
            <w:pPr>
              <w:ind w:left="320"/>
              <w:spacing w:after="0"/>
              <w:rPr>
                <w:sz w:val="20"/>
                <w:szCs w:val="20"/>
                <w:color w:val="auto"/>
              </w:rPr>
            </w:pPr>
            <w:r>
              <w:rPr>
                <w:rFonts w:ascii="Arial" w:cs="Arial" w:eastAsia="Arial" w:hAnsi="Arial"/>
                <w:sz w:val="18"/>
                <w:szCs w:val="18"/>
                <w:b w:val="1"/>
                <w:bCs w:val="1"/>
                <w:color w:val="3D3935"/>
              </w:rPr>
              <w:t>Date and Time:</w:t>
            </w:r>
          </w:p>
        </w:tc>
        <w:tc>
          <w:tcPr>
            <w:tcW w:w="60" w:type="dxa"/>
            <w:vAlign w:val="bottom"/>
          </w:tcPr>
          <w:p>
            <w:pPr>
              <w:spacing w:after="0"/>
              <w:rPr>
                <w:sz w:val="24"/>
                <w:szCs w:val="24"/>
                <w:color w:val="auto"/>
              </w:rPr>
            </w:pPr>
          </w:p>
        </w:tc>
        <w:tc>
          <w:tcPr>
            <w:tcW w:w="3780" w:type="dxa"/>
            <w:vAlign w:val="bottom"/>
            <w:gridSpan w:val="3"/>
            <w:shd w:val="clear" w:color="auto" w:fill="F0F3F5"/>
          </w:tcPr>
          <w:p>
            <w:pPr>
              <w:ind w:left="300"/>
              <w:spacing w:after="0"/>
              <w:rPr>
                <w:sz w:val="20"/>
                <w:szCs w:val="20"/>
                <w:color w:val="auto"/>
              </w:rPr>
            </w:pPr>
            <w:r>
              <w:rPr>
                <w:rFonts w:ascii="Arial" w:cs="Arial" w:eastAsia="Arial" w:hAnsi="Arial"/>
                <w:sz w:val="18"/>
                <w:szCs w:val="18"/>
                <w:b w:val="1"/>
                <w:bCs w:val="1"/>
                <w:color w:val="3D3935"/>
              </w:rPr>
              <w:t>Place:</w:t>
            </w:r>
          </w:p>
        </w:tc>
        <w:tc>
          <w:tcPr>
            <w:tcW w:w="40" w:type="dxa"/>
            <w:vAlign w:val="bottom"/>
          </w:tcPr>
          <w:p>
            <w:pPr>
              <w:spacing w:after="0"/>
              <w:rPr>
                <w:sz w:val="24"/>
                <w:szCs w:val="24"/>
                <w:color w:val="auto"/>
              </w:rPr>
            </w:pPr>
          </w:p>
        </w:tc>
        <w:tc>
          <w:tcPr>
            <w:tcW w:w="2760" w:type="dxa"/>
            <w:vAlign w:val="bottom"/>
            <w:shd w:val="clear" w:color="auto" w:fill="F0F3F5"/>
          </w:tcPr>
          <w:p>
            <w:pPr>
              <w:ind w:left="320"/>
              <w:spacing w:after="0"/>
              <w:rPr>
                <w:sz w:val="20"/>
                <w:szCs w:val="20"/>
                <w:color w:val="auto"/>
              </w:rPr>
            </w:pPr>
            <w:r>
              <w:rPr>
                <w:rFonts w:ascii="Arial" w:cs="Arial" w:eastAsia="Arial" w:hAnsi="Arial"/>
                <w:sz w:val="18"/>
                <w:szCs w:val="18"/>
                <w:b w:val="1"/>
                <w:bCs w:val="1"/>
                <w:color w:val="3D3935"/>
              </w:rPr>
              <w:t>Record Date:</w:t>
            </w:r>
          </w:p>
        </w:tc>
      </w:tr>
      <w:tr>
        <w:trPr>
          <w:trHeight w:val="189"/>
        </w:trPr>
        <w:tc>
          <w:tcPr>
            <w:tcW w:w="2440" w:type="dxa"/>
            <w:vAlign w:val="bottom"/>
            <w:shd w:val="clear" w:color="auto" w:fill="F0F3F5"/>
          </w:tcPr>
          <w:p>
            <w:pPr>
              <w:ind w:left="320"/>
              <w:spacing w:after="0"/>
              <w:rPr>
                <w:sz w:val="20"/>
                <w:szCs w:val="20"/>
                <w:color w:val="auto"/>
              </w:rPr>
            </w:pPr>
            <w:r>
              <w:rPr>
                <w:rFonts w:ascii="Arial" w:cs="Arial" w:eastAsia="Arial" w:hAnsi="Arial"/>
                <w:sz w:val="15"/>
                <w:szCs w:val="15"/>
                <w:color w:val="3D3935"/>
              </w:rPr>
              <w:t>Ju</w:t>
            </w:r>
            <w:r>
              <w:rPr>
                <w:rFonts w:ascii="Arial" w:cs="Arial" w:eastAsia="Arial" w:hAnsi="Arial"/>
                <w:sz w:val="16"/>
                <w:szCs w:val="16"/>
                <w:color w:val="3D3935"/>
              </w:rPr>
              <w:t>ne 3, 2025</w:t>
            </w:r>
          </w:p>
        </w:tc>
        <w:tc>
          <w:tcPr>
            <w:tcW w:w="60" w:type="dxa"/>
            <w:vAlign w:val="bottom"/>
          </w:tcPr>
          <w:p>
            <w:pPr>
              <w:spacing w:after="0"/>
              <w:rPr>
                <w:sz w:val="16"/>
                <w:szCs w:val="16"/>
                <w:color w:val="auto"/>
              </w:rPr>
            </w:pPr>
          </w:p>
        </w:tc>
        <w:tc>
          <w:tcPr>
            <w:tcW w:w="3780" w:type="dxa"/>
            <w:vAlign w:val="bottom"/>
            <w:gridSpan w:val="3"/>
            <w:shd w:val="clear" w:color="auto" w:fill="F0F3F5"/>
          </w:tcPr>
          <w:p>
            <w:pPr>
              <w:ind w:left="300"/>
              <w:spacing w:after="0"/>
              <w:rPr>
                <w:sz w:val="20"/>
                <w:szCs w:val="20"/>
                <w:color w:val="auto"/>
              </w:rPr>
            </w:pPr>
            <w:r>
              <w:rPr>
                <w:rFonts w:ascii="Arial" w:cs="Arial" w:eastAsia="Arial" w:hAnsi="Arial"/>
                <w:sz w:val="16"/>
                <w:szCs w:val="16"/>
                <w:color w:val="3D3935"/>
              </w:rPr>
              <w:t>Online via live webcast at:</w:t>
            </w:r>
          </w:p>
        </w:tc>
        <w:tc>
          <w:tcPr>
            <w:tcW w:w="40" w:type="dxa"/>
            <w:vAlign w:val="bottom"/>
          </w:tcPr>
          <w:p>
            <w:pPr>
              <w:spacing w:after="0"/>
              <w:rPr>
                <w:sz w:val="16"/>
                <w:szCs w:val="16"/>
                <w:color w:val="auto"/>
              </w:rPr>
            </w:pPr>
          </w:p>
        </w:tc>
        <w:tc>
          <w:tcPr>
            <w:tcW w:w="2760" w:type="dxa"/>
            <w:vAlign w:val="bottom"/>
            <w:shd w:val="clear" w:color="auto" w:fill="F0F3F5"/>
          </w:tcPr>
          <w:p>
            <w:pPr>
              <w:ind w:left="320"/>
              <w:spacing w:after="0"/>
              <w:rPr>
                <w:sz w:val="20"/>
                <w:szCs w:val="20"/>
                <w:color w:val="auto"/>
              </w:rPr>
            </w:pPr>
            <w:r>
              <w:rPr>
                <w:rFonts w:ascii="Arial" w:cs="Arial" w:eastAsia="Arial" w:hAnsi="Arial"/>
                <w:sz w:val="16"/>
                <w:szCs w:val="16"/>
                <w:color w:val="3D3935"/>
              </w:rPr>
              <w:t>April 4, 2025</w:t>
            </w:r>
          </w:p>
        </w:tc>
      </w:tr>
      <w:tr>
        <w:trPr>
          <w:trHeight w:val="176"/>
        </w:trPr>
        <w:tc>
          <w:tcPr>
            <w:tcW w:w="2440" w:type="dxa"/>
            <w:vAlign w:val="bottom"/>
            <w:shd w:val="clear" w:color="auto" w:fill="F0F3F5"/>
          </w:tcPr>
          <w:p>
            <w:pPr>
              <w:ind w:left="320"/>
              <w:spacing w:after="0" w:line="176" w:lineRule="exact"/>
              <w:rPr>
                <w:sz w:val="20"/>
                <w:szCs w:val="20"/>
                <w:color w:val="auto"/>
              </w:rPr>
            </w:pPr>
            <w:r>
              <w:rPr>
                <w:rFonts w:ascii="Arial" w:cs="Arial" w:eastAsia="Arial" w:hAnsi="Arial"/>
                <w:sz w:val="16"/>
                <w:szCs w:val="16"/>
                <w:color w:val="3D3935"/>
              </w:rPr>
              <w:t>12:00 p.m. Eastern Time</w:t>
            </w:r>
          </w:p>
        </w:tc>
        <w:tc>
          <w:tcPr>
            <w:tcW w:w="60" w:type="dxa"/>
            <w:vAlign w:val="bottom"/>
          </w:tcPr>
          <w:p>
            <w:pPr>
              <w:spacing w:after="0"/>
              <w:rPr>
                <w:sz w:val="15"/>
                <w:szCs w:val="15"/>
                <w:color w:val="auto"/>
              </w:rPr>
            </w:pPr>
          </w:p>
        </w:tc>
        <w:tc>
          <w:tcPr>
            <w:tcW w:w="3780" w:type="dxa"/>
            <w:vAlign w:val="bottom"/>
            <w:gridSpan w:val="3"/>
            <w:shd w:val="clear" w:color="auto" w:fill="F0F3F5"/>
          </w:tcPr>
          <w:p>
            <w:pPr>
              <w:ind w:left="300"/>
              <w:spacing w:after="0" w:line="176" w:lineRule="exact"/>
              <w:rPr>
                <w:sz w:val="20"/>
                <w:szCs w:val="20"/>
                <w:color w:val="auto"/>
              </w:rPr>
            </w:pPr>
            <w:r>
              <w:rPr>
                <w:rFonts w:ascii="Arial" w:cs="Arial" w:eastAsia="Arial" w:hAnsi="Arial"/>
                <w:sz w:val="16"/>
                <w:szCs w:val="16"/>
                <w:color w:val="0072CE"/>
              </w:rPr>
              <w:t>virtualshareholdermeeting.com/GM2025</w:t>
            </w:r>
          </w:p>
        </w:tc>
        <w:tc>
          <w:tcPr>
            <w:tcW w:w="40" w:type="dxa"/>
            <w:vAlign w:val="bottom"/>
          </w:tcPr>
          <w:p>
            <w:pPr>
              <w:spacing w:after="0"/>
              <w:rPr>
                <w:sz w:val="15"/>
                <w:szCs w:val="15"/>
                <w:color w:val="auto"/>
              </w:rPr>
            </w:pPr>
          </w:p>
        </w:tc>
        <w:tc>
          <w:tcPr>
            <w:tcW w:w="2760" w:type="dxa"/>
            <w:vAlign w:val="bottom"/>
            <w:shd w:val="clear" w:color="auto" w:fill="F0F3F5"/>
          </w:tcPr>
          <w:p>
            <w:pPr>
              <w:spacing w:after="0"/>
              <w:rPr>
                <w:sz w:val="15"/>
                <w:szCs w:val="15"/>
                <w:color w:val="auto"/>
              </w:rPr>
            </w:pPr>
          </w:p>
        </w:tc>
      </w:tr>
      <w:tr>
        <w:trPr>
          <w:trHeight w:val="250"/>
        </w:trPr>
        <w:tc>
          <w:tcPr>
            <w:tcW w:w="2440" w:type="dxa"/>
            <w:vAlign w:val="bottom"/>
            <w:tcBorders>
              <w:top w:val="single" w:sz="8" w:color="F0F3F5"/>
            </w:tcBorders>
            <w:shd w:val="clear" w:color="auto" w:fill="F0F3F5"/>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Borders>
              <w:top w:val="single" w:sz="8" w:color="F0F3F5"/>
            </w:tcBorders>
            <w:shd w:val="clear" w:color="auto" w:fill="F0F3F5"/>
          </w:tcPr>
          <w:p>
            <w:pPr>
              <w:spacing w:after="0"/>
              <w:rPr>
                <w:sz w:val="21"/>
                <w:szCs w:val="21"/>
                <w:color w:val="auto"/>
              </w:rPr>
            </w:pPr>
          </w:p>
        </w:tc>
        <w:tc>
          <w:tcPr>
            <w:tcW w:w="2880" w:type="dxa"/>
            <w:vAlign w:val="bottom"/>
            <w:tcBorders>
              <w:top w:val="single" w:sz="8" w:color="0072CE"/>
            </w:tcBorders>
            <w:shd w:val="clear" w:color="auto" w:fill="F0F3F5"/>
          </w:tcPr>
          <w:p>
            <w:pPr>
              <w:spacing w:after="0"/>
              <w:rPr>
                <w:sz w:val="21"/>
                <w:szCs w:val="21"/>
                <w:color w:val="auto"/>
              </w:rPr>
            </w:pPr>
          </w:p>
        </w:tc>
        <w:tc>
          <w:tcPr>
            <w:tcW w:w="600" w:type="dxa"/>
            <w:vAlign w:val="bottom"/>
            <w:tcBorders>
              <w:top w:val="single" w:sz="8" w:color="F0F3F5"/>
            </w:tcBorders>
            <w:shd w:val="clear" w:color="auto" w:fill="F0F3F5"/>
          </w:tcPr>
          <w:p>
            <w:pPr>
              <w:spacing w:after="0"/>
              <w:rPr>
                <w:sz w:val="21"/>
                <w:szCs w:val="21"/>
                <w:color w:val="auto"/>
              </w:rPr>
            </w:pPr>
          </w:p>
        </w:tc>
        <w:tc>
          <w:tcPr>
            <w:tcW w:w="40" w:type="dxa"/>
            <w:vAlign w:val="bottom"/>
          </w:tcPr>
          <w:p>
            <w:pPr>
              <w:spacing w:after="0"/>
              <w:rPr>
                <w:sz w:val="21"/>
                <w:szCs w:val="21"/>
                <w:color w:val="auto"/>
              </w:rPr>
            </w:pPr>
          </w:p>
        </w:tc>
        <w:tc>
          <w:tcPr>
            <w:tcW w:w="2760" w:type="dxa"/>
            <w:vAlign w:val="bottom"/>
            <w:tcBorders>
              <w:top w:val="single" w:sz="8" w:color="F0F3F5"/>
            </w:tcBorders>
            <w:shd w:val="clear" w:color="auto" w:fill="F0F3F5"/>
          </w:tcPr>
          <w:p>
            <w:pPr>
              <w:spacing w:after="0"/>
              <w:rPr>
                <w:sz w:val="21"/>
                <w:szCs w:val="2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0072CE"/>
        </w:rPr>
        <w:t>April 22, 2025</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Dear Shareholders: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3D3935"/>
        </w:rPr>
        <w:t>The Board of Directors of General Motors Company invites you to attend the 2025 Annual Meeting of Shareholders.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3D3935"/>
        </w:rPr>
        <w:t>At the Annual Meeting, you will be asked to:</w:t>
      </w:r>
    </w:p>
    <w:p>
      <w:pPr>
        <w:spacing w:after="0" w:line="140" w:lineRule="exact"/>
        <w:rPr>
          <w:sz w:val="20"/>
          <w:szCs w:val="20"/>
          <w:color w:val="auto"/>
        </w:rPr>
      </w:pPr>
    </w:p>
    <w:p>
      <w:pPr>
        <w:ind w:left="200" w:hanging="192"/>
        <w:spacing w:after="0"/>
        <w:tabs>
          <w:tab w:leader="none" w:pos="200" w:val="left"/>
        </w:tabs>
        <w:numPr>
          <w:ilvl w:val="0"/>
          <w:numId w:val="4"/>
        </w:numPr>
        <w:rPr>
          <w:rFonts w:ascii="Arial" w:cs="Arial" w:eastAsia="Arial" w:hAnsi="Arial"/>
          <w:sz w:val="16"/>
          <w:szCs w:val="16"/>
          <w:color w:val="0072CE"/>
        </w:rPr>
      </w:pPr>
      <w:r>
        <w:rPr>
          <w:rFonts w:ascii="Arial" w:cs="Arial" w:eastAsia="Arial" w:hAnsi="Arial"/>
          <w:sz w:val="16"/>
          <w:szCs w:val="16"/>
          <w:color w:val="3D3935"/>
        </w:rPr>
        <w:t>Elect the 11 Board-recommended director nominees named in this Proxy Statement;</w:t>
      </w:r>
    </w:p>
    <w:p>
      <w:pPr>
        <w:spacing w:after="0" w:line="32" w:lineRule="exact"/>
        <w:rPr>
          <w:rFonts w:ascii="Arial" w:cs="Arial" w:eastAsia="Arial" w:hAnsi="Arial"/>
          <w:sz w:val="16"/>
          <w:szCs w:val="16"/>
          <w:color w:val="0072CE"/>
        </w:rPr>
      </w:pPr>
    </w:p>
    <w:p>
      <w:pPr>
        <w:ind w:left="200" w:hanging="192"/>
        <w:spacing w:after="0"/>
        <w:tabs>
          <w:tab w:leader="none" w:pos="200" w:val="left"/>
        </w:tabs>
        <w:numPr>
          <w:ilvl w:val="0"/>
          <w:numId w:val="4"/>
        </w:numPr>
        <w:rPr>
          <w:rFonts w:ascii="Arial" w:cs="Arial" w:eastAsia="Arial" w:hAnsi="Arial"/>
          <w:sz w:val="16"/>
          <w:szCs w:val="16"/>
          <w:color w:val="0072CE"/>
        </w:rPr>
      </w:pPr>
      <w:r>
        <w:rPr>
          <w:rFonts w:ascii="Arial" w:cs="Arial" w:eastAsia="Arial" w:hAnsi="Arial"/>
          <w:sz w:val="16"/>
          <w:szCs w:val="16"/>
          <w:color w:val="3D3935"/>
        </w:rPr>
        <w:t>Ratify the selection of Ernst &amp; Young LLP as the Company’s independent registered public accounting firm for 2025;</w:t>
      </w:r>
    </w:p>
    <w:p>
      <w:pPr>
        <w:spacing w:after="0" w:line="32" w:lineRule="exact"/>
        <w:rPr>
          <w:rFonts w:ascii="Arial" w:cs="Arial" w:eastAsia="Arial" w:hAnsi="Arial"/>
          <w:sz w:val="16"/>
          <w:szCs w:val="16"/>
          <w:color w:val="0072CE"/>
        </w:rPr>
      </w:pPr>
    </w:p>
    <w:p>
      <w:pPr>
        <w:ind w:left="200" w:hanging="192"/>
        <w:spacing w:after="0"/>
        <w:tabs>
          <w:tab w:leader="none" w:pos="200" w:val="left"/>
        </w:tabs>
        <w:numPr>
          <w:ilvl w:val="0"/>
          <w:numId w:val="4"/>
        </w:numPr>
        <w:rPr>
          <w:rFonts w:ascii="Arial" w:cs="Arial" w:eastAsia="Arial" w:hAnsi="Arial"/>
          <w:sz w:val="16"/>
          <w:szCs w:val="16"/>
          <w:color w:val="0072CE"/>
        </w:rPr>
      </w:pPr>
      <w:r>
        <w:rPr>
          <w:rFonts w:ascii="Arial" w:cs="Arial" w:eastAsia="Arial" w:hAnsi="Arial"/>
          <w:sz w:val="16"/>
          <w:szCs w:val="16"/>
          <w:color w:val="3D3935"/>
        </w:rPr>
        <w:t>Approve, on an advisory basis, named executive officer compensation;</w:t>
      </w:r>
    </w:p>
    <w:p>
      <w:pPr>
        <w:spacing w:after="0" w:line="32" w:lineRule="exact"/>
        <w:rPr>
          <w:rFonts w:ascii="Arial" w:cs="Arial" w:eastAsia="Arial" w:hAnsi="Arial"/>
          <w:sz w:val="16"/>
          <w:szCs w:val="16"/>
          <w:color w:val="0072CE"/>
        </w:rPr>
      </w:pPr>
    </w:p>
    <w:p>
      <w:pPr>
        <w:ind w:left="200" w:hanging="192"/>
        <w:spacing w:after="0"/>
        <w:tabs>
          <w:tab w:leader="none" w:pos="200" w:val="left"/>
        </w:tabs>
        <w:numPr>
          <w:ilvl w:val="0"/>
          <w:numId w:val="4"/>
        </w:numPr>
        <w:rPr>
          <w:rFonts w:ascii="Arial" w:cs="Arial" w:eastAsia="Arial" w:hAnsi="Arial"/>
          <w:sz w:val="16"/>
          <w:szCs w:val="16"/>
          <w:color w:val="0072CE"/>
        </w:rPr>
      </w:pPr>
      <w:r>
        <w:rPr>
          <w:rFonts w:ascii="Arial" w:cs="Arial" w:eastAsia="Arial" w:hAnsi="Arial"/>
          <w:sz w:val="16"/>
          <w:szCs w:val="16"/>
          <w:color w:val="3D3935"/>
        </w:rPr>
        <w:t>Approve the Company’s amended and restated Certificate of Incorporation;</w:t>
      </w:r>
    </w:p>
    <w:p>
      <w:pPr>
        <w:spacing w:after="0" w:line="32" w:lineRule="exact"/>
        <w:rPr>
          <w:rFonts w:ascii="Arial" w:cs="Arial" w:eastAsia="Arial" w:hAnsi="Arial"/>
          <w:sz w:val="16"/>
          <w:szCs w:val="16"/>
          <w:color w:val="0072CE"/>
        </w:rPr>
      </w:pPr>
    </w:p>
    <w:p>
      <w:pPr>
        <w:ind w:left="200" w:hanging="192"/>
        <w:spacing w:after="0"/>
        <w:tabs>
          <w:tab w:leader="none" w:pos="200" w:val="left"/>
        </w:tabs>
        <w:numPr>
          <w:ilvl w:val="0"/>
          <w:numId w:val="4"/>
        </w:numPr>
        <w:rPr>
          <w:rFonts w:ascii="Arial" w:cs="Arial" w:eastAsia="Arial" w:hAnsi="Arial"/>
          <w:sz w:val="16"/>
          <w:szCs w:val="16"/>
          <w:color w:val="0072CE"/>
        </w:rPr>
      </w:pPr>
      <w:r>
        <w:rPr>
          <w:rFonts w:ascii="Arial" w:cs="Arial" w:eastAsia="Arial" w:hAnsi="Arial"/>
          <w:sz w:val="16"/>
          <w:szCs w:val="16"/>
          <w:color w:val="3D3935"/>
        </w:rPr>
        <w:t>Vote on a Rule 14a-8 shareholder proposal, if properly presented at the meeting; and</w:t>
      </w:r>
    </w:p>
    <w:p>
      <w:pPr>
        <w:spacing w:after="0" w:line="32" w:lineRule="exact"/>
        <w:rPr>
          <w:rFonts w:ascii="Arial" w:cs="Arial" w:eastAsia="Arial" w:hAnsi="Arial"/>
          <w:sz w:val="16"/>
          <w:szCs w:val="16"/>
          <w:color w:val="0072CE"/>
        </w:rPr>
      </w:pPr>
    </w:p>
    <w:p>
      <w:pPr>
        <w:ind w:left="200" w:hanging="192"/>
        <w:spacing w:after="0"/>
        <w:tabs>
          <w:tab w:leader="none" w:pos="200" w:val="left"/>
        </w:tabs>
        <w:numPr>
          <w:ilvl w:val="0"/>
          <w:numId w:val="4"/>
        </w:numPr>
        <w:rPr>
          <w:rFonts w:ascii="Arial" w:cs="Arial" w:eastAsia="Arial" w:hAnsi="Arial"/>
          <w:sz w:val="16"/>
          <w:szCs w:val="16"/>
          <w:color w:val="0072CE"/>
        </w:rPr>
      </w:pPr>
      <w:r>
        <w:rPr>
          <w:rFonts w:ascii="Arial" w:cs="Arial" w:eastAsia="Arial" w:hAnsi="Arial"/>
          <w:sz w:val="16"/>
          <w:szCs w:val="16"/>
          <w:color w:val="3D3935"/>
        </w:rPr>
        <w:t>Transact any other business that is properly presented at the meeting.</w:t>
      </w:r>
    </w:p>
    <w:p>
      <w:pPr>
        <w:spacing w:after="0" w:line="140" w:lineRule="exact"/>
        <w:rPr>
          <w:sz w:val="20"/>
          <w:szCs w:val="20"/>
          <w:color w:val="auto"/>
        </w:rPr>
      </w:pPr>
    </w:p>
    <w:p>
      <w:pPr>
        <w:ind w:right="560"/>
        <w:spacing w:after="0" w:line="248" w:lineRule="auto"/>
        <w:rPr>
          <w:sz w:val="20"/>
          <w:szCs w:val="20"/>
          <w:color w:val="auto"/>
        </w:rPr>
      </w:pPr>
      <w:r>
        <w:rPr>
          <w:rFonts w:ascii="Arial" w:cs="Arial" w:eastAsia="Arial" w:hAnsi="Arial"/>
          <w:sz w:val="16"/>
          <w:szCs w:val="16"/>
          <w:color w:val="3D3935"/>
        </w:rPr>
        <w:t>A list of the Company’s registered shareholders will be available for examination for any purpose that is germane to the meeting for ten business days before the Annual Meeting. Shareholders may request to review the list by emailing the</w:t>
      </w:r>
    </w:p>
    <w:p>
      <w:pPr>
        <w:spacing w:after="0"/>
        <w:rPr>
          <w:sz w:val="20"/>
          <w:szCs w:val="20"/>
          <w:color w:val="auto"/>
        </w:rPr>
      </w:pPr>
      <w:r>
        <w:rPr>
          <w:rFonts w:ascii="Arial" w:cs="Arial" w:eastAsia="Arial" w:hAnsi="Arial"/>
          <w:sz w:val="16"/>
          <w:szCs w:val="16"/>
          <w:color w:val="3D3935"/>
        </w:rPr>
        <w:t xml:space="preserve">Company at </w:t>
      </w:r>
      <w:r>
        <w:rPr>
          <w:rFonts w:ascii="Arial" w:cs="Arial" w:eastAsia="Arial" w:hAnsi="Arial"/>
          <w:sz w:val="16"/>
          <w:szCs w:val="16"/>
          <w:u w:val="single" w:color="auto"/>
          <w:color w:val="0072CE"/>
        </w:rPr>
        <w:t>shareholder.relations@gm.com.</w:t>
      </w:r>
    </w:p>
    <w:p>
      <w:pPr>
        <w:spacing w:after="0" w:line="111" w:lineRule="exact"/>
        <w:rPr>
          <w:sz w:val="20"/>
          <w:szCs w:val="20"/>
          <w:color w:val="auto"/>
        </w:rPr>
      </w:pPr>
    </w:p>
    <w:p>
      <w:pPr>
        <w:ind w:right="600"/>
        <w:spacing w:after="0" w:line="257" w:lineRule="auto"/>
        <w:rPr>
          <w:sz w:val="20"/>
          <w:szCs w:val="20"/>
          <w:color w:val="auto"/>
        </w:rPr>
      </w:pPr>
      <w:r>
        <w:rPr>
          <w:rFonts w:ascii="Arial" w:cs="Arial" w:eastAsia="Arial" w:hAnsi="Arial"/>
          <w:sz w:val="16"/>
          <w:szCs w:val="16"/>
          <w:color w:val="3D3935"/>
        </w:rPr>
        <w:t>This Proxy Statement is provided in conjunction with GM’s solicitation of proxies to be used at the Annual Meeting. For additional information about how to attend our Annual Meeting, see “General Information About the Annual Meeting” starting on page 91 of this Proxy Statement.</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3D3935"/>
        </w:rPr>
        <w:t>Thank you for your continued investment in General Motors Company.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3D3935"/>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0072CE"/>
        </w:rPr>
        <w:t>Grant Dixton</w:t>
      </w:r>
    </w:p>
    <w:p>
      <w:pPr>
        <w:spacing w:after="0" w:line="13" w:lineRule="exact"/>
        <w:rPr>
          <w:sz w:val="20"/>
          <w:szCs w:val="20"/>
          <w:color w:val="auto"/>
        </w:rPr>
      </w:pPr>
    </w:p>
    <w:p>
      <w:pPr>
        <w:ind w:left="960"/>
        <w:spacing w:after="0"/>
        <w:rPr>
          <w:sz w:val="20"/>
          <w:szCs w:val="20"/>
          <w:color w:val="auto"/>
        </w:rPr>
      </w:pPr>
      <w:r>
        <w:rPr>
          <w:rFonts w:ascii="Arial" w:cs="Arial" w:eastAsia="Arial" w:hAnsi="Arial"/>
          <w:sz w:val="16"/>
          <w:szCs w:val="16"/>
          <w:color w:val="3D3935"/>
        </w:rPr>
        <w:t>Executive Vice President,</w:t>
      </w:r>
    </w:p>
    <w:p>
      <w:pPr>
        <w:ind w:left="960"/>
        <w:spacing w:after="0" w:line="228" w:lineRule="auto"/>
        <w:rPr>
          <w:sz w:val="20"/>
          <w:szCs w:val="20"/>
          <w:color w:val="auto"/>
        </w:rPr>
      </w:pPr>
      <w:r>
        <w:rPr>
          <w:rFonts w:ascii="Arial" w:cs="Arial" w:eastAsia="Arial" w:hAnsi="Arial"/>
          <w:sz w:val="16"/>
          <w:szCs w:val="16"/>
          <w:color w:val="3D3935"/>
        </w:rPr>
        <w:t>Chief Legal, Public Policy Officer and</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6"/>
          <w:szCs w:val="16"/>
          <w:color w:val="3D3935"/>
        </w:rPr>
        <w:t>Corporate Secretary</w:t>
      </w:r>
    </w:p>
    <w:p>
      <w:pPr>
        <w:sectPr>
          <w:pgSz w:w="11900" w:h="16838" w:orient="portrait"/>
          <w:cols w:equalWidth="0" w:num="1">
            <w:col w:w="9080"/>
          </w:cols>
          <w:pgMar w:left="1400" w:top="517" w:right="1419" w:bottom="0" w:gutter="0" w:footer="0" w:header="0"/>
        </w:sectPr>
      </w:pPr>
    </w:p>
    <w:p>
      <w:pPr>
        <w:spacing w:after="0" w:line="322"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0072CE"/>
        </w:rPr>
        <w:t>Your Vote Is Important</w:t>
      </w:r>
    </w:p>
    <w:p>
      <w:pPr>
        <w:spacing w:after="0" w:line="81" w:lineRule="exact"/>
        <w:rPr>
          <w:sz w:val="20"/>
          <w:szCs w:val="20"/>
          <w:color w:val="auto"/>
        </w:rPr>
      </w:pPr>
    </w:p>
    <w:p>
      <w:pPr>
        <w:ind w:left="60" w:right="60"/>
        <w:spacing w:after="0" w:line="243" w:lineRule="auto"/>
        <w:rPr>
          <w:sz w:val="20"/>
          <w:szCs w:val="20"/>
          <w:color w:val="auto"/>
        </w:rPr>
      </w:pPr>
      <w:r>
        <w:rPr>
          <w:rFonts w:ascii="Arial" w:cs="Arial" w:eastAsia="Arial" w:hAnsi="Arial"/>
          <w:sz w:val="16"/>
          <w:szCs w:val="16"/>
          <w:color w:val="3D3935"/>
        </w:rPr>
        <w:t>Please promptly submit your vote by internet or telephone, or by signing, dating, and returning the enclosed proxy card or voting instruction form in the postage-paid envelope provided so that your shares will be represented and voted at the meeting.</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6"/>
          <w:szCs w:val="16"/>
          <w:color w:val="3D3935"/>
        </w:rPr>
        <w:t>We are first mailing these proxy materials to our</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0072CE"/>
        </w:rPr>
        <w:t>How to Access the Proxy Materials Online</w:t>
      </w:r>
    </w:p>
    <w:p>
      <w:pPr>
        <w:spacing w:after="0" w:line="81" w:lineRule="exact"/>
        <w:rPr>
          <w:sz w:val="20"/>
          <w:szCs w:val="20"/>
          <w:color w:val="auto"/>
        </w:rPr>
      </w:pPr>
    </w:p>
    <w:p>
      <w:pPr>
        <w:ind w:right="340"/>
        <w:spacing w:after="0" w:line="254" w:lineRule="auto"/>
        <w:rPr>
          <w:sz w:val="20"/>
          <w:szCs w:val="20"/>
          <w:color w:val="auto"/>
        </w:rPr>
      </w:pPr>
      <w:r>
        <w:rPr>
          <w:rFonts w:ascii="Arial" w:cs="Arial" w:eastAsia="Arial" w:hAnsi="Arial"/>
          <w:sz w:val="16"/>
          <w:szCs w:val="16"/>
          <w:b w:val="1"/>
          <w:bCs w:val="1"/>
          <w:color w:val="3D3935"/>
        </w:rPr>
        <w:t>Important Notice Regarding the Availability of Proxy Materials for the 2025 Annual Meeting of Shareholders to be Held on June 3, 2025:</w:t>
      </w:r>
    </w:p>
    <w:p>
      <w:pPr>
        <w:spacing w:after="0" w:line="37" w:lineRule="exact"/>
        <w:rPr>
          <w:sz w:val="20"/>
          <w:szCs w:val="20"/>
          <w:color w:val="auto"/>
        </w:rPr>
      </w:pPr>
    </w:p>
    <w:p>
      <w:pPr>
        <w:ind w:right="1440"/>
        <w:spacing w:after="0" w:line="257" w:lineRule="auto"/>
        <w:rPr>
          <w:sz w:val="20"/>
          <w:szCs w:val="20"/>
          <w:color w:val="auto"/>
        </w:rPr>
      </w:pPr>
      <w:r>
        <w:rPr>
          <w:rFonts w:ascii="Arial" w:cs="Arial" w:eastAsia="Arial" w:hAnsi="Arial"/>
          <w:sz w:val="16"/>
          <w:szCs w:val="16"/>
          <w:color w:val="3D3935"/>
        </w:rPr>
        <w:t xml:space="preserve">Our Proxy Statement and 2024 Annual Report are available at </w:t>
      </w:r>
      <w:r>
        <w:rPr>
          <w:rFonts w:ascii="Arial" w:cs="Arial" w:eastAsia="Arial" w:hAnsi="Arial"/>
          <w:sz w:val="16"/>
          <w:szCs w:val="16"/>
          <w:u w:val="single" w:color="auto"/>
          <w:color w:val="0072CE"/>
        </w:rPr>
        <w:t>investor.gm.com/</w:t>
      </w:r>
      <w:r>
        <w:rPr>
          <w:rFonts w:ascii="Arial" w:cs="Arial" w:eastAsia="Arial" w:hAnsi="Arial"/>
          <w:sz w:val="16"/>
          <w:szCs w:val="16"/>
          <w:color w:val="3D3935"/>
        </w:rPr>
        <w:t xml:space="preserve"> </w:t>
      </w:r>
      <w:r>
        <w:rPr>
          <w:rFonts w:ascii="Arial" w:cs="Arial" w:eastAsia="Arial" w:hAnsi="Arial"/>
          <w:sz w:val="16"/>
          <w:szCs w:val="16"/>
          <w:u w:val="single" w:color="auto"/>
          <w:color w:val="0072CE"/>
        </w:rPr>
        <w:t>shareholder.</w:t>
      </w:r>
      <w:r>
        <w:rPr>
          <w:rFonts w:ascii="Arial" w:cs="Arial" w:eastAsia="Arial" w:hAnsi="Arial"/>
          <w:sz w:val="16"/>
          <w:szCs w:val="16"/>
          <w:color w:val="0072CE"/>
        </w:rPr>
        <w:t xml:space="preserve"> </w:t>
      </w:r>
      <w:r>
        <w:rPr>
          <w:rFonts w:ascii="Arial" w:cs="Arial" w:eastAsia="Arial" w:hAnsi="Arial"/>
          <w:sz w:val="16"/>
          <w:szCs w:val="16"/>
          <w:color w:val="3D3935"/>
        </w:rPr>
        <w:t>You may also scan the QR</w:t>
      </w:r>
    </w:p>
    <w:p>
      <w:pPr>
        <w:sectPr>
          <w:pgSz w:w="11900" w:h="16838" w:orient="portrait"/>
          <w:cols w:equalWidth="0" w:num="2">
            <w:col w:w="3840" w:space="720"/>
            <w:col w:w="4520"/>
          </w:cols>
          <w:pgMar w:left="1400" w:top="517" w:right="1419" w:bottom="0" w:gutter="0" w:footer="0" w:header="0"/>
          <w:type w:val="continuous"/>
        </w:sectPr>
      </w:pPr>
    </w:p>
    <w:bookmarkStart w:id="5" w:name="page6"/>
    <w:bookmarkEnd w:id="5"/>
    <w:p>
      <w:pPr>
        <w:ind w:left="60"/>
        <w:spacing w:after="0" w:line="202" w:lineRule="auto"/>
        <w:tabs>
          <w:tab w:leader="none" w:pos="4540" w:val="left"/>
        </w:tabs>
        <w:rPr>
          <w:sz w:val="20"/>
          <w:szCs w:val="20"/>
          <w:color w:val="auto"/>
        </w:rPr>
      </w:pPr>
      <w:r>
        <w:rPr>
          <w:rFonts w:ascii="Arial" w:cs="Arial" w:eastAsia="Arial" w:hAnsi="Arial"/>
          <w:sz w:val="16"/>
          <w:szCs w:val="16"/>
          <w:color w:val="3D3935"/>
        </w:rPr>
        <w:t>shareholders on or about April 22, 2025.</w:t>
      </w:r>
      <w:r>
        <w:rPr>
          <w:sz w:val="20"/>
          <w:szCs w:val="20"/>
          <w:color w:val="auto"/>
        </w:rPr>
        <w:tab/>
      </w:r>
      <w:r>
        <w:rPr>
          <w:rFonts w:ascii="Arial" w:cs="Arial" w:eastAsia="Arial" w:hAnsi="Arial"/>
          <w:sz w:val="16"/>
          <w:szCs w:val="16"/>
          <w:color w:val="3D3935"/>
        </w:rPr>
        <w:t>code with your smartphone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-8890</wp:posOffset>
            </wp:positionV>
            <wp:extent cx="6810375" cy="1064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10375" cy="1064895"/>
                    </a:xfrm>
                    <a:prstGeom prst="rect">
                      <a:avLst/>
                    </a:prstGeom>
                    <a:noFill/>
                  </pic:spPr>
                </pic:pic>
              </a:graphicData>
            </a:graphic>
          </wp:anchor>
        </w:drawing>
      </w:r>
    </w:p>
    <w:p>
      <w:pPr>
        <w:ind w:left="4560"/>
        <w:spacing w:after="0" w:line="229" w:lineRule="auto"/>
        <w:rPr>
          <w:sz w:val="20"/>
          <w:szCs w:val="20"/>
          <w:color w:val="auto"/>
        </w:rPr>
      </w:pPr>
      <w:r>
        <w:rPr>
          <w:rFonts w:ascii="Arial" w:cs="Arial" w:eastAsia="Arial" w:hAnsi="Arial"/>
          <w:sz w:val="16"/>
          <w:szCs w:val="16"/>
          <w:color w:val="3D3935"/>
        </w:rPr>
        <w:t>mobile device to view our Proxy Statement</w:t>
      </w:r>
    </w:p>
    <w:p>
      <w:pPr>
        <w:ind w:left="4560"/>
        <w:spacing w:after="0"/>
        <w:rPr>
          <w:sz w:val="20"/>
          <w:szCs w:val="20"/>
          <w:color w:val="auto"/>
        </w:rPr>
      </w:pPr>
      <w:r>
        <w:rPr>
          <w:rFonts w:ascii="Arial" w:cs="Arial" w:eastAsia="Arial" w:hAnsi="Arial"/>
          <w:sz w:val="16"/>
          <w:szCs w:val="16"/>
          <w:color w:val="3D3935"/>
        </w:rPr>
        <w:t>and Annual Report.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ind w:right="40"/>
        <w:spacing w:after="0"/>
        <w:tabs>
          <w:tab w:leader="none" w:pos="100" w:val="left"/>
        </w:tabs>
        <w:rPr>
          <w:sz w:val="20"/>
          <w:szCs w:val="20"/>
          <w:color w:val="auto"/>
        </w:rPr>
      </w:pPr>
      <w:r>
        <w:rPr>
          <w:rFonts w:ascii="Arial" w:cs="Arial" w:eastAsia="Arial" w:hAnsi="Arial"/>
          <w:sz w:val="14"/>
          <w:szCs w:val="14"/>
          <w:b w:val="1"/>
          <w:bCs w:val="1"/>
          <w:color w:val="0072CE"/>
        </w:rPr>
        <w:t>2025 Proxy Statement</w:t>
      </w:r>
      <w:r>
        <w:rPr>
          <w:sz w:val="20"/>
          <w:szCs w:val="20"/>
          <w:color w:val="auto"/>
        </w:rPr>
        <w:tab/>
      </w:r>
      <w:r>
        <w:rPr>
          <w:rFonts w:ascii="Arial" w:cs="Arial" w:eastAsia="Arial" w:hAnsi="Arial"/>
          <w:sz w:val="14"/>
          <w:szCs w:val="14"/>
          <w:b w:val="1"/>
          <w:bCs w:val="1"/>
          <w:color w:val="3D3935"/>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88677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spacing w:after="0"/>
        <w:rPr>
          <w:sz w:val="20"/>
          <w:szCs w:val="20"/>
          <w:color w:val="auto"/>
        </w:rPr>
      </w:pPr>
      <w:r>
        <w:rPr>
          <w:rFonts w:ascii="Arial" w:cs="Arial" w:eastAsia="Arial" w:hAnsi="Arial"/>
          <w:sz w:val="49"/>
          <w:szCs w:val="49"/>
          <w:b w:val="1"/>
          <w:bCs w:val="1"/>
          <w:color w:val="3D3935"/>
        </w:rPr>
        <w:t>Table of Contents</w:t>
      </w:r>
    </w:p>
    <w:p>
      <w:pPr>
        <w:sectPr>
          <w:pgSz w:w="11900" w:h="16838" w:orient="portrait"/>
          <w:cols w:equalWidth="0" w:num="1">
            <w:col w:w="9080"/>
          </w:cols>
          <w:pgMar w:left="1400" w:top="0" w:right="1419" w:bottom="754" w:gutter="0" w:footer="0" w:header="0"/>
        </w:sect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072CE"/>
        </w:rPr>
        <w:t>Proxy Summary</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072CE"/>
        </w:rPr>
        <w:t>Board and Governance Matters</w:t>
      </w:r>
    </w:p>
    <w:p>
      <w:pPr>
        <w:spacing w:after="0" w:line="244" w:lineRule="exact"/>
        <w:rPr>
          <w:sz w:val="20"/>
          <w:szCs w:val="20"/>
          <w:color w:val="auto"/>
        </w:rPr>
      </w:pPr>
    </w:p>
    <w:p>
      <w:pPr>
        <w:ind w:left="420"/>
        <w:spacing w:after="0"/>
        <w:rPr>
          <w:sz w:val="20"/>
          <w:szCs w:val="20"/>
          <w:color w:val="auto"/>
        </w:rPr>
      </w:pPr>
      <w:r>
        <w:rPr>
          <w:rFonts w:ascii="Arial" w:cs="Arial" w:eastAsia="Arial" w:hAnsi="Arial"/>
          <w:sz w:val="13"/>
          <w:szCs w:val="13"/>
          <w:color w:val="0072CE"/>
        </w:rPr>
        <w:t>ITEM NO. 1</w:t>
      </w:r>
    </w:p>
    <w:p>
      <w:pPr>
        <w:spacing w:after="0" w:line="5"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3D3935"/>
        </w:rPr>
        <w:t>Annual Election of Directors</w:t>
      </w:r>
    </w:p>
    <w:p>
      <w:pPr>
        <w:spacing w:after="0" w:line="48" w:lineRule="exact"/>
        <w:rPr>
          <w:sz w:val="20"/>
          <w:szCs w:val="20"/>
          <w:color w:val="auto"/>
        </w:rPr>
      </w:pPr>
    </w:p>
    <w:p>
      <w:pPr>
        <w:ind w:left="160" w:right="320"/>
        <w:spacing w:after="0" w:line="285" w:lineRule="auto"/>
        <w:rPr>
          <w:sz w:val="20"/>
          <w:szCs w:val="20"/>
          <w:color w:val="auto"/>
        </w:rPr>
      </w:pPr>
      <w:r>
        <w:rPr>
          <w:rFonts w:ascii="Arial" w:cs="Arial" w:eastAsia="Arial" w:hAnsi="Arial"/>
          <w:sz w:val="14"/>
          <w:szCs w:val="14"/>
          <w:color w:val="3D3935"/>
        </w:rPr>
        <w:t>Board Membership Criteria, Refreshment, and Succession Planning</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4"/>
          <w:szCs w:val="14"/>
          <w:color w:val="3D3935"/>
        </w:rPr>
        <w:t>Director Nominee Biographies</w:t>
      </w:r>
    </w:p>
    <w:p>
      <w:pPr>
        <w:spacing w:after="0" w:line="69" w:lineRule="exact"/>
        <w:rPr>
          <w:sz w:val="20"/>
          <w:szCs w:val="20"/>
          <w:color w:val="auto"/>
        </w:rPr>
      </w:pPr>
    </w:p>
    <w:p>
      <w:pPr>
        <w:ind w:left="160"/>
        <w:spacing w:after="0"/>
        <w:rPr>
          <w:sz w:val="20"/>
          <w:szCs w:val="20"/>
          <w:color w:val="auto"/>
        </w:rPr>
      </w:pPr>
      <w:r>
        <w:rPr>
          <w:rFonts w:ascii="Arial" w:cs="Arial" w:eastAsia="Arial" w:hAnsi="Arial"/>
          <w:sz w:val="14"/>
          <w:szCs w:val="14"/>
          <w:color w:val="3D3935"/>
        </w:rPr>
        <w:t>Director Nomination Process</w:t>
      </w:r>
    </w:p>
    <w:p>
      <w:pPr>
        <w:spacing w:after="0" w:line="11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072CE"/>
        </w:rPr>
        <w:t>Corporate Governance</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14"/>
          <w:szCs w:val="14"/>
          <w:color w:val="3D3935"/>
        </w:rPr>
        <w:t>The Board of Directors</w:t>
      </w:r>
    </w:p>
    <w:p>
      <w:pPr>
        <w:spacing w:after="0" w:line="69" w:lineRule="exact"/>
        <w:rPr>
          <w:sz w:val="20"/>
          <w:szCs w:val="20"/>
          <w:color w:val="auto"/>
        </w:rPr>
      </w:pPr>
    </w:p>
    <w:p>
      <w:pPr>
        <w:ind w:left="160"/>
        <w:spacing w:after="0"/>
        <w:rPr>
          <w:sz w:val="20"/>
          <w:szCs w:val="20"/>
          <w:color w:val="auto"/>
        </w:rPr>
      </w:pPr>
      <w:r>
        <w:rPr>
          <w:rFonts w:ascii="Arial" w:cs="Arial" w:eastAsia="Arial" w:hAnsi="Arial"/>
          <w:sz w:val="14"/>
          <w:szCs w:val="14"/>
          <w:color w:val="3D3935"/>
        </w:rPr>
        <w:t>Board Leadership Structure and Composition</w:t>
      </w:r>
    </w:p>
    <w:p>
      <w:pPr>
        <w:spacing w:after="0" w:line="69" w:lineRule="exact"/>
        <w:rPr>
          <w:sz w:val="20"/>
          <w:szCs w:val="20"/>
          <w:color w:val="auto"/>
        </w:rPr>
      </w:pPr>
    </w:p>
    <w:p>
      <w:pPr>
        <w:ind w:left="160"/>
        <w:spacing w:after="0"/>
        <w:rPr>
          <w:sz w:val="20"/>
          <w:szCs w:val="20"/>
          <w:color w:val="auto"/>
        </w:rPr>
      </w:pPr>
      <w:r>
        <w:rPr>
          <w:rFonts w:ascii="Arial" w:cs="Arial" w:eastAsia="Arial" w:hAnsi="Arial"/>
          <w:sz w:val="14"/>
          <w:szCs w:val="14"/>
          <w:color w:val="3D3935"/>
        </w:rPr>
        <w:t>Board Committees</w:t>
      </w:r>
    </w:p>
    <w:p>
      <w:pPr>
        <w:spacing w:after="0" w:line="69" w:lineRule="exact"/>
        <w:rPr>
          <w:sz w:val="20"/>
          <w:szCs w:val="20"/>
          <w:color w:val="auto"/>
        </w:rPr>
      </w:pPr>
    </w:p>
    <w:p>
      <w:pPr>
        <w:ind w:left="160"/>
        <w:spacing w:after="0"/>
        <w:rPr>
          <w:sz w:val="20"/>
          <w:szCs w:val="20"/>
          <w:color w:val="auto"/>
        </w:rPr>
      </w:pPr>
      <w:r>
        <w:rPr>
          <w:rFonts w:ascii="Arial" w:cs="Arial" w:eastAsia="Arial" w:hAnsi="Arial"/>
          <w:sz w:val="14"/>
          <w:szCs w:val="14"/>
          <w:color w:val="3D3935"/>
        </w:rPr>
        <w:t>The Board’s Role and Responsibilities</w:t>
      </w:r>
    </w:p>
    <w:p>
      <w:pPr>
        <w:spacing w:after="0" w:line="69" w:lineRule="exact"/>
        <w:rPr>
          <w:sz w:val="20"/>
          <w:szCs w:val="20"/>
          <w:color w:val="auto"/>
        </w:rPr>
      </w:pPr>
    </w:p>
    <w:p>
      <w:pPr>
        <w:ind w:left="160"/>
        <w:spacing w:after="0"/>
        <w:rPr>
          <w:sz w:val="20"/>
          <w:szCs w:val="20"/>
          <w:color w:val="auto"/>
        </w:rPr>
      </w:pPr>
      <w:r>
        <w:rPr>
          <w:rFonts w:ascii="Arial" w:cs="Arial" w:eastAsia="Arial" w:hAnsi="Arial"/>
          <w:sz w:val="14"/>
          <w:szCs w:val="14"/>
          <w:color w:val="3D3935"/>
        </w:rPr>
        <w:t>Board Processes and Insights</w:t>
      </w:r>
    </w:p>
    <w:p>
      <w:pPr>
        <w:spacing w:after="0" w:line="69" w:lineRule="exact"/>
        <w:rPr>
          <w:sz w:val="20"/>
          <w:szCs w:val="20"/>
          <w:color w:val="auto"/>
        </w:rPr>
      </w:pPr>
    </w:p>
    <w:p>
      <w:pPr>
        <w:ind w:left="160"/>
        <w:spacing w:after="0"/>
        <w:rPr>
          <w:sz w:val="20"/>
          <w:szCs w:val="20"/>
          <w:color w:val="auto"/>
        </w:rPr>
      </w:pPr>
      <w:r>
        <w:rPr>
          <w:rFonts w:ascii="Arial" w:cs="Arial" w:eastAsia="Arial" w:hAnsi="Arial"/>
          <w:sz w:val="14"/>
          <w:szCs w:val="14"/>
          <w:color w:val="3D3935"/>
        </w:rPr>
        <w:t>Oversight of Other Stewardship Topics</w:t>
      </w:r>
    </w:p>
    <w:p>
      <w:pPr>
        <w:spacing w:after="0" w:line="69" w:lineRule="exact"/>
        <w:rPr>
          <w:sz w:val="20"/>
          <w:szCs w:val="20"/>
          <w:color w:val="auto"/>
        </w:rPr>
      </w:pPr>
    </w:p>
    <w:p>
      <w:pPr>
        <w:ind w:left="160"/>
        <w:spacing w:after="0"/>
        <w:rPr>
          <w:sz w:val="20"/>
          <w:szCs w:val="20"/>
          <w:color w:val="auto"/>
        </w:rPr>
      </w:pPr>
      <w:r>
        <w:rPr>
          <w:rFonts w:ascii="Arial" w:cs="Arial" w:eastAsia="Arial" w:hAnsi="Arial"/>
          <w:sz w:val="14"/>
          <w:szCs w:val="14"/>
          <w:color w:val="3D3935"/>
        </w:rPr>
        <w:t>Related Party Transactions and Potential Conflicts</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color w:val="3D3935"/>
        </w:rPr>
        <w:t>of Interest</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072CE"/>
        </w:rPr>
        <w:t>Non-Employee Director Compensation</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14"/>
          <w:szCs w:val="14"/>
          <w:color w:val="3D3935"/>
        </w:rPr>
        <w:t>Guiding Principles</w:t>
      </w:r>
    </w:p>
    <w:p>
      <w:pPr>
        <w:spacing w:after="0" w:line="69" w:lineRule="exact"/>
        <w:rPr>
          <w:sz w:val="20"/>
          <w:szCs w:val="20"/>
          <w:color w:val="auto"/>
        </w:rPr>
      </w:pPr>
    </w:p>
    <w:p>
      <w:pPr>
        <w:ind w:left="160"/>
        <w:spacing w:after="0"/>
        <w:rPr>
          <w:sz w:val="20"/>
          <w:szCs w:val="20"/>
          <w:color w:val="auto"/>
        </w:rPr>
      </w:pPr>
      <w:r>
        <w:rPr>
          <w:rFonts w:ascii="Arial" w:cs="Arial" w:eastAsia="Arial" w:hAnsi="Arial"/>
          <w:sz w:val="14"/>
          <w:szCs w:val="14"/>
          <w:color w:val="3D3935"/>
        </w:rPr>
        <w:t>Other Compensation</w:t>
      </w:r>
    </w:p>
    <w:p>
      <w:pPr>
        <w:spacing w:after="0" w:line="69" w:lineRule="exact"/>
        <w:rPr>
          <w:sz w:val="20"/>
          <w:szCs w:val="20"/>
          <w:color w:val="auto"/>
        </w:rPr>
      </w:pPr>
    </w:p>
    <w:p>
      <w:pPr>
        <w:ind w:left="160"/>
        <w:spacing w:after="0"/>
        <w:rPr>
          <w:sz w:val="20"/>
          <w:szCs w:val="20"/>
          <w:color w:val="auto"/>
        </w:rPr>
      </w:pPr>
      <w:r>
        <w:rPr>
          <w:rFonts w:ascii="Arial" w:cs="Arial" w:eastAsia="Arial" w:hAnsi="Arial"/>
          <w:sz w:val="14"/>
          <w:szCs w:val="14"/>
          <w:color w:val="3D3935"/>
        </w:rPr>
        <w:t>2024 Non-Employee Director Compensation Table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23"/>
        </w:trPr>
        <w:tc>
          <w:tcPr>
            <w:tcW w:w="540" w:type="dxa"/>
            <w:vAlign w:val="bottom"/>
          </w:tcPr>
          <w:p>
            <w:pPr>
              <w:jc w:val="right"/>
              <w:ind w:right="265"/>
              <w:spacing w:after="0"/>
              <w:rPr>
                <w:sz w:val="20"/>
                <w:szCs w:val="20"/>
                <w:color w:val="auto"/>
              </w:rPr>
            </w:pPr>
            <w:r>
              <w:rPr>
                <w:rFonts w:ascii="Arial" w:cs="Arial" w:eastAsia="Arial" w:hAnsi="Arial"/>
                <w:sz w:val="16"/>
                <w:szCs w:val="16"/>
                <w:b w:val="1"/>
                <w:bCs w:val="1"/>
                <w:color w:val="0072CE"/>
              </w:rPr>
              <w:t>1</w:t>
            </w:r>
          </w:p>
        </w:tc>
        <w:tc>
          <w:tcPr>
            <w:tcW w:w="3960" w:type="dxa"/>
            <w:vAlign w:val="bottom"/>
            <w:gridSpan w:val="2"/>
          </w:tcPr>
          <w:p>
            <w:pPr>
              <w:ind w:left="60"/>
              <w:spacing w:after="0"/>
              <w:rPr>
                <w:sz w:val="20"/>
                <w:szCs w:val="20"/>
                <w:color w:val="auto"/>
              </w:rPr>
            </w:pPr>
            <w:r>
              <w:rPr>
                <w:rFonts w:ascii="Arial" w:cs="Arial" w:eastAsia="Arial" w:hAnsi="Arial"/>
                <w:sz w:val="16"/>
                <w:szCs w:val="16"/>
                <w:b w:val="1"/>
                <w:bCs w:val="1"/>
                <w:color w:val="0072CE"/>
              </w:rPr>
              <w:t>Executive Compensation</w:t>
            </w:r>
          </w:p>
        </w:tc>
        <w:tc>
          <w:tcPr>
            <w:tcW w:w="420" w:type="dxa"/>
            <w:vAlign w:val="bottom"/>
          </w:tcPr>
          <w:p>
            <w:pPr>
              <w:jc w:val="right"/>
              <w:ind w:right="5"/>
              <w:spacing w:after="0"/>
              <w:rPr>
                <w:sz w:val="20"/>
                <w:szCs w:val="20"/>
                <w:color w:val="auto"/>
              </w:rPr>
            </w:pPr>
            <w:r>
              <w:rPr>
                <w:rFonts w:ascii="Arial" w:cs="Arial" w:eastAsia="Arial" w:hAnsi="Arial"/>
                <w:sz w:val="16"/>
                <w:szCs w:val="16"/>
                <w:b w:val="1"/>
                <w:bCs w:val="1"/>
                <w:color w:val="0072CE"/>
              </w:rPr>
              <w:t>42</w:t>
            </w:r>
          </w:p>
        </w:tc>
        <w:tc>
          <w:tcPr>
            <w:tcW w:w="0" w:type="dxa"/>
            <w:vAlign w:val="bottom"/>
          </w:tcPr>
          <w:p>
            <w:pPr>
              <w:spacing w:after="0"/>
              <w:rPr>
                <w:sz w:val="1"/>
                <w:szCs w:val="1"/>
                <w:color w:val="auto"/>
              </w:rPr>
            </w:pPr>
          </w:p>
        </w:tc>
      </w:tr>
      <w:tr>
        <w:trPr>
          <w:trHeight w:val="116"/>
        </w:trPr>
        <w:tc>
          <w:tcPr>
            <w:tcW w:w="540" w:type="dxa"/>
            <w:vAlign w:val="bottom"/>
            <w:vMerge w:val="restart"/>
          </w:tcPr>
          <w:p>
            <w:pPr>
              <w:jc w:val="right"/>
              <w:ind w:right="305"/>
              <w:spacing w:after="0"/>
              <w:rPr>
                <w:sz w:val="20"/>
                <w:szCs w:val="20"/>
                <w:color w:val="auto"/>
              </w:rPr>
            </w:pPr>
            <w:r>
              <w:rPr>
                <w:rFonts w:ascii="Arial" w:cs="Arial" w:eastAsia="Arial" w:hAnsi="Arial"/>
                <w:sz w:val="16"/>
                <w:szCs w:val="16"/>
                <w:b w:val="1"/>
                <w:bCs w:val="1"/>
                <w:color w:val="0072CE"/>
              </w:rPr>
              <w:t>8</w:t>
            </w:r>
          </w:p>
        </w:tc>
        <w:tc>
          <w:tcPr>
            <w:tcW w:w="320" w:type="dxa"/>
            <w:vAlign w:val="bottom"/>
            <w:tcBorders>
              <w:bottom w:val="single" w:sz="8" w:color="0072CE"/>
            </w:tcBorders>
          </w:tcPr>
          <w:p>
            <w:pPr>
              <w:spacing w:after="0"/>
              <w:rPr>
                <w:sz w:val="10"/>
                <w:szCs w:val="10"/>
                <w:color w:val="auto"/>
              </w:rPr>
            </w:pPr>
          </w:p>
        </w:tc>
        <w:tc>
          <w:tcPr>
            <w:tcW w:w="3640" w:type="dxa"/>
            <w:vAlign w:val="bottom"/>
            <w:tcBorders>
              <w:bottom w:val="single" w:sz="8" w:color="0072CE"/>
            </w:tcBorders>
          </w:tcPr>
          <w:p>
            <w:pPr>
              <w:spacing w:after="0"/>
              <w:rPr>
                <w:sz w:val="10"/>
                <w:szCs w:val="10"/>
                <w:color w:val="auto"/>
              </w:rPr>
            </w:pPr>
          </w:p>
        </w:tc>
        <w:tc>
          <w:tcPr>
            <w:tcW w:w="420" w:type="dxa"/>
            <w:vAlign w:val="bottom"/>
            <w:tcBorders>
              <w:bottom w:val="single" w:sz="8" w:color="0072CE"/>
            </w:tcBorders>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540" w:type="dxa"/>
            <w:vAlign w:val="bottom"/>
            <w:vMerge w:val="continue"/>
          </w:tcPr>
          <w:p>
            <w:pPr>
              <w:spacing w:after="0"/>
              <w:rPr>
                <w:sz w:val="11"/>
                <w:szCs w:val="11"/>
                <w:color w:val="auto"/>
              </w:rPr>
            </w:pPr>
          </w:p>
        </w:tc>
        <w:tc>
          <w:tcPr>
            <w:tcW w:w="320" w:type="dxa"/>
            <w:vAlign w:val="bottom"/>
            <w:shd w:val="clear" w:color="auto" w:fill="F0F3F5"/>
          </w:tcPr>
          <w:p>
            <w:pPr>
              <w:spacing w:after="0"/>
              <w:rPr>
                <w:sz w:val="11"/>
                <w:szCs w:val="11"/>
                <w:color w:val="auto"/>
              </w:rPr>
            </w:pPr>
          </w:p>
        </w:tc>
        <w:tc>
          <w:tcPr>
            <w:tcW w:w="3640" w:type="dxa"/>
            <w:vAlign w:val="bottom"/>
            <w:vMerge w:val="restart"/>
          </w:tcPr>
          <w:p>
            <w:pPr>
              <w:ind w:left="100"/>
              <w:spacing w:after="0"/>
              <w:rPr>
                <w:sz w:val="20"/>
                <w:szCs w:val="20"/>
                <w:color w:val="auto"/>
              </w:rPr>
            </w:pPr>
            <w:r>
              <w:rPr>
                <w:rFonts w:ascii="Arial" w:cs="Arial" w:eastAsia="Arial" w:hAnsi="Arial"/>
                <w:sz w:val="13"/>
                <w:szCs w:val="13"/>
                <w:color w:val="0072CE"/>
              </w:rPr>
              <w:t>ITEM NO. 3</w:t>
            </w:r>
          </w:p>
        </w:tc>
        <w:tc>
          <w:tcPr>
            <w:tcW w:w="420" w:type="dxa"/>
            <w:vAlign w:val="bottom"/>
            <w:vMerge w:val="restart"/>
          </w:tcPr>
          <w:p>
            <w:pPr>
              <w:jc w:val="right"/>
              <w:ind w:right="5"/>
              <w:spacing w:after="0"/>
              <w:rPr>
                <w:sz w:val="20"/>
                <w:szCs w:val="20"/>
                <w:color w:val="auto"/>
              </w:rPr>
            </w:pPr>
            <w:r>
              <w:rPr>
                <w:rFonts w:ascii="Arial" w:cs="Arial" w:eastAsia="Arial" w:hAnsi="Arial"/>
                <w:sz w:val="16"/>
                <w:szCs w:val="16"/>
                <w:b w:val="1"/>
                <w:bCs w:val="1"/>
                <w:color w:val="0072CE"/>
              </w:rPr>
              <w:t>42</w:t>
            </w:r>
          </w:p>
        </w:tc>
        <w:tc>
          <w:tcPr>
            <w:tcW w:w="0" w:type="dxa"/>
            <w:vAlign w:val="bottom"/>
          </w:tcPr>
          <w:p>
            <w:pPr>
              <w:spacing w:after="0"/>
              <w:rPr>
                <w:sz w:val="1"/>
                <w:szCs w:val="1"/>
                <w:color w:val="auto"/>
              </w:rPr>
            </w:pPr>
          </w:p>
        </w:tc>
      </w:tr>
      <w:tr>
        <w:trPr>
          <w:trHeight w:val="90"/>
        </w:trPr>
        <w:tc>
          <w:tcPr>
            <w:tcW w:w="540" w:type="dxa"/>
            <w:vAlign w:val="bottom"/>
          </w:tcPr>
          <w:p>
            <w:pPr>
              <w:spacing w:after="0"/>
              <w:rPr>
                <w:sz w:val="7"/>
                <w:szCs w:val="7"/>
                <w:color w:val="auto"/>
              </w:rPr>
            </w:pPr>
          </w:p>
        </w:tc>
        <w:tc>
          <w:tcPr>
            <w:tcW w:w="320" w:type="dxa"/>
            <w:vAlign w:val="bottom"/>
            <w:shd w:val="clear" w:color="auto" w:fill="F0F3F5"/>
          </w:tcPr>
          <w:p>
            <w:pPr>
              <w:spacing w:after="0"/>
              <w:rPr>
                <w:sz w:val="7"/>
                <w:szCs w:val="7"/>
                <w:color w:val="auto"/>
              </w:rPr>
            </w:pPr>
          </w:p>
        </w:tc>
        <w:tc>
          <w:tcPr>
            <w:tcW w:w="364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540" w:type="dxa"/>
            <w:vAlign w:val="bottom"/>
            <w:vMerge w:val="restart"/>
          </w:tcPr>
          <w:p>
            <w:pPr>
              <w:jc w:val="right"/>
              <w:ind w:right="305"/>
              <w:spacing w:after="0"/>
              <w:rPr>
                <w:sz w:val="20"/>
                <w:szCs w:val="20"/>
                <w:color w:val="auto"/>
              </w:rPr>
            </w:pPr>
            <w:r>
              <w:rPr>
                <w:rFonts w:ascii="Arial" w:cs="Arial" w:eastAsia="Arial" w:hAnsi="Arial"/>
                <w:sz w:val="16"/>
                <w:szCs w:val="16"/>
                <w:b w:val="1"/>
                <w:bCs w:val="1"/>
                <w:color w:val="0072CE"/>
              </w:rPr>
              <w:t>8</w:t>
            </w:r>
          </w:p>
        </w:tc>
        <w:tc>
          <w:tcPr>
            <w:tcW w:w="320" w:type="dxa"/>
            <w:vAlign w:val="bottom"/>
            <w:shd w:val="clear" w:color="auto" w:fill="F0F3F5"/>
          </w:tcPr>
          <w:p>
            <w:pPr>
              <w:spacing w:after="0"/>
              <w:rPr>
                <w:sz w:val="8"/>
                <w:szCs w:val="8"/>
                <w:color w:val="auto"/>
              </w:rPr>
            </w:pPr>
          </w:p>
        </w:tc>
        <w:tc>
          <w:tcPr>
            <w:tcW w:w="3640" w:type="dxa"/>
            <w:vAlign w:val="bottom"/>
            <w:vMerge w:val="restart"/>
          </w:tcPr>
          <w:p>
            <w:pPr>
              <w:ind w:left="100"/>
              <w:spacing w:after="0" w:line="173" w:lineRule="exact"/>
              <w:rPr>
                <w:sz w:val="20"/>
                <w:szCs w:val="20"/>
                <w:color w:val="auto"/>
              </w:rPr>
            </w:pPr>
            <w:r>
              <w:rPr>
                <w:rFonts w:ascii="Arial" w:cs="Arial" w:eastAsia="Arial" w:hAnsi="Arial"/>
                <w:sz w:val="16"/>
                <w:szCs w:val="16"/>
                <w:b w:val="1"/>
                <w:bCs w:val="1"/>
                <w:color w:val="3D3935"/>
              </w:rPr>
              <w:t>Proposal to Approve, on an Advisory Basis,</w:t>
            </w: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54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36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5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3640" w:type="dxa"/>
            <w:vAlign w:val="bottom"/>
          </w:tcPr>
          <w:p>
            <w:pPr>
              <w:ind w:left="100"/>
              <w:spacing w:after="0"/>
              <w:rPr>
                <w:sz w:val="20"/>
                <w:szCs w:val="20"/>
                <w:color w:val="auto"/>
              </w:rPr>
            </w:pPr>
            <w:r>
              <w:rPr>
                <w:rFonts w:ascii="Arial" w:cs="Arial" w:eastAsia="Arial" w:hAnsi="Arial"/>
                <w:sz w:val="16"/>
                <w:szCs w:val="16"/>
                <w:b w:val="1"/>
                <w:bCs w:val="1"/>
                <w:color w:val="3D3935"/>
              </w:rPr>
              <w:t>Named Executive Officer Compensation</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40" w:type="dxa"/>
            <w:vAlign w:val="bottom"/>
            <w:vMerge w:val="restart"/>
          </w:tcPr>
          <w:p>
            <w:pPr>
              <w:jc w:val="right"/>
              <w:ind w:right="305"/>
              <w:spacing w:after="0"/>
              <w:rPr>
                <w:sz w:val="20"/>
                <w:szCs w:val="20"/>
                <w:color w:val="auto"/>
              </w:rPr>
            </w:pPr>
            <w:r>
              <w:rPr>
                <w:rFonts w:ascii="Arial" w:cs="Arial" w:eastAsia="Arial" w:hAnsi="Arial"/>
                <w:sz w:val="14"/>
                <w:szCs w:val="14"/>
                <w:color w:val="3D3935"/>
              </w:rPr>
              <w:t>9</w:t>
            </w:r>
          </w:p>
        </w:tc>
        <w:tc>
          <w:tcPr>
            <w:tcW w:w="3960" w:type="dxa"/>
            <w:vAlign w:val="bottom"/>
            <w:gridSpan w:val="2"/>
          </w:tcPr>
          <w:p>
            <w:pPr>
              <w:ind w:left="160"/>
              <w:spacing w:after="0"/>
              <w:rPr>
                <w:sz w:val="20"/>
                <w:szCs w:val="20"/>
                <w:color w:val="auto"/>
              </w:rPr>
            </w:pPr>
            <w:r>
              <w:rPr>
                <w:rFonts w:ascii="Arial" w:cs="Arial" w:eastAsia="Arial" w:hAnsi="Arial"/>
                <w:sz w:val="14"/>
                <w:szCs w:val="14"/>
                <w:color w:val="3D3935"/>
              </w:rPr>
              <w:t>Letter from the Compensation Committee</w:t>
            </w:r>
          </w:p>
        </w:tc>
        <w:tc>
          <w:tcPr>
            <w:tcW w:w="420" w:type="dxa"/>
            <w:vAlign w:val="bottom"/>
          </w:tcPr>
          <w:p>
            <w:pPr>
              <w:jc w:val="right"/>
              <w:spacing w:after="0"/>
              <w:rPr>
                <w:sz w:val="20"/>
                <w:szCs w:val="20"/>
                <w:color w:val="auto"/>
              </w:rPr>
            </w:pPr>
            <w:r>
              <w:rPr>
                <w:rFonts w:ascii="Arial" w:cs="Arial" w:eastAsia="Arial" w:hAnsi="Arial"/>
                <w:sz w:val="14"/>
                <w:szCs w:val="14"/>
                <w:color w:val="3D3935"/>
              </w:rPr>
              <w:t>43</w:t>
            </w:r>
          </w:p>
        </w:tc>
        <w:tc>
          <w:tcPr>
            <w:tcW w:w="0" w:type="dxa"/>
            <w:vAlign w:val="bottom"/>
          </w:tcPr>
          <w:p>
            <w:pPr>
              <w:spacing w:after="0"/>
              <w:rPr>
                <w:sz w:val="1"/>
                <w:szCs w:val="1"/>
                <w:color w:val="auto"/>
              </w:rPr>
            </w:pPr>
          </w:p>
        </w:tc>
      </w:tr>
      <w:tr>
        <w:trPr>
          <w:trHeight w:val="94"/>
        </w:trPr>
        <w:tc>
          <w:tcPr>
            <w:tcW w:w="540" w:type="dxa"/>
            <w:vAlign w:val="bottom"/>
            <w:vMerge w:val="continue"/>
          </w:tcPr>
          <w:p>
            <w:pPr>
              <w:spacing w:after="0"/>
              <w:rPr>
                <w:sz w:val="8"/>
                <w:szCs w:val="8"/>
                <w:color w:val="auto"/>
              </w:rPr>
            </w:pPr>
          </w:p>
        </w:tc>
        <w:tc>
          <w:tcPr>
            <w:tcW w:w="3960" w:type="dxa"/>
            <w:vAlign w:val="bottom"/>
            <w:gridSpan w:val="2"/>
            <w:vMerge w:val="restart"/>
          </w:tcPr>
          <w:p>
            <w:pPr>
              <w:ind w:left="160"/>
              <w:spacing w:after="0"/>
              <w:rPr>
                <w:sz w:val="20"/>
                <w:szCs w:val="20"/>
                <w:color w:val="auto"/>
              </w:rPr>
            </w:pPr>
            <w:r>
              <w:rPr>
                <w:rFonts w:ascii="Arial" w:cs="Arial" w:eastAsia="Arial" w:hAnsi="Arial"/>
                <w:sz w:val="14"/>
                <w:szCs w:val="14"/>
                <w:color w:val="3D3935"/>
              </w:rPr>
              <w:t>Compensation Discussion and Analysis</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3D3935"/>
              </w:rPr>
              <w:t>45</w:t>
            </w: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3960" w:type="dxa"/>
            <w:vAlign w:val="bottom"/>
            <w:gridSpan w:val="2"/>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540" w:type="dxa"/>
            <w:vAlign w:val="bottom"/>
          </w:tcPr>
          <w:p>
            <w:pPr>
              <w:jc w:val="right"/>
              <w:ind w:right="285"/>
              <w:spacing w:after="0"/>
              <w:rPr>
                <w:sz w:val="20"/>
                <w:szCs w:val="20"/>
                <w:color w:val="auto"/>
              </w:rPr>
            </w:pPr>
            <w:r>
              <w:rPr>
                <w:rFonts w:ascii="Arial" w:cs="Arial" w:eastAsia="Arial" w:hAnsi="Arial"/>
                <w:sz w:val="14"/>
                <w:szCs w:val="14"/>
                <w:color w:val="3D3935"/>
              </w:rPr>
              <w:t>13</w:t>
            </w:r>
          </w:p>
        </w:tc>
        <w:tc>
          <w:tcPr>
            <w:tcW w:w="3960" w:type="dxa"/>
            <w:vAlign w:val="bottom"/>
            <w:gridSpan w:val="2"/>
          </w:tcPr>
          <w:p>
            <w:pPr>
              <w:ind w:left="160"/>
              <w:spacing w:after="0"/>
              <w:rPr>
                <w:sz w:val="20"/>
                <w:szCs w:val="20"/>
                <w:color w:val="auto"/>
              </w:rPr>
            </w:pPr>
            <w:r>
              <w:rPr>
                <w:rFonts w:ascii="Arial" w:cs="Arial" w:eastAsia="Arial" w:hAnsi="Arial"/>
                <w:sz w:val="14"/>
                <w:szCs w:val="14"/>
                <w:color w:val="3D3935"/>
              </w:rPr>
              <w:t>Table of Contents</w:t>
            </w:r>
          </w:p>
        </w:tc>
        <w:tc>
          <w:tcPr>
            <w:tcW w:w="420" w:type="dxa"/>
            <w:vAlign w:val="bottom"/>
          </w:tcPr>
          <w:p>
            <w:pPr>
              <w:jc w:val="right"/>
              <w:spacing w:after="0"/>
              <w:rPr>
                <w:sz w:val="20"/>
                <w:szCs w:val="20"/>
                <w:color w:val="auto"/>
              </w:rPr>
            </w:pPr>
            <w:r>
              <w:rPr>
                <w:rFonts w:ascii="Arial" w:cs="Arial" w:eastAsia="Arial" w:hAnsi="Arial"/>
                <w:sz w:val="14"/>
                <w:szCs w:val="14"/>
                <w:color w:val="3D3935"/>
              </w:rPr>
              <w:t>45</w:t>
            </w:r>
          </w:p>
        </w:tc>
        <w:tc>
          <w:tcPr>
            <w:tcW w:w="0" w:type="dxa"/>
            <w:vAlign w:val="bottom"/>
          </w:tcPr>
          <w:p>
            <w:pPr>
              <w:spacing w:after="0"/>
              <w:rPr>
                <w:sz w:val="1"/>
                <w:szCs w:val="1"/>
                <w:color w:val="auto"/>
              </w:rPr>
            </w:pPr>
          </w:p>
        </w:tc>
      </w:tr>
      <w:tr>
        <w:trPr>
          <w:trHeight w:val="229"/>
        </w:trPr>
        <w:tc>
          <w:tcPr>
            <w:tcW w:w="540" w:type="dxa"/>
            <w:vAlign w:val="bottom"/>
          </w:tcPr>
          <w:p>
            <w:pPr>
              <w:jc w:val="right"/>
              <w:ind w:right="285"/>
              <w:spacing w:after="0"/>
              <w:rPr>
                <w:sz w:val="20"/>
                <w:szCs w:val="20"/>
                <w:color w:val="auto"/>
              </w:rPr>
            </w:pPr>
            <w:r>
              <w:rPr>
                <w:rFonts w:ascii="Arial" w:cs="Arial" w:eastAsia="Arial" w:hAnsi="Arial"/>
                <w:sz w:val="14"/>
                <w:szCs w:val="14"/>
                <w:color w:val="3D3935"/>
              </w:rPr>
              <w:t>18</w:t>
            </w:r>
          </w:p>
        </w:tc>
        <w:tc>
          <w:tcPr>
            <w:tcW w:w="3960" w:type="dxa"/>
            <w:vAlign w:val="bottom"/>
            <w:gridSpan w:val="2"/>
          </w:tcPr>
          <w:p>
            <w:pPr>
              <w:ind w:left="160"/>
              <w:spacing w:after="0"/>
              <w:rPr>
                <w:sz w:val="20"/>
                <w:szCs w:val="20"/>
                <w:color w:val="auto"/>
              </w:rPr>
            </w:pPr>
            <w:r>
              <w:rPr>
                <w:rFonts w:ascii="Arial" w:cs="Arial" w:eastAsia="Arial" w:hAnsi="Arial"/>
                <w:sz w:val="14"/>
                <w:szCs w:val="14"/>
                <w:color w:val="3D3935"/>
              </w:rPr>
              <w:t>Compensation Committee Report</w:t>
            </w:r>
          </w:p>
        </w:tc>
        <w:tc>
          <w:tcPr>
            <w:tcW w:w="420" w:type="dxa"/>
            <w:vAlign w:val="bottom"/>
          </w:tcPr>
          <w:p>
            <w:pPr>
              <w:jc w:val="right"/>
              <w:spacing w:after="0"/>
              <w:rPr>
                <w:sz w:val="20"/>
                <w:szCs w:val="20"/>
                <w:color w:val="auto"/>
              </w:rPr>
            </w:pPr>
            <w:r>
              <w:rPr>
                <w:rFonts w:ascii="Arial" w:cs="Arial" w:eastAsia="Arial" w:hAnsi="Arial"/>
                <w:sz w:val="14"/>
                <w:szCs w:val="14"/>
                <w:color w:val="3D3935"/>
              </w:rPr>
              <w:t>67</w:t>
            </w:r>
          </w:p>
        </w:tc>
        <w:tc>
          <w:tcPr>
            <w:tcW w:w="0" w:type="dxa"/>
            <w:vAlign w:val="bottom"/>
          </w:tcPr>
          <w:p>
            <w:pPr>
              <w:spacing w:after="0"/>
              <w:rPr>
                <w:sz w:val="1"/>
                <w:szCs w:val="1"/>
                <w:color w:val="auto"/>
              </w:rPr>
            </w:pPr>
          </w:p>
        </w:tc>
      </w:tr>
      <w:tr>
        <w:trPr>
          <w:trHeight w:val="203"/>
        </w:trPr>
        <w:tc>
          <w:tcPr>
            <w:tcW w:w="540" w:type="dxa"/>
            <w:vAlign w:val="bottom"/>
            <w:vMerge w:val="restart"/>
          </w:tcPr>
          <w:p>
            <w:pPr>
              <w:jc w:val="right"/>
              <w:ind w:right="285"/>
              <w:spacing w:after="0"/>
              <w:rPr>
                <w:sz w:val="20"/>
                <w:szCs w:val="20"/>
                <w:color w:val="auto"/>
              </w:rPr>
            </w:pPr>
            <w:r>
              <w:rPr>
                <w:rFonts w:ascii="Arial" w:cs="Arial" w:eastAsia="Arial" w:hAnsi="Arial"/>
                <w:sz w:val="16"/>
                <w:szCs w:val="16"/>
                <w:b w:val="1"/>
                <w:bCs w:val="1"/>
                <w:color w:val="0072CE"/>
                <w:w w:val="89"/>
              </w:rPr>
              <w:t>21</w:t>
            </w:r>
          </w:p>
        </w:tc>
        <w:tc>
          <w:tcPr>
            <w:tcW w:w="3960" w:type="dxa"/>
            <w:vAlign w:val="bottom"/>
            <w:gridSpan w:val="2"/>
          </w:tcPr>
          <w:p>
            <w:pPr>
              <w:ind w:left="160"/>
              <w:spacing w:after="0"/>
              <w:rPr>
                <w:sz w:val="20"/>
                <w:szCs w:val="20"/>
                <w:color w:val="auto"/>
              </w:rPr>
            </w:pPr>
            <w:r>
              <w:rPr>
                <w:rFonts w:ascii="Arial" w:cs="Arial" w:eastAsia="Arial" w:hAnsi="Arial"/>
                <w:sz w:val="14"/>
                <w:szCs w:val="14"/>
                <w:color w:val="3D3935"/>
              </w:rPr>
              <w:t>Executive Compensation Tables</w:t>
            </w:r>
          </w:p>
        </w:tc>
        <w:tc>
          <w:tcPr>
            <w:tcW w:w="420" w:type="dxa"/>
            <w:vAlign w:val="bottom"/>
          </w:tcPr>
          <w:p>
            <w:pPr>
              <w:jc w:val="right"/>
              <w:spacing w:after="0"/>
              <w:rPr>
                <w:sz w:val="20"/>
                <w:szCs w:val="20"/>
                <w:color w:val="auto"/>
              </w:rPr>
            </w:pPr>
            <w:r>
              <w:rPr>
                <w:rFonts w:ascii="Arial" w:cs="Arial" w:eastAsia="Arial" w:hAnsi="Arial"/>
                <w:sz w:val="14"/>
                <w:szCs w:val="14"/>
                <w:color w:val="3D3935"/>
              </w:rPr>
              <w:t>68</w:t>
            </w:r>
          </w:p>
        </w:tc>
        <w:tc>
          <w:tcPr>
            <w:tcW w:w="0" w:type="dxa"/>
            <w:vAlign w:val="bottom"/>
          </w:tcPr>
          <w:p>
            <w:pPr>
              <w:spacing w:after="0"/>
              <w:rPr>
                <w:sz w:val="1"/>
                <w:szCs w:val="1"/>
                <w:color w:val="auto"/>
              </w:rPr>
            </w:pPr>
          </w:p>
        </w:tc>
      </w:tr>
      <w:tr>
        <w:trPr>
          <w:trHeight w:val="109"/>
        </w:trPr>
        <w:tc>
          <w:tcPr>
            <w:tcW w:w="540" w:type="dxa"/>
            <w:vAlign w:val="bottom"/>
            <w:vMerge w:val="continue"/>
          </w:tcPr>
          <w:p>
            <w:pPr>
              <w:spacing w:after="0"/>
              <w:rPr>
                <w:sz w:val="9"/>
                <w:szCs w:val="9"/>
                <w:color w:val="auto"/>
              </w:rPr>
            </w:pPr>
          </w:p>
        </w:tc>
        <w:tc>
          <w:tcPr>
            <w:tcW w:w="3960" w:type="dxa"/>
            <w:vAlign w:val="bottom"/>
            <w:gridSpan w:val="2"/>
            <w:vMerge w:val="restart"/>
          </w:tcPr>
          <w:p>
            <w:pPr>
              <w:ind w:left="160"/>
              <w:spacing w:after="0"/>
              <w:rPr>
                <w:sz w:val="20"/>
                <w:szCs w:val="20"/>
                <w:color w:val="auto"/>
              </w:rPr>
            </w:pPr>
            <w:r>
              <w:rPr>
                <w:rFonts w:ascii="Arial" w:cs="Arial" w:eastAsia="Arial" w:hAnsi="Arial"/>
                <w:sz w:val="14"/>
                <w:szCs w:val="14"/>
                <w:color w:val="3D3935"/>
              </w:rPr>
              <w:t>CEO Pay Ratio</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3D3935"/>
              </w:rPr>
              <w:t>80</w:t>
            </w:r>
          </w:p>
        </w:tc>
        <w:tc>
          <w:tcPr>
            <w:tcW w:w="0" w:type="dxa"/>
            <w:vAlign w:val="bottom"/>
          </w:tcPr>
          <w:p>
            <w:pPr>
              <w:spacing w:after="0"/>
              <w:rPr>
                <w:sz w:val="1"/>
                <w:szCs w:val="1"/>
                <w:color w:val="auto"/>
              </w:rPr>
            </w:pPr>
          </w:p>
        </w:tc>
      </w:tr>
      <w:tr>
        <w:trPr>
          <w:trHeight w:val="121"/>
        </w:trPr>
        <w:tc>
          <w:tcPr>
            <w:tcW w:w="540" w:type="dxa"/>
            <w:vAlign w:val="bottom"/>
            <w:vMerge w:val="restart"/>
          </w:tcPr>
          <w:p>
            <w:pPr>
              <w:jc w:val="right"/>
              <w:ind w:right="285"/>
              <w:spacing w:after="0"/>
              <w:rPr>
                <w:sz w:val="20"/>
                <w:szCs w:val="20"/>
                <w:color w:val="auto"/>
              </w:rPr>
            </w:pPr>
            <w:r>
              <w:rPr>
                <w:rFonts w:ascii="Arial" w:cs="Arial" w:eastAsia="Arial" w:hAnsi="Arial"/>
                <w:sz w:val="14"/>
                <w:szCs w:val="14"/>
                <w:color w:val="3D3935"/>
              </w:rPr>
              <w:t>21</w:t>
            </w:r>
          </w:p>
        </w:tc>
        <w:tc>
          <w:tcPr>
            <w:tcW w:w="3960" w:type="dxa"/>
            <w:vAlign w:val="bottom"/>
            <w:gridSpan w:val="2"/>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40" w:type="dxa"/>
            <w:vAlign w:val="bottom"/>
            <w:vMerge w:val="continue"/>
          </w:tcPr>
          <w:p>
            <w:pPr>
              <w:spacing w:after="0"/>
              <w:rPr>
                <w:sz w:val="10"/>
                <w:szCs w:val="10"/>
                <w:color w:val="auto"/>
              </w:rPr>
            </w:pPr>
          </w:p>
        </w:tc>
        <w:tc>
          <w:tcPr>
            <w:tcW w:w="3960" w:type="dxa"/>
            <w:vAlign w:val="bottom"/>
            <w:gridSpan w:val="2"/>
            <w:vMerge w:val="restart"/>
          </w:tcPr>
          <w:p>
            <w:pPr>
              <w:ind w:left="160"/>
              <w:spacing w:after="0"/>
              <w:rPr>
                <w:sz w:val="20"/>
                <w:szCs w:val="20"/>
                <w:color w:val="auto"/>
              </w:rPr>
            </w:pPr>
            <w:r>
              <w:rPr>
                <w:rFonts w:ascii="Arial" w:cs="Arial" w:eastAsia="Arial" w:hAnsi="Arial"/>
                <w:sz w:val="14"/>
                <w:szCs w:val="14"/>
                <w:color w:val="3D3935"/>
              </w:rPr>
              <w:t>Pay Versus Performance</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3D3935"/>
              </w:rPr>
              <w:t>81</w:t>
            </w:r>
          </w:p>
        </w:tc>
        <w:tc>
          <w:tcPr>
            <w:tcW w:w="0" w:type="dxa"/>
            <w:vAlign w:val="bottom"/>
          </w:tcPr>
          <w:p>
            <w:pPr>
              <w:spacing w:after="0"/>
              <w:rPr>
                <w:sz w:val="1"/>
                <w:szCs w:val="1"/>
                <w:color w:val="auto"/>
              </w:rPr>
            </w:pPr>
          </w:p>
        </w:tc>
      </w:tr>
      <w:tr>
        <w:trPr>
          <w:trHeight w:val="108"/>
        </w:trPr>
        <w:tc>
          <w:tcPr>
            <w:tcW w:w="540" w:type="dxa"/>
            <w:vAlign w:val="bottom"/>
            <w:vMerge w:val="restart"/>
          </w:tcPr>
          <w:p>
            <w:pPr>
              <w:jc w:val="right"/>
              <w:ind w:right="285"/>
              <w:spacing w:after="0"/>
              <w:rPr>
                <w:sz w:val="20"/>
                <w:szCs w:val="20"/>
                <w:color w:val="auto"/>
              </w:rPr>
            </w:pPr>
            <w:r>
              <w:rPr>
                <w:rFonts w:ascii="Arial" w:cs="Arial" w:eastAsia="Arial" w:hAnsi="Arial"/>
                <w:sz w:val="14"/>
                <w:szCs w:val="14"/>
                <w:color w:val="3D3935"/>
              </w:rPr>
              <w:t>21</w:t>
            </w:r>
          </w:p>
        </w:tc>
        <w:tc>
          <w:tcPr>
            <w:tcW w:w="3960" w:type="dxa"/>
            <w:vAlign w:val="bottom"/>
            <w:gridSpan w:val="2"/>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540" w:type="dxa"/>
            <w:vAlign w:val="bottom"/>
            <w:vMerge w:val="continue"/>
          </w:tcPr>
          <w:p>
            <w:pPr>
              <w:spacing w:after="0"/>
              <w:rPr>
                <w:sz w:val="8"/>
                <w:szCs w:val="8"/>
                <w:color w:val="auto"/>
              </w:rPr>
            </w:pPr>
          </w:p>
        </w:tc>
        <w:tc>
          <w:tcPr>
            <w:tcW w:w="320" w:type="dxa"/>
            <w:vAlign w:val="bottom"/>
            <w:tcBorders>
              <w:bottom w:val="single" w:sz="8" w:color="0072CE"/>
            </w:tcBorders>
          </w:tcPr>
          <w:p>
            <w:pPr>
              <w:spacing w:after="0"/>
              <w:rPr>
                <w:sz w:val="8"/>
                <w:szCs w:val="8"/>
                <w:color w:val="auto"/>
              </w:rPr>
            </w:pPr>
          </w:p>
        </w:tc>
        <w:tc>
          <w:tcPr>
            <w:tcW w:w="3640" w:type="dxa"/>
            <w:vAlign w:val="bottom"/>
            <w:tcBorders>
              <w:bottom w:val="single" w:sz="8" w:color="0072CE"/>
            </w:tcBorders>
          </w:tcPr>
          <w:p>
            <w:pPr>
              <w:spacing w:after="0"/>
              <w:rPr>
                <w:sz w:val="8"/>
                <w:szCs w:val="8"/>
                <w:color w:val="auto"/>
              </w:rPr>
            </w:pPr>
          </w:p>
        </w:tc>
        <w:tc>
          <w:tcPr>
            <w:tcW w:w="420" w:type="dxa"/>
            <w:vAlign w:val="bottom"/>
            <w:tcBorders>
              <w:bottom w:val="single" w:sz="8" w:color="0072CE"/>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540" w:type="dxa"/>
            <w:vAlign w:val="bottom"/>
          </w:tcPr>
          <w:p>
            <w:pPr>
              <w:jc w:val="right"/>
              <w:ind w:right="305"/>
              <w:spacing w:after="0"/>
              <w:rPr>
                <w:sz w:val="20"/>
                <w:szCs w:val="20"/>
                <w:color w:val="auto"/>
              </w:rPr>
            </w:pPr>
            <w:r>
              <w:rPr>
                <w:rFonts w:ascii="Arial" w:cs="Arial" w:eastAsia="Arial" w:hAnsi="Arial"/>
                <w:sz w:val="14"/>
                <w:szCs w:val="14"/>
                <w:color w:val="3D3935"/>
                <w:w w:val="89"/>
              </w:rPr>
              <w:t>22</w:t>
            </w:r>
          </w:p>
        </w:tc>
        <w:tc>
          <w:tcPr>
            <w:tcW w:w="320" w:type="dxa"/>
            <w:vAlign w:val="bottom"/>
            <w:shd w:val="clear" w:color="auto" w:fill="F0F3F5"/>
          </w:tcPr>
          <w:p>
            <w:pPr>
              <w:spacing w:after="0"/>
              <w:rPr>
                <w:sz w:val="19"/>
                <w:szCs w:val="19"/>
                <w:color w:val="auto"/>
              </w:rPr>
            </w:pPr>
          </w:p>
        </w:tc>
        <w:tc>
          <w:tcPr>
            <w:tcW w:w="3640" w:type="dxa"/>
            <w:vAlign w:val="bottom"/>
          </w:tcPr>
          <w:p>
            <w:pPr>
              <w:ind w:left="100"/>
              <w:spacing w:after="0"/>
              <w:rPr>
                <w:sz w:val="20"/>
                <w:szCs w:val="20"/>
                <w:color w:val="auto"/>
              </w:rPr>
            </w:pPr>
            <w:r>
              <w:rPr>
                <w:rFonts w:ascii="Arial" w:cs="Arial" w:eastAsia="Arial" w:hAnsi="Arial"/>
                <w:sz w:val="13"/>
                <w:szCs w:val="13"/>
                <w:color w:val="3D3935"/>
              </w:rPr>
              <w:t>ITEM NO. 4</w:t>
            </w:r>
          </w:p>
        </w:tc>
        <w:tc>
          <w:tcPr>
            <w:tcW w:w="420" w:type="dxa"/>
            <w:vAlign w:val="bottom"/>
          </w:tcPr>
          <w:p>
            <w:pPr>
              <w:jc w:val="right"/>
              <w:ind w:right="5"/>
              <w:spacing w:after="0"/>
              <w:rPr>
                <w:sz w:val="20"/>
                <w:szCs w:val="20"/>
                <w:color w:val="auto"/>
              </w:rPr>
            </w:pPr>
            <w:r>
              <w:rPr>
                <w:rFonts w:ascii="Arial" w:cs="Arial" w:eastAsia="Arial" w:hAnsi="Arial"/>
                <w:sz w:val="16"/>
                <w:szCs w:val="16"/>
                <w:b w:val="1"/>
                <w:bCs w:val="1"/>
                <w:color w:val="0072CE"/>
              </w:rPr>
              <w:t>84</w:t>
            </w:r>
          </w:p>
        </w:tc>
        <w:tc>
          <w:tcPr>
            <w:tcW w:w="0" w:type="dxa"/>
            <w:vAlign w:val="bottom"/>
          </w:tcPr>
          <w:p>
            <w:pPr>
              <w:spacing w:after="0"/>
              <w:rPr>
                <w:sz w:val="1"/>
                <w:szCs w:val="1"/>
                <w:color w:val="auto"/>
              </w:rPr>
            </w:pPr>
          </w:p>
        </w:tc>
      </w:tr>
      <w:tr>
        <w:trPr>
          <w:trHeight w:val="93"/>
        </w:trPr>
        <w:tc>
          <w:tcPr>
            <w:tcW w:w="540" w:type="dxa"/>
            <w:vAlign w:val="bottom"/>
            <w:vMerge w:val="restart"/>
          </w:tcPr>
          <w:p>
            <w:pPr>
              <w:jc w:val="right"/>
              <w:ind w:right="305"/>
              <w:spacing w:after="0"/>
              <w:rPr>
                <w:sz w:val="20"/>
                <w:szCs w:val="20"/>
                <w:color w:val="auto"/>
              </w:rPr>
            </w:pPr>
            <w:r>
              <w:rPr>
                <w:rFonts w:ascii="Arial" w:cs="Arial" w:eastAsia="Arial" w:hAnsi="Arial"/>
                <w:sz w:val="14"/>
                <w:szCs w:val="14"/>
                <w:color w:val="3D3935"/>
                <w:w w:val="89"/>
              </w:rPr>
              <w:t>26</w:t>
            </w:r>
          </w:p>
        </w:tc>
        <w:tc>
          <w:tcPr>
            <w:tcW w:w="320" w:type="dxa"/>
            <w:vAlign w:val="bottom"/>
            <w:shd w:val="clear" w:color="auto" w:fill="F0F3F5"/>
          </w:tcPr>
          <w:p>
            <w:pPr>
              <w:spacing w:after="0"/>
              <w:rPr>
                <w:sz w:val="8"/>
                <w:szCs w:val="8"/>
                <w:color w:val="auto"/>
              </w:rPr>
            </w:pPr>
          </w:p>
        </w:tc>
        <w:tc>
          <w:tcPr>
            <w:tcW w:w="3640" w:type="dxa"/>
            <w:vAlign w:val="bottom"/>
            <w:vMerge w:val="restart"/>
          </w:tcPr>
          <w:p>
            <w:pPr>
              <w:ind w:left="100"/>
              <w:spacing w:after="0"/>
              <w:rPr>
                <w:sz w:val="20"/>
                <w:szCs w:val="20"/>
                <w:color w:val="auto"/>
              </w:rPr>
            </w:pPr>
            <w:r>
              <w:rPr>
                <w:rFonts w:ascii="Arial" w:cs="Arial" w:eastAsia="Arial" w:hAnsi="Arial"/>
                <w:sz w:val="16"/>
                <w:szCs w:val="16"/>
                <w:b w:val="1"/>
                <w:bCs w:val="1"/>
                <w:color w:val="3D3935"/>
              </w:rPr>
              <w:t>Proposal to Approve the Amended and</w:t>
            </w: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54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64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980" w:hanging="960"/>
        <w:spacing w:after="0" w:line="187" w:lineRule="auto"/>
        <w:tabs>
          <w:tab w:leader="none" w:pos="980" w:val="left"/>
        </w:tabs>
        <w:numPr>
          <w:ilvl w:val="0"/>
          <w:numId w:val="5"/>
        </w:numPr>
        <w:rPr>
          <w:rFonts w:ascii="Arial" w:cs="Arial" w:eastAsia="Arial" w:hAnsi="Arial"/>
          <w:sz w:val="23"/>
          <w:szCs w:val="23"/>
          <w:color w:val="3D3935"/>
          <w:vertAlign w:val="subscript"/>
        </w:rPr>
      </w:pPr>
      <w:r>
        <w:rPr>
          <w:rFonts w:ascii="Arial" w:cs="Arial" w:eastAsia="Arial" w:hAnsi="Arial"/>
          <w:sz w:val="13"/>
          <w:szCs w:val="13"/>
          <w:b w:val="1"/>
          <w:bCs w:val="1"/>
          <w:color w:val="3D3935"/>
        </w:rPr>
        <w:t>Restated Certificate of Incorporation</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 w:type="dxa"/>
            <w:vAlign w:val="bottom"/>
            <w:vMerge w:val="restart"/>
          </w:tcPr>
          <w:p>
            <w:pPr>
              <w:jc w:val="right"/>
              <w:ind w:right="285"/>
              <w:spacing w:after="0"/>
              <w:rPr>
                <w:sz w:val="20"/>
                <w:szCs w:val="20"/>
                <w:color w:val="auto"/>
              </w:rPr>
            </w:pPr>
            <w:r>
              <w:rPr>
                <w:rFonts w:ascii="Arial" w:cs="Arial" w:eastAsia="Arial" w:hAnsi="Arial"/>
                <w:sz w:val="14"/>
                <w:szCs w:val="14"/>
                <w:color w:val="3D3935"/>
              </w:rPr>
              <w:t>31</w:t>
            </w:r>
          </w:p>
        </w:tc>
        <w:tc>
          <w:tcPr>
            <w:tcW w:w="3600" w:type="dxa"/>
            <w:vAlign w:val="bottom"/>
            <w:gridSpan w:val="2"/>
          </w:tcPr>
          <w:p>
            <w:pPr>
              <w:jc w:val="center"/>
              <w:ind w:right="1608"/>
              <w:spacing w:after="0"/>
              <w:rPr>
                <w:sz w:val="20"/>
                <w:szCs w:val="20"/>
                <w:color w:val="auto"/>
              </w:rPr>
            </w:pPr>
            <w:r>
              <w:rPr>
                <w:rFonts w:ascii="Arial" w:cs="Arial" w:eastAsia="Arial" w:hAnsi="Arial"/>
                <w:sz w:val="14"/>
                <w:szCs w:val="14"/>
                <w:color w:val="3D3935"/>
              </w:rPr>
              <w:t>Summary of Amendment</w:t>
            </w:r>
          </w:p>
        </w:tc>
        <w:tc>
          <w:tcPr>
            <w:tcW w:w="780" w:type="dxa"/>
            <w:vAlign w:val="bottom"/>
          </w:tcPr>
          <w:p>
            <w:pPr>
              <w:jc w:val="right"/>
              <w:spacing w:after="0"/>
              <w:rPr>
                <w:sz w:val="20"/>
                <w:szCs w:val="20"/>
                <w:color w:val="auto"/>
              </w:rPr>
            </w:pPr>
            <w:r>
              <w:rPr>
                <w:rFonts w:ascii="Arial" w:cs="Arial" w:eastAsia="Arial" w:hAnsi="Arial"/>
                <w:sz w:val="14"/>
                <w:szCs w:val="14"/>
                <w:color w:val="3D3935"/>
              </w:rPr>
              <w:t>84</w:t>
            </w:r>
          </w:p>
        </w:tc>
        <w:tc>
          <w:tcPr>
            <w:tcW w:w="0" w:type="dxa"/>
            <w:vAlign w:val="bottom"/>
          </w:tcPr>
          <w:p>
            <w:pPr>
              <w:spacing w:after="0"/>
              <w:rPr>
                <w:sz w:val="1"/>
                <w:szCs w:val="1"/>
                <w:color w:val="auto"/>
              </w:rPr>
            </w:pPr>
          </w:p>
        </w:tc>
      </w:tr>
      <w:tr>
        <w:trPr>
          <w:trHeight w:val="67"/>
        </w:trPr>
        <w:tc>
          <w:tcPr>
            <w:tcW w:w="560" w:type="dxa"/>
            <w:vAlign w:val="bottom"/>
            <w:vMerge w:val="continue"/>
          </w:tcPr>
          <w:p>
            <w:pPr>
              <w:spacing w:after="0"/>
              <w:rPr>
                <w:sz w:val="5"/>
                <w:szCs w:val="5"/>
                <w:color w:val="auto"/>
              </w:rPr>
            </w:pPr>
          </w:p>
        </w:tc>
        <w:tc>
          <w:tcPr>
            <w:tcW w:w="3600" w:type="dxa"/>
            <w:vAlign w:val="bottom"/>
            <w:gridSpan w:val="2"/>
            <w:vMerge w:val="restart"/>
          </w:tcPr>
          <w:p>
            <w:pPr>
              <w:jc w:val="center"/>
              <w:ind w:right="1648"/>
              <w:spacing w:after="0"/>
              <w:rPr>
                <w:sz w:val="20"/>
                <w:szCs w:val="20"/>
                <w:color w:val="auto"/>
              </w:rPr>
            </w:pPr>
            <w:r>
              <w:rPr>
                <w:rFonts w:ascii="Arial" w:cs="Arial" w:eastAsia="Arial" w:hAnsi="Arial"/>
                <w:sz w:val="16"/>
                <w:szCs w:val="16"/>
                <w:b w:val="1"/>
                <w:bCs w:val="1"/>
                <w:color w:val="0072CE"/>
              </w:rPr>
              <w:t>Shareholder Proposals</w:t>
            </w: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0072CE"/>
              </w:rPr>
              <w:t>85</w:t>
            </w:r>
          </w:p>
        </w:tc>
        <w:tc>
          <w:tcPr>
            <w:tcW w:w="0" w:type="dxa"/>
            <w:vAlign w:val="bottom"/>
          </w:tcPr>
          <w:p>
            <w:pPr>
              <w:spacing w:after="0"/>
              <w:rPr>
                <w:sz w:val="1"/>
                <w:szCs w:val="1"/>
                <w:color w:val="auto"/>
              </w:rPr>
            </w:pPr>
          </w:p>
        </w:tc>
      </w:tr>
      <w:tr>
        <w:trPr>
          <w:trHeight w:val="229"/>
        </w:trPr>
        <w:tc>
          <w:tcPr>
            <w:tcW w:w="560" w:type="dxa"/>
            <w:vAlign w:val="bottom"/>
          </w:tcPr>
          <w:p>
            <w:pPr>
              <w:ind w:left="20"/>
              <w:spacing w:after="0"/>
              <w:rPr>
                <w:sz w:val="20"/>
                <w:szCs w:val="20"/>
                <w:color w:val="auto"/>
              </w:rPr>
            </w:pPr>
            <w:r>
              <w:rPr>
                <w:rFonts w:ascii="Arial" w:cs="Arial" w:eastAsia="Arial" w:hAnsi="Arial"/>
                <w:sz w:val="14"/>
                <w:szCs w:val="14"/>
                <w:color w:val="3D3935"/>
              </w:rPr>
              <w:t>32</w:t>
            </w:r>
          </w:p>
        </w:tc>
        <w:tc>
          <w:tcPr>
            <w:tcW w:w="360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560" w:type="dxa"/>
            <w:vAlign w:val="bottom"/>
          </w:tcPr>
          <w:p>
            <w:pPr>
              <w:spacing w:after="0"/>
              <w:rPr>
                <w:sz w:val="11"/>
                <w:szCs w:val="11"/>
                <w:color w:val="auto"/>
              </w:rPr>
            </w:pPr>
          </w:p>
        </w:tc>
        <w:tc>
          <w:tcPr>
            <w:tcW w:w="320" w:type="dxa"/>
            <w:vAlign w:val="bottom"/>
            <w:tcBorders>
              <w:bottom w:val="single" w:sz="8" w:color="3D3935"/>
            </w:tcBorders>
          </w:tcPr>
          <w:p>
            <w:pPr>
              <w:spacing w:after="0"/>
              <w:rPr>
                <w:sz w:val="11"/>
                <w:szCs w:val="11"/>
                <w:color w:val="auto"/>
              </w:rPr>
            </w:pPr>
          </w:p>
        </w:tc>
        <w:tc>
          <w:tcPr>
            <w:tcW w:w="3280" w:type="dxa"/>
            <w:vAlign w:val="bottom"/>
            <w:tcBorders>
              <w:bottom w:val="single" w:sz="8" w:color="3D3935"/>
            </w:tcBorders>
          </w:tcPr>
          <w:p>
            <w:pPr>
              <w:spacing w:after="0"/>
              <w:rPr>
                <w:sz w:val="11"/>
                <w:szCs w:val="11"/>
                <w:color w:val="auto"/>
              </w:rPr>
            </w:pPr>
          </w:p>
        </w:tc>
        <w:tc>
          <w:tcPr>
            <w:tcW w:w="780" w:type="dxa"/>
            <w:vAlign w:val="bottom"/>
            <w:tcBorders>
              <w:bottom w:val="single" w:sz="8" w:color="3D3935"/>
            </w:tcBorders>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560" w:type="dxa"/>
            <w:vAlign w:val="bottom"/>
            <w:vMerge w:val="restart"/>
          </w:tcPr>
          <w:p>
            <w:pPr>
              <w:spacing w:after="0"/>
              <w:rPr>
                <w:sz w:val="20"/>
                <w:szCs w:val="20"/>
                <w:color w:val="auto"/>
              </w:rPr>
            </w:pPr>
            <w:r>
              <w:rPr>
                <w:rFonts w:ascii="Arial" w:cs="Arial" w:eastAsia="Arial" w:hAnsi="Arial"/>
                <w:sz w:val="16"/>
                <w:szCs w:val="16"/>
                <w:b w:val="1"/>
                <w:bCs w:val="1"/>
                <w:color w:val="0072CE"/>
              </w:rPr>
              <w:t>34</w:t>
            </w:r>
          </w:p>
        </w:tc>
        <w:tc>
          <w:tcPr>
            <w:tcW w:w="320" w:type="dxa"/>
            <w:vAlign w:val="bottom"/>
            <w:shd w:val="clear" w:color="auto" w:fill="D9D9D6"/>
          </w:tcPr>
          <w:p>
            <w:pPr>
              <w:spacing w:after="0"/>
              <w:rPr>
                <w:sz w:val="18"/>
                <w:szCs w:val="18"/>
                <w:color w:val="auto"/>
              </w:rPr>
            </w:pPr>
          </w:p>
        </w:tc>
        <w:tc>
          <w:tcPr>
            <w:tcW w:w="3280" w:type="dxa"/>
            <w:vAlign w:val="bottom"/>
          </w:tcPr>
          <w:p>
            <w:pPr>
              <w:ind w:left="100"/>
              <w:spacing w:after="0"/>
              <w:rPr>
                <w:sz w:val="20"/>
                <w:szCs w:val="20"/>
                <w:color w:val="auto"/>
              </w:rPr>
            </w:pPr>
            <w:r>
              <w:rPr>
                <w:rFonts w:ascii="Arial" w:cs="Arial" w:eastAsia="Arial" w:hAnsi="Arial"/>
                <w:sz w:val="13"/>
                <w:szCs w:val="13"/>
                <w:color w:val="3D3935"/>
              </w:rPr>
              <w:t>ITEM NO. 5</w:t>
            </w:r>
          </w:p>
        </w:tc>
        <w:tc>
          <w:tcPr>
            <w:tcW w:w="78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3D3935"/>
              </w:rPr>
              <w:t>86</w:t>
            </w:r>
          </w:p>
        </w:tc>
        <w:tc>
          <w:tcPr>
            <w:tcW w:w="0" w:type="dxa"/>
            <w:vAlign w:val="bottom"/>
          </w:tcPr>
          <w:p>
            <w:pPr>
              <w:spacing w:after="0"/>
              <w:rPr>
                <w:sz w:val="1"/>
                <w:szCs w:val="1"/>
                <w:color w:val="auto"/>
              </w:rPr>
            </w:pPr>
          </w:p>
        </w:tc>
      </w:tr>
      <w:tr>
        <w:trPr>
          <w:trHeight w:val="109"/>
        </w:trPr>
        <w:tc>
          <w:tcPr>
            <w:tcW w:w="560" w:type="dxa"/>
            <w:vAlign w:val="bottom"/>
            <w:vMerge w:val="continue"/>
          </w:tcPr>
          <w:p>
            <w:pPr>
              <w:spacing w:after="0"/>
              <w:rPr>
                <w:sz w:val="9"/>
                <w:szCs w:val="9"/>
                <w:color w:val="auto"/>
              </w:rPr>
            </w:pPr>
          </w:p>
        </w:tc>
        <w:tc>
          <w:tcPr>
            <w:tcW w:w="320" w:type="dxa"/>
            <w:vAlign w:val="bottom"/>
            <w:shd w:val="clear" w:color="auto" w:fill="D9D9D6"/>
          </w:tcPr>
          <w:p>
            <w:pPr>
              <w:spacing w:after="0"/>
              <w:rPr>
                <w:sz w:val="9"/>
                <w:szCs w:val="9"/>
                <w:color w:val="auto"/>
              </w:rPr>
            </w:pPr>
          </w:p>
        </w:tc>
        <w:tc>
          <w:tcPr>
            <w:tcW w:w="3280" w:type="dxa"/>
            <w:vAlign w:val="bottom"/>
            <w:vMerge w:val="restart"/>
          </w:tcPr>
          <w:p>
            <w:pPr>
              <w:ind w:left="100"/>
              <w:spacing w:after="0" w:line="181" w:lineRule="exact"/>
              <w:rPr>
                <w:sz w:val="20"/>
                <w:szCs w:val="20"/>
                <w:color w:val="auto"/>
              </w:rPr>
            </w:pPr>
            <w:r>
              <w:rPr>
                <w:rFonts w:ascii="Arial" w:cs="Arial" w:eastAsia="Arial" w:hAnsi="Arial"/>
                <w:sz w:val="16"/>
                <w:szCs w:val="16"/>
                <w:b w:val="1"/>
                <w:bCs w:val="1"/>
                <w:color w:val="3D3935"/>
              </w:rPr>
              <w:t>Shareholder Proposal Regarding a</w:t>
            </w: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980" w:hanging="965"/>
        <w:spacing w:after="0" w:line="185" w:lineRule="auto"/>
        <w:tabs>
          <w:tab w:leader="none" w:pos="980" w:val="left"/>
        </w:tabs>
        <w:numPr>
          <w:ilvl w:val="0"/>
          <w:numId w:val="6"/>
        </w:numPr>
        <w:rPr>
          <w:rFonts w:ascii="Arial" w:cs="Arial" w:eastAsia="Arial" w:hAnsi="Arial"/>
          <w:sz w:val="24"/>
          <w:szCs w:val="24"/>
          <w:color w:val="3D3935"/>
          <w:vertAlign w:val="superscript"/>
        </w:rPr>
      </w:pPr>
      <w:r>
        <w:rPr>
          <w:rFonts w:ascii="Arial" w:cs="Arial" w:eastAsia="Arial" w:hAnsi="Arial"/>
          <w:sz w:val="14"/>
          <w:szCs w:val="14"/>
          <w:b w:val="1"/>
          <w:bCs w:val="1"/>
          <w:color w:val="3D3935"/>
        </w:rPr>
        <w:t>Report on Supply Chain GHG Emissions</w:t>
      </w:r>
    </w:p>
    <w:p>
      <w:pPr>
        <w:ind w:left="980" w:hanging="959"/>
        <w:spacing w:after="0"/>
        <w:tabs>
          <w:tab w:leader="none" w:pos="980" w:val="left"/>
        </w:tabs>
        <w:numPr>
          <w:ilvl w:val="0"/>
          <w:numId w:val="6"/>
        </w:numPr>
        <w:rPr>
          <w:rFonts w:ascii="Arial" w:cs="Arial" w:eastAsia="Arial" w:hAnsi="Arial"/>
          <w:sz w:val="14"/>
          <w:szCs w:val="14"/>
          <w:color w:val="3D3935"/>
        </w:rPr>
      </w:pPr>
      <w:r>
        <w:rPr>
          <w:rFonts w:ascii="Arial" w:cs="Arial" w:eastAsia="Arial" w:hAnsi="Arial"/>
          <w:sz w:val="16"/>
          <w:szCs w:val="16"/>
          <w:b w:val="1"/>
          <w:bCs w:val="1"/>
          <w:color w:val="3D3935"/>
        </w:rPr>
        <w:t>Reduction Strategies</w:t>
      </w:r>
    </w:p>
    <w:p>
      <w:pPr>
        <w:spacing w:after="0" w:line="48" w:lineRule="exact"/>
        <w:rPr>
          <w:sz w:val="20"/>
          <w:szCs w:val="20"/>
          <w:color w:val="auto"/>
        </w:rPr>
      </w:pPr>
    </w:p>
    <w:p>
      <w:pPr>
        <w:ind w:left="20"/>
        <w:spacing w:after="0"/>
        <w:tabs>
          <w:tab w:leader="none" w:pos="700" w:val="left"/>
          <w:tab w:leader="none" w:pos="4700" w:val="left"/>
        </w:tabs>
        <w:rPr>
          <w:sz w:val="20"/>
          <w:szCs w:val="20"/>
          <w:color w:val="auto"/>
        </w:rPr>
      </w:pPr>
      <w:r>
        <w:rPr>
          <w:rFonts w:ascii="Arial" w:cs="Arial" w:eastAsia="Arial" w:hAnsi="Arial"/>
          <w:sz w:val="14"/>
          <w:szCs w:val="14"/>
          <w:color w:val="3D3935"/>
        </w:rPr>
        <w:t>36</w:t>
      </w:r>
      <w:r>
        <w:rPr>
          <w:sz w:val="20"/>
          <w:szCs w:val="20"/>
          <w:color w:val="auto"/>
        </w:rPr>
        <w:tab/>
      </w:r>
      <w:r>
        <w:rPr>
          <w:rFonts w:ascii="Arial" w:cs="Arial" w:eastAsia="Arial" w:hAnsi="Arial"/>
          <w:sz w:val="14"/>
          <w:szCs w:val="14"/>
          <w:color w:val="3D3935"/>
        </w:rPr>
        <w:t>Board Response</w:t>
      </w:r>
      <w:r>
        <w:rPr>
          <w:sz w:val="20"/>
          <w:szCs w:val="20"/>
          <w:color w:val="auto"/>
        </w:rPr>
        <w:tab/>
      </w:r>
      <w:r>
        <w:rPr>
          <w:rFonts w:ascii="Arial" w:cs="Arial" w:eastAsia="Arial" w:hAnsi="Arial"/>
          <w:sz w:val="14"/>
          <w:szCs w:val="14"/>
          <w:color w:val="3D3935"/>
        </w:rPr>
        <w:t>87</w:t>
      </w:r>
    </w:p>
    <w:p>
      <w:pPr>
        <w:spacing w:after="0" w:line="118" w:lineRule="exact"/>
        <w:rPr>
          <w:sz w:val="20"/>
          <w:szCs w:val="20"/>
          <w:color w:val="auto"/>
        </w:rPr>
      </w:pPr>
    </w:p>
    <w:p>
      <w:pPr>
        <w:sectPr>
          <w:pgSz w:w="11900" w:h="16838" w:orient="portrait"/>
          <w:cols w:equalWidth="0" w:num="2">
            <w:col w:w="3420" w:space="720"/>
            <w:col w:w="4940"/>
          </w:cols>
          <w:pgMar w:left="1400" w:top="0" w:right="1419" w:bottom="754"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3960" w:type="dxa"/>
            <w:vAlign w:val="bottom"/>
            <w:gridSpan w:val="2"/>
          </w:tcPr>
          <w:p>
            <w:pPr>
              <w:ind w:left="60"/>
              <w:spacing w:after="0"/>
              <w:rPr>
                <w:sz w:val="20"/>
                <w:szCs w:val="20"/>
                <w:color w:val="auto"/>
              </w:rPr>
            </w:pPr>
            <w:r>
              <w:rPr>
                <w:rFonts w:ascii="Arial" w:cs="Arial" w:eastAsia="Arial" w:hAnsi="Arial"/>
                <w:sz w:val="16"/>
                <w:szCs w:val="16"/>
                <w:b w:val="1"/>
                <w:bCs w:val="1"/>
                <w:color w:val="0072CE"/>
              </w:rPr>
              <w:t>Audit Matters</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0072CE"/>
              </w:rPr>
              <w:t>38</w:t>
            </w:r>
          </w:p>
        </w:tc>
        <w:tc>
          <w:tcPr>
            <w:tcW w:w="0" w:type="dxa"/>
            <w:vAlign w:val="bottom"/>
          </w:tcPr>
          <w:p>
            <w:pPr>
              <w:spacing w:after="0"/>
              <w:rPr>
                <w:sz w:val="1"/>
                <w:szCs w:val="1"/>
                <w:color w:val="auto"/>
              </w:rPr>
            </w:pPr>
          </w:p>
        </w:tc>
      </w:tr>
      <w:tr>
        <w:trPr>
          <w:trHeight w:val="115"/>
        </w:trPr>
        <w:tc>
          <w:tcPr>
            <w:tcW w:w="340" w:type="dxa"/>
            <w:vAlign w:val="bottom"/>
            <w:tcBorders>
              <w:bottom w:val="single" w:sz="8" w:color="0072CE"/>
            </w:tcBorders>
          </w:tcPr>
          <w:p>
            <w:pPr>
              <w:spacing w:after="0"/>
              <w:rPr>
                <w:sz w:val="10"/>
                <w:szCs w:val="10"/>
                <w:color w:val="auto"/>
              </w:rPr>
            </w:pPr>
          </w:p>
        </w:tc>
        <w:tc>
          <w:tcPr>
            <w:tcW w:w="3620" w:type="dxa"/>
            <w:vAlign w:val="bottom"/>
            <w:tcBorders>
              <w:bottom w:val="single" w:sz="8" w:color="0072CE"/>
            </w:tcBorders>
          </w:tcPr>
          <w:p>
            <w:pPr>
              <w:spacing w:after="0"/>
              <w:rPr>
                <w:sz w:val="10"/>
                <w:szCs w:val="10"/>
                <w:color w:val="auto"/>
              </w:rPr>
            </w:pPr>
          </w:p>
        </w:tc>
        <w:tc>
          <w:tcPr>
            <w:tcW w:w="420" w:type="dxa"/>
            <w:vAlign w:val="bottom"/>
            <w:tcBorders>
              <w:bottom w:val="single" w:sz="8" w:color="0072CE"/>
            </w:tcBorders>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340" w:type="dxa"/>
            <w:vAlign w:val="bottom"/>
            <w:shd w:val="clear" w:color="auto" w:fill="F0F3F5"/>
          </w:tcPr>
          <w:p>
            <w:pPr>
              <w:spacing w:after="0"/>
              <w:rPr>
                <w:sz w:val="19"/>
                <w:szCs w:val="19"/>
                <w:color w:val="auto"/>
              </w:rPr>
            </w:pPr>
          </w:p>
        </w:tc>
        <w:tc>
          <w:tcPr>
            <w:tcW w:w="3620" w:type="dxa"/>
            <w:vAlign w:val="bottom"/>
          </w:tcPr>
          <w:p>
            <w:pPr>
              <w:ind w:left="80"/>
              <w:spacing w:after="0"/>
              <w:rPr>
                <w:sz w:val="20"/>
                <w:szCs w:val="20"/>
                <w:color w:val="auto"/>
              </w:rPr>
            </w:pPr>
            <w:r>
              <w:rPr>
                <w:rFonts w:ascii="Arial" w:cs="Arial" w:eastAsia="Arial" w:hAnsi="Arial"/>
                <w:sz w:val="13"/>
                <w:szCs w:val="13"/>
                <w:color w:val="0072CE"/>
              </w:rPr>
              <w:t>ITEM NO. 2</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0072CE"/>
              </w:rPr>
              <w:t>38</w:t>
            </w:r>
          </w:p>
        </w:tc>
        <w:tc>
          <w:tcPr>
            <w:tcW w:w="0" w:type="dxa"/>
            <w:vAlign w:val="bottom"/>
          </w:tcPr>
          <w:p>
            <w:pPr>
              <w:spacing w:after="0"/>
              <w:rPr>
                <w:sz w:val="1"/>
                <w:szCs w:val="1"/>
                <w:color w:val="auto"/>
              </w:rPr>
            </w:pPr>
          </w:p>
        </w:tc>
      </w:tr>
      <w:tr>
        <w:trPr>
          <w:trHeight w:val="93"/>
        </w:trPr>
        <w:tc>
          <w:tcPr>
            <w:tcW w:w="340" w:type="dxa"/>
            <w:vAlign w:val="bottom"/>
            <w:shd w:val="clear" w:color="auto" w:fill="F0F3F5"/>
          </w:tcPr>
          <w:p>
            <w:pPr>
              <w:spacing w:after="0"/>
              <w:rPr>
                <w:sz w:val="8"/>
                <w:szCs w:val="8"/>
                <w:color w:val="auto"/>
              </w:rPr>
            </w:pPr>
          </w:p>
        </w:tc>
        <w:tc>
          <w:tcPr>
            <w:tcW w:w="3620" w:type="dxa"/>
            <w:vAlign w:val="bottom"/>
            <w:vMerge w:val="restart"/>
          </w:tcPr>
          <w:p>
            <w:pPr>
              <w:ind w:left="80"/>
              <w:spacing w:after="0" w:line="173" w:lineRule="exact"/>
              <w:rPr>
                <w:sz w:val="20"/>
                <w:szCs w:val="20"/>
                <w:color w:val="auto"/>
              </w:rPr>
            </w:pPr>
            <w:r>
              <w:rPr>
                <w:rFonts w:ascii="Arial" w:cs="Arial" w:eastAsia="Arial" w:hAnsi="Arial"/>
                <w:sz w:val="16"/>
                <w:szCs w:val="16"/>
                <w:b w:val="1"/>
                <w:bCs w:val="1"/>
                <w:color w:val="3D3935"/>
              </w:rPr>
              <w:t>Proposal to Ratify the Selection of Ernst &amp;</w:t>
            </w: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340" w:type="dxa"/>
            <w:vAlign w:val="bottom"/>
          </w:tcPr>
          <w:p>
            <w:pPr>
              <w:spacing w:after="0"/>
              <w:rPr>
                <w:sz w:val="6"/>
                <w:szCs w:val="6"/>
                <w:color w:val="auto"/>
              </w:rPr>
            </w:pPr>
          </w:p>
        </w:tc>
        <w:tc>
          <w:tcPr>
            <w:tcW w:w="3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3620" w:type="dxa"/>
            <w:vAlign w:val="bottom"/>
          </w:tcPr>
          <w:p>
            <w:pPr>
              <w:ind w:left="80"/>
              <w:spacing w:after="0"/>
              <w:rPr>
                <w:sz w:val="20"/>
                <w:szCs w:val="20"/>
                <w:color w:val="auto"/>
              </w:rPr>
            </w:pPr>
            <w:r>
              <w:rPr>
                <w:rFonts w:ascii="Arial" w:cs="Arial" w:eastAsia="Arial" w:hAnsi="Arial"/>
                <w:sz w:val="16"/>
                <w:szCs w:val="16"/>
                <w:b w:val="1"/>
                <w:bCs w:val="1"/>
                <w:color w:val="3D3935"/>
              </w:rPr>
              <w:t>Young LLP as the Company’s Independent</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620" w:type="dxa"/>
            <w:vAlign w:val="bottom"/>
          </w:tcPr>
          <w:p>
            <w:pPr>
              <w:ind w:left="80"/>
              <w:spacing w:after="0"/>
              <w:rPr>
                <w:sz w:val="20"/>
                <w:szCs w:val="20"/>
                <w:color w:val="auto"/>
              </w:rPr>
            </w:pPr>
            <w:r>
              <w:rPr>
                <w:rFonts w:ascii="Arial" w:cs="Arial" w:eastAsia="Arial" w:hAnsi="Arial"/>
                <w:sz w:val="16"/>
                <w:szCs w:val="16"/>
                <w:b w:val="1"/>
                <w:bCs w:val="1"/>
                <w:color w:val="3D3935"/>
              </w:rPr>
              <w:t>Registered Public Accounting Firm for 2025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gridSpan w:val="2"/>
          </w:tcPr>
          <w:p>
            <w:pPr>
              <w:ind w:left="160"/>
              <w:spacing w:after="0"/>
              <w:rPr>
                <w:sz w:val="20"/>
                <w:szCs w:val="20"/>
                <w:color w:val="auto"/>
              </w:rPr>
            </w:pPr>
            <w:r>
              <w:rPr>
                <w:rFonts w:ascii="Arial" w:cs="Arial" w:eastAsia="Arial" w:hAnsi="Arial"/>
                <w:sz w:val="14"/>
                <w:szCs w:val="14"/>
                <w:color w:val="3D3935"/>
              </w:rPr>
              <w:t>Audit Committee Report</w:t>
            </w:r>
          </w:p>
        </w:tc>
        <w:tc>
          <w:tcPr>
            <w:tcW w:w="420" w:type="dxa"/>
            <w:vAlign w:val="bottom"/>
          </w:tcPr>
          <w:p>
            <w:pPr>
              <w:jc w:val="right"/>
              <w:spacing w:after="0"/>
              <w:rPr>
                <w:sz w:val="20"/>
                <w:szCs w:val="20"/>
                <w:color w:val="auto"/>
              </w:rPr>
            </w:pPr>
            <w:r>
              <w:rPr>
                <w:rFonts w:ascii="Arial" w:cs="Arial" w:eastAsia="Arial" w:hAnsi="Arial"/>
                <w:sz w:val="14"/>
                <w:szCs w:val="14"/>
                <w:color w:val="3D3935"/>
              </w:rPr>
              <w:t>39</w:t>
            </w:r>
          </w:p>
        </w:tc>
        <w:tc>
          <w:tcPr>
            <w:tcW w:w="0" w:type="dxa"/>
            <w:vAlign w:val="bottom"/>
          </w:tcPr>
          <w:p>
            <w:pPr>
              <w:spacing w:after="0"/>
              <w:rPr>
                <w:sz w:val="1"/>
                <w:szCs w:val="1"/>
                <w:color w:val="auto"/>
              </w:rPr>
            </w:pPr>
          </w:p>
        </w:tc>
      </w:tr>
      <w:tr>
        <w:trPr>
          <w:trHeight w:val="201"/>
        </w:trPr>
        <w:tc>
          <w:tcPr>
            <w:tcW w:w="3960" w:type="dxa"/>
            <w:vAlign w:val="bottom"/>
            <w:gridSpan w:val="2"/>
          </w:tcPr>
          <w:p>
            <w:pPr>
              <w:ind w:left="160"/>
              <w:spacing w:after="0"/>
              <w:rPr>
                <w:sz w:val="20"/>
                <w:szCs w:val="20"/>
                <w:color w:val="auto"/>
              </w:rPr>
            </w:pPr>
            <w:r>
              <w:rPr>
                <w:rFonts w:ascii="Arial" w:cs="Arial" w:eastAsia="Arial" w:hAnsi="Arial"/>
                <w:sz w:val="14"/>
                <w:szCs w:val="14"/>
                <w:color w:val="3D3935"/>
              </w:rPr>
              <w:t>Fees Paid to Independent Registered Public</w:t>
            </w:r>
          </w:p>
        </w:tc>
        <w:tc>
          <w:tcPr>
            <w:tcW w:w="420" w:type="dxa"/>
            <w:vAlign w:val="bottom"/>
          </w:tcPr>
          <w:p>
            <w:pPr>
              <w:jc w:val="right"/>
              <w:spacing w:after="0"/>
              <w:rPr>
                <w:sz w:val="20"/>
                <w:szCs w:val="20"/>
                <w:color w:val="auto"/>
              </w:rPr>
            </w:pPr>
            <w:r>
              <w:rPr>
                <w:rFonts w:ascii="Arial" w:cs="Arial" w:eastAsia="Arial" w:hAnsi="Arial"/>
                <w:sz w:val="14"/>
                <w:szCs w:val="14"/>
                <w:color w:val="3D3935"/>
              </w:rPr>
              <w:t>41</w:t>
            </w:r>
          </w:p>
        </w:tc>
        <w:tc>
          <w:tcPr>
            <w:tcW w:w="0" w:type="dxa"/>
            <w:vAlign w:val="bottom"/>
          </w:tcPr>
          <w:p>
            <w:pPr>
              <w:spacing w:after="0"/>
              <w:rPr>
                <w:sz w:val="1"/>
                <w:szCs w:val="1"/>
                <w:color w:val="auto"/>
              </w:rPr>
            </w:pPr>
          </w:p>
        </w:tc>
      </w:tr>
      <w:tr>
        <w:trPr>
          <w:trHeight w:val="190"/>
        </w:trPr>
        <w:tc>
          <w:tcPr>
            <w:tcW w:w="3960" w:type="dxa"/>
            <w:vAlign w:val="bottom"/>
            <w:gridSpan w:val="2"/>
          </w:tcPr>
          <w:p>
            <w:pPr>
              <w:ind w:left="160"/>
              <w:spacing w:after="0"/>
              <w:rPr>
                <w:sz w:val="20"/>
                <w:szCs w:val="20"/>
                <w:color w:val="auto"/>
              </w:rPr>
            </w:pPr>
            <w:r>
              <w:rPr>
                <w:rFonts w:ascii="Arial" w:cs="Arial" w:eastAsia="Arial" w:hAnsi="Arial"/>
                <w:sz w:val="14"/>
                <w:szCs w:val="14"/>
                <w:color w:val="3D3935"/>
              </w:rPr>
              <w:t>Accounting Firm</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960" w:type="dxa"/>
            <w:vAlign w:val="bottom"/>
            <w:gridSpan w:val="2"/>
          </w:tcPr>
          <w:p>
            <w:pPr>
              <w:ind w:left="160"/>
              <w:spacing w:after="0"/>
              <w:rPr>
                <w:sz w:val="20"/>
                <w:szCs w:val="20"/>
                <w:color w:val="auto"/>
              </w:rPr>
            </w:pPr>
            <w:r>
              <w:rPr>
                <w:rFonts w:ascii="Arial" w:cs="Arial" w:eastAsia="Arial" w:hAnsi="Arial"/>
                <w:sz w:val="14"/>
                <w:szCs w:val="14"/>
                <w:color w:val="3D3935"/>
              </w:rPr>
              <w:t>Policy for Approval of Audit and Permitted</w:t>
            </w:r>
          </w:p>
        </w:tc>
        <w:tc>
          <w:tcPr>
            <w:tcW w:w="420" w:type="dxa"/>
            <w:vAlign w:val="bottom"/>
          </w:tcPr>
          <w:p>
            <w:pPr>
              <w:jc w:val="right"/>
              <w:spacing w:after="0"/>
              <w:rPr>
                <w:sz w:val="20"/>
                <w:szCs w:val="20"/>
                <w:color w:val="auto"/>
              </w:rPr>
            </w:pPr>
            <w:r>
              <w:rPr>
                <w:rFonts w:ascii="Arial" w:cs="Arial" w:eastAsia="Arial" w:hAnsi="Arial"/>
                <w:sz w:val="14"/>
                <w:szCs w:val="14"/>
                <w:color w:val="3D3935"/>
              </w:rPr>
              <w:t>41</w:t>
            </w:r>
          </w:p>
        </w:tc>
        <w:tc>
          <w:tcPr>
            <w:tcW w:w="0" w:type="dxa"/>
            <w:vAlign w:val="bottom"/>
          </w:tcPr>
          <w:p>
            <w:pPr>
              <w:spacing w:after="0"/>
              <w:rPr>
                <w:sz w:val="1"/>
                <w:szCs w:val="1"/>
                <w:color w:val="auto"/>
              </w:rPr>
            </w:pPr>
          </w:p>
        </w:tc>
      </w:tr>
      <w:tr>
        <w:trPr>
          <w:trHeight w:val="190"/>
        </w:trPr>
        <w:tc>
          <w:tcPr>
            <w:tcW w:w="3960" w:type="dxa"/>
            <w:vAlign w:val="bottom"/>
            <w:gridSpan w:val="2"/>
          </w:tcPr>
          <w:p>
            <w:pPr>
              <w:ind w:left="160"/>
              <w:spacing w:after="0"/>
              <w:rPr>
                <w:sz w:val="20"/>
                <w:szCs w:val="20"/>
                <w:color w:val="auto"/>
              </w:rPr>
            </w:pPr>
            <w:r>
              <w:rPr>
                <w:rFonts w:ascii="Arial" w:cs="Arial" w:eastAsia="Arial" w:hAnsi="Arial"/>
                <w:sz w:val="14"/>
                <w:szCs w:val="14"/>
                <w:color w:val="3D3935"/>
              </w:rPr>
              <w:t>Non-Audit Services</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700" w:type="dxa"/>
            <w:vAlign w:val="bottom"/>
          </w:tcPr>
          <w:p>
            <w:pPr>
              <w:spacing w:after="0"/>
              <w:rPr>
                <w:sz w:val="20"/>
                <w:szCs w:val="20"/>
                <w:color w:val="auto"/>
              </w:rPr>
            </w:pPr>
            <w:r>
              <w:rPr>
                <w:rFonts w:ascii="Arial" w:cs="Arial" w:eastAsia="Arial" w:hAnsi="Arial"/>
                <w:sz w:val="16"/>
                <w:szCs w:val="16"/>
                <w:b w:val="1"/>
                <w:bCs w:val="1"/>
                <w:color w:val="0072CE"/>
              </w:rPr>
              <w:t>Security Ownership Information</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0072CE"/>
              </w:rPr>
              <w:t>88</w:t>
            </w:r>
          </w:p>
        </w:tc>
      </w:tr>
      <w:tr>
        <w:trPr>
          <w:trHeight w:val="214"/>
        </w:trPr>
        <w:tc>
          <w:tcPr>
            <w:tcW w:w="3700" w:type="dxa"/>
            <w:vAlign w:val="bottom"/>
          </w:tcPr>
          <w:p>
            <w:pPr>
              <w:ind w:left="100"/>
              <w:spacing w:after="0"/>
              <w:rPr>
                <w:sz w:val="20"/>
                <w:szCs w:val="20"/>
                <w:color w:val="auto"/>
              </w:rPr>
            </w:pPr>
            <w:r>
              <w:rPr>
                <w:rFonts w:ascii="Arial" w:cs="Arial" w:eastAsia="Arial" w:hAnsi="Arial"/>
                <w:sz w:val="14"/>
                <w:szCs w:val="14"/>
                <w:color w:val="3D3935"/>
              </w:rPr>
              <w:t>Security Ownership of Directors, Named Executive</w:t>
            </w:r>
          </w:p>
        </w:tc>
        <w:tc>
          <w:tcPr>
            <w:tcW w:w="560" w:type="dxa"/>
            <w:vAlign w:val="bottom"/>
          </w:tcPr>
          <w:p>
            <w:pPr>
              <w:jc w:val="right"/>
              <w:spacing w:after="0"/>
              <w:rPr>
                <w:sz w:val="20"/>
                <w:szCs w:val="20"/>
                <w:color w:val="auto"/>
              </w:rPr>
            </w:pPr>
            <w:r>
              <w:rPr>
                <w:rFonts w:ascii="Arial" w:cs="Arial" w:eastAsia="Arial" w:hAnsi="Arial"/>
                <w:sz w:val="14"/>
                <w:szCs w:val="14"/>
                <w:color w:val="3D3935"/>
              </w:rPr>
              <w:t>88</w:t>
            </w:r>
          </w:p>
        </w:tc>
      </w:tr>
      <w:tr>
        <w:trPr>
          <w:trHeight w:val="190"/>
        </w:trPr>
        <w:tc>
          <w:tcPr>
            <w:tcW w:w="3700" w:type="dxa"/>
            <w:vAlign w:val="bottom"/>
          </w:tcPr>
          <w:p>
            <w:pPr>
              <w:ind w:left="100"/>
              <w:spacing w:after="0"/>
              <w:rPr>
                <w:sz w:val="20"/>
                <w:szCs w:val="20"/>
                <w:color w:val="auto"/>
              </w:rPr>
            </w:pPr>
            <w:r>
              <w:rPr>
                <w:rFonts w:ascii="Arial" w:cs="Arial" w:eastAsia="Arial" w:hAnsi="Arial"/>
                <w:sz w:val="14"/>
                <w:szCs w:val="14"/>
                <w:color w:val="3D3935"/>
              </w:rPr>
              <w:t>Officers, and Certain other Beneficial Owners</w:t>
            </w:r>
          </w:p>
        </w:tc>
        <w:tc>
          <w:tcPr>
            <w:tcW w:w="560" w:type="dxa"/>
            <w:vAlign w:val="bottom"/>
          </w:tcPr>
          <w:p>
            <w:pPr>
              <w:spacing w:after="0"/>
              <w:rPr>
                <w:sz w:val="16"/>
                <w:szCs w:val="16"/>
                <w:color w:val="auto"/>
              </w:rPr>
            </w:pPr>
          </w:p>
        </w:tc>
      </w:tr>
      <w:tr>
        <w:trPr>
          <w:trHeight w:val="230"/>
        </w:trPr>
        <w:tc>
          <w:tcPr>
            <w:tcW w:w="3700" w:type="dxa"/>
            <w:vAlign w:val="bottom"/>
          </w:tcPr>
          <w:p>
            <w:pPr>
              <w:ind w:left="100"/>
              <w:spacing w:after="0"/>
              <w:rPr>
                <w:sz w:val="20"/>
                <w:szCs w:val="20"/>
                <w:color w:val="auto"/>
              </w:rPr>
            </w:pPr>
            <w:r>
              <w:rPr>
                <w:rFonts w:ascii="Arial" w:cs="Arial" w:eastAsia="Arial" w:hAnsi="Arial"/>
                <w:sz w:val="14"/>
                <w:szCs w:val="14"/>
                <w:color w:val="3D3935"/>
              </w:rPr>
              <w:t>Delinquent Section 16(a) Reporting</w:t>
            </w:r>
          </w:p>
        </w:tc>
        <w:tc>
          <w:tcPr>
            <w:tcW w:w="560" w:type="dxa"/>
            <w:vAlign w:val="bottom"/>
          </w:tcPr>
          <w:p>
            <w:pPr>
              <w:jc w:val="right"/>
              <w:spacing w:after="0"/>
              <w:rPr>
                <w:sz w:val="20"/>
                <w:szCs w:val="20"/>
                <w:color w:val="auto"/>
              </w:rPr>
            </w:pPr>
            <w:r>
              <w:rPr>
                <w:rFonts w:ascii="Arial" w:cs="Arial" w:eastAsia="Arial" w:hAnsi="Arial"/>
                <w:sz w:val="14"/>
                <w:szCs w:val="14"/>
                <w:color w:val="3D3935"/>
              </w:rPr>
              <w:t>89</w:t>
            </w:r>
          </w:p>
        </w:tc>
      </w:tr>
      <w:tr>
        <w:trPr>
          <w:trHeight w:val="230"/>
        </w:trPr>
        <w:tc>
          <w:tcPr>
            <w:tcW w:w="3700" w:type="dxa"/>
            <w:vAlign w:val="bottom"/>
          </w:tcPr>
          <w:p>
            <w:pPr>
              <w:ind w:left="100"/>
              <w:spacing w:after="0"/>
              <w:rPr>
                <w:sz w:val="20"/>
                <w:szCs w:val="20"/>
                <w:color w:val="auto"/>
              </w:rPr>
            </w:pPr>
            <w:r>
              <w:rPr>
                <w:rFonts w:ascii="Arial" w:cs="Arial" w:eastAsia="Arial" w:hAnsi="Arial"/>
                <w:sz w:val="14"/>
                <w:szCs w:val="14"/>
                <w:color w:val="3D3935"/>
              </w:rPr>
              <w:t>Equity Compensation Plan Information</w:t>
            </w:r>
          </w:p>
        </w:tc>
        <w:tc>
          <w:tcPr>
            <w:tcW w:w="560" w:type="dxa"/>
            <w:vAlign w:val="bottom"/>
          </w:tcPr>
          <w:p>
            <w:pPr>
              <w:jc w:val="right"/>
              <w:spacing w:after="0"/>
              <w:rPr>
                <w:sz w:val="20"/>
                <w:szCs w:val="20"/>
                <w:color w:val="auto"/>
              </w:rPr>
            </w:pPr>
            <w:r>
              <w:rPr>
                <w:rFonts w:ascii="Arial" w:cs="Arial" w:eastAsia="Arial" w:hAnsi="Arial"/>
                <w:sz w:val="14"/>
                <w:szCs w:val="14"/>
                <w:color w:val="3D3935"/>
              </w:rPr>
              <w:t>90</w:t>
            </w:r>
          </w:p>
        </w:tc>
      </w:tr>
    </w:tbl>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60" w:type="dxa"/>
            <w:vAlign w:val="bottom"/>
          </w:tcPr>
          <w:p>
            <w:pPr>
              <w:spacing w:after="0"/>
              <w:rPr>
                <w:sz w:val="20"/>
                <w:szCs w:val="20"/>
                <w:color w:val="auto"/>
              </w:rPr>
            </w:pPr>
            <w:r>
              <w:rPr>
                <w:rFonts w:ascii="Arial" w:cs="Arial" w:eastAsia="Arial" w:hAnsi="Arial"/>
                <w:sz w:val="16"/>
                <w:szCs w:val="16"/>
                <w:b w:val="1"/>
                <w:bCs w:val="1"/>
                <w:color w:val="0072CE"/>
              </w:rPr>
              <w:t>General Information About the Annual Meeting</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0072CE"/>
              </w:rPr>
              <w:t>91</w:t>
            </w:r>
          </w:p>
        </w:tc>
      </w:tr>
      <w:tr>
        <w:trPr>
          <w:trHeight w:val="243"/>
        </w:trPr>
        <w:tc>
          <w:tcPr>
            <w:tcW w:w="3860" w:type="dxa"/>
            <w:vAlign w:val="bottom"/>
          </w:tcPr>
          <w:p>
            <w:pPr>
              <w:ind w:left="100"/>
              <w:spacing w:after="0"/>
              <w:rPr>
                <w:sz w:val="20"/>
                <w:szCs w:val="20"/>
                <w:color w:val="auto"/>
              </w:rPr>
            </w:pPr>
            <w:r>
              <w:rPr>
                <w:rFonts w:ascii="Arial" w:cs="Arial" w:eastAsia="Arial" w:hAnsi="Arial"/>
                <w:sz w:val="14"/>
                <w:szCs w:val="14"/>
                <w:color w:val="3D3935"/>
              </w:rPr>
              <w:t>Voting and Meeting Information</w:t>
            </w:r>
          </w:p>
        </w:tc>
        <w:tc>
          <w:tcPr>
            <w:tcW w:w="440" w:type="dxa"/>
            <w:vAlign w:val="bottom"/>
          </w:tcPr>
          <w:p>
            <w:pPr>
              <w:jc w:val="right"/>
              <w:spacing w:after="0"/>
              <w:rPr>
                <w:sz w:val="20"/>
                <w:szCs w:val="20"/>
                <w:color w:val="auto"/>
              </w:rPr>
            </w:pPr>
            <w:r>
              <w:rPr>
                <w:rFonts w:ascii="Arial" w:cs="Arial" w:eastAsia="Arial" w:hAnsi="Arial"/>
                <w:sz w:val="14"/>
                <w:szCs w:val="14"/>
                <w:color w:val="3D3935"/>
              </w:rPr>
              <w:t>91</w:t>
            </w:r>
          </w:p>
        </w:tc>
      </w:tr>
      <w:tr>
        <w:trPr>
          <w:trHeight w:val="304"/>
        </w:trPr>
        <w:tc>
          <w:tcPr>
            <w:tcW w:w="3860" w:type="dxa"/>
            <w:vAlign w:val="bottom"/>
          </w:tcPr>
          <w:p>
            <w:pPr>
              <w:spacing w:after="0"/>
              <w:rPr>
                <w:sz w:val="20"/>
                <w:szCs w:val="20"/>
                <w:color w:val="auto"/>
              </w:rPr>
            </w:pPr>
            <w:r>
              <w:rPr>
                <w:rFonts w:ascii="Arial" w:cs="Arial" w:eastAsia="Arial" w:hAnsi="Arial"/>
                <w:sz w:val="16"/>
                <w:szCs w:val="16"/>
                <w:b w:val="1"/>
                <w:bCs w:val="1"/>
                <w:color w:val="0072CE"/>
              </w:rPr>
              <w:t>Defined Terms, Commonly Used Acronyms, and</w:t>
            </w:r>
          </w:p>
        </w:tc>
        <w:tc>
          <w:tcPr>
            <w:tcW w:w="440" w:type="dxa"/>
            <w:vAlign w:val="bottom"/>
          </w:tcPr>
          <w:p>
            <w:pPr>
              <w:jc w:val="center"/>
              <w:ind w:left="101"/>
              <w:spacing w:after="0"/>
              <w:rPr>
                <w:sz w:val="20"/>
                <w:szCs w:val="20"/>
                <w:color w:val="auto"/>
              </w:rPr>
            </w:pPr>
            <w:r>
              <w:rPr>
                <w:rFonts w:ascii="Arial" w:cs="Arial" w:eastAsia="Arial" w:hAnsi="Arial"/>
                <w:sz w:val="16"/>
                <w:szCs w:val="16"/>
                <w:b w:val="1"/>
                <w:bCs w:val="1"/>
                <w:color w:val="0072CE"/>
              </w:rPr>
              <w:t>96</w:t>
            </w:r>
          </w:p>
        </w:tc>
      </w:tr>
      <w:tr>
        <w:trPr>
          <w:trHeight w:val="223"/>
        </w:trPr>
        <w:tc>
          <w:tcPr>
            <w:tcW w:w="3860" w:type="dxa"/>
            <w:vAlign w:val="bottom"/>
          </w:tcPr>
          <w:p>
            <w:pPr>
              <w:spacing w:after="0"/>
              <w:rPr>
                <w:sz w:val="20"/>
                <w:szCs w:val="20"/>
                <w:color w:val="auto"/>
              </w:rPr>
            </w:pPr>
            <w:r>
              <w:rPr>
                <w:rFonts w:ascii="Arial" w:cs="Arial" w:eastAsia="Arial" w:hAnsi="Arial"/>
                <w:sz w:val="16"/>
                <w:szCs w:val="16"/>
                <w:b w:val="1"/>
                <w:bCs w:val="1"/>
                <w:color w:val="0072D8"/>
              </w:rPr>
              <w:t>Cautionary Statements</w:t>
            </w:r>
          </w:p>
        </w:tc>
        <w:tc>
          <w:tcPr>
            <w:tcW w:w="440" w:type="dxa"/>
            <w:vAlign w:val="bottom"/>
          </w:tcPr>
          <w:p>
            <w:pPr>
              <w:spacing w:after="0"/>
              <w:rPr>
                <w:sz w:val="19"/>
                <w:szCs w:val="19"/>
                <w:color w:val="auto"/>
              </w:rPr>
            </w:pPr>
          </w:p>
        </w:tc>
      </w:tr>
      <w:tr>
        <w:trPr>
          <w:trHeight w:val="310"/>
        </w:trPr>
        <w:tc>
          <w:tcPr>
            <w:tcW w:w="3860" w:type="dxa"/>
            <w:vAlign w:val="bottom"/>
          </w:tcPr>
          <w:p>
            <w:pPr>
              <w:spacing w:after="0"/>
              <w:rPr>
                <w:sz w:val="20"/>
                <w:szCs w:val="20"/>
                <w:color w:val="auto"/>
              </w:rPr>
            </w:pPr>
            <w:r>
              <w:rPr>
                <w:rFonts w:ascii="Arial" w:cs="Arial" w:eastAsia="Arial" w:hAnsi="Arial"/>
                <w:sz w:val="16"/>
                <w:szCs w:val="16"/>
                <w:b w:val="1"/>
                <w:bCs w:val="1"/>
                <w:color w:val="0072CE"/>
              </w:rPr>
              <w:t>Appendix A: Non-GAAP Financial Measure</w:t>
            </w:r>
          </w:p>
        </w:tc>
        <w:tc>
          <w:tcPr>
            <w:tcW w:w="440" w:type="dxa"/>
            <w:vAlign w:val="bottom"/>
          </w:tcPr>
          <w:p>
            <w:pPr>
              <w:jc w:val="center"/>
              <w:ind w:left="81"/>
              <w:spacing w:after="0"/>
              <w:rPr>
                <w:sz w:val="20"/>
                <w:szCs w:val="20"/>
                <w:color w:val="auto"/>
              </w:rPr>
            </w:pPr>
            <w:r>
              <w:rPr>
                <w:rFonts w:ascii="Arial" w:cs="Arial" w:eastAsia="Arial" w:hAnsi="Arial"/>
                <w:sz w:val="16"/>
                <w:szCs w:val="16"/>
                <w:b w:val="1"/>
                <w:bCs w:val="1"/>
                <w:color w:val="0072CE"/>
              </w:rPr>
              <w:t>A-1</w:t>
            </w:r>
          </w:p>
        </w:tc>
      </w:tr>
      <w:tr>
        <w:trPr>
          <w:trHeight w:val="317"/>
        </w:trPr>
        <w:tc>
          <w:tcPr>
            <w:tcW w:w="3860" w:type="dxa"/>
            <w:vAlign w:val="bottom"/>
          </w:tcPr>
          <w:p>
            <w:pPr>
              <w:spacing w:after="0"/>
              <w:rPr>
                <w:sz w:val="20"/>
                <w:szCs w:val="20"/>
                <w:color w:val="auto"/>
              </w:rPr>
            </w:pPr>
            <w:r>
              <w:rPr>
                <w:rFonts w:ascii="Arial" w:cs="Arial" w:eastAsia="Arial" w:hAnsi="Arial"/>
                <w:sz w:val="16"/>
                <w:szCs w:val="16"/>
                <w:b w:val="1"/>
                <w:bCs w:val="1"/>
                <w:color w:val="0072CE"/>
              </w:rPr>
              <w:t>Appendix B: Proposed Amendments to the</w:t>
            </w:r>
          </w:p>
        </w:tc>
        <w:tc>
          <w:tcPr>
            <w:tcW w:w="440" w:type="dxa"/>
            <w:vAlign w:val="bottom"/>
          </w:tcPr>
          <w:p>
            <w:pPr>
              <w:jc w:val="center"/>
              <w:ind w:left="81"/>
              <w:spacing w:after="0"/>
              <w:rPr>
                <w:sz w:val="20"/>
                <w:szCs w:val="20"/>
                <w:color w:val="auto"/>
              </w:rPr>
            </w:pPr>
            <w:r>
              <w:rPr>
                <w:rFonts w:ascii="Arial" w:cs="Arial" w:eastAsia="Arial" w:hAnsi="Arial"/>
                <w:sz w:val="16"/>
                <w:szCs w:val="16"/>
                <w:b w:val="1"/>
                <w:bCs w:val="1"/>
                <w:color w:val="0072CE"/>
              </w:rPr>
              <w:t>B-1</w:t>
            </w:r>
          </w:p>
        </w:tc>
      </w:tr>
      <w:tr>
        <w:trPr>
          <w:trHeight w:val="223"/>
        </w:trPr>
        <w:tc>
          <w:tcPr>
            <w:tcW w:w="3860" w:type="dxa"/>
            <w:vAlign w:val="bottom"/>
          </w:tcPr>
          <w:p>
            <w:pPr>
              <w:spacing w:after="0"/>
              <w:rPr>
                <w:sz w:val="20"/>
                <w:szCs w:val="20"/>
                <w:color w:val="auto"/>
              </w:rPr>
            </w:pPr>
            <w:r>
              <w:rPr>
                <w:rFonts w:ascii="Arial" w:cs="Arial" w:eastAsia="Arial" w:hAnsi="Arial"/>
                <w:sz w:val="16"/>
                <w:szCs w:val="16"/>
                <w:b w:val="1"/>
                <w:bCs w:val="1"/>
                <w:color w:val="0072CE"/>
              </w:rPr>
              <w:t>Company’s Certificate of Incorporation</w:t>
            </w:r>
          </w:p>
        </w:tc>
        <w:tc>
          <w:tcPr>
            <w:tcW w:w="44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2">
            <w:col w:w="4380" w:space="380"/>
            <w:col w:w="4320"/>
          </w:cols>
          <w:pgMar w:left="1400" w:top="0" w:right="1419" w:bottom="75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419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10375" cy="419100"/>
                    </a:xfrm>
                    <a:prstGeom prst="rect">
                      <a:avLst/>
                    </a:prstGeom>
                    <a:noFill/>
                  </pic:spPr>
                </pic:pic>
              </a:graphicData>
            </a:graphic>
          </wp:anchor>
        </w:drawing>
      </w:r>
    </w:p>
    <w:p>
      <w:pPr>
        <w:sectPr>
          <w:pgSz w:w="11900" w:h="16838" w:orient="portrait"/>
          <w:cols w:equalWidth="0" w:num="1">
            <w:col w:w="9080"/>
          </w:cols>
          <w:pgMar w:left="1400" w:top="0" w:right="1419" w:bottom="754" w:gutter="0" w:footer="0" w:header="0"/>
          <w:type w:val="continuous"/>
        </w:sectPr>
      </w:pPr>
    </w:p>
    <w:bookmarkStart w:id="6" w:name="page7"/>
    <w:bookmarkEnd w:id="6"/>
    <w:p>
      <w:pPr>
        <w:ind w:left="60"/>
        <w:spacing w:after="0"/>
        <w:rPr>
          <w:sz w:val="20"/>
          <w:szCs w:val="20"/>
          <w:color w:val="auto"/>
        </w:rPr>
      </w:pPr>
      <w:r>
        <w:rPr>
          <w:rFonts w:ascii="Arial" w:cs="Arial" w:eastAsia="Arial" w:hAnsi="Arial"/>
          <w:sz w:val="49"/>
          <w:szCs w:val="49"/>
          <w:b w:val="1"/>
          <w:bCs w:val="1"/>
          <w:color w:val="3D3935"/>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8437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10375" cy="8437245"/>
                    </a:xfrm>
                    <a:prstGeom prst="rect">
                      <a:avLst/>
                    </a:prstGeom>
                    <a:noFill/>
                  </pic:spPr>
                </pic:pic>
              </a:graphicData>
            </a:graphic>
          </wp:anchor>
        </w:drawing>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Proxy Voting Roadmap</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3D3935"/>
        </w:rPr>
        <w:t>Shareholders will be asked to vote on the following matters at the Annual Meeting:</w:t>
      </w:r>
    </w:p>
    <w:p>
      <w:pPr>
        <w:spacing w:after="0" w:line="316"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ITEM 1</w:t>
      </w:r>
    </w:p>
    <w:p>
      <w:pPr>
        <w:sectPr>
          <w:pgSz w:w="11900" w:h="16838" w:orient="portrait"/>
          <w:cols w:equalWidth="0" w:num="1">
            <w:col w:w="9060"/>
          </w:cols>
          <w:pgMar w:left="1400" w:top="622" w:right="1439" w:bottom="0" w:gutter="0" w:footer="0" w:header="0"/>
        </w:sectPr>
      </w:pPr>
    </w:p>
    <w:p>
      <w:pPr>
        <w:spacing w:after="0" w:line="148" w:lineRule="exact"/>
        <w:rPr>
          <w:sz w:val="20"/>
          <w:szCs w:val="20"/>
          <w:color w:val="auto"/>
        </w:rPr>
      </w:pPr>
    </w:p>
    <w:p>
      <w:pPr>
        <w:ind w:left="60"/>
        <w:spacing w:after="0"/>
        <w:rPr>
          <w:sz w:val="20"/>
          <w:szCs w:val="20"/>
          <w:color w:val="auto"/>
        </w:rPr>
      </w:pPr>
      <w:r>
        <w:rPr>
          <w:rFonts w:ascii="Arial" w:cs="Arial" w:eastAsia="Arial" w:hAnsi="Arial"/>
          <w:sz w:val="23"/>
          <w:szCs w:val="23"/>
          <w:b w:val="1"/>
          <w:bCs w:val="1"/>
          <w:color w:val="3D3935"/>
        </w:rPr>
        <w:t>Annual Election of Directors</w:t>
      </w:r>
    </w:p>
    <w:p>
      <w:pPr>
        <w:spacing w:after="0" w:line="65" w:lineRule="exact"/>
        <w:rPr>
          <w:sz w:val="20"/>
          <w:szCs w:val="20"/>
          <w:color w:val="auto"/>
        </w:rPr>
      </w:pPr>
    </w:p>
    <w:p>
      <w:pPr>
        <w:ind w:left="240" w:right="500" w:hanging="185"/>
        <w:spacing w:after="0" w:line="316" w:lineRule="auto"/>
        <w:tabs>
          <w:tab w:leader="none" w:pos="240" w:val="left"/>
        </w:tabs>
        <w:numPr>
          <w:ilvl w:val="0"/>
          <w:numId w:val="7"/>
        </w:numPr>
        <w:rPr>
          <w:rFonts w:ascii="Arial" w:cs="Arial" w:eastAsia="Arial" w:hAnsi="Arial"/>
          <w:sz w:val="16"/>
          <w:szCs w:val="16"/>
          <w:color w:val="0072CE"/>
        </w:rPr>
      </w:pPr>
      <w:r>
        <w:rPr>
          <w:rFonts w:ascii="Arial" w:cs="Arial" w:eastAsia="Arial" w:hAnsi="Arial"/>
          <w:sz w:val="16"/>
          <w:szCs w:val="16"/>
          <w:color w:val="3D3935"/>
        </w:rPr>
        <w:t>Our nominees possess the comprehensive skills and expertise the Company needs now to meet our strategic direction.</w:t>
      </w:r>
    </w:p>
    <w:p>
      <w:pPr>
        <w:spacing w:after="0" w:line="1" w:lineRule="exact"/>
        <w:rPr>
          <w:rFonts w:ascii="Arial" w:cs="Arial" w:eastAsia="Arial" w:hAnsi="Arial"/>
          <w:sz w:val="16"/>
          <w:szCs w:val="16"/>
          <w:color w:val="0072CE"/>
        </w:rPr>
      </w:pPr>
    </w:p>
    <w:p>
      <w:pPr>
        <w:ind w:left="240"/>
        <w:spacing w:after="0"/>
        <w:rPr>
          <w:rFonts w:ascii="Arial" w:cs="Arial" w:eastAsia="Arial" w:hAnsi="Arial"/>
          <w:sz w:val="16"/>
          <w:szCs w:val="16"/>
          <w:color w:val="0072CE"/>
        </w:rPr>
      </w:pPr>
      <w:r>
        <w:rPr>
          <w:rFonts w:ascii="Arial" w:cs="Arial" w:eastAsia="Arial" w:hAnsi="Arial"/>
          <w:sz w:val="16"/>
          <w:szCs w:val="16"/>
          <w:color w:val="3D3935"/>
        </w:rPr>
        <w:t xml:space="preserve">See page </w:t>
      </w:r>
      <w:r>
        <w:rPr>
          <w:rFonts w:ascii="Arial" w:cs="Arial" w:eastAsia="Arial" w:hAnsi="Arial"/>
          <w:sz w:val="16"/>
          <w:szCs w:val="16"/>
          <w:b w:val="1"/>
          <w:bCs w:val="1"/>
          <w:color w:val="3D3935"/>
        </w:rPr>
        <w:t>8</w:t>
      </w:r>
    </w:p>
    <w:p>
      <w:pPr>
        <w:spacing w:after="0" w:line="35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FFFFFF"/>
        </w:rPr>
        <w:t>ITEM 2</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3D3935"/>
        </w:rPr>
        <w:t xml:space="preserve">The Board recommends a vote </w:t>
      </w:r>
      <w:r>
        <w:rPr>
          <w:rFonts w:ascii="Arial" w:cs="Arial" w:eastAsia="Arial" w:hAnsi="Arial"/>
          <w:sz w:val="17"/>
          <w:szCs w:val="17"/>
          <w:b w:val="1"/>
          <w:bCs w:val="1"/>
          <w:color w:val="3D3935"/>
        </w:rPr>
        <w:t>FOR</w:t>
      </w:r>
      <w:r>
        <w:rPr>
          <w:rFonts w:ascii="Arial" w:cs="Arial" w:eastAsia="Arial" w:hAnsi="Arial"/>
          <w:sz w:val="17"/>
          <w:szCs w:val="17"/>
          <w:color w:val="3D3935"/>
        </w:rPr>
        <w:t xml:space="preserve"> each director nominee</w:t>
      </w:r>
    </w:p>
    <w:p>
      <w:pPr>
        <w:spacing w:after="0" w:line="893" w:lineRule="exact"/>
        <w:rPr>
          <w:sz w:val="20"/>
          <w:szCs w:val="20"/>
          <w:color w:val="auto"/>
        </w:rPr>
      </w:pPr>
    </w:p>
    <w:p>
      <w:pPr>
        <w:sectPr>
          <w:pgSz w:w="11900" w:h="16838" w:orient="portrait"/>
          <w:cols w:equalWidth="0" w:num="2">
            <w:col w:w="6240" w:space="720"/>
            <w:col w:w="2100"/>
          </w:cols>
          <w:pgMar w:left="1400" w:top="622" w:right="1439" w:bottom="0" w:gutter="0" w:footer="0" w:header="0"/>
          <w:type w:val="continuous"/>
        </w:sectPr>
      </w:pPr>
    </w:p>
    <w:p>
      <w:pPr>
        <w:ind w:left="60" w:right="200"/>
        <w:spacing w:after="0" w:line="254" w:lineRule="auto"/>
        <w:rPr>
          <w:sz w:val="20"/>
          <w:szCs w:val="20"/>
          <w:color w:val="auto"/>
        </w:rPr>
      </w:pPr>
      <w:r>
        <w:rPr>
          <w:rFonts w:ascii="Arial" w:cs="Arial" w:eastAsia="Arial" w:hAnsi="Arial"/>
          <w:sz w:val="23"/>
          <w:szCs w:val="23"/>
          <w:b w:val="1"/>
          <w:bCs w:val="1"/>
          <w:color w:val="3D3935"/>
        </w:rPr>
        <w:t>Proposal to Ratify the Selection of Ernst &amp; Young LLP as the Company’s Independent Registered Public Accounting Firm for 2025</w:t>
      </w:r>
    </w:p>
    <w:p>
      <w:pPr>
        <w:spacing w:after="0" w:line="3" w:lineRule="exact"/>
        <w:rPr>
          <w:sz w:val="20"/>
          <w:szCs w:val="20"/>
          <w:color w:val="auto"/>
        </w:rPr>
      </w:pPr>
    </w:p>
    <w:p>
      <w:pPr>
        <w:ind w:left="240" w:right="920" w:hanging="185"/>
        <w:spacing w:after="0" w:line="342" w:lineRule="auto"/>
        <w:tabs>
          <w:tab w:leader="none" w:pos="240" w:val="left"/>
        </w:tabs>
        <w:numPr>
          <w:ilvl w:val="0"/>
          <w:numId w:val="8"/>
        </w:numPr>
        <w:rPr>
          <w:rFonts w:ascii="Arial" w:cs="Arial" w:eastAsia="Arial" w:hAnsi="Arial"/>
          <w:sz w:val="16"/>
          <w:szCs w:val="16"/>
          <w:color w:val="0072CE"/>
        </w:rPr>
      </w:pPr>
      <w:r>
        <w:rPr>
          <w:rFonts w:ascii="Arial" w:cs="Arial" w:eastAsia="Arial" w:hAnsi="Arial"/>
          <w:sz w:val="16"/>
          <w:szCs w:val="16"/>
          <w:color w:val="3D3935"/>
        </w:rPr>
        <w:t xml:space="preserve">Ernst &amp; Young LLP is an independent auditing firm with the required knowledge and experience to effectively audit our financial statements. See page </w:t>
      </w:r>
      <w:r>
        <w:rPr>
          <w:rFonts w:ascii="Arial" w:cs="Arial" w:eastAsia="Arial" w:hAnsi="Arial"/>
          <w:sz w:val="16"/>
          <w:szCs w:val="16"/>
          <w:b w:val="1"/>
          <w:bCs w:val="1"/>
          <w:color w:val="3D3935"/>
        </w:rPr>
        <w:t>38</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3D3935"/>
        </w:rPr>
        <w:t>The Board recommends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3D3935"/>
        </w:rPr>
        <w:t xml:space="preserve">a vote </w:t>
      </w:r>
      <w:r>
        <w:rPr>
          <w:rFonts w:ascii="Arial" w:cs="Arial" w:eastAsia="Arial" w:hAnsi="Arial"/>
          <w:sz w:val="18"/>
          <w:szCs w:val="18"/>
          <w:b w:val="1"/>
          <w:bCs w:val="1"/>
          <w:color w:val="3D3935"/>
        </w:rPr>
        <w:t>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D3935"/>
        </w:rPr>
        <w:t>this proposal</w:t>
      </w:r>
    </w:p>
    <w:p>
      <w:pPr>
        <w:spacing w:after="0" w:line="872" w:lineRule="exact"/>
        <w:rPr>
          <w:sz w:val="20"/>
          <w:szCs w:val="20"/>
          <w:color w:val="auto"/>
        </w:rPr>
      </w:pPr>
    </w:p>
    <w:p>
      <w:pPr>
        <w:sectPr>
          <w:pgSz w:w="11900" w:h="16838" w:orient="portrait"/>
          <w:cols w:equalWidth="0" w:num="2">
            <w:col w:w="6240" w:space="720"/>
            <w:col w:w="2100"/>
          </w:cols>
          <w:pgMar w:left="1400" w:top="622" w:right="1439" w:bottom="0" w:gutter="0" w:footer="0" w:header="0"/>
          <w:type w:val="continuous"/>
        </w:sectPr>
      </w:pPr>
    </w:p>
    <w:p>
      <w:pPr>
        <w:ind w:left="80"/>
        <w:spacing w:after="0"/>
        <w:rPr>
          <w:sz w:val="20"/>
          <w:szCs w:val="20"/>
          <w:color w:val="auto"/>
        </w:rPr>
      </w:pPr>
      <w:r>
        <w:rPr>
          <w:rFonts w:ascii="Arial" w:cs="Arial" w:eastAsia="Arial" w:hAnsi="Arial"/>
          <w:sz w:val="16"/>
          <w:szCs w:val="16"/>
          <w:b w:val="1"/>
          <w:bCs w:val="1"/>
          <w:color w:val="FFFFFF"/>
        </w:rPr>
        <w:t>ITEM 3</w:t>
      </w:r>
    </w:p>
    <w:p>
      <w:pPr>
        <w:sectPr>
          <w:pgSz w:w="11900" w:h="16838" w:orient="portrait"/>
          <w:cols w:equalWidth="0" w:num="1">
            <w:col w:w="9060"/>
          </w:cols>
          <w:pgMar w:left="1400" w:top="622" w:right="1439" w:bottom="0" w:gutter="0" w:footer="0" w:header="0"/>
          <w:type w:val="continuous"/>
        </w:sectPr>
      </w:pPr>
    </w:p>
    <w:p>
      <w:pPr>
        <w:spacing w:after="0" w:line="134" w:lineRule="exact"/>
        <w:rPr>
          <w:sz w:val="20"/>
          <w:szCs w:val="20"/>
          <w:color w:val="auto"/>
        </w:rPr>
      </w:pPr>
    </w:p>
    <w:p>
      <w:pPr>
        <w:ind w:left="60" w:right="460"/>
        <w:spacing w:after="0" w:line="265" w:lineRule="auto"/>
        <w:rPr>
          <w:sz w:val="20"/>
          <w:szCs w:val="20"/>
          <w:color w:val="auto"/>
        </w:rPr>
      </w:pPr>
      <w:r>
        <w:rPr>
          <w:rFonts w:ascii="Arial" w:cs="Arial" w:eastAsia="Arial" w:hAnsi="Arial"/>
          <w:sz w:val="23"/>
          <w:szCs w:val="23"/>
          <w:b w:val="1"/>
          <w:bCs w:val="1"/>
          <w:color w:val="3D3935"/>
        </w:rPr>
        <w:t>Proposal to Approve, on an Advisory Basis, Named Executive Officer Compensation</w:t>
      </w:r>
    </w:p>
    <w:p>
      <w:pPr>
        <w:spacing w:after="0" w:line="2" w:lineRule="exact"/>
        <w:rPr>
          <w:sz w:val="20"/>
          <w:szCs w:val="20"/>
          <w:color w:val="auto"/>
        </w:rPr>
      </w:pPr>
    </w:p>
    <w:p>
      <w:pPr>
        <w:ind w:left="240" w:right="320" w:hanging="185"/>
        <w:spacing w:after="0" w:line="316" w:lineRule="auto"/>
        <w:tabs>
          <w:tab w:leader="none" w:pos="240" w:val="left"/>
        </w:tabs>
        <w:numPr>
          <w:ilvl w:val="0"/>
          <w:numId w:val="9"/>
        </w:numPr>
        <w:rPr>
          <w:rFonts w:ascii="Arial" w:cs="Arial" w:eastAsia="Arial" w:hAnsi="Arial"/>
          <w:sz w:val="16"/>
          <w:szCs w:val="16"/>
          <w:color w:val="0072CE"/>
        </w:rPr>
      </w:pPr>
      <w:r>
        <w:rPr>
          <w:rFonts w:ascii="Arial" w:cs="Arial" w:eastAsia="Arial" w:hAnsi="Arial"/>
          <w:sz w:val="16"/>
          <w:szCs w:val="16"/>
          <w:color w:val="3D3935"/>
        </w:rPr>
        <w:t>Our executive compensation program is designed to align pay with shareholder interests and Company performance.</w:t>
      </w:r>
    </w:p>
    <w:p>
      <w:pPr>
        <w:spacing w:after="0" w:line="1" w:lineRule="exact"/>
        <w:rPr>
          <w:rFonts w:ascii="Arial" w:cs="Arial" w:eastAsia="Arial" w:hAnsi="Arial"/>
          <w:sz w:val="16"/>
          <w:szCs w:val="16"/>
          <w:color w:val="0072CE"/>
        </w:rPr>
      </w:pPr>
    </w:p>
    <w:p>
      <w:pPr>
        <w:ind w:left="240"/>
        <w:spacing w:after="0"/>
        <w:rPr>
          <w:rFonts w:ascii="Arial" w:cs="Arial" w:eastAsia="Arial" w:hAnsi="Arial"/>
          <w:sz w:val="16"/>
          <w:szCs w:val="16"/>
          <w:color w:val="0072CE"/>
        </w:rPr>
      </w:pPr>
      <w:r>
        <w:rPr>
          <w:rFonts w:ascii="Arial" w:cs="Arial" w:eastAsia="Arial" w:hAnsi="Arial"/>
          <w:sz w:val="16"/>
          <w:szCs w:val="16"/>
          <w:color w:val="3D3935"/>
        </w:rPr>
        <w:t xml:space="preserve">See page </w:t>
      </w:r>
      <w:r>
        <w:rPr>
          <w:rFonts w:ascii="Arial" w:cs="Arial" w:eastAsia="Arial" w:hAnsi="Arial"/>
          <w:sz w:val="16"/>
          <w:szCs w:val="16"/>
          <w:b w:val="1"/>
          <w:bCs w:val="1"/>
          <w:color w:val="3D3935"/>
        </w:rPr>
        <w:t>42</w:t>
      </w:r>
    </w:p>
    <w:p>
      <w:pPr>
        <w:spacing w:after="0" w:line="31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FFFFFF"/>
        </w:rPr>
        <w:t>ITEM 4</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color w:val="3D3935"/>
        </w:rPr>
        <w:t>The Board recommends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3D3935"/>
        </w:rPr>
        <w:t xml:space="preserve">a vote </w:t>
      </w:r>
      <w:r>
        <w:rPr>
          <w:rFonts w:ascii="Arial" w:cs="Arial" w:eastAsia="Arial" w:hAnsi="Arial"/>
          <w:sz w:val="18"/>
          <w:szCs w:val="18"/>
          <w:b w:val="1"/>
          <w:bCs w:val="1"/>
          <w:color w:val="3D3935"/>
        </w:rPr>
        <w:t>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D3935"/>
        </w:rPr>
        <w:t>this proposal</w:t>
      </w:r>
    </w:p>
    <w:p>
      <w:pPr>
        <w:spacing w:after="0" w:line="1069" w:lineRule="exact"/>
        <w:rPr>
          <w:sz w:val="20"/>
          <w:szCs w:val="20"/>
          <w:color w:val="auto"/>
        </w:rPr>
      </w:pPr>
    </w:p>
    <w:p>
      <w:pPr>
        <w:sectPr>
          <w:pgSz w:w="11900" w:h="16838" w:orient="portrait"/>
          <w:cols w:equalWidth="0" w:num="2">
            <w:col w:w="6240" w:space="720"/>
            <w:col w:w="2100"/>
          </w:cols>
          <w:pgMar w:left="1400" w:top="622" w:right="1439" w:bottom="0" w:gutter="0" w:footer="0" w:header="0"/>
          <w:type w:val="continuous"/>
        </w:sectPr>
      </w:pPr>
    </w:p>
    <w:p>
      <w:pPr>
        <w:ind w:left="60" w:right="800"/>
        <w:spacing w:after="0" w:line="265" w:lineRule="auto"/>
        <w:rPr>
          <w:sz w:val="20"/>
          <w:szCs w:val="20"/>
          <w:color w:val="auto"/>
        </w:rPr>
      </w:pPr>
      <w:r>
        <w:rPr>
          <w:rFonts w:ascii="Arial" w:cs="Arial" w:eastAsia="Arial" w:hAnsi="Arial"/>
          <w:sz w:val="23"/>
          <w:szCs w:val="23"/>
          <w:b w:val="1"/>
          <w:bCs w:val="1"/>
          <w:color w:val="3D3935"/>
        </w:rPr>
        <w:t>Proposal to Approve the Amended and Restated Certificate of Incorporation</w:t>
      </w:r>
    </w:p>
    <w:p>
      <w:pPr>
        <w:spacing w:after="0" w:line="2" w:lineRule="exact"/>
        <w:rPr>
          <w:sz w:val="20"/>
          <w:szCs w:val="20"/>
          <w:color w:val="auto"/>
        </w:rPr>
      </w:pPr>
    </w:p>
    <w:p>
      <w:pPr>
        <w:ind w:left="240" w:right="500" w:hanging="185"/>
        <w:spacing w:after="0" w:line="342" w:lineRule="auto"/>
        <w:tabs>
          <w:tab w:leader="none" w:pos="240" w:val="left"/>
        </w:tabs>
        <w:numPr>
          <w:ilvl w:val="0"/>
          <w:numId w:val="10"/>
        </w:numPr>
        <w:rPr>
          <w:rFonts w:ascii="Arial" w:cs="Arial" w:eastAsia="Arial" w:hAnsi="Arial"/>
          <w:sz w:val="16"/>
          <w:szCs w:val="16"/>
          <w:color w:val="0072CE"/>
        </w:rPr>
      </w:pPr>
      <w:r>
        <w:rPr>
          <w:rFonts w:ascii="Arial" w:cs="Arial" w:eastAsia="Arial" w:hAnsi="Arial"/>
          <w:sz w:val="16"/>
          <w:szCs w:val="16"/>
          <w:color w:val="3D3935"/>
        </w:rPr>
        <w:t xml:space="preserve">The updates include amendments to officer exculpation, removal of outdated provisions that are no longer relevant, and certain clarifying enhancements. See page </w:t>
      </w:r>
      <w:r>
        <w:rPr>
          <w:rFonts w:ascii="Arial" w:cs="Arial" w:eastAsia="Arial" w:hAnsi="Arial"/>
          <w:sz w:val="16"/>
          <w:szCs w:val="16"/>
          <w:b w:val="1"/>
          <w:bCs w:val="1"/>
          <w:color w:val="3D3935"/>
        </w:rPr>
        <w:t>84</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3D3935"/>
        </w:rPr>
        <w:t>The Board recommends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3D3935"/>
        </w:rPr>
        <w:t xml:space="preserve">a vote </w:t>
      </w:r>
      <w:r>
        <w:rPr>
          <w:rFonts w:ascii="Arial" w:cs="Arial" w:eastAsia="Arial" w:hAnsi="Arial"/>
          <w:sz w:val="18"/>
          <w:szCs w:val="18"/>
          <w:b w:val="1"/>
          <w:bCs w:val="1"/>
          <w:color w:val="3D3935"/>
        </w:rPr>
        <w:t>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D3935"/>
        </w:rPr>
        <w:t>this proposal</w:t>
      </w:r>
    </w:p>
    <w:p>
      <w:pPr>
        <w:spacing w:after="0" w:line="751" w:lineRule="exact"/>
        <w:rPr>
          <w:sz w:val="20"/>
          <w:szCs w:val="20"/>
          <w:color w:val="auto"/>
        </w:rPr>
      </w:pPr>
    </w:p>
    <w:p>
      <w:pPr>
        <w:sectPr>
          <w:pgSz w:w="11900" w:h="16838" w:orient="portrait"/>
          <w:cols w:equalWidth="0" w:num="2">
            <w:col w:w="6240" w:space="720"/>
            <w:col w:w="2100"/>
          </w:cols>
          <w:pgMar w:left="1400" w:top="622" w:right="1439" w:bottom="0" w:gutter="0" w:footer="0" w:header="0"/>
          <w:type w:val="continuous"/>
        </w:sectPr>
      </w:pPr>
    </w:p>
    <w:p>
      <w:pPr>
        <w:ind w:left="80"/>
        <w:spacing w:after="0"/>
        <w:rPr>
          <w:sz w:val="20"/>
          <w:szCs w:val="20"/>
          <w:color w:val="auto"/>
        </w:rPr>
      </w:pPr>
      <w:r>
        <w:rPr>
          <w:rFonts w:ascii="Arial" w:cs="Arial" w:eastAsia="Arial" w:hAnsi="Arial"/>
          <w:sz w:val="16"/>
          <w:szCs w:val="16"/>
          <w:b w:val="1"/>
          <w:bCs w:val="1"/>
          <w:color w:val="FFFFFF"/>
        </w:rPr>
        <w:t>ITEM 5</w:t>
      </w:r>
    </w:p>
    <w:p>
      <w:pPr>
        <w:spacing w:after="0" w:line="134" w:lineRule="exact"/>
        <w:rPr>
          <w:sz w:val="20"/>
          <w:szCs w:val="20"/>
          <w:color w:val="auto"/>
        </w:rPr>
      </w:pPr>
    </w:p>
    <w:p>
      <w:pPr>
        <w:ind w:left="60" w:right="460"/>
        <w:spacing w:after="0" w:line="265" w:lineRule="auto"/>
        <w:rPr>
          <w:sz w:val="20"/>
          <w:szCs w:val="20"/>
          <w:color w:val="auto"/>
        </w:rPr>
      </w:pPr>
      <w:r>
        <w:rPr>
          <w:rFonts w:ascii="Arial" w:cs="Arial" w:eastAsia="Arial" w:hAnsi="Arial"/>
          <w:sz w:val="23"/>
          <w:szCs w:val="23"/>
          <w:b w:val="1"/>
          <w:bCs w:val="1"/>
          <w:color w:val="3D3935"/>
        </w:rPr>
        <w:t>Shareholder Proposal Regarding a Report on Supply Chain GHG Emissions Reduction Strategies</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6"/>
          <w:szCs w:val="16"/>
          <w:color w:val="3D3935"/>
        </w:rPr>
        <w:t xml:space="preserve">See page </w:t>
      </w:r>
      <w:r>
        <w:rPr>
          <w:rFonts w:ascii="Arial" w:cs="Arial" w:eastAsia="Arial" w:hAnsi="Arial"/>
          <w:sz w:val="16"/>
          <w:szCs w:val="16"/>
          <w:b w:val="1"/>
          <w:bCs w:val="1"/>
          <w:color w:val="3D3935"/>
        </w:rPr>
        <w:t>86</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3D3935"/>
        </w:rPr>
        <w:t>The Board recommends</w:t>
      </w:r>
    </w:p>
    <w:p>
      <w:pPr>
        <w:spacing w:after="0" w:line="43" w:lineRule="exact"/>
        <w:rPr>
          <w:sz w:val="20"/>
          <w:szCs w:val="20"/>
          <w:color w:val="auto"/>
        </w:rPr>
      </w:pPr>
    </w:p>
    <w:p>
      <w:pPr>
        <w:ind w:right="760"/>
        <w:spacing w:after="0" w:line="290" w:lineRule="auto"/>
        <w:rPr>
          <w:sz w:val="20"/>
          <w:szCs w:val="20"/>
          <w:color w:val="auto"/>
        </w:rPr>
      </w:pPr>
      <w:r>
        <w:rPr>
          <w:rFonts w:ascii="Arial" w:cs="Arial" w:eastAsia="Arial" w:hAnsi="Arial"/>
          <w:sz w:val="17"/>
          <w:szCs w:val="17"/>
          <w:color w:val="3D3935"/>
        </w:rPr>
        <w:t xml:space="preserve">a vote </w:t>
      </w:r>
      <w:r>
        <w:rPr>
          <w:rFonts w:ascii="Arial" w:cs="Arial" w:eastAsia="Arial" w:hAnsi="Arial"/>
          <w:sz w:val="17"/>
          <w:szCs w:val="17"/>
          <w:b w:val="1"/>
          <w:bCs w:val="1"/>
          <w:color w:val="3D3935"/>
        </w:rPr>
        <w:t>AGAINST</w:t>
      </w:r>
      <w:r>
        <w:rPr>
          <w:rFonts w:ascii="Arial" w:cs="Arial" w:eastAsia="Arial" w:hAnsi="Arial"/>
          <w:sz w:val="17"/>
          <w:szCs w:val="17"/>
          <w:color w:val="3D3935"/>
        </w:rPr>
        <w:t xml:space="preserve"> this proposal</w:t>
      </w:r>
    </w:p>
    <w:p>
      <w:pPr>
        <w:spacing w:after="0" w:line="244" w:lineRule="exact"/>
        <w:rPr>
          <w:sz w:val="20"/>
          <w:szCs w:val="20"/>
          <w:color w:val="auto"/>
        </w:rPr>
      </w:pPr>
    </w:p>
    <w:p>
      <w:pPr>
        <w:sectPr>
          <w:pgSz w:w="11900" w:h="16838" w:orient="portrait"/>
          <w:cols w:equalWidth="0" w:num="2">
            <w:col w:w="6240" w:space="720"/>
            <w:col w:w="2100"/>
          </w:cols>
          <w:pgMar w:left="1400" w:top="622" w:right="14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74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3D3935"/>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19964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10375" cy="1996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Proxy Summary</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Our Strategic Pillars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380" w:type="dxa"/>
        <w:tblCellMar>
          <w:top w:w="0" w:type="dxa"/>
          <w:left w:w="0" w:type="dxa"/>
          <w:bottom w:w="0" w:type="dxa"/>
          <w:right w:w="0" w:type="dxa"/>
        </w:tblCellMar>
      </w:tblPr>
      <w:tr>
        <w:trPr>
          <w:trHeight w:val="223"/>
        </w:trPr>
        <w:tc>
          <w:tcPr>
            <w:tcW w:w="1920" w:type="dxa"/>
            <w:vAlign w:val="bottom"/>
          </w:tcPr>
          <w:p>
            <w:pPr>
              <w:jc w:val="center"/>
              <w:ind w:right="362"/>
              <w:spacing w:after="0"/>
              <w:rPr>
                <w:sz w:val="20"/>
                <w:szCs w:val="20"/>
                <w:color w:val="auto"/>
              </w:rPr>
            </w:pPr>
            <w:r>
              <w:rPr>
                <w:rFonts w:ascii="Arial" w:cs="Arial" w:eastAsia="Arial" w:hAnsi="Arial"/>
                <w:sz w:val="16"/>
                <w:szCs w:val="16"/>
                <w:b w:val="1"/>
                <w:bCs w:val="1"/>
                <w:color w:val="FFFFFF"/>
              </w:rPr>
              <w:t>ICE</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FFFFFF"/>
              </w:rPr>
              <w:t>EV</w:t>
            </w:r>
          </w:p>
        </w:tc>
        <w:tc>
          <w:tcPr>
            <w:tcW w:w="2380" w:type="dxa"/>
            <w:vAlign w:val="bottom"/>
          </w:tcPr>
          <w:p>
            <w:pPr>
              <w:jc w:val="center"/>
              <w:ind w:left="22"/>
              <w:spacing w:after="0"/>
              <w:rPr>
                <w:sz w:val="20"/>
                <w:szCs w:val="20"/>
                <w:color w:val="auto"/>
              </w:rPr>
            </w:pPr>
            <w:r>
              <w:rPr>
                <w:rFonts w:ascii="Arial" w:cs="Arial" w:eastAsia="Arial" w:hAnsi="Arial"/>
                <w:sz w:val="16"/>
                <w:szCs w:val="16"/>
                <w:b w:val="1"/>
                <w:bCs w:val="1"/>
                <w:color w:val="FFFFFF"/>
              </w:rPr>
              <w:t>Software &amp; Services</w:t>
            </w:r>
          </w:p>
        </w:tc>
        <w:tc>
          <w:tcPr>
            <w:tcW w:w="1840" w:type="dxa"/>
            <w:vAlign w:val="bottom"/>
          </w:tcPr>
          <w:p>
            <w:pPr>
              <w:jc w:val="center"/>
              <w:ind w:left="302"/>
              <w:spacing w:after="0"/>
              <w:rPr>
                <w:sz w:val="20"/>
                <w:szCs w:val="20"/>
                <w:color w:val="auto"/>
              </w:rPr>
            </w:pPr>
            <w:r>
              <w:rPr>
                <w:rFonts w:ascii="Arial" w:cs="Arial" w:eastAsia="Arial" w:hAnsi="Arial"/>
                <w:sz w:val="16"/>
                <w:szCs w:val="16"/>
                <w:b w:val="1"/>
                <w:bCs w:val="1"/>
                <w:color w:val="FFFFFF"/>
                <w:w w:val="98"/>
              </w:rPr>
              <w:t>AV</w:t>
            </w:r>
          </w:p>
        </w:tc>
      </w:tr>
      <w:tr>
        <w:trPr>
          <w:trHeight w:val="220"/>
        </w:trPr>
        <w:tc>
          <w:tcPr>
            <w:tcW w:w="1920" w:type="dxa"/>
            <w:vAlign w:val="bottom"/>
          </w:tcPr>
          <w:p>
            <w:pPr>
              <w:jc w:val="center"/>
              <w:ind w:right="382"/>
              <w:spacing w:after="0"/>
              <w:rPr>
                <w:sz w:val="20"/>
                <w:szCs w:val="20"/>
                <w:color w:val="auto"/>
              </w:rPr>
            </w:pPr>
            <w:r>
              <w:rPr>
                <w:rFonts w:ascii="Arial" w:cs="Arial" w:eastAsia="Arial" w:hAnsi="Arial"/>
                <w:sz w:val="15"/>
                <w:szCs w:val="15"/>
                <w:color w:val="FFFFFF"/>
              </w:rPr>
              <w:t>Maximize our winning</w:t>
            </w:r>
          </w:p>
        </w:tc>
        <w:tc>
          <w:tcPr>
            <w:tcW w:w="2160" w:type="dxa"/>
            <w:vAlign w:val="bottom"/>
          </w:tcPr>
          <w:p>
            <w:pPr>
              <w:jc w:val="center"/>
              <w:spacing w:after="0"/>
              <w:rPr>
                <w:sz w:val="20"/>
                <w:szCs w:val="20"/>
                <w:color w:val="auto"/>
              </w:rPr>
            </w:pPr>
            <w:r>
              <w:rPr>
                <w:rFonts w:ascii="Arial" w:cs="Arial" w:eastAsia="Arial" w:hAnsi="Arial"/>
                <w:sz w:val="15"/>
                <w:szCs w:val="15"/>
                <w:color w:val="FFFFFF"/>
              </w:rPr>
              <w:t>Grow our EV</w:t>
            </w:r>
          </w:p>
        </w:tc>
        <w:tc>
          <w:tcPr>
            <w:tcW w:w="2380" w:type="dxa"/>
            <w:vAlign w:val="bottom"/>
          </w:tcPr>
          <w:p>
            <w:pPr>
              <w:ind w:left="600"/>
              <w:spacing w:after="0"/>
              <w:rPr>
                <w:sz w:val="20"/>
                <w:szCs w:val="20"/>
                <w:color w:val="auto"/>
              </w:rPr>
            </w:pPr>
            <w:r>
              <w:rPr>
                <w:rFonts w:ascii="Arial" w:cs="Arial" w:eastAsia="Arial" w:hAnsi="Arial"/>
                <w:sz w:val="15"/>
                <w:szCs w:val="15"/>
                <w:color w:val="FFFFFF"/>
              </w:rPr>
              <w:t>Deliver innovative</w:t>
            </w:r>
          </w:p>
        </w:tc>
        <w:tc>
          <w:tcPr>
            <w:tcW w:w="1840" w:type="dxa"/>
            <w:vAlign w:val="bottom"/>
          </w:tcPr>
          <w:p>
            <w:pPr>
              <w:jc w:val="center"/>
              <w:ind w:left="302"/>
              <w:spacing w:after="0"/>
              <w:rPr>
                <w:sz w:val="20"/>
                <w:szCs w:val="20"/>
                <w:color w:val="auto"/>
              </w:rPr>
            </w:pPr>
            <w:r>
              <w:rPr>
                <w:rFonts w:ascii="Arial" w:cs="Arial" w:eastAsia="Arial" w:hAnsi="Arial"/>
                <w:sz w:val="15"/>
                <w:szCs w:val="15"/>
                <w:color w:val="FFFFFF"/>
              </w:rPr>
              <w:t>Continue progressing</w:t>
            </w:r>
          </w:p>
        </w:tc>
      </w:tr>
      <w:tr>
        <w:trPr>
          <w:trHeight w:val="200"/>
        </w:trPr>
        <w:tc>
          <w:tcPr>
            <w:tcW w:w="1920" w:type="dxa"/>
            <w:vAlign w:val="bottom"/>
          </w:tcPr>
          <w:p>
            <w:pPr>
              <w:jc w:val="center"/>
              <w:ind w:right="402"/>
              <w:spacing w:after="0"/>
              <w:rPr>
                <w:sz w:val="20"/>
                <w:szCs w:val="20"/>
                <w:color w:val="auto"/>
              </w:rPr>
            </w:pPr>
            <w:r>
              <w:rPr>
                <w:rFonts w:ascii="Arial" w:cs="Arial" w:eastAsia="Arial" w:hAnsi="Arial"/>
                <w:sz w:val="15"/>
                <w:szCs w:val="15"/>
                <w:color w:val="FFFFFF"/>
              </w:rPr>
              <w:t>ICE portfolio</w:t>
            </w:r>
          </w:p>
        </w:tc>
        <w:tc>
          <w:tcPr>
            <w:tcW w:w="2160" w:type="dxa"/>
            <w:vAlign w:val="bottom"/>
          </w:tcPr>
          <w:p>
            <w:pPr>
              <w:jc w:val="center"/>
              <w:spacing w:after="0"/>
              <w:rPr>
                <w:sz w:val="20"/>
                <w:szCs w:val="20"/>
                <w:color w:val="auto"/>
              </w:rPr>
            </w:pPr>
            <w:r>
              <w:rPr>
                <w:rFonts w:ascii="Arial" w:cs="Arial" w:eastAsia="Arial" w:hAnsi="Arial"/>
                <w:sz w:val="15"/>
                <w:szCs w:val="15"/>
                <w:color w:val="FFFFFF"/>
              </w:rPr>
              <w:t>business profitably</w:t>
            </w:r>
          </w:p>
        </w:tc>
        <w:tc>
          <w:tcPr>
            <w:tcW w:w="2380" w:type="dxa"/>
            <w:vAlign w:val="bottom"/>
          </w:tcPr>
          <w:p>
            <w:pPr>
              <w:jc w:val="center"/>
              <w:spacing w:after="0"/>
              <w:rPr>
                <w:sz w:val="20"/>
                <w:szCs w:val="20"/>
                <w:color w:val="auto"/>
              </w:rPr>
            </w:pPr>
            <w:r>
              <w:rPr>
                <w:rFonts w:ascii="Arial" w:cs="Arial" w:eastAsia="Arial" w:hAnsi="Arial"/>
                <w:sz w:val="15"/>
                <w:szCs w:val="15"/>
                <w:color w:val="FFFFFF"/>
              </w:rPr>
              <w:t>software and</w:t>
            </w:r>
          </w:p>
        </w:tc>
        <w:tc>
          <w:tcPr>
            <w:tcW w:w="1840" w:type="dxa"/>
            <w:vAlign w:val="bottom"/>
          </w:tcPr>
          <w:p>
            <w:pPr>
              <w:jc w:val="center"/>
              <w:ind w:left="302"/>
              <w:spacing w:after="0"/>
              <w:rPr>
                <w:sz w:val="20"/>
                <w:szCs w:val="20"/>
                <w:color w:val="auto"/>
              </w:rPr>
            </w:pPr>
            <w:r>
              <w:rPr>
                <w:rFonts w:ascii="Arial" w:cs="Arial" w:eastAsia="Arial" w:hAnsi="Arial"/>
                <w:sz w:val="15"/>
                <w:szCs w:val="15"/>
                <w:color w:val="FFFFFF"/>
              </w:rPr>
              <w:t>AV technology</w:t>
            </w:r>
          </w:p>
        </w:tc>
      </w:tr>
    </w:tbl>
    <w:p>
      <w:pPr>
        <w:sectPr>
          <w:pgSz w:w="11900" w:h="16838" w:orient="portrait"/>
          <w:cols w:equalWidth="0" w:num="1">
            <w:col w:w="9060"/>
          </w:cols>
          <w:pgMar w:left="1400" w:top="622" w:right="1439" w:bottom="0" w:gutter="0" w:footer="0" w:header="0"/>
          <w:type w:val="continuous"/>
        </w:sectPr>
      </w:pPr>
    </w:p>
    <w:bookmarkStart w:id="7" w:name="page8"/>
    <w:bookmarkEnd w:id="7"/>
    <w:p>
      <w:pPr>
        <w:spacing w:after="0" w:line="51" w:lineRule="exact"/>
        <w:rPr>
          <w:sz w:val="20"/>
          <w:szCs w:val="20"/>
          <w:color w:val="auto"/>
        </w:rPr>
      </w:pPr>
    </w:p>
    <w:p>
      <w:pPr>
        <w:ind w:left="5060"/>
        <w:spacing w:after="0"/>
        <w:rPr>
          <w:sz w:val="20"/>
          <w:szCs w:val="20"/>
          <w:color w:val="auto"/>
        </w:rPr>
      </w:pPr>
      <w:r>
        <w:rPr>
          <w:rFonts w:ascii="Arial" w:cs="Arial" w:eastAsia="Arial" w:hAnsi="Arial"/>
          <w:sz w:val="15"/>
          <w:szCs w:val="15"/>
          <w:color w:val="FFFFFF"/>
        </w:rPr>
        <w:t>services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-88265</wp:posOffset>
            </wp:positionV>
            <wp:extent cx="6810375" cy="6859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10375" cy="685990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2024 Business Highlights</w:t>
      </w:r>
    </w:p>
    <w:p>
      <w:pPr>
        <w:spacing w:after="0" w:line="120"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Financial Highlights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617"/>
        </w:trPr>
        <w:tc>
          <w:tcPr>
            <w:tcW w:w="3000" w:type="dxa"/>
            <w:vAlign w:val="bottom"/>
            <w:shd w:val="clear" w:color="auto" w:fill="F0F3F5"/>
          </w:tcPr>
          <w:p>
            <w:pPr>
              <w:ind w:left="240"/>
              <w:spacing w:after="0"/>
              <w:rPr>
                <w:sz w:val="20"/>
                <w:szCs w:val="20"/>
                <w:color w:val="auto"/>
              </w:rPr>
            </w:pPr>
            <w:r>
              <w:rPr>
                <w:rFonts w:ascii="Arial" w:cs="Arial" w:eastAsia="Arial" w:hAnsi="Arial"/>
                <w:sz w:val="43"/>
                <w:szCs w:val="43"/>
                <w:b w:val="1"/>
                <w:bCs w:val="1"/>
                <w:color w:val="0072CE"/>
              </w:rPr>
              <w:t>$6.0B</w:t>
            </w:r>
          </w:p>
        </w:tc>
        <w:tc>
          <w:tcPr>
            <w:tcW w:w="40" w:type="dxa"/>
            <w:vAlign w:val="bottom"/>
          </w:tcPr>
          <w:p>
            <w:pPr>
              <w:spacing w:after="0"/>
              <w:rPr>
                <w:sz w:val="24"/>
                <w:szCs w:val="24"/>
                <w:color w:val="auto"/>
              </w:rPr>
            </w:pPr>
          </w:p>
        </w:tc>
        <w:tc>
          <w:tcPr>
            <w:tcW w:w="3000" w:type="dxa"/>
            <w:vAlign w:val="bottom"/>
            <w:shd w:val="clear" w:color="auto" w:fill="F0F3F5"/>
          </w:tcPr>
          <w:p>
            <w:pPr>
              <w:ind w:left="220"/>
              <w:spacing w:after="0"/>
              <w:rPr>
                <w:sz w:val="20"/>
                <w:szCs w:val="20"/>
                <w:color w:val="auto"/>
              </w:rPr>
            </w:pPr>
            <w:r>
              <w:rPr>
                <w:rFonts w:ascii="Arial" w:cs="Arial" w:eastAsia="Arial" w:hAnsi="Arial"/>
                <w:sz w:val="43"/>
                <w:szCs w:val="43"/>
                <w:b w:val="1"/>
                <w:bCs w:val="1"/>
                <w:color w:val="0072CE"/>
              </w:rPr>
              <w:t>3.2%</w:t>
            </w:r>
          </w:p>
        </w:tc>
        <w:tc>
          <w:tcPr>
            <w:tcW w:w="60" w:type="dxa"/>
            <w:vAlign w:val="bottom"/>
          </w:tcPr>
          <w:p>
            <w:pPr>
              <w:spacing w:after="0"/>
              <w:rPr>
                <w:sz w:val="24"/>
                <w:szCs w:val="24"/>
                <w:color w:val="auto"/>
              </w:rPr>
            </w:pPr>
          </w:p>
        </w:tc>
        <w:tc>
          <w:tcPr>
            <w:tcW w:w="2980" w:type="dxa"/>
            <w:vAlign w:val="bottom"/>
            <w:shd w:val="clear" w:color="auto" w:fill="F0F3F5"/>
          </w:tcPr>
          <w:p>
            <w:pPr>
              <w:ind w:left="220"/>
              <w:spacing w:after="0"/>
              <w:rPr>
                <w:sz w:val="20"/>
                <w:szCs w:val="20"/>
                <w:color w:val="auto"/>
              </w:rPr>
            </w:pPr>
            <w:r>
              <w:rPr>
                <w:rFonts w:ascii="Arial" w:cs="Arial" w:eastAsia="Arial" w:hAnsi="Arial"/>
                <w:sz w:val="43"/>
                <w:szCs w:val="43"/>
                <w:b w:val="1"/>
                <w:bCs w:val="1"/>
                <w:color w:val="0072CE"/>
              </w:rPr>
              <w:t>$6.37</w:t>
            </w:r>
          </w:p>
        </w:tc>
      </w:tr>
      <w:tr>
        <w:trPr>
          <w:trHeight w:val="176"/>
        </w:trPr>
        <w:tc>
          <w:tcPr>
            <w:tcW w:w="3000" w:type="dxa"/>
            <w:vAlign w:val="bottom"/>
            <w:shd w:val="clear" w:color="auto" w:fill="F0F3F5"/>
          </w:tcPr>
          <w:p>
            <w:pPr>
              <w:ind w:left="240"/>
              <w:spacing w:after="0"/>
              <w:rPr>
                <w:sz w:val="20"/>
                <w:szCs w:val="20"/>
                <w:color w:val="auto"/>
              </w:rPr>
            </w:pPr>
            <w:r>
              <w:rPr>
                <w:rFonts w:ascii="Arial" w:cs="Arial" w:eastAsia="Arial" w:hAnsi="Arial"/>
                <w:sz w:val="15"/>
                <w:szCs w:val="15"/>
                <w:color w:val="3D3935"/>
              </w:rPr>
              <w:t>Net income attributable</w:t>
            </w:r>
          </w:p>
        </w:tc>
        <w:tc>
          <w:tcPr>
            <w:tcW w:w="40" w:type="dxa"/>
            <w:vAlign w:val="bottom"/>
          </w:tcPr>
          <w:p>
            <w:pPr>
              <w:spacing w:after="0"/>
              <w:rPr>
                <w:sz w:val="15"/>
                <w:szCs w:val="15"/>
                <w:color w:val="auto"/>
              </w:rPr>
            </w:pPr>
          </w:p>
        </w:tc>
        <w:tc>
          <w:tcPr>
            <w:tcW w:w="3000" w:type="dxa"/>
            <w:vAlign w:val="bottom"/>
            <w:shd w:val="clear" w:color="auto" w:fill="F0F3F5"/>
          </w:tcPr>
          <w:p>
            <w:pPr>
              <w:ind w:left="220"/>
              <w:spacing w:after="0"/>
              <w:rPr>
                <w:sz w:val="20"/>
                <w:szCs w:val="20"/>
                <w:color w:val="auto"/>
              </w:rPr>
            </w:pPr>
            <w:r>
              <w:rPr>
                <w:rFonts w:ascii="Arial" w:cs="Arial" w:eastAsia="Arial" w:hAnsi="Arial"/>
                <w:sz w:val="15"/>
                <w:szCs w:val="15"/>
                <w:color w:val="3D3935"/>
              </w:rPr>
              <w:t>Net income margin</w:t>
            </w:r>
          </w:p>
        </w:tc>
        <w:tc>
          <w:tcPr>
            <w:tcW w:w="60" w:type="dxa"/>
            <w:vAlign w:val="bottom"/>
          </w:tcPr>
          <w:p>
            <w:pPr>
              <w:spacing w:after="0"/>
              <w:rPr>
                <w:sz w:val="15"/>
                <w:szCs w:val="15"/>
                <w:color w:val="auto"/>
              </w:rPr>
            </w:pPr>
          </w:p>
        </w:tc>
        <w:tc>
          <w:tcPr>
            <w:tcW w:w="2980" w:type="dxa"/>
            <w:vAlign w:val="bottom"/>
            <w:shd w:val="clear" w:color="auto" w:fill="F0F3F5"/>
          </w:tcPr>
          <w:p>
            <w:pPr>
              <w:ind w:left="220"/>
              <w:spacing w:after="0"/>
              <w:rPr>
                <w:sz w:val="20"/>
                <w:szCs w:val="20"/>
                <w:color w:val="auto"/>
              </w:rPr>
            </w:pPr>
            <w:r>
              <w:rPr>
                <w:rFonts w:ascii="Arial" w:cs="Arial" w:eastAsia="Arial" w:hAnsi="Arial"/>
                <w:sz w:val="15"/>
                <w:szCs w:val="15"/>
                <w:color w:val="3D3935"/>
              </w:rPr>
              <w:t>EPS-diluted</w:t>
            </w:r>
          </w:p>
        </w:tc>
      </w:tr>
      <w:tr>
        <w:trPr>
          <w:trHeight w:val="200"/>
        </w:trPr>
        <w:tc>
          <w:tcPr>
            <w:tcW w:w="3000" w:type="dxa"/>
            <w:vAlign w:val="bottom"/>
            <w:shd w:val="clear" w:color="auto" w:fill="F0F3F5"/>
          </w:tcPr>
          <w:p>
            <w:pPr>
              <w:ind w:left="240"/>
              <w:spacing w:after="0"/>
              <w:rPr>
                <w:sz w:val="20"/>
                <w:szCs w:val="20"/>
                <w:color w:val="auto"/>
              </w:rPr>
            </w:pPr>
            <w:r>
              <w:rPr>
                <w:rFonts w:ascii="Arial" w:cs="Arial" w:eastAsia="Arial" w:hAnsi="Arial"/>
                <w:sz w:val="15"/>
                <w:szCs w:val="15"/>
                <w:color w:val="3D3935"/>
              </w:rPr>
              <w:t>to stockholders</w:t>
            </w:r>
          </w:p>
        </w:tc>
        <w:tc>
          <w:tcPr>
            <w:tcW w:w="40" w:type="dxa"/>
            <w:vAlign w:val="bottom"/>
          </w:tcPr>
          <w:p>
            <w:pPr>
              <w:spacing w:after="0"/>
              <w:rPr>
                <w:sz w:val="17"/>
                <w:szCs w:val="17"/>
                <w:color w:val="auto"/>
              </w:rPr>
            </w:pPr>
          </w:p>
        </w:tc>
        <w:tc>
          <w:tcPr>
            <w:tcW w:w="3000" w:type="dxa"/>
            <w:vAlign w:val="bottom"/>
            <w:shd w:val="clear" w:color="auto" w:fill="F0F3F5"/>
          </w:tcPr>
          <w:p>
            <w:pPr>
              <w:spacing w:after="0"/>
              <w:rPr>
                <w:sz w:val="17"/>
                <w:szCs w:val="17"/>
                <w:color w:val="auto"/>
              </w:rPr>
            </w:pPr>
          </w:p>
        </w:tc>
        <w:tc>
          <w:tcPr>
            <w:tcW w:w="60" w:type="dxa"/>
            <w:vAlign w:val="bottom"/>
          </w:tcPr>
          <w:p>
            <w:pPr>
              <w:spacing w:after="0"/>
              <w:rPr>
                <w:sz w:val="17"/>
                <w:szCs w:val="17"/>
                <w:color w:val="auto"/>
              </w:rPr>
            </w:pPr>
          </w:p>
        </w:tc>
        <w:tc>
          <w:tcPr>
            <w:tcW w:w="2980" w:type="dxa"/>
            <w:vAlign w:val="bottom"/>
            <w:shd w:val="clear" w:color="auto" w:fill="F0F3F5"/>
          </w:tcPr>
          <w:p>
            <w:pPr>
              <w:spacing w:after="0"/>
              <w:rPr>
                <w:sz w:val="17"/>
                <w:szCs w:val="17"/>
                <w:color w:val="auto"/>
              </w:rPr>
            </w:pPr>
          </w:p>
        </w:tc>
      </w:tr>
      <w:tr>
        <w:trPr>
          <w:trHeight w:val="73"/>
        </w:trPr>
        <w:tc>
          <w:tcPr>
            <w:tcW w:w="3000" w:type="dxa"/>
            <w:vAlign w:val="bottom"/>
            <w:shd w:val="clear" w:color="auto" w:fill="F0F3F5"/>
          </w:tcPr>
          <w:p>
            <w:pPr>
              <w:spacing w:after="0"/>
              <w:rPr>
                <w:sz w:val="6"/>
                <w:szCs w:val="6"/>
                <w:color w:val="auto"/>
              </w:rPr>
            </w:pPr>
          </w:p>
        </w:tc>
        <w:tc>
          <w:tcPr>
            <w:tcW w:w="40" w:type="dxa"/>
            <w:vAlign w:val="bottom"/>
          </w:tcPr>
          <w:p>
            <w:pPr>
              <w:spacing w:after="0"/>
              <w:rPr>
                <w:sz w:val="6"/>
                <w:szCs w:val="6"/>
                <w:color w:val="auto"/>
              </w:rPr>
            </w:pPr>
          </w:p>
        </w:tc>
        <w:tc>
          <w:tcPr>
            <w:tcW w:w="3000" w:type="dxa"/>
            <w:vAlign w:val="bottom"/>
            <w:shd w:val="clear" w:color="auto" w:fill="F0F3F5"/>
          </w:tcPr>
          <w:p>
            <w:pPr>
              <w:spacing w:after="0"/>
              <w:rPr>
                <w:sz w:val="6"/>
                <w:szCs w:val="6"/>
                <w:color w:val="auto"/>
              </w:rPr>
            </w:pPr>
          </w:p>
        </w:tc>
        <w:tc>
          <w:tcPr>
            <w:tcW w:w="60" w:type="dxa"/>
            <w:vAlign w:val="bottom"/>
          </w:tcPr>
          <w:p>
            <w:pPr>
              <w:spacing w:after="0"/>
              <w:rPr>
                <w:sz w:val="6"/>
                <w:szCs w:val="6"/>
                <w:color w:val="auto"/>
              </w:rPr>
            </w:pPr>
          </w:p>
        </w:tc>
        <w:tc>
          <w:tcPr>
            <w:tcW w:w="2980" w:type="dxa"/>
            <w:vAlign w:val="bottom"/>
            <w:shd w:val="clear" w:color="auto" w:fill="F0F3F5"/>
          </w:tcPr>
          <w:p>
            <w:pPr>
              <w:spacing w:after="0"/>
              <w:rPr>
                <w:sz w:val="6"/>
                <w:szCs w:val="6"/>
                <w:color w:val="auto"/>
              </w:rPr>
            </w:pPr>
          </w:p>
        </w:tc>
      </w:tr>
      <w:tr>
        <w:trPr>
          <w:trHeight w:val="54"/>
        </w:trPr>
        <w:tc>
          <w:tcPr>
            <w:tcW w:w="3000" w:type="dxa"/>
            <w:vAlign w:val="bottom"/>
          </w:tcPr>
          <w:p>
            <w:pPr>
              <w:spacing w:after="0"/>
              <w:rPr>
                <w:sz w:val="4"/>
                <w:szCs w:val="4"/>
                <w:color w:val="auto"/>
              </w:rPr>
            </w:pPr>
          </w:p>
        </w:tc>
        <w:tc>
          <w:tcPr>
            <w:tcW w:w="3040" w:type="dxa"/>
            <w:vAlign w:val="bottom"/>
            <w:gridSpan w:val="2"/>
          </w:tcPr>
          <w:p>
            <w:pPr>
              <w:spacing w:after="0"/>
              <w:rPr>
                <w:sz w:val="4"/>
                <w:szCs w:val="4"/>
                <w:color w:val="auto"/>
              </w:rPr>
            </w:pPr>
          </w:p>
        </w:tc>
        <w:tc>
          <w:tcPr>
            <w:tcW w:w="3040" w:type="dxa"/>
            <w:vAlign w:val="bottom"/>
            <w:gridSpan w:val="2"/>
          </w:tcPr>
          <w:p>
            <w:pPr>
              <w:spacing w:after="0"/>
              <w:rPr>
                <w:sz w:val="4"/>
                <w:szCs w:val="4"/>
                <w:color w:val="auto"/>
              </w:rPr>
            </w:pPr>
          </w:p>
        </w:tc>
      </w:tr>
      <w:tr>
        <w:trPr>
          <w:trHeight w:val="616"/>
        </w:trPr>
        <w:tc>
          <w:tcPr>
            <w:tcW w:w="3000" w:type="dxa"/>
            <w:vAlign w:val="bottom"/>
            <w:shd w:val="clear" w:color="auto" w:fill="F0F3F5"/>
          </w:tcPr>
          <w:p>
            <w:pPr>
              <w:ind w:left="240"/>
              <w:spacing w:after="0"/>
              <w:rPr>
                <w:sz w:val="20"/>
                <w:szCs w:val="20"/>
                <w:color w:val="auto"/>
              </w:rPr>
            </w:pPr>
            <w:r>
              <w:rPr>
                <w:rFonts w:ascii="Arial" w:cs="Arial" w:eastAsia="Arial" w:hAnsi="Arial"/>
                <w:sz w:val="43"/>
                <w:szCs w:val="43"/>
                <w:b w:val="1"/>
                <w:bCs w:val="1"/>
                <w:color w:val="0072CE"/>
              </w:rPr>
              <w:t>$14.9B</w:t>
            </w:r>
          </w:p>
        </w:tc>
        <w:tc>
          <w:tcPr>
            <w:tcW w:w="40" w:type="dxa"/>
            <w:vAlign w:val="bottom"/>
          </w:tcPr>
          <w:p>
            <w:pPr>
              <w:spacing w:after="0"/>
              <w:rPr>
                <w:sz w:val="24"/>
                <w:szCs w:val="24"/>
                <w:color w:val="auto"/>
              </w:rPr>
            </w:pPr>
          </w:p>
        </w:tc>
        <w:tc>
          <w:tcPr>
            <w:tcW w:w="3000" w:type="dxa"/>
            <w:vAlign w:val="bottom"/>
            <w:shd w:val="clear" w:color="auto" w:fill="F0F3F5"/>
          </w:tcPr>
          <w:p>
            <w:pPr>
              <w:ind w:left="220"/>
              <w:spacing w:after="0"/>
              <w:rPr>
                <w:sz w:val="20"/>
                <w:szCs w:val="20"/>
                <w:color w:val="auto"/>
              </w:rPr>
            </w:pPr>
            <w:r>
              <w:rPr>
                <w:rFonts w:ascii="Arial" w:cs="Arial" w:eastAsia="Arial" w:hAnsi="Arial"/>
                <w:sz w:val="43"/>
                <w:szCs w:val="43"/>
                <w:b w:val="1"/>
                <w:bCs w:val="1"/>
                <w:color w:val="0072CE"/>
              </w:rPr>
              <w:t>8.0%</w:t>
            </w:r>
          </w:p>
        </w:tc>
        <w:tc>
          <w:tcPr>
            <w:tcW w:w="60" w:type="dxa"/>
            <w:vAlign w:val="bottom"/>
          </w:tcPr>
          <w:p>
            <w:pPr>
              <w:spacing w:after="0"/>
              <w:rPr>
                <w:sz w:val="24"/>
                <w:szCs w:val="24"/>
                <w:color w:val="auto"/>
              </w:rPr>
            </w:pPr>
          </w:p>
        </w:tc>
        <w:tc>
          <w:tcPr>
            <w:tcW w:w="2980" w:type="dxa"/>
            <w:vAlign w:val="bottom"/>
            <w:shd w:val="clear" w:color="auto" w:fill="F0F3F5"/>
          </w:tcPr>
          <w:p>
            <w:pPr>
              <w:ind w:left="220"/>
              <w:spacing w:after="0"/>
              <w:rPr>
                <w:sz w:val="20"/>
                <w:szCs w:val="20"/>
                <w:color w:val="auto"/>
              </w:rPr>
            </w:pPr>
            <w:r>
              <w:rPr>
                <w:rFonts w:ascii="Arial" w:cs="Arial" w:eastAsia="Arial" w:hAnsi="Arial"/>
                <w:sz w:val="43"/>
                <w:szCs w:val="43"/>
                <w:b w:val="1"/>
                <w:bCs w:val="1"/>
                <w:color w:val="0072CE"/>
              </w:rPr>
              <w:t>$10.60</w:t>
            </w:r>
          </w:p>
        </w:tc>
      </w:tr>
      <w:tr>
        <w:trPr>
          <w:trHeight w:val="242"/>
        </w:trPr>
        <w:tc>
          <w:tcPr>
            <w:tcW w:w="3000" w:type="dxa"/>
            <w:vAlign w:val="bottom"/>
            <w:tcBorders>
              <w:bottom w:val="single" w:sz="8" w:color="F0F3F5"/>
            </w:tcBorders>
            <w:shd w:val="clear" w:color="auto" w:fill="F0F3F5"/>
          </w:tcPr>
          <w:p>
            <w:pPr>
              <w:ind w:left="240"/>
              <w:spacing w:after="0" w:line="208" w:lineRule="exact"/>
              <w:rPr>
                <w:sz w:val="20"/>
                <w:szCs w:val="20"/>
                <w:color w:val="auto"/>
              </w:rPr>
            </w:pPr>
            <w:r>
              <w:rPr>
                <w:rFonts w:ascii="Arial" w:cs="Arial" w:eastAsia="Arial" w:hAnsi="Arial"/>
                <w:sz w:val="15"/>
                <w:szCs w:val="15"/>
                <w:color w:val="3D3935"/>
              </w:rPr>
              <w:t xml:space="preserve">EBIT-adjusted </w:t>
            </w:r>
            <w:r>
              <w:rPr>
                <w:rFonts w:ascii="Arial" w:cs="Arial" w:eastAsia="Arial" w:hAnsi="Arial"/>
                <w:sz w:val="19"/>
                <w:szCs w:val="19"/>
                <w:color w:val="3D3935"/>
                <w:vertAlign w:val="superscript"/>
              </w:rPr>
              <w:t>(1)</w:t>
            </w:r>
          </w:p>
        </w:tc>
        <w:tc>
          <w:tcPr>
            <w:tcW w:w="40" w:type="dxa"/>
            <w:vAlign w:val="bottom"/>
          </w:tcPr>
          <w:p>
            <w:pPr>
              <w:spacing w:after="0"/>
              <w:rPr>
                <w:sz w:val="21"/>
                <w:szCs w:val="21"/>
                <w:color w:val="auto"/>
              </w:rPr>
            </w:pPr>
          </w:p>
        </w:tc>
        <w:tc>
          <w:tcPr>
            <w:tcW w:w="3000" w:type="dxa"/>
            <w:vAlign w:val="bottom"/>
            <w:tcBorders>
              <w:bottom w:val="single" w:sz="8" w:color="F0F3F5"/>
            </w:tcBorders>
            <w:shd w:val="clear" w:color="auto" w:fill="F0F3F5"/>
          </w:tcPr>
          <w:p>
            <w:pPr>
              <w:ind w:left="220"/>
              <w:spacing w:after="0" w:line="208" w:lineRule="exact"/>
              <w:rPr>
                <w:sz w:val="20"/>
                <w:szCs w:val="20"/>
                <w:color w:val="auto"/>
              </w:rPr>
            </w:pPr>
            <w:r>
              <w:rPr>
                <w:rFonts w:ascii="Arial" w:cs="Arial" w:eastAsia="Arial" w:hAnsi="Arial"/>
                <w:sz w:val="15"/>
                <w:szCs w:val="15"/>
                <w:color w:val="3D3935"/>
              </w:rPr>
              <w:t xml:space="preserve">EBIT-adjusted </w:t>
            </w:r>
            <w:r>
              <w:rPr>
                <w:rFonts w:ascii="Arial" w:cs="Arial" w:eastAsia="Arial" w:hAnsi="Arial"/>
                <w:sz w:val="19"/>
                <w:szCs w:val="19"/>
                <w:color w:val="3D3935"/>
                <w:vertAlign w:val="superscript"/>
              </w:rPr>
              <w:t>(1)</w:t>
            </w:r>
            <w:r>
              <w:rPr>
                <w:rFonts w:ascii="Arial" w:cs="Arial" w:eastAsia="Arial" w:hAnsi="Arial"/>
                <w:sz w:val="15"/>
                <w:szCs w:val="15"/>
                <w:color w:val="3D3935"/>
              </w:rPr>
              <w:t xml:space="preserve"> margin</w:t>
            </w:r>
          </w:p>
        </w:tc>
        <w:tc>
          <w:tcPr>
            <w:tcW w:w="60" w:type="dxa"/>
            <w:vAlign w:val="bottom"/>
          </w:tcPr>
          <w:p>
            <w:pPr>
              <w:spacing w:after="0"/>
              <w:rPr>
                <w:sz w:val="21"/>
                <w:szCs w:val="21"/>
                <w:color w:val="auto"/>
              </w:rPr>
            </w:pPr>
          </w:p>
        </w:tc>
        <w:tc>
          <w:tcPr>
            <w:tcW w:w="2980" w:type="dxa"/>
            <w:vAlign w:val="bottom"/>
            <w:tcBorders>
              <w:bottom w:val="single" w:sz="8" w:color="F0F3F5"/>
            </w:tcBorders>
            <w:shd w:val="clear" w:color="auto" w:fill="F0F3F5"/>
          </w:tcPr>
          <w:p>
            <w:pPr>
              <w:ind w:left="220"/>
              <w:spacing w:after="0" w:line="208" w:lineRule="exact"/>
              <w:rPr>
                <w:sz w:val="20"/>
                <w:szCs w:val="20"/>
                <w:color w:val="auto"/>
              </w:rPr>
            </w:pPr>
            <w:r>
              <w:rPr>
                <w:rFonts w:ascii="Arial" w:cs="Arial" w:eastAsia="Arial" w:hAnsi="Arial"/>
                <w:sz w:val="15"/>
                <w:szCs w:val="15"/>
                <w:color w:val="3D3935"/>
              </w:rPr>
              <w:t xml:space="preserve">EPS-diluted-adjusted </w:t>
            </w:r>
            <w:r>
              <w:rPr>
                <w:rFonts w:ascii="Arial" w:cs="Arial" w:eastAsia="Arial" w:hAnsi="Arial"/>
                <w:sz w:val="19"/>
                <w:szCs w:val="19"/>
                <w:color w:val="3D3935"/>
                <w:vertAlign w:val="superscript"/>
              </w:rPr>
              <w:t>(1)</w:t>
            </w:r>
          </w:p>
        </w:tc>
      </w:tr>
      <w:tr>
        <w:trPr>
          <w:trHeight w:val="54"/>
        </w:trPr>
        <w:tc>
          <w:tcPr>
            <w:tcW w:w="3000" w:type="dxa"/>
            <w:vAlign w:val="bottom"/>
          </w:tcPr>
          <w:p>
            <w:pPr>
              <w:spacing w:after="0"/>
              <w:rPr>
                <w:sz w:val="4"/>
                <w:szCs w:val="4"/>
                <w:color w:val="auto"/>
              </w:rPr>
            </w:pPr>
          </w:p>
        </w:tc>
        <w:tc>
          <w:tcPr>
            <w:tcW w:w="304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980" w:type="dxa"/>
            <w:vAlign w:val="bottom"/>
          </w:tcPr>
          <w:p>
            <w:pPr>
              <w:spacing w:after="0"/>
              <w:rPr>
                <w:sz w:val="4"/>
                <w:szCs w:val="4"/>
                <w:color w:val="auto"/>
              </w:rPr>
            </w:pPr>
          </w:p>
        </w:tc>
      </w:tr>
      <w:tr>
        <w:trPr>
          <w:trHeight w:val="617"/>
        </w:trPr>
        <w:tc>
          <w:tcPr>
            <w:tcW w:w="3000" w:type="dxa"/>
            <w:vAlign w:val="bottom"/>
            <w:shd w:val="clear" w:color="auto" w:fill="F0F3F5"/>
          </w:tcPr>
          <w:p>
            <w:pPr>
              <w:ind w:left="240"/>
              <w:spacing w:after="0"/>
              <w:rPr>
                <w:sz w:val="20"/>
                <w:szCs w:val="20"/>
                <w:color w:val="auto"/>
              </w:rPr>
            </w:pPr>
            <w:r>
              <w:rPr>
                <w:rFonts w:ascii="Arial" w:cs="Arial" w:eastAsia="Arial" w:hAnsi="Arial"/>
                <w:sz w:val="43"/>
                <w:szCs w:val="43"/>
                <w:b w:val="1"/>
                <w:bCs w:val="1"/>
                <w:color w:val="0072CE"/>
              </w:rPr>
              <w:t>$187.4B</w:t>
            </w:r>
          </w:p>
        </w:tc>
        <w:tc>
          <w:tcPr>
            <w:tcW w:w="40" w:type="dxa"/>
            <w:vAlign w:val="bottom"/>
          </w:tcPr>
          <w:p>
            <w:pPr>
              <w:spacing w:after="0"/>
              <w:rPr>
                <w:sz w:val="24"/>
                <w:szCs w:val="24"/>
                <w:color w:val="auto"/>
              </w:rPr>
            </w:pPr>
          </w:p>
        </w:tc>
        <w:tc>
          <w:tcPr>
            <w:tcW w:w="3000" w:type="dxa"/>
            <w:vAlign w:val="bottom"/>
            <w:shd w:val="clear" w:color="auto" w:fill="F0F3F5"/>
          </w:tcPr>
          <w:p>
            <w:pPr>
              <w:ind w:left="220"/>
              <w:spacing w:after="0"/>
              <w:rPr>
                <w:sz w:val="20"/>
                <w:szCs w:val="20"/>
                <w:color w:val="auto"/>
              </w:rPr>
            </w:pPr>
            <w:r>
              <w:rPr>
                <w:rFonts w:ascii="Arial" w:cs="Arial" w:eastAsia="Arial" w:hAnsi="Arial"/>
                <w:sz w:val="43"/>
                <w:szCs w:val="43"/>
                <w:b w:val="1"/>
                <w:bCs w:val="1"/>
                <w:color w:val="0072CE"/>
              </w:rPr>
              <w:t>50%</w:t>
            </w:r>
          </w:p>
        </w:tc>
        <w:tc>
          <w:tcPr>
            <w:tcW w:w="60" w:type="dxa"/>
            <w:vAlign w:val="bottom"/>
          </w:tcPr>
          <w:p>
            <w:pPr>
              <w:spacing w:after="0"/>
              <w:rPr>
                <w:sz w:val="24"/>
                <w:szCs w:val="24"/>
                <w:color w:val="auto"/>
              </w:rPr>
            </w:pPr>
          </w:p>
        </w:tc>
        <w:tc>
          <w:tcPr>
            <w:tcW w:w="2980" w:type="dxa"/>
            <w:vAlign w:val="bottom"/>
            <w:shd w:val="clear" w:color="auto" w:fill="F0F3F5"/>
          </w:tcPr>
          <w:p>
            <w:pPr>
              <w:ind w:left="220"/>
              <w:spacing w:after="0"/>
              <w:rPr>
                <w:sz w:val="20"/>
                <w:szCs w:val="20"/>
                <w:color w:val="auto"/>
              </w:rPr>
            </w:pPr>
            <w:r>
              <w:rPr>
                <w:rFonts w:ascii="Arial" w:cs="Arial" w:eastAsia="Arial" w:hAnsi="Arial"/>
                <w:sz w:val="43"/>
                <w:szCs w:val="43"/>
                <w:b w:val="1"/>
                <w:bCs w:val="1"/>
                <w:color w:val="0072CE"/>
              </w:rPr>
              <w:t>$7.6B</w:t>
            </w:r>
          </w:p>
        </w:tc>
      </w:tr>
      <w:tr>
        <w:trPr>
          <w:trHeight w:val="176"/>
        </w:trPr>
        <w:tc>
          <w:tcPr>
            <w:tcW w:w="3000" w:type="dxa"/>
            <w:vAlign w:val="bottom"/>
            <w:shd w:val="clear" w:color="auto" w:fill="F0F3F5"/>
          </w:tcPr>
          <w:p>
            <w:pPr>
              <w:ind w:left="240"/>
              <w:spacing w:after="0"/>
              <w:rPr>
                <w:sz w:val="20"/>
                <w:szCs w:val="20"/>
                <w:color w:val="auto"/>
              </w:rPr>
            </w:pPr>
            <w:r>
              <w:rPr>
                <w:rFonts w:ascii="Arial" w:cs="Arial" w:eastAsia="Arial" w:hAnsi="Arial"/>
                <w:sz w:val="15"/>
                <w:szCs w:val="15"/>
                <w:color w:val="3D3935"/>
              </w:rPr>
              <w:t>Revenue</w:t>
            </w:r>
          </w:p>
        </w:tc>
        <w:tc>
          <w:tcPr>
            <w:tcW w:w="40" w:type="dxa"/>
            <w:vAlign w:val="bottom"/>
          </w:tcPr>
          <w:p>
            <w:pPr>
              <w:spacing w:after="0"/>
              <w:rPr>
                <w:sz w:val="15"/>
                <w:szCs w:val="15"/>
                <w:color w:val="auto"/>
              </w:rPr>
            </w:pPr>
          </w:p>
        </w:tc>
        <w:tc>
          <w:tcPr>
            <w:tcW w:w="3000" w:type="dxa"/>
            <w:vAlign w:val="bottom"/>
            <w:shd w:val="clear" w:color="auto" w:fill="F0F3F5"/>
          </w:tcPr>
          <w:p>
            <w:pPr>
              <w:ind w:left="220"/>
              <w:spacing w:after="0"/>
              <w:rPr>
                <w:sz w:val="20"/>
                <w:szCs w:val="20"/>
                <w:color w:val="auto"/>
              </w:rPr>
            </w:pPr>
            <w:r>
              <w:rPr>
                <w:rFonts w:ascii="Arial" w:cs="Arial" w:eastAsia="Arial" w:hAnsi="Arial"/>
                <w:sz w:val="15"/>
                <w:szCs w:val="15"/>
                <w:color w:val="3D3935"/>
              </w:rPr>
              <w:t>TSR</w:t>
            </w:r>
          </w:p>
        </w:tc>
        <w:tc>
          <w:tcPr>
            <w:tcW w:w="60" w:type="dxa"/>
            <w:vAlign w:val="bottom"/>
          </w:tcPr>
          <w:p>
            <w:pPr>
              <w:spacing w:after="0"/>
              <w:rPr>
                <w:sz w:val="15"/>
                <w:szCs w:val="15"/>
                <w:color w:val="auto"/>
              </w:rPr>
            </w:pPr>
          </w:p>
        </w:tc>
        <w:tc>
          <w:tcPr>
            <w:tcW w:w="2980" w:type="dxa"/>
            <w:vAlign w:val="bottom"/>
            <w:shd w:val="clear" w:color="auto" w:fill="F0F3F5"/>
          </w:tcPr>
          <w:p>
            <w:pPr>
              <w:ind w:left="220"/>
              <w:spacing w:after="0"/>
              <w:rPr>
                <w:sz w:val="20"/>
                <w:szCs w:val="20"/>
                <w:color w:val="auto"/>
              </w:rPr>
            </w:pPr>
            <w:r>
              <w:rPr>
                <w:rFonts w:ascii="Arial" w:cs="Arial" w:eastAsia="Arial" w:hAnsi="Arial"/>
                <w:sz w:val="15"/>
                <w:szCs w:val="15"/>
                <w:color w:val="3D3935"/>
              </w:rPr>
              <w:t>Returned to shareholders via</w:t>
            </w:r>
          </w:p>
        </w:tc>
      </w:tr>
      <w:tr>
        <w:trPr>
          <w:trHeight w:val="200"/>
        </w:trPr>
        <w:tc>
          <w:tcPr>
            <w:tcW w:w="3000" w:type="dxa"/>
            <w:vAlign w:val="bottom"/>
            <w:shd w:val="clear" w:color="auto" w:fill="F0F3F5"/>
          </w:tcPr>
          <w:p>
            <w:pPr>
              <w:spacing w:after="0"/>
              <w:rPr>
                <w:sz w:val="17"/>
                <w:szCs w:val="17"/>
                <w:color w:val="auto"/>
              </w:rPr>
            </w:pPr>
          </w:p>
        </w:tc>
        <w:tc>
          <w:tcPr>
            <w:tcW w:w="40" w:type="dxa"/>
            <w:vAlign w:val="bottom"/>
          </w:tcPr>
          <w:p>
            <w:pPr>
              <w:spacing w:after="0"/>
              <w:rPr>
                <w:sz w:val="17"/>
                <w:szCs w:val="17"/>
                <w:color w:val="auto"/>
              </w:rPr>
            </w:pPr>
          </w:p>
        </w:tc>
        <w:tc>
          <w:tcPr>
            <w:tcW w:w="3000" w:type="dxa"/>
            <w:vAlign w:val="bottom"/>
            <w:shd w:val="clear" w:color="auto" w:fill="F0F3F5"/>
          </w:tcPr>
          <w:p>
            <w:pPr>
              <w:spacing w:after="0"/>
              <w:rPr>
                <w:sz w:val="17"/>
                <w:szCs w:val="17"/>
                <w:color w:val="auto"/>
              </w:rPr>
            </w:pPr>
          </w:p>
        </w:tc>
        <w:tc>
          <w:tcPr>
            <w:tcW w:w="60" w:type="dxa"/>
            <w:vAlign w:val="bottom"/>
          </w:tcPr>
          <w:p>
            <w:pPr>
              <w:spacing w:after="0"/>
              <w:rPr>
                <w:sz w:val="17"/>
                <w:szCs w:val="17"/>
                <w:color w:val="auto"/>
              </w:rPr>
            </w:pPr>
          </w:p>
        </w:tc>
        <w:tc>
          <w:tcPr>
            <w:tcW w:w="2980" w:type="dxa"/>
            <w:vAlign w:val="bottom"/>
            <w:shd w:val="clear" w:color="auto" w:fill="F0F3F5"/>
          </w:tcPr>
          <w:p>
            <w:pPr>
              <w:ind w:left="220"/>
              <w:spacing w:after="0"/>
              <w:rPr>
                <w:sz w:val="20"/>
                <w:szCs w:val="20"/>
                <w:color w:val="auto"/>
              </w:rPr>
            </w:pPr>
            <w:r>
              <w:rPr>
                <w:rFonts w:ascii="Arial" w:cs="Arial" w:eastAsia="Arial" w:hAnsi="Arial"/>
                <w:sz w:val="15"/>
                <w:szCs w:val="15"/>
                <w:color w:val="3D3935"/>
              </w:rPr>
              <w:t>dividends and share repurchases</w:t>
            </w:r>
          </w:p>
        </w:tc>
      </w:tr>
      <w:tr>
        <w:trPr>
          <w:trHeight w:val="73"/>
        </w:trPr>
        <w:tc>
          <w:tcPr>
            <w:tcW w:w="3000" w:type="dxa"/>
            <w:vAlign w:val="bottom"/>
            <w:shd w:val="clear" w:color="auto" w:fill="F0F3F5"/>
          </w:tcPr>
          <w:p>
            <w:pPr>
              <w:spacing w:after="0"/>
              <w:rPr>
                <w:sz w:val="6"/>
                <w:szCs w:val="6"/>
                <w:color w:val="auto"/>
              </w:rPr>
            </w:pPr>
          </w:p>
        </w:tc>
        <w:tc>
          <w:tcPr>
            <w:tcW w:w="40" w:type="dxa"/>
            <w:vAlign w:val="bottom"/>
          </w:tcPr>
          <w:p>
            <w:pPr>
              <w:spacing w:after="0"/>
              <w:rPr>
                <w:sz w:val="6"/>
                <w:szCs w:val="6"/>
                <w:color w:val="auto"/>
              </w:rPr>
            </w:pPr>
          </w:p>
        </w:tc>
        <w:tc>
          <w:tcPr>
            <w:tcW w:w="3000" w:type="dxa"/>
            <w:vAlign w:val="bottom"/>
            <w:shd w:val="clear" w:color="auto" w:fill="F0F3F5"/>
          </w:tcPr>
          <w:p>
            <w:pPr>
              <w:spacing w:after="0"/>
              <w:rPr>
                <w:sz w:val="6"/>
                <w:szCs w:val="6"/>
                <w:color w:val="auto"/>
              </w:rPr>
            </w:pPr>
          </w:p>
        </w:tc>
        <w:tc>
          <w:tcPr>
            <w:tcW w:w="60" w:type="dxa"/>
            <w:vAlign w:val="bottom"/>
          </w:tcPr>
          <w:p>
            <w:pPr>
              <w:spacing w:after="0"/>
              <w:rPr>
                <w:sz w:val="6"/>
                <w:szCs w:val="6"/>
                <w:color w:val="auto"/>
              </w:rPr>
            </w:pPr>
          </w:p>
        </w:tc>
        <w:tc>
          <w:tcPr>
            <w:tcW w:w="2980" w:type="dxa"/>
            <w:vAlign w:val="bottom"/>
            <w:shd w:val="clear" w:color="auto" w:fill="F0F3F5"/>
          </w:tcPr>
          <w:p>
            <w:pPr>
              <w:spacing w:after="0"/>
              <w:rPr>
                <w:sz w:val="6"/>
                <w:szCs w:val="6"/>
                <w:color w:val="auto"/>
              </w:rPr>
            </w:pPr>
          </w:p>
        </w:tc>
      </w:tr>
    </w:tbl>
    <w:p>
      <w:pPr>
        <w:spacing w:after="0" w:line="220" w:lineRule="exact"/>
        <w:rPr>
          <w:sz w:val="20"/>
          <w:szCs w:val="20"/>
          <w:color w:val="auto"/>
        </w:rPr>
      </w:pPr>
    </w:p>
    <w:p>
      <w:pPr>
        <w:ind w:left="200" w:right="540" w:hanging="192"/>
        <w:spacing w:after="0" w:line="239" w:lineRule="auto"/>
        <w:tabs>
          <w:tab w:leader="none" w:pos="200" w:val="left"/>
        </w:tabs>
        <w:numPr>
          <w:ilvl w:val="0"/>
          <w:numId w:val="11"/>
        </w:numPr>
        <w:rPr>
          <w:rFonts w:ascii="Arial" w:cs="Arial" w:eastAsia="Arial" w:hAnsi="Arial"/>
          <w:sz w:val="19"/>
          <w:szCs w:val="19"/>
          <w:color w:val="3D3935"/>
          <w:vertAlign w:val="superscript"/>
        </w:rPr>
      </w:pPr>
      <w:r>
        <w:rPr>
          <w:rFonts w:ascii="Arial" w:cs="Arial" w:eastAsia="Arial" w:hAnsi="Arial"/>
          <w:sz w:val="14"/>
          <w:szCs w:val="14"/>
          <w:color w:val="3D3935"/>
        </w:rPr>
        <w:t>Non-GAAP financial measure. Refer to Appendix A for a reconciliation of non-GAAP financial measures to their closest comparable GAAP measure.</w:t>
      </w:r>
    </w:p>
    <w:p>
      <w:pPr>
        <w:spacing w:after="0" w:line="110"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Performance Highlights</w:t>
      </w:r>
    </w:p>
    <w:p>
      <w:pPr>
        <w:sectPr>
          <w:pgSz w:w="11900" w:h="16889" w:orient="portrait"/>
          <w:cols w:equalWidth="0" w:num="1">
            <w:col w:w="9080"/>
          </w:cols>
          <w:pgMar w:left="1400" w:top="108" w:right="1419" w:bottom="0" w:gutter="0" w:footer="0" w:header="0"/>
        </w:sectPr>
      </w:pPr>
    </w:p>
    <w:p>
      <w:pPr>
        <w:spacing w:after="0" w:line="200" w:lineRule="exact"/>
        <w:rPr>
          <w:sz w:val="20"/>
          <w:szCs w:val="20"/>
          <w:color w:val="auto"/>
        </w:rPr>
      </w:pPr>
    </w:p>
    <w:p>
      <w:pPr>
        <w:spacing w:after="0" w:line="390"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0072CE"/>
        </w:rPr>
        <w:t>U.S. Market Leader</w:t>
      </w:r>
    </w:p>
    <w:p>
      <w:pPr>
        <w:spacing w:after="0" w:line="54"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3D3935"/>
        </w:rPr>
        <w:t xml:space="preserve">#1 </w:t>
      </w:r>
      <w:r>
        <w:rPr>
          <w:rFonts w:ascii="Arial" w:cs="Arial" w:eastAsia="Arial" w:hAnsi="Arial"/>
          <w:sz w:val="18"/>
          <w:szCs w:val="18"/>
          <w:color w:val="3D3935"/>
        </w:rPr>
        <w:t>in total sales</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3D3935"/>
        </w:rPr>
        <w:t xml:space="preserve">#1 </w:t>
      </w:r>
      <w:r>
        <w:rPr>
          <w:rFonts w:ascii="Arial" w:cs="Arial" w:eastAsia="Arial" w:hAnsi="Arial"/>
          <w:sz w:val="18"/>
          <w:szCs w:val="18"/>
          <w:color w:val="3D3935"/>
        </w:rPr>
        <w:t>in retail sales</w:t>
      </w:r>
    </w:p>
    <w:p>
      <w:pPr>
        <w:spacing w:after="0" w:line="9" w:lineRule="exact"/>
        <w:rPr>
          <w:sz w:val="20"/>
          <w:szCs w:val="20"/>
          <w:color w:val="auto"/>
        </w:rPr>
      </w:pPr>
    </w:p>
    <w:p>
      <w:pPr>
        <w:ind w:left="920" w:right="200" w:hanging="331"/>
        <w:spacing w:after="0" w:line="250" w:lineRule="auto"/>
        <w:rPr>
          <w:sz w:val="20"/>
          <w:szCs w:val="20"/>
          <w:color w:val="auto"/>
        </w:rPr>
      </w:pPr>
      <w:r>
        <w:rPr>
          <w:rFonts w:ascii="Arial" w:cs="Arial" w:eastAsia="Arial" w:hAnsi="Arial"/>
          <w:sz w:val="18"/>
          <w:szCs w:val="18"/>
          <w:b w:val="1"/>
          <w:bCs w:val="1"/>
          <w:color w:val="3D3935"/>
        </w:rPr>
        <w:t xml:space="preserve">#1 </w:t>
      </w:r>
      <w:r>
        <w:rPr>
          <w:rFonts w:ascii="Arial" w:cs="Arial" w:eastAsia="Arial" w:hAnsi="Arial"/>
          <w:sz w:val="18"/>
          <w:szCs w:val="18"/>
          <w:color w:val="3D3935"/>
        </w:rPr>
        <w:t>in full-size pickup trucks</w:t>
      </w:r>
      <w:r>
        <w:rPr>
          <w:rFonts w:ascii="Arial" w:cs="Arial" w:eastAsia="Arial" w:hAnsi="Arial"/>
          <w:sz w:val="18"/>
          <w:szCs w:val="18"/>
          <w:b w:val="1"/>
          <w:bCs w:val="1"/>
          <w:color w:val="3D3935"/>
        </w:rPr>
        <w:t xml:space="preserve"> #1 </w:t>
      </w:r>
      <w:r>
        <w:rPr>
          <w:rFonts w:ascii="Arial" w:cs="Arial" w:eastAsia="Arial" w:hAnsi="Arial"/>
          <w:sz w:val="18"/>
          <w:szCs w:val="18"/>
          <w:color w:val="3D3935"/>
        </w:rPr>
        <w:t>in full-size SUVs</w:t>
      </w:r>
    </w:p>
    <w:p>
      <w:pPr>
        <w:spacing w:after="0" w:line="1" w:lineRule="exact"/>
        <w:rPr>
          <w:sz w:val="20"/>
          <w:szCs w:val="20"/>
          <w:color w:val="auto"/>
        </w:rPr>
      </w:pPr>
    </w:p>
    <w:p>
      <w:pPr>
        <w:jc w:val="center"/>
        <w:ind w:left="380"/>
        <w:spacing w:after="0"/>
        <w:rPr>
          <w:sz w:val="20"/>
          <w:szCs w:val="20"/>
          <w:color w:val="auto"/>
        </w:rPr>
      </w:pPr>
      <w:r>
        <w:rPr>
          <w:rFonts w:ascii="Arial" w:cs="Arial" w:eastAsia="Arial" w:hAnsi="Arial"/>
          <w:sz w:val="17"/>
          <w:szCs w:val="17"/>
          <w:b w:val="1"/>
          <w:bCs w:val="1"/>
          <w:color w:val="3D3935"/>
        </w:rPr>
        <w:t xml:space="preserve">#1 </w:t>
      </w:r>
      <w:r>
        <w:rPr>
          <w:rFonts w:ascii="Arial" w:cs="Arial" w:eastAsia="Arial" w:hAnsi="Arial"/>
          <w:sz w:val="17"/>
          <w:szCs w:val="17"/>
          <w:color w:val="3D3935"/>
        </w:rPr>
        <w:t>in commercial fleet deliveries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187" w:right="220" w:hanging="187"/>
        <w:spacing w:after="0" w:line="321" w:lineRule="auto"/>
        <w:tabs>
          <w:tab w:leader="none" w:pos="187" w:val="left"/>
        </w:tabs>
        <w:numPr>
          <w:ilvl w:val="0"/>
          <w:numId w:val="12"/>
        </w:numPr>
        <w:rPr>
          <w:rFonts w:ascii="Arial" w:cs="Arial" w:eastAsia="Arial" w:hAnsi="Arial"/>
          <w:sz w:val="14"/>
          <w:szCs w:val="14"/>
          <w:color w:val="0072CE"/>
        </w:rPr>
      </w:pPr>
      <w:r>
        <w:rPr>
          <w:rFonts w:ascii="Arial" w:cs="Arial" w:eastAsia="Arial" w:hAnsi="Arial"/>
          <w:sz w:val="16"/>
          <w:szCs w:val="16"/>
          <w:b w:val="1"/>
          <w:bCs w:val="1"/>
          <w:color w:val="3D3935"/>
        </w:rPr>
        <w:t>Total Company revenue of $187B, up more than 9%</w:t>
      </w:r>
      <w:r>
        <w:rPr>
          <w:rFonts w:ascii="Arial" w:cs="Arial" w:eastAsia="Arial" w:hAnsi="Arial"/>
          <w:sz w:val="16"/>
          <w:szCs w:val="16"/>
          <w:color w:val="3D3935"/>
        </w:rPr>
        <w:t>vs. 2023 and CAGR</w:t>
      </w:r>
      <w:r>
        <w:rPr>
          <w:rFonts w:ascii="Arial" w:cs="Arial" w:eastAsia="Arial" w:hAnsi="Arial"/>
          <w:sz w:val="16"/>
          <w:szCs w:val="16"/>
          <w:b w:val="1"/>
          <w:bCs w:val="1"/>
          <w:color w:val="3D3935"/>
        </w:rPr>
        <w:t xml:space="preserve"> </w:t>
      </w:r>
      <w:r>
        <w:rPr>
          <w:rFonts w:ascii="Arial" w:cs="Arial" w:eastAsia="Arial" w:hAnsi="Arial"/>
          <w:sz w:val="16"/>
          <w:szCs w:val="16"/>
          <w:color w:val="3D3935"/>
        </w:rPr>
        <w:t>of ~10% since 2021</w:t>
      </w:r>
    </w:p>
    <w:p>
      <w:pPr>
        <w:spacing w:after="0" w:line="74" w:lineRule="exact"/>
        <w:rPr>
          <w:rFonts w:ascii="Arial" w:cs="Arial" w:eastAsia="Arial" w:hAnsi="Arial"/>
          <w:sz w:val="14"/>
          <w:szCs w:val="14"/>
          <w:color w:val="0072CE"/>
        </w:rPr>
      </w:pPr>
    </w:p>
    <w:p>
      <w:pPr>
        <w:ind w:left="187" w:right="680" w:hanging="187"/>
        <w:spacing w:after="0" w:line="332" w:lineRule="auto"/>
        <w:tabs>
          <w:tab w:leader="none" w:pos="187" w:val="left"/>
        </w:tabs>
        <w:numPr>
          <w:ilvl w:val="0"/>
          <w:numId w:val="12"/>
        </w:numPr>
        <w:rPr>
          <w:rFonts w:ascii="Arial" w:cs="Arial" w:eastAsia="Arial" w:hAnsi="Arial"/>
          <w:sz w:val="14"/>
          <w:szCs w:val="14"/>
          <w:color w:val="0072CE"/>
        </w:rPr>
      </w:pPr>
      <w:r>
        <w:rPr>
          <w:rFonts w:ascii="Arial" w:cs="Arial" w:eastAsia="Arial" w:hAnsi="Arial"/>
          <w:sz w:val="16"/>
          <w:szCs w:val="16"/>
          <w:b w:val="1"/>
          <w:bCs w:val="1"/>
          <w:color w:val="3D3935"/>
        </w:rPr>
        <w:t>EV portfolio variable profit positive in Q4</w:t>
      </w:r>
      <w:r>
        <w:rPr>
          <w:rFonts w:ascii="Arial" w:cs="Arial" w:eastAsia="Arial" w:hAnsi="Arial"/>
          <w:sz w:val="16"/>
          <w:szCs w:val="16"/>
          <w:color w:val="3D3935"/>
        </w:rPr>
        <w:t>, along with being the</w:t>
      </w:r>
      <w:r>
        <w:rPr>
          <w:rFonts w:ascii="Arial" w:cs="Arial" w:eastAsia="Arial" w:hAnsi="Arial"/>
          <w:sz w:val="16"/>
          <w:szCs w:val="16"/>
          <w:b w:val="1"/>
          <w:bCs w:val="1"/>
          <w:color w:val="3D3935"/>
        </w:rPr>
        <w:t xml:space="preserve"> #2 seller of EVs in the U.S. </w:t>
      </w:r>
      <w:r>
        <w:rPr>
          <w:rFonts w:ascii="Arial" w:cs="Arial" w:eastAsia="Arial" w:hAnsi="Arial"/>
          <w:sz w:val="16"/>
          <w:szCs w:val="16"/>
          <w:color w:val="3D3935"/>
        </w:rPr>
        <w:t>H2–24</w:t>
      </w:r>
    </w:p>
    <w:p>
      <w:pPr>
        <w:spacing w:after="0" w:line="71" w:lineRule="exact"/>
        <w:rPr>
          <w:rFonts w:ascii="Arial" w:cs="Arial" w:eastAsia="Arial" w:hAnsi="Arial"/>
          <w:sz w:val="14"/>
          <w:szCs w:val="14"/>
          <w:color w:val="0072CE"/>
        </w:rPr>
      </w:pPr>
    </w:p>
    <w:p>
      <w:pPr>
        <w:ind w:left="187" w:right="1320" w:hanging="187"/>
        <w:spacing w:after="0" w:line="321" w:lineRule="auto"/>
        <w:tabs>
          <w:tab w:leader="none" w:pos="187" w:val="left"/>
        </w:tabs>
        <w:numPr>
          <w:ilvl w:val="0"/>
          <w:numId w:val="12"/>
        </w:numPr>
        <w:rPr>
          <w:rFonts w:ascii="Arial" w:cs="Arial" w:eastAsia="Arial" w:hAnsi="Arial"/>
          <w:sz w:val="14"/>
          <w:szCs w:val="14"/>
          <w:color w:val="0072CE"/>
        </w:rPr>
      </w:pPr>
      <w:r>
        <w:rPr>
          <w:rFonts w:ascii="Arial" w:cs="Arial" w:eastAsia="Arial" w:hAnsi="Arial"/>
          <w:sz w:val="16"/>
          <w:szCs w:val="16"/>
          <w:b w:val="1"/>
          <w:bCs w:val="1"/>
          <w:color w:val="3D3935"/>
        </w:rPr>
        <w:t xml:space="preserve">Record profit-sharing payouts of ~$640M </w:t>
      </w:r>
      <w:r>
        <w:rPr>
          <w:rFonts w:ascii="Arial" w:cs="Arial" w:eastAsia="Arial" w:hAnsi="Arial"/>
          <w:sz w:val="16"/>
          <w:szCs w:val="16"/>
          <w:color w:val="3D3935"/>
        </w:rPr>
        <w:t>to United Auto</w:t>
      </w:r>
      <w:r>
        <w:rPr>
          <w:rFonts w:ascii="Arial" w:cs="Arial" w:eastAsia="Arial" w:hAnsi="Arial"/>
          <w:sz w:val="16"/>
          <w:szCs w:val="16"/>
          <w:b w:val="1"/>
          <w:bCs w:val="1"/>
          <w:color w:val="3D3935"/>
        </w:rPr>
        <w:t xml:space="preserve"> </w:t>
      </w:r>
      <w:r>
        <w:rPr>
          <w:rFonts w:ascii="Arial" w:cs="Arial" w:eastAsia="Arial" w:hAnsi="Arial"/>
          <w:sz w:val="16"/>
          <w:szCs w:val="16"/>
          <w:color w:val="3D3935"/>
        </w:rPr>
        <w:t>Worker-represented employees</w:t>
      </w:r>
    </w:p>
    <w:p>
      <w:pPr>
        <w:spacing w:after="0" w:line="200" w:lineRule="exact"/>
        <w:rPr>
          <w:sz w:val="20"/>
          <w:szCs w:val="20"/>
          <w:color w:val="auto"/>
        </w:rPr>
      </w:pPr>
    </w:p>
    <w:p>
      <w:pPr>
        <w:sectPr>
          <w:pgSz w:w="11900" w:h="16889" w:orient="portrait"/>
          <w:cols w:equalWidth="0" w:num="2">
            <w:col w:w="2940" w:space="393"/>
            <w:col w:w="5747"/>
          </w:cols>
          <w:pgMar w:left="1400" w:top="108" w:right="14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35737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10375" cy="3573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Proxy Summary</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Election of Directors</w:t>
      </w:r>
    </w:p>
    <w:p>
      <w:pPr>
        <w:spacing w:after="0" w:line="161" w:lineRule="exact"/>
        <w:rPr>
          <w:sz w:val="20"/>
          <w:szCs w:val="20"/>
          <w:color w:val="auto"/>
        </w:rPr>
      </w:pPr>
    </w:p>
    <w:p>
      <w:pPr>
        <w:ind w:right="180"/>
        <w:spacing w:after="0" w:line="288" w:lineRule="auto"/>
        <w:rPr>
          <w:sz w:val="20"/>
          <w:szCs w:val="20"/>
          <w:color w:val="auto"/>
        </w:rPr>
      </w:pPr>
      <w:r>
        <w:rPr>
          <w:rFonts w:ascii="Arial" w:cs="Arial" w:eastAsia="Arial" w:hAnsi="Arial"/>
          <w:sz w:val="29"/>
          <w:szCs w:val="29"/>
          <w:b w:val="1"/>
          <w:bCs w:val="1"/>
          <w:color w:val="3D3935"/>
        </w:rPr>
        <w:t>Snapshot of 2025 Board Nominees (and Committee Assignments after the Annual Meeting of Shareholders)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ind w:left="1340"/>
              <w:spacing w:after="0"/>
              <w:rPr>
                <w:sz w:val="20"/>
                <w:szCs w:val="20"/>
                <w:color w:val="auto"/>
              </w:rPr>
            </w:pPr>
            <w:r>
              <w:rPr>
                <w:rFonts w:ascii="Arial" w:cs="Arial" w:eastAsia="Arial" w:hAnsi="Arial"/>
                <w:sz w:val="18"/>
                <w:szCs w:val="18"/>
                <w:b w:val="1"/>
                <w:bCs w:val="1"/>
                <w:color w:val="0072CE"/>
              </w:rPr>
              <w:t>Mary T. Barra</w:t>
            </w:r>
          </w:p>
        </w:tc>
        <w:tc>
          <w:tcPr>
            <w:tcW w:w="360" w:type="dxa"/>
            <w:vAlign w:val="bottom"/>
          </w:tcPr>
          <w:p>
            <w:pPr>
              <w:spacing w:after="0"/>
              <w:rPr>
                <w:sz w:val="18"/>
                <w:szCs w:val="18"/>
                <w:color w:val="auto"/>
              </w:rPr>
            </w:pPr>
          </w:p>
        </w:tc>
        <w:tc>
          <w:tcPr>
            <w:tcW w:w="2820" w:type="dxa"/>
            <w:vAlign w:val="bottom"/>
          </w:tcPr>
          <w:p>
            <w:pPr>
              <w:ind w:left="1340"/>
              <w:spacing w:after="0"/>
              <w:rPr>
                <w:sz w:val="20"/>
                <w:szCs w:val="20"/>
                <w:color w:val="auto"/>
              </w:rPr>
            </w:pPr>
            <w:r>
              <w:rPr>
                <w:rFonts w:ascii="Arial" w:cs="Arial" w:eastAsia="Arial" w:hAnsi="Arial"/>
                <w:sz w:val="18"/>
                <w:szCs w:val="18"/>
                <w:b w:val="1"/>
                <w:bCs w:val="1"/>
                <w:color w:val="0072CE"/>
              </w:rPr>
              <w:t>Wesley G. Bush</w:t>
            </w:r>
          </w:p>
        </w:tc>
        <w:tc>
          <w:tcPr>
            <w:tcW w:w="380" w:type="dxa"/>
            <w:vAlign w:val="bottom"/>
          </w:tcPr>
          <w:p>
            <w:pPr>
              <w:spacing w:after="0"/>
              <w:rPr>
                <w:sz w:val="18"/>
                <w:szCs w:val="18"/>
                <w:color w:val="auto"/>
              </w:rPr>
            </w:pPr>
          </w:p>
        </w:tc>
        <w:tc>
          <w:tcPr>
            <w:tcW w:w="2780" w:type="dxa"/>
            <w:vAlign w:val="bottom"/>
          </w:tcPr>
          <w:p>
            <w:pPr>
              <w:ind w:left="1320"/>
              <w:spacing w:after="0"/>
              <w:rPr>
                <w:sz w:val="20"/>
                <w:szCs w:val="20"/>
                <w:color w:val="auto"/>
              </w:rPr>
            </w:pPr>
            <w:r>
              <w:rPr>
                <w:rFonts w:ascii="Arial" w:cs="Arial" w:eastAsia="Arial" w:hAnsi="Arial"/>
                <w:sz w:val="18"/>
                <w:szCs w:val="18"/>
                <w:b w:val="1"/>
                <w:bCs w:val="1"/>
                <w:color w:val="0072CE"/>
              </w:rPr>
              <w:t>Joanne C.</w:t>
            </w:r>
          </w:p>
        </w:tc>
        <w:tc>
          <w:tcPr>
            <w:tcW w:w="0" w:type="dxa"/>
            <w:vAlign w:val="bottom"/>
          </w:tcPr>
          <w:p>
            <w:pPr>
              <w:spacing w:after="0"/>
              <w:rPr>
                <w:sz w:val="1"/>
                <w:szCs w:val="1"/>
                <w:color w:val="auto"/>
              </w:rPr>
            </w:pPr>
          </w:p>
        </w:tc>
      </w:tr>
      <w:tr>
        <w:trPr>
          <w:trHeight w:val="239"/>
        </w:trPr>
        <w:tc>
          <w:tcPr>
            <w:tcW w:w="2720" w:type="dxa"/>
            <w:vAlign w:val="bottom"/>
          </w:tcPr>
          <w:p>
            <w:pPr>
              <w:ind w:left="1340"/>
              <w:spacing w:after="0"/>
              <w:rPr>
                <w:sz w:val="20"/>
                <w:szCs w:val="20"/>
                <w:color w:val="auto"/>
              </w:rPr>
            </w:pPr>
            <w:r>
              <w:rPr>
                <w:rFonts w:ascii="Arial" w:cs="Arial" w:eastAsia="Arial" w:hAnsi="Arial"/>
                <w:sz w:val="14"/>
                <w:szCs w:val="14"/>
                <w:b w:val="1"/>
                <w:bCs w:val="1"/>
                <w:color w:val="3D3935"/>
              </w:rPr>
              <w:t xml:space="preserve">Age: </w:t>
            </w:r>
            <w:r>
              <w:rPr>
                <w:rFonts w:ascii="Arial" w:cs="Arial" w:eastAsia="Arial" w:hAnsi="Arial"/>
                <w:sz w:val="14"/>
                <w:szCs w:val="14"/>
                <w:color w:val="3D3935"/>
              </w:rPr>
              <w:t>63</w:t>
            </w:r>
          </w:p>
        </w:tc>
        <w:tc>
          <w:tcPr>
            <w:tcW w:w="3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780" w:type="dxa"/>
            <w:vAlign w:val="bottom"/>
          </w:tcPr>
          <w:p>
            <w:pPr>
              <w:ind w:left="1320"/>
              <w:spacing w:after="0"/>
              <w:rPr>
                <w:sz w:val="20"/>
                <w:szCs w:val="20"/>
                <w:color w:val="auto"/>
              </w:rPr>
            </w:pPr>
            <w:r>
              <w:rPr>
                <w:rFonts w:ascii="Arial" w:cs="Arial" w:eastAsia="Arial" w:hAnsi="Arial"/>
                <w:sz w:val="18"/>
                <w:szCs w:val="18"/>
                <w:b w:val="1"/>
                <w:bCs w:val="1"/>
                <w:color w:val="0072CE"/>
              </w:rPr>
              <w:t>Crevoiserat</w:t>
            </w:r>
          </w:p>
        </w:tc>
        <w:tc>
          <w:tcPr>
            <w:tcW w:w="0" w:type="dxa"/>
            <w:vAlign w:val="bottom"/>
          </w:tcPr>
          <w:p>
            <w:pPr>
              <w:spacing w:after="0"/>
              <w:rPr>
                <w:sz w:val="1"/>
                <w:szCs w:val="1"/>
                <w:color w:val="auto"/>
              </w:rPr>
            </w:pPr>
          </w:p>
        </w:tc>
      </w:tr>
      <w:tr>
        <w:trPr>
          <w:trHeight w:val="189"/>
        </w:trPr>
        <w:tc>
          <w:tcPr>
            <w:tcW w:w="2720" w:type="dxa"/>
            <w:vAlign w:val="bottom"/>
          </w:tcPr>
          <w:p>
            <w:pPr>
              <w:ind w:left="1340"/>
              <w:spacing w:after="0"/>
              <w:rPr>
                <w:sz w:val="20"/>
                <w:szCs w:val="20"/>
                <w:color w:val="auto"/>
              </w:rPr>
            </w:pPr>
            <w:r>
              <w:rPr>
                <w:rFonts w:ascii="Arial" w:cs="Arial" w:eastAsia="Arial" w:hAnsi="Arial"/>
                <w:sz w:val="14"/>
                <w:szCs w:val="14"/>
                <w:b w:val="1"/>
                <w:bCs w:val="1"/>
                <w:color w:val="3D3935"/>
              </w:rPr>
              <w:t>Director since:</w:t>
            </w:r>
          </w:p>
        </w:tc>
        <w:tc>
          <w:tcPr>
            <w:tcW w:w="360" w:type="dxa"/>
            <w:vAlign w:val="bottom"/>
          </w:tcPr>
          <w:p>
            <w:pPr>
              <w:spacing w:after="0"/>
              <w:rPr>
                <w:sz w:val="16"/>
                <w:szCs w:val="16"/>
                <w:color w:val="auto"/>
              </w:rPr>
            </w:pPr>
          </w:p>
        </w:tc>
        <w:tc>
          <w:tcPr>
            <w:tcW w:w="2820" w:type="dxa"/>
            <w:vAlign w:val="bottom"/>
            <w:vMerge w:val="restart"/>
          </w:tcPr>
          <w:p>
            <w:pPr>
              <w:ind w:left="1340"/>
              <w:spacing w:after="0"/>
              <w:rPr>
                <w:sz w:val="20"/>
                <w:szCs w:val="20"/>
                <w:color w:val="auto"/>
              </w:rPr>
            </w:pPr>
            <w:r>
              <w:rPr>
                <w:rFonts w:ascii="Arial" w:cs="Arial" w:eastAsia="Arial" w:hAnsi="Arial"/>
                <w:sz w:val="14"/>
                <w:szCs w:val="14"/>
                <w:b w:val="1"/>
                <w:bCs w:val="1"/>
                <w:color w:val="3D3935"/>
              </w:rPr>
              <w:t xml:space="preserve">Age: </w:t>
            </w:r>
            <w:r>
              <w:rPr>
                <w:rFonts w:ascii="Arial" w:cs="Arial" w:eastAsia="Arial" w:hAnsi="Arial"/>
                <w:sz w:val="14"/>
                <w:szCs w:val="14"/>
                <w:color w:val="3D3935"/>
              </w:rPr>
              <w:t>64</w:t>
            </w:r>
          </w:p>
        </w:tc>
        <w:tc>
          <w:tcPr>
            <w:tcW w:w="3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720" w:type="dxa"/>
            <w:vAlign w:val="bottom"/>
            <w:vMerge w:val="restart"/>
          </w:tcPr>
          <w:p>
            <w:pPr>
              <w:ind w:left="1340"/>
              <w:spacing w:after="0"/>
              <w:rPr>
                <w:sz w:val="20"/>
                <w:szCs w:val="20"/>
                <w:color w:val="auto"/>
              </w:rPr>
            </w:pPr>
            <w:r>
              <w:rPr>
                <w:rFonts w:ascii="Arial" w:cs="Arial" w:eastAsia="Arial" w:hAnsi="Arial"/>
                <w:sz w:val="14"/>
                <w:szCs w:val="14"/>
                <w:color w:val="3D3935"/>
              </w:rPr>
              <w:t>2014</w:t>
            </w:r>
          </w:p>
        </w:tc>
        <w:tc>
          <w:tcPr>
            <w:tcW w:w="360" w:type="dxa"/>
            <w:vAlign w:val="bottom"/>
          </w:tcPr>
          <w:p>
            <w:pPr>
              <w:spacing w:after="0"/>
              <w:rPr>
                <w:sz w:val="9"/>
                <w:szCs w:val="9"/>
                <w:color w:val="auto"/>
              </w:rPr>
            </w:pPr>
          </w:p>
        </w:tc>
        <w:tc>
          <w:tcPr>
            <w:tcW w:w="28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272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2820" w:type="dxa"/>
            <w:vAlign w:val="bottom"/>
            <w:vMerge w:val="restart"/>
          </w:tcPr>
          <w:p>
            <w:pPr>
              <w:ind w:left="1340"/>
              <w:spacing w:after="0"/>
              <w:rPr>
                <w:sz w:val="20"/>
                <w:szCs w:val="20"/>
                <w:color w:val="auto"/>
              </w:rPr>
            </w:pPr>
            <w:r>
              <w:rPr>
                <w:rFonts w:ascii="Arial" w:cs="Arial" w:eastAsia="Arial" w:hAnsi="Arial"/>
                <w:sz w:val="14"/>
                <w:szCs w:val="14"/>
                <w:b w:val="1"/>
                <w:bCs w:val="1"/>
                <w:color w:val="3D3935"/>
              </w:rPr>
              <w:t xml:space="preserve">Director since: </w:t>
            </w:r>
            <w:r>
              <w:rPr>
                <w:rFonts w:ascii="Arial" w:cs="Arial" w:eastAsia="Arial" w:hAnsi="Arial"/>
                <w:sz w:val="14"/>
                <w:szCs w:val="14"/>
                <w:color w:val="3D3935"/>
              </w:rPr>
              <w:t>2019</w:t>
            </w:r>
          </w:p>
        </w:tc>
        <w:tc>
          <w:tcPr>
            <w:tcW w:w="380" w:type="dxa"/>
            <w:vAlign w:val="bottom"/>
          </w:tcPr>
          <w:p>
            <w:pPr>
              <w:spacing w:after="0"/>
              <w:rPr>
                <w:sz w:val="7"/>
                <w:szCs w:val="7"/>
                <w:color w:val="auto"/>
              </w:rPr>
            </w:pPr>
          </w:p>
        </w:tc>
        <w:tc>
          <w:tcPr>
            <w:tcW w:w="2780" w:type="dxa"/>
            <w:vAlign w:val="bottom"/>
            <w:vMerge w:val="restart"/>
          </w:tcPr>
          <w:p>
            <w:pPr>
              <w:ind w:left="1320"/>
              <w:spacing w:after="0"/>
              <w:rPr>
                <w:sz w:val="20"/>
                <w:szCs w:val="20"/>
                <w:color w:val="auto"/>
              </w:rPr>
            </w:pPr>
            <w:r>
              <w:rPr>
                <w:rFonts w:ascii="Arial" w:cs="Arial" w:eastAsia="Arial" w:hAnsi="Arial"/>
                <w:sz w:val="14"/>
                <w:szCs w:val="14"/>
                <w:b w:val="1"/>
                <w:bCs w:val="1"/>
                <w:color w:val="3D3935"/>
              </w:rPr>
              <w:t xml:space="preserve">Age: </w:t>
            </w:r>
            <w:r>
              <w:rPr>
                <w:rFonts w:ascii="Arial" w:cs="Arial" w:eastAsia="Arial" w:hAnsi="Arial"/>
                <w:sz w:val="14"/>
                <w:szCs w:val="14"/>
                <w:color w:val="3D3935"/>
              </w:rPr>
              <w:t>61</w:t>
            </w:r>
          </w:p>
        </w:tc>
        <w:tc>
          <w:tcPr>
            <w:tcW w:w="0" w:type="dxa"/>
            <w:vAlign w:val="bottom"/>
          </w:tcPr>
          <w:p>
            <w:pPr>
              <w:spacing w:after="0"/>
              <w:rPr>
                <w:sz w:val="1"/>
                <w:szCs w:val="1"/>
                <w:color w:val="auto"/>
              </w:rPr>
            </w:pPr>
          </w:p>
        </w:tc>
      </w:tr>
      <w:tr>
        <w:trPr>
          <w:trHeight w:val="134"/>
        </w:trPr>
        <w:tc>
          <w:tcPr>
            <w:tcW w:w="2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2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2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780" w:type="dxa"/>
            <w:vAlign w:val="bottom"/>
          </w:tcPr>
          <w:p>
            <w:pPr>
              <w:ind w:left="1320"/>
              <w:spacing w:after="0"/>
              <w:rPr>
                <w:sz w:val="20"/>
                <w:szCs w:val="20"/>
                <w:color w:val="auto"/>
              </w:rPr>
            </w:pPr>
            <w:r>
              <w:rPr>
                <w:rFonts w:ascii="Arial" w:cs="Arial" w:eastAsia="Arial" w:hAnsi="Arial"/>
                <w:sz w:val="14"/>
                <w:szCs w:val="14"/>
                <w:b w:val="1"/>
                <w:bCs w:val="1"/>
                <w:color w:val="3D3935"/>
              </w:rPr>
              <w:t xml:space="preserve">Director since: </w:t>
            </w:r>
            <w:r>
              <w:rPr>
                <w:rFonts w:ascii="Arial" w:cs="Arial" w:eastAsia="Arial" w:hAnsi="Arial"/>
                <w:sz w:val="14"/>
                <w:szCs w:val="14"/>
                <w:color w:val="3D3935"/>
              </w:rPr>
              <w:t>2022</w:t>
            </w:r>
          </w:p>
        </w:tc>
        <w:tc>
          <w:tcPr>
            <w:tcW w:w="0" w:type="dxa"/>
            <w:vAlign w:val="bottom"/>
          </w:tcPr>
          <w:p>
            <w:pPr>
              <w:spacing w:after="0"/>
              <w:rPr>
                <w:sz w:val="1"/>
                <w:szCs w:val="1"/>
                <w:color w:val="auto"/>
              </w:rPr>
            </w:pPr>
          </w:p>
        </w:tc>
      </w:tr>
      <w:tr>
        <w:trPr>
          <w:trHeight w:val="236"/>
        </w:trPr>
        <w:tc>
          <w:tcPr>
            <w:tcW w:w="2720" w:type="dxa"/>
            <w:vAlign w:val="bottom"/>
          </w:tcPr>
          <w:p>
            <w:pPr>
              <w:ind w:left="60"/>
              <w:spacing w:after="0"/>
              <w:rPr>
                <w:sz w:val="20"/>
                <w:szCs w:val="20"/>
                <w:color w:val="auto"/>
              </w:rPr>
            </w:pPr>
            <w:r>
              <w:rPr>
                <w:rFonts w:ascii="Arial" w:cs="Arial" w:eastAsia="Arial" w:hAnsi="Arial"/>
                <w:sz w:val="14"/>
                <w:szCs w:val="14"/>
                <w:color w:val="3D3935"/>
              </w:rPr>
              <w:t>Chair and Chief Executive Officer,</w:t>
            </w:r>
          </w:p>
        </w:tc>
        <w:tc>
          <w:tcPr>
            <w:tcW w:w="360" w:type="dxa"/>
            <w:vAlign w:val="bottom"/>
          </w:tcPr>
          <w:p>
            <w:pPr>
              <w:spacing w:after="0"/>
              <w:rPr>
                <w:sz w:val="20"/>
                <w:szCs w:val="20"/>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3D3935"/>
              </w:rPr>
              <w:t>Retired Chairman and Chief Executive</w:t>
            </w:r>
          </w:p>
        </w:tc>
        <w:tc>
          <w:tcPr>
            <w:tcW w:w="380" w:type="dxa"/>
            <w:vAlign w:val="bottom"/>
          </w:tcPr>
          <w:p>
            <w:pPr>
              <w:spacing w:after="0"/>
              <w:rPr>
                <w:sz w:val="20"/>
                <w:szCs w:val="20"/>
                <w:color w:val="auto"/>
              </w:rPr>
            </w:pPr>
          </w:p>
        </w:tc>
        <w:tc>
          <w:tcPr>
            <w:tcW w:w="2780" w:type="dxa"/>
            <w:vAlign w:val="bottom"/>
          </w:tcPr>
          <w:p>
            <w:pPr>
              <w:ind w:left="40"/>
              <w:spacing w:after="0"/>
              <w:rPr>
                <w:sz w:val="20"/>
                <w:szCs w:val="20"/>
                <w:color w:val="auto"/>
              </w:rPr>
            </w:pPr>
            <w:r>
              <w:rPr>
                <w:rFonts w:ascii="Arial" w:cs="Arial" w:eastAsia="Arial" w:hAnsi="Arial"/>
                <w:sz w:val="14"/>
                <w:szCs w:val="14"/>
                <w:color w:val="3D3935"/>
              </w:rPr>
              <w:t>Chief Executive Officer, Tapestry, Inc.</w:t>
            </w:r>
          </w:p>
        </w:tc>
        <w:tc>
          <w:tcPr>
            <w:tcW w:w="0" w:type="dxa"/>
            <w:vAlign w:val="bottom"/>
          </w:tcPr>
          <w:p>
            <w:pPr>
              <w:spacing w:after="0"/>
              <w:rPr>
                <w:sz w:val="1"/>
                <w:szCs w:val="1"/>
                <w:color w:val="auto"/>
              </w:rPr>
            </w:pPr>
          </w:p>
        </w:tc>
      </w:tr>
      <w:tr>
        <w:trPr>
          <w:trHeight w:val="190"/>
        </w:trPr>
        <w:tc>
          <w:tcPr>
            <w:tcW w:w="2720" w:type="dxa"/>
            <w:vAlign w:val="bottom"/>
          </w:tcPr>
          <w:p>
            <w:pPr>
              <w:ind w:left="60"/>
              <w:spacing w:after="0"/>
              <w:rPr>
                <w:sz w:val="20"/>
                <w:szCs w:val="20"/>
                <w:color w:val="auto"/>
              </w:rPr>
            </w:pPr>
            <w:r>
              <w:rPr>
                <w:rFonts w:ascii="Arial" w:cs="Arial" w:eastAsia="Arial" w:hAnsi="Arial"/>
                <w:sz w:val="14"/>
                <w:szCs w:val="14"/>
                <w:color w:val="3D3935"/>
              </w:rPr>
              <w:t>General Motors Company</w:t>
            </w:r>
          </w:p>
        </w:tc>
        <w:tc>
          <w:tcPr>
            <w:tcW w:w="360" w:type="dxa"/>
            <w:vAlign w:val="bottom"/>
          </w:tcPr>
          <w:p>
            <w:pPr>
              <w:spacing w:after="0"/>
              <w:rPr>
                <w:sz w:val="16"/>
                <w:szCs w:val="16"/>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3D3935"/>
              </w:rPr>
              <w:t>Officer, Northrop Grumman Corporation</w:t>
            </w:r>
          </w:p>
        </w:tc>
        <w:tc>
          <w:tcPr>
            <w:tcW w:w="3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8"/>
        </w:trPr>
        <w:tc>
          <w:tcPr>
            <w:tcW w:w="2720" w:type="dxa"/>
            <w:vAlign w:val="bottom"/>
            <w:shd w:val="clear" w:color="auto" w:fill="F0F3F5"/>
          </w:tcPr>
          <w:p>
            <w:pPr>
              <w:ind w:left="120"/>
              <w:spacing w:after="0"/>
              <w:rPr>
                <w:sz w:val="20"/>
                <w:szCs w:val="20"/>
                <w:color w:val="auto"/>
              </w:rPr>
            </w:pPr>
            <w:r>
              <w:rPr>
                <w:rFonts w:ascii="Arial" w:cs="Arial" w:eastAsia="Arial" w:hAnsi="Arial"/>
                <w:sz w:val="14"/>
                <w:szCs w:val="14"/>
                <w:b w:val="1"/>
                <w:bCs w:val="1"/>
                <w:color w:val="3D3935"/>
              </w:rPr>
              <w:t>Committee memberships:</w:t>
            </w:r>
          </w:p>
        </w:tc>
        <w:tc>
          <w:tcPr>
            <w:tcW w:w="360" w:type="dxa"/>
            <w:vAlign w:val="bottom"/>
          </w:tcPr>
          <w:p>
            <w:pPr>
              <w:spacing w:after="0"/>
              <w:rPr>
                <w:sz w:val="24"/>
                <w:szCs w:val="24"/>
                <w:color w:val="auto"/>
              </w:rPr>
            </w:pPr>
          </w:p>
        </w:tc>
        <w:tc>
          <w:tcPr>
            <w:tcW w:w="2820" w:type="dxa"/>
            <w:vAlign w:val="bottom"/>
            <w:shd w:val="clear" w:color="auto" w:fill="F0F3F5"/>
          </w:tcPr>
          <w:p>
            <w:pPr>
              <w:ind w:left="120"/>
              <w:spacing w:after="0"/>
              <w:rPr>
                <w:sz w:val="20"/>
                <w:szCs w:val="20"/>
                <w:color w:val="auto"/>
              </w:rPr>
            </w:pPr>
            <w:r>
              <w:rPr>
                <w:rFonts w:ascii="Arial" w:cs="Arial" w:eastAsia="Arial" w:hAnsi="Arial"/>
                <w:sz w:val="14"/>
                <w:szCs w:val="14"/>
                <w:b w:val="1"/>
                <w:bCs w:val="1"/>
                <w:color w:val="3D3935"/>
              </w:rPr>
              <w:t>Committee memberships:</w:t>
            </w:r>
          </w:p>
        </w:tc>
        <w:tc>
          <w:tcPr>
            <w:tcW w:w="380" w:type="dxa"/>
            <w:vAlign w:val="bottom"/>
          </w:tcPr>
          <w:p>
            <w:pPr>
              <w:spacing w:after="0"/>
              <w:rPr>
                <w:sz w:val="24"/>
                <w:szCs w:val="24"/>
                <w:color w:val="auto"/>
              </w:rPr>
            </w:pPr>
          </w:p>
        </w:tc>
        <w:tc>
          <w:tcPr>
            <w:tcW w:w="2780" w:type="dxa"/>
            <w:vAlign w:val="bottom"/>
            <w:shd w:val="clear" w:color="auto" w:fill="F0F3F5"/>
          </w:tcPr>
          <w:p>
            <w:pPr>
              <w:ind w:left="100"/>
              <w:spacing w:after="0"/>
              <w:rPr>
                <w:sz w:val="20"/>
                <w:szCs w:val="20"/>
                <w:color w:val="auto"/>
              </w:rPr>
            </w:pPr>
            <w:r>
              <w:rPr>
                <w:rFonts w:ascii="Arial" w:cs="Arial" w:eastAsia="Arial" w:hAnsi="Arial"/>
                <w:sz w:val="14"/>
                <w:szCs w:val="14"/>
                <w:b w:val="1"/>
                <w:bCs w:val="1"/>
                <w:color w:val="3D3935"/>
              </w:rPr>
              <w:t>Committee memberships:</w:t>
            </w:r>
          </w:p>
        </w:tc>
        <w:tc>
          <w:tcPr>
            <w:tcW w:w="0" w:type="dxa"/>
            <w:vAlign w:val="bottom"/>
          </w:tcPr>
          <w:p>
            <w:pPr>
              <w:spacing w:after="0"/>
              <w:rPr>
                <w:sz w:val="1"/>
                <w:szCs w:val="1"/>
                <w:color w:val="auto"/>
              </w:rPr>
            </w:pPr>
          </w:p>
        </w:tc>
      </w:tr>
      <w:tr>
        <w:trPr>
          <w:trHeight w:val="198"/>
        </w:trPr>
        <w:tc>
          <w:tcPr>
            <w:tcW w:w="2720" w:type="dxa"/>
            <w:vAlign w:val="bottom"/>
            <w:shd w:val="clear" w:color="auto" w:fill="F0F3F5"/>
          </w:tcPr>
          <w:p>
            <w:pPr>
              <w:ind w:left="120"/>
              <w:spacing w:after="0"/>
              <w:rPr>
                <w:sz w:val="20"/>
                <w:szCs w:val="20"/>
                <w:color w:val="auto"/>
              </w:rPr>
            </w:pPr>
            <w:r>
              <w:rPr>
                <w:rFonts w:ascii="Arial" w:cs="Arial" w:eastAsia="Arial" w:hAnsi="Arial"/>
                <w:sz w:val="14"/>
                <w:szCs w:val="14"/>
                <w:b w:val="1"/>
                <w:bCs w:val="1"/>
                <w:color w:val="0072CE"/>
              </w:rPr>
              <w:t>EC</w:t>
            </w:r>
          </w:p>
        </w:tc>
        <w:tc>
          <w:tcPr>
            <w:tcW w:w="360" w:type="dxa"/>
            <w:vAlign w:val="bottom"/>
          </w:tcPr>
          <w:p>
            <w:pPr>
              <w:spacing w:after="0"/>
              <w:rPr>
                <w:sz w:val="17"/>
                <w:szCs w:val="17"/>
                <w:color w:val="auto"/>
              </w:rPr>
            </w:pPr>
          </w:p>
        </w:tc>
        <w:tc>
          <w:tcPr>
            <w:tcW w:w="2820" w:type="dxa"/>
            <w:vAlign w:val="bottom"/>
            <w:shd w:val="clear" w:color="auto" w:fill="F0F3F5"/>
          </w:tcPr>
          <w:p>
            <w:pPr>
              <w:ind w:left="120"/>
              <w:spacing w:after="0"/>
              <w:rPr>
                <w:sz w:val="20"/>
                <w:szCs w:val="20"/>
                <w:color w:val="auto"/>
              </w:rPr>
            </w:pPr>
            <w:r>
              <w:rPr>
                <w:rFonts w:ascii="Arial" w:cs="Arial" w:eastAsia="Arial" w:hAnsi="Arial"/>
                <w:sz w:val="14"/>
                <w:szCs w:val="14"/>
                <w:b w:val="1"/>
                <w:bCs w:val="1"/>
                <w:color w:val="8C56EE"/>
              </w:rPr>
              <w:t xml:space="preserve">AC </w:t>
            </w:r>
            <w:r>
              <w:rPr>
                <w:rFonts w:ascii="Arial" w:cs="Arial" w:eastAsia="Arial" w:hAnsi="Arial"/>
                <w:sz w:val="14"/>
                <w:szCs w:val="14"/>
                <w:b w:val="1"/>
                <w:bCs w:val="1"/>
                <w:color w:val="3D3935"/>
              </w:rPr>
              <w:t>EC CC FC</w:t>
            </w:r>
          </w:p>
        </w:tc>
        <w:tc>
          <w:tcPr>
            <w:tcW w:w="380" w:type="dxa"/>
            <w:vAlign w:val="bottom"/>
          </w:tcPr>
          <w:p>
            <w:pPr>
              <w:spacing w:after="0"/>
              <w:rPr>
                <w:sz w:val="17"/>
                <w:szCs w:val="17"/>
                <w:color w:val="auto"/>
              </w:rPr>
            </w:pPr>
          </w:p>
        </w:tc>
        <w:tc>
          <w:tcPr>
            <w:tcW w:w="2780" w:type="dxa"/>
            <w:vAlign w:val="bottom"/>
            <w:shd w:val="clear" w:color="auto" w:fill="F0F3F5"/>
          </w:tcPr>
          <w:p>
            <w:pPr>
              <w:ind w:left="100"/>
              <w:spacing w:after="0"/>
              <w:rPr>
                <w:sz w:val="20"/>
                <w:szCs w:val="20"/>
                <w:color w:val="auto"/>
              </w:rPr>
            </w:pPr>
            <w:r>
              <w:rPr>
                <w:rFonts w:ascii="Arial" w:cs="Arial" w:eastAsia="Arial" w:hAnsi="Arial"/>
                <w:sz w:val="14"/>
                <w:szCs w:val="14"/>
                <w:b w:val="1"/>
                <w:bCs w:val="1"/>
                <w:color w:val="3D3935"/>
              </w:rPr>
              <w:t>AC FC GC</w:t>
            </w:r>
          </w:p>
        </w:tc>
        <w:tc>
          <w:tcPr>
            <w:tcW w:w="0" w:type="dxa"/>
            <w:vAlign w:val="bottom"/>
          </w:tcPr>
          <w:p>
            <w:pPr>
              <w:spacing w:after="0"/>
              <w:rPr>
                <w:sz w:val="1"/>
                <w:szCs w:val="1"/>
                <w:color w:val="auto"/>
              </w:rPr>
            </w:pPr>
          </w:p>
        </w:tc>
      </w:tr>
      <w:tr>
        <w:trPr>
          <w:trHeight w:val="400"/>
        </w:trPr>
        <w:tc>
          <w:tcPr>
            <w:tcW w:w="2720" w:type="dxa"/>
            <w:vAlign w:val="bottom"/>
          </w:tcPr>
          <w:p>
            <w:pPr>
              <w:ind w:left="1340"/>
              <w:spacing w:after="0"/>
              <w:rPr>
                <w:sz w:val="20"/>
                <w:szCs w:val="20"/>
                <w:color w:val="auto"/>
              </w:rPr>
            </w:pPr>
            <w:r>
              <w:rPr>
                <w:rFonts w:ascii="Arial" w:cs="Arial" w:eastAsia="Arial" w:hAnsi="Arial"/>
                <w:sz w:val="16"/>
                <w:szCs w:val="16"/>
                <w:b w:val="1"/>
                <w:bCs w:val="1"/>
                <w:color w:val="0072CE"/>
              </w:rPr>
              <w:t>Joseph Jimenez</w:t>
            </w:r>
          </w:p>
        </w:tc>
        <w:tc>
          <w:tcPr>
            <w:tcW w:w="360" w:type="dxa"/>
            <w:vAlign w:val="bottom"/>
          </w:tcPr>
          <w:p>
            <w:pPr>
              <w:spacing w:after="0"/>
              <w:rPr>
                <w:sz w:val="24"/>
                <w:szCs w:val="24"/>
                <w:color w:val="auto"/>
              </w:rPr>
            </w:pPr>
          </w:p>
        </w:tc>
        <w:tc>
          <w:tcPr>
            <w:tcW w:w="2820" w:type="dxa"/>
            <w:vAlign w:val="bottom"/>
          </w:tcPr>
          <w:p>
            <w:pPr>
              <w:ind w:left="1420"/>
              <w:spacing w:after="0"/>
              <w:rPr>
                <w:sz w:val="20"/>
                <w:szCs w:val="20"/>
                <w:color w:val="auto"/>
              </w:rPr>
            </w:pPr>
            <w:r>
              <w:rPr>
                <w:rFonts w:ascii="Arial" w:cs="Arial" w:eastAsia="Arial" w:hAnsi="Arial"/>
                <w:sz w:val="18"/>
                <w:szCs w:val="18"/>
                <w:b w:val="1"/>
                <w:bCs w:val="1"/>
                <w:color w:val="0072CE"/>
              </w:rPr>
              <w:t>Alfred F. Kelly,</w:t>
            </w:r>
          </w:p>
        </w:tc>
        <w:tc>
          <w:tcPr>
            <w:tcW w:w="380" w:type="dxa"/>
            <w:vAlign w:val="bottom"/>
          </w:tcPr>
          <w:p>
            <w:pPr>
              <w:spacing w:after="0"/>
              <w:rPr>
                <w:sz w:val="24"/>
                <w:szCs w:val="24"/>
                <w:color w:val="auto"/>
              </w:rPr>
            </w:pPr>
          </w:p>
        </w:tc>
        <w:tc>
          <w:tcPr>
            <w:tcW w:w="2780" w:type="dxa"/>
            <w:vAlign w:val="bottom"/>
          </w:tcPr>
          <w:p>
            <w:pPr>
              <w:ind w:left="1340"/>
              <w:spacing w:after="0"/>
              <w:rPr>
                <w:sz w:val="20"/>
                <w:szCs w:val="20"/>
                <w:color w:val="auto"/>
              </w:rPr>
            </w:pPr>
            <w:r>
              <w:rPr>
                <w:rFonts w:ascii="Arial" w:cs="Arial" w:eastAsia="Arial" w:hAnsi="Arial"/>
                <w:sz w:val="18"/>
                <w:szCs w:val="18"/>
                <w:b w:val="1"/>
                <w:bCs w:val="1"/>
                <w:color w:val="0072CE"/>
              </w:rPr>
              <w:t>Jonathan</w:t>
            </w:r>
          </w:p>
        </w:tc>
        <w:tc>
          <w:tcPr>
            <w:tcW w:w="0" w:type="dxa"/>
            <w:vAlign w:val="bottom"/>
          </w:tcPr>
          <w:p>
            <w:pPr>
              <w:spacing w:after="0"/>
              <w:rPr>
                <w:sz w:val="1"/>
                <w:szCs w:val="1"/>
                <w:color w:val="auto"/>
              </w:rPr>
            </w:pPr>
          </w:p>
        </w:tc>
      </w:tr>
      <w:tr>
        <w:trPr>
          <w:trHeight w:val="247"/>
        </w:trPr>
        <w:tc>
          <w:tcPr>
            <w:tcW w:w="2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20" w:type="dxa"/>
            <w:vAlign w:val="bottom"/>
          </w:tcPr>
          <w:p>
            <w:pPr>
              <w:ind w:left="1420"/>
              <w:spacing w:after="0"/>
              <w:rPr>
                <w:sz w:val="20"/>
                <w:szCs w:val="20"/>
                <w:color w:val="auto"/>
              </w:rPr>
            </w:pPr>
            <w:r>
              <w:rPr>
                <w:rFonts w:ascii="Arial" w:cs="Arial" w:eastAsia="Arial" w:hAnsi="Arial"/>
                <w:sz w:val="18"/>
                <w:szCs w:val="18"/>
                <w:b w:val="1"/>
                <w:bCs w:val="1"/>
                <w:color w:val="0072CE"/>
              </w:rPr>
              <w:t>Jr.</w:t>
            </w:r>
          </w:p>
        </w:tc>
        <w:tc>
          <w:tcPr>
            <w:tcW w:w="380" w:type="dxa"/>
            <w:vAlign w:val="bottom"/>
          </w:tcPr>
          <w:p>
            <w:pPr>
              <w:spacing w:after="0"/>
              <w:rPr>
                <w:sz w:val="21"/>
                <w:szCs w:val="21"/>
                <w:color w:val="auto"/>
              </w:rPr>
            </w:pPr>
          </w:p>
        </w:tc>
        <w:tc>
          <w:tcPr>
            <w:tcW w:w="2780" w:type="dxa"/>
            <w:vAlign w:val="bottom"/>
          </w:tcPr>
          <w:p>
            <w:pPr>
              <w:ind w:left="1340"/>
              <w:spacing w:after="0"/>
              <w:rPr>
                <w:sz w:val="20"/>
                <w:szCs w:val="20"/>
                <w:color w:val="auto"/>
              </w:rPr>
            </w:pPr>
            <w:r>
              <w:rPr>
                <w:rFonts w:ascii="Arial" w:cs="Arial" w:eastAsia="Arial" w:hAnsi="Arial"/>
                <w:sz w:val="18"/>
                <w:szCs w:val="18"/>
                <w:b w:val="1"/>
                <w:bCs w:val="1"/>
                <w:color w:val="0072CE"/>
              </w:rPr>
              <w:t>McNeill</w:t>
            </w:r>
          </w:p>
        </w:tc>
        <w:tc>
          <w:tcPr>
            <w:tcW w:w="0" w:type="dxa"/>
            <w:vAlign w:val="bottom"/>
          </w:tcPr>
          <w:p>
            <w:pPr>
              <w:spacing w:after="0"/>
              <w:rPr>
                <w:sz w:val="1"/>
                <w:szCs w:val="1"/>
                <w:color w:val="auto"/>
              </w:rPr>
            </w:pPr>
          </w:p>
        </w:tc>
      </w:tr>
      <w:tr>
        <w:trPr>
          <w:trHeight w:val="270"/>
        </w:trPr>
        <w:tc>
          <w:tcPr>
            <w:tcW w:w="2720" w:type="dxa"/>
            <w:vAlign w:val="bottom"/>
          </w:tcPr>
          <w:p>
            <w:pPr>
              <w:ind w:left="1340"/>
              <w:spacing w:after="0"/>
              <w:rPr>
                <w:sz w:val="20"/>
                <w:szCs w:val="20"/>
                <w:color w:val="auto"/>
              </w:rPr>
            </w:pPr>
            <w:r>
              <w:rPr>
                <w:rFonts w:ascii="Arial" w:cs="Arial" w:eastAsia="Arial" w:hAnsi="Arial"/>
                <w:sz w:val="14"/>
                <w:szCs w:val="14"/>
                <w:b w:val="1"/>
                <w:bCs w:val="1"/>
                <w:color w:val="3D3935"/>
              </w:rPr>
              <w:t xml:space="preserve">Age: </w:t>
            </w:r>
            <w:r>
              <w:rPr>
                <w:rFonts w:ascii="Arial" w:cs="Arial" w:eastAsia="Arial" w:hAnsi="Arial"/>
                <w:sz w:val="14"/>
                <w:szCs w:val="14"/>
                <w:color w:val="3D3935"/>
              </w:rPr>
              <w:t>65</w:t>
            </w:r>
          </w:p>
        </w:tc>
        <w:tc>
          <w:tcPr>
            <w:tcW w:w="36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89" w:orient="portrait"/>
          <w:cols w:equalWidth="0" w:num="1">
            <w:col w:w="9080"/>
          </w:cols>
          <w:pgMar w:left="1400" w:top="108" w:right="1419" w:bottom="0" w:gutter="0" w:footer="0" w:header="0"/>
          <w:type w:val="continuous"/>
        </w:sectPr>
      </w:pPr>
    </w:p>
    <w:bookmarkStart w:id="8" w:name="page9"/>
    <w:bookmarkEnd w:id="8"/>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928370</wp:posOffset>
            </wp:positionH>
            <wp:positionV relativeFrom="page">
              <wp:posOffset>88900</wp:posOffset>
            </wp:positionV>
            <wp:extent cx="659765" cy="659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59765" cy="659765"/>
                    </a:xfrm>
                    <a:prstGeom prst="rect">
                      <a:avLst/>
                    </a:prstGeom>
                    <a:noFill/>
                  </pic:spPr>
                </pic:pic>
              </a:graphicData>
            </a:graphic>
          </wp:anchor>
        </w:drawing>
        <w:drawing>
          <wp:anchor simplePos="0" relativeHeight="251657728" behindDoc="1" locked="0" layoutInCell="0" allowOverlap="1">
            <wp:simplePos x="0" y="0"/>
            <wp:positionH relativeFrom="page">
              <wp:posOffset>2934335</wp:posOffset>
            </wp:positionH>
            <wp:positionV relativeFrom="page">
              <wp:posOffset>88900</wp:posOffset>
            </wp:positionV>
            <wp:extent cx="651510" cy="240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51510" cy="240030"/>
                    </a:xfrm>
                    <a:prstGeom prst="rect">
                      <a:avLst/>
                    </a:prstGeom>
                    <a:noFill/>
                  </pic:spPr>
                </pic:pic>
              </a:graphicData>
            </a:graphic>
          </wp:anchor>
        </w:drawing>
        <w:drawing>
          <wp:anchor simplePos="0" relativeHeight="251657728" behindDoc="1" locked="0" layoutInCell="0" allowOverlap="1">
            <wp:simplePos x="0" y="0"/>
            <wp:positionH relativeFrom="page">
              <wp:posOffset>4914265</wp:posOffset>
            </wp:positionH>
            <wp:positionV relativeFrom="page">
              <wp:posOffset>88900</wp:posOffset>
            </wp:positionV>
            <wp:extent cx="651510" cy="240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51510" cy="24003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07"/>
        </w:trPr>
        <w:tc>
          <w:tcPr>
            <w:tcW w:w="820" w:type="dxa"/>
            <w:vAlign w:val="bottom"/>
            <w:tcBorders>
              <w:left w:val="single" w:sz="8" w:color="CCCCCC"/>
            </w:tcBorders>
          </w:tcPr>
          <w:p>
            <w:pPr>
              <w:spacing w:after="0"/>
              <w:rPr>
                <w:sz w:val="17"/>
                <w:szCs w:val="17"/>
                <w:color w:val="auto"/>
              </w:rPr>
            </w:pPr>
          </w:p>
        </w:tc>
        <w:tc>
          <w:tcPr>
            <w:tcW w:w="2800" w:type="dxa"/>
            <w:vAlign w:val="bottom"/>
            <w:gridSpan w:val="2"/>
          </w:tcPr>
          <w:p>
            <w:pPr>
              <w:ind w:left="1340"/>
              <w:spacing w:after="0"/>
              <w:rPr>
                <w:sz w:val="20"/>
                <w:szCs w:val="20"/>
                <w:color w:val="auto"/>
              </w:rPr>
            </w:pPr>
            <w:r>
              <w:rPr>
                <w:rFonts w:ascii="Arial" w:cs="Arial" w:eastAsia="Arial" w:hAnsi="Arial"/>
                <w:sz w:val="14"/>
                <w:szCs w:val="14"/>
                <w:b w:val="1"/>
                <w:bCs w:val="1"/>
                <w:color w:val="3D3935"/>
              </w:rPr>
              <w:t xml:space="preserve">Director since: </w:t>
            </w:r>
            <w:r>
              <w:rPr>
                <w:rFonts w:ascii="Arial" w:cs="Arial" w:eastAsia="Arial" w:hAnsi="Arial"/>
                <w:sz w:val="14"/>
                <w:szCs w:val="14"/>
                <w:color w:val="3D3935"/>
              </w:rPr>
              <w:t>2015</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Pr>
          <w:p>
            <w:pPr>
              <w:ind w:left="20"/>
              <w:spacing w:after="0"/>
              <w:rPr>
                <w:sz w:val="20"/>
                <w:szCs w:val="20"/>
                <w:color w:val="auto"/>
              </w:rPr>
            </w:pPr>
            <w:r>
              <w:rPr>
                <w:rFonts w:ascii="Arial" w:cs="Arial" w:eastAsia="Arial" w:hAnsi="Arial"/>
                <w:sz w:val="14"/>
                <w:szCs w:val="14"/>
                <w:b w:val="1"/>
                <w:bCs w:val="1"/>
                <w:color w:val="3D3935"/>
              </w:rPr>
              <w:t xml:space="preserve">Age: </w:t>
            </w:r>
            <w:r>
              <w:rPr>
                <w:rFonts w:ascii="Arial" w:cs="Arial" w:eastAsia="Arial" w:hAnsi="Arial"/>
                <w:sz w:val="14"/>
                <w:szCs w:val="14"/>
                <w:color w:val="3D3935"/>
              </w:rPr>
              <w:t>66</w:t>
            </w: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tcPr>
          <w:p>
            <w:pPr>
              <w:ind w:left="340"/>
              <w:spacing w:after="0"/>
              <w:rPr>
                <w:sz w:val="20"/>
                <w:szCs w:val="20"/>
                <w:color w:val="auto"/>
              </w:rPr>
            </w:pPr>
            <w:r>
              <w:rPr>
                <w:rFonts w:ascii="Arial" w:cs="Arial" w:eastAsia="Arial" w:hAnsi="Arial"/>
                <w:sz w:val="14"/>
                <w:szCs w:val="14"/>
                <w:b w:val="1"/>
                <w:bCs w:val="1"/>
                <w:color w:val="3D3935"/>
              </w:rPr>
              <w:t xml:space="preserve">Age: </w:t>
            </w:r>
            <w:r>
              <w:rPr>
                <w:rFonts w:ascii="Arial" w:cs="Arial" w:eastAsia="Arial" w:hAnsi="Arial"/>
                <w:sz w:val="14"/>
                <w:szCs w:val="14"/>
                <w:color w:val="3D3935"/>
              </w:rPr>
              <w:t>57</w:t>
            </w:r>
          </w:p>
        </w:tc>
        <w:tc>
          <w:tcPr>
            <w:tcW w:w="140" w:type="dxa"/>
            <w:vAlign w:val="bottom"/>
          </w:tcPr>
          <w:p>
            <w:pPr>
              <w:spacing w:after="0"/>
              <w:rPr>
                <w:sz w:val="17"/>
                <w:szCs w:val="17"/>
                <w:color w:val="auto"/>
              </w:rPr>
            </w:pPr>
          </w:p>
        </w:tc>
        <w:tc>
          <w:tcPr>
            <w:tcW w:w="82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Borders>
              <w:left w:val="single" w:sz="8" w:color="CCCCCC"/>
            </w:tcBorders>
          </w:tcPr>
          <w:p>
            <w:pPr>
              <w:spacing w:after="0"/>
              <w:rPr>
                <w:sz w:val="17"/>
                <w:szCs w:val="17"/>
                <w:color w:val="auto"/>
              </w:rPr>
            </w:pPr>
          </w:p>
        </w:tc>
        <w:tc>
          <w:tcPr>
            <w:tcW w:w="2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Pr>
          <w:p>
            <w:pPr>
              <w:ind w:left="20"/>
              <w:spacing w:after="0"/>
              <w:rPr>
                <w:sz w:val="20"/>
                <w:szCs w:val="20"/>
                <w:color w:val="auto"/>
              </w:rPr>
            </w:pPr>
            <w:r>
              <w:rPr>
                <w:rFonts w:ascii="Arial" w:cs="Arial" w:eastAsia="Arial" w:hAnsi="Arial"/>
                <w:sz w:val="14"/>
                <w:szCs w:val="14"/>
                <w:b w:val="1"/>
                <w:bCs w:val="1"/>
                <w:color w:val="3D3935"/>
              </w:rPr>
              <w:t xml:space="preserve">Director since: </w:t>
            </w:r>
            <w:r>
              <w:rPr>
                <w:rFonts w:ascii="Arial" w:cs="Arial" w:eastAsia="Arial" w:hAnsi="Arial"/>
                <w:sz w:val="14"/>
                <w:szCs w:val="14"/>
                <w:color w:val="3D3935"/>
              </w:rPr>
              <w:t>2024</w:t>
            </w: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20" w:type="dxa"/>
            <w:vAlign w:val="bottom"/>
            <w:tcBorders>
              <w:right w:val="single" w:sz="8" w:color="CCCCCC"/>
            </w:tcBorders>
            <w:gridSpan w:val="3"/>
          </w:tcPr>
          <w:p>
            <w:pPr>
              <w:ind w:left="340"/>
              <w:spacing w:after="0"/>
              <w:rPr>
                <w:sz w:val="20"/>
                <w:szCs w:val="20"/>
                <w:color w:val="auto"/>
              </w:rPr>
            </w:pPr>
            <w:r>
              <w:rPr>
                <w:rFonts w:ascii="Arial" w:cs="Arial" w:eastAsia="Arial" w:hAnsi="Arial"/>
                <w:sz w:val="14"/>
                <w:szCs w:val="14"/>
                <w:b w:val="1"/>
                <w:bCs w:val="1"/>
                <w:color w:val="3D3935"/>
              </w:rPr>
              <w:t xml:space="preserve">Director since: </w:t>
            </w:r>
            <w:r>
              <w:rPr>
                <w:rFonts w:ascii="Arial" w:cs="Arial" w:eastAsia="Arial" w:hAnsi="Arial"/>
                <w:sz w:val="14"/>
                <w:szCs w:val="14"/>
                <w:color w:val="3D3935"/>
              </w:rPr>
              <w:t>2022</w:t>
            </w:r>
          </w:p>
        </w:tc>
        <w:tc>
          <w:tcPr>
            <w:tcW w:w="0" w:type="dxa"/>
            <w:vAlign w:val="bottom"/>
          </w:tcPr>
          <w:p>
            <w:pPr>
              <w:spacing w:after="0"/>
              <w:rPr>
                <w:sz w:val="1"/>
                <w:szCs w:val="1"/>
                <w:color w:val="auto"/>
              </w:rPr>
            </w:pPr>
          </w:p>
        </w:tc>
      </w:tr>
      <w:tr>
        <w:trPr>
          <w:trHeight w:val="263"/>
        </w:trPr>
        <w:tc>
          <w:tcPr>
            <w:tcW w:w="820" w:type="dxa"/>
            <w:vAlign w:val="bottom"/>
            <w:tcBorders>
              <w:left w:val="single" w:sz="8" w:color="CCCCCC"/>
            </w:tcBorders>
          </w:tcPr>
          <w:p>
            <w:pPr>
              <w:spacing w:after="0"/>
              <w:rPr>
                <w:sz w:val="22"/>
                <w:szCs w:val="22"/>
                <w:color w:val="auto"/>
              </w:rPr>
            </w:pPr>
          </w:p>
        </w:tc>
        <w:tc>
          <w:tcPr>
            <w:tcW w:w="2800" w:type="dxa"/>
            <w:vAlign w:val="bottom"/>
            <w:gridSpan w:val="2"/>
          </w:tcPr>
          <w:p>
            <w:pPr>
              <w:ind w:left="60"/>
              <w:spacing w:after="0"/>
              <w:rPr>
                <w:sz w:val="20"/>
                <w:szCs w:val="20"/>
                <w:color w:val="auto"/>
              </w:rPr>
            </w:pPr>
            <w:r>
              <w:rPr>
                <w:rFonts w:ascii="Arial" w:cs="Arial" w:eastAsia="Arial" w:hAnsi="Arial"/>
                <w:sz w:val="14"/>
                <w:szCs w:val="14"/>
                <w:color w:val="3D3935"/>
              </w:rPr>
              <w:t>Co-Founder and Managing Director,</w:t>
            </w:r>
          </w:p>
        </w:tc>
        <w:tc>
          <w:tcPr>
            <w:tcW w:w="360" w:type="dxa"/>
            <w:vAlign w:val="bottom"/>
          </w:tcPr>
          <w:p>
            <w:pPr>
              <w:spacing w:after="0"/>
              <w:rPr>
                <w:sz w:val="22"/>
                <w:szCs w:val="22"/>
                <w:color w:val="auto"/>
              </w:rPr>
            </w:pPr>
          </w:p>
        </w:tc>
        <w:tc>
          <w:tcPr>
            <w:tcW w:w="2800" w:type="dxa"/>
            <w:vAlign w:val="bottom"/>
            <w:gridSpan w:val="2"/>
          </w:tcPr>
          <w:p>
            <w:pPr>
              <w:ind w:left="60"/>
              <w:spacing w:after="0"/>
              <w:rPr>
                <w:sz w:val="20"/>
                <w:szCs w:val="20"/>
                <w:color w:val="auto"/>
              </w:rPr>
            </w:pPr>
            <w:r>
              <w:rPr>
                <w:rFonts w:ascii="Arial" w:cs="Arial" w:eastAsia="Arial" w:hAnsi="Arial"/>
                <w:sz w:val="14"/>
                <w:szCs w:val="14"/>
                <w:color w:val="3D3935"/>
              </w:rPr>
              <w:t>Retired Chief Executive Officer and</w:t>
            </w:r>
          </w:p>
        </w:tc>
        <w:tc>
          <w:tcPr>
            <w:tcW w:w="360" w:type="dxa"/>
            <w:vAlign w:val="bottom"/>
          </w:tcPr>
          <w:p>
            <w:pPr>
              <w:spacing w:after="0"/>
              <w:rPr>
                <w:sz w:val="22"/>
                <w:szCs w:val="22"/>
                <w:color w:val="auto"/>
              </w:rPr>
            </w:pPr>
          </w:p>
        </w:tc>
        <w:tc>
          <w:tcPr>
            <w:tcW w:w="2620" w:type="dxa"/>
            <w:vAlign w:val="bottom"/>
            <w:gridSpan w:val="2"/>
          </w:tcPr>
          <w:p>
            <w:pPr>
              <w:ind w:left="20"/>
              <w:spacing w:after="0"/>
              <w:rPr>
                <w:sz w:val="20"/>
                <w:szCs w:val="20"/>
                <w:color w:val="auto"/>
              </w:rPr>
            </w:pPr>
            <w:r>
              <w:rPr>
                <w:rFonts w:ascii="Arial" w:cs="Arial" w:eastAsia="Arial" w:hAnsi="Arial"/>
                <w:sz w:val="14"/>
                <w:szCs w:val="14"/>
                <w:color w:val="3D3935"/>
              </w:rPr>
              <w:t>Co-Founder and Chief Executive Officer,</w:t>
            </w:r>
          </w:p>
        </w:tc>
        <w:tc>
          <w:tcPr>
            <w:tcW w:w="140" w:type="dxa"/>
            <w:vAlign w:val="bottom"/>
          </w:tcPr>
          <w:p>
            <w:pPr>
              <w:spacing w:after="0"/>
              <w:rPr>
                <w:sz w:val="22"/>
                <w:szCs w:val="22"/>
                <w:color w:val="auto"/>
              </w:rPr>
            </w:pPr>
          </w:p>
        </w:tc>
        <w:tc>
          <w:tcPr>
            <w:tcW w:w="820" w:type="dxa"/>
            <w:vAlign w:val="bottom"/>
            <w:tcBorders>
              <w:right w:val="single" w:sz="8" w:color="CCCCCC"/>
            </w:tcBorders>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820" w:type="dxa"/>
            <w:vAlign w:val="bottom"/>
            <w:tcBorders>
              <w:left w:val="single" w:sz="8" w:color="CCCCCC"/>
            </w:tcBorders>
          </w:tcPr>
          <w:p>
            <w:pPr>
              <w:spacing w:after="0"/>
              <w:rPr>
                <w:sz w:val="16"/>
                <w:szCs w:val="16"/>
                <w:color w:val="auto"/>
              </w:rPr>
            </w:pPr>
          </w:p>
        </w:tc>
        <w:tc>
          <w:tcPr>
            <w:tcW w:w="2160" w:type="dxa"/>
            <w:vAlign w:val="bottom"/>
          </w:tcPr>
          <w:p>
            <w:pPr>
              <w:ind w:left="60"/>
              <w:spacing w:after="0"/>
              <w:rPr>
                <w:sz w:val="20"/>
                <w:szCs w:val="20"/>
                <w:color w:val="auto"/>
              </w:rPr>
            </w:pPr>
            <w:r>
              <w:rPr>
                <w:rFonts w:ascii="Arial" w:cs="Arial" w:eastAsia="Arial" w:hAnsi="Arial"/>
                <w:sz w:val="14"/>
                <w:szCs w:val="14"/>
                <w:color w:val="3D3935"/>
              </w:rPr>
              <w:t>Aditum Bio</w:t>
            </w: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ind w:left="60"/>
              <w:spacing w:after="0"/>
              <w:rPr>
                <w:sz w:val="20"/>
                <w:szCs w:val="20"/>
                <w:color w:val="auto"/>
              </w:rPr>
            </w:pPr>
            <w:r>
              <w:rPr>
                <w:rFonts w:ascii="Arial" w:cs="Arial" w:eastAsia="Arial" w:hAnsi="Arial"/>
                <w:sz w:val="14"/>
                <w:szCs w:val="14"/>
                <w:color w:val="3D3935"/>
              </w:rPr>
              <w:t>Chairman, Visa Inc.</w:t>
            </w:r>
          </w:p>
        </w:tc>
        <w:tc>
          <w:tcPr>
            <w:tcW w:w="1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3D3935"/>
              </w:rPr>
              <w:t>DVX Ventures</w:t>
            </w:r>
          </w:p>
        </w:tc>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820" w:type="dxa"/>
            <w:vAlign w:val="bottom"/>
            <w:tcBorders>
              <w:left w:val="single" w:sz="8" w:color="CCCCCC"/>
            </w:tcBorders>
          </w:tcPr>
          <w:p>
            <w:pPr>
              <w:spacing w:after="0"/>
              <w:rPr>
                <w:sz w:val="24"/>
                <w:szCs w:val="24"/>
                <w:color w:val="auto"/>
              </w:rPr>
            </w:pPr>
          </w:p>
        </w:tc>
        <w:tc>
          <w:tcPr>
            <w:tcW w:w="2160" w:type="dxa"/>
            <w:vAlign w:val="bottom"/>
          </w:tcPr>
          <w:p>
            <w:pPr>
              <w:ind w:left="120"/>
              <w:spacing w:after="0"/>
              <w:rPr>
                <w:sz w:val="20"/>
                <w:szCs w:val="20"/>
                <w:color w:val="auto"/>
              </w:rPr>
            </w:pPr>
            <w:r>
              <w:rPr>
                <w:rFonts w:ascii="Arial" w:cs="Arial" w:eastAsia="Arial" w:hAnsi="Arial"/>
                <w:sz w:val="14"/>
                <w:szCs w:val="14"/>
                <w:b w:val="1"/>
                <w:bCs w:val="1"/>
                <w:color w:val="3D3935"/>
              </w:rPr>
              <w:t>Committee memberships:</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gridSpan w:val="2"/>
          </w:tcPr>
          <w:p>
            <w:pPr>
              <w:ind w:left="120"/>
              <w:spacing w:after="0"/>
              <w:rPr>
                <w:sz w:val="20"/>
                <w:szCs w:val="20"/>
                <w:color w:val="auto"/>
              </w:rPr>
            </w:pPr>
            <w:r>
              <w:rPr>
                <w:rFonts w:ascii="Arial" w:cs="Arial" w:eastAsia="Arial" w:hAnsi="Arial"/>
                <w:sz w:val="14"/>
                <w:szCs w:val="14"/>
                <w:b w:val="1"/>
                <w:bCs w:val="1"/>
                <w:color w:val="3D3935"/>
              </w:rPr>
              <w:t>Committee memberships:</w:t>
            </w:r>
          </w:p>
        </w:tc>
        <w:tc>
          <w:tcPr>
            <w:tcW w:w="360" w:type="dxa"/>
            <w:vAlign w:val="bottom"/>
          </w:tcPr>
          <w:p>
            <w:pPr>
              <w:spacing w:after="0"/>
              <w:rPr>
                <w:sz w:val="24"/>
                <w:szCs w:val="24"/>
                <w:color w:val="auto"/>
              </w:rPr>
            </w:pPr>
          </w:p>
        </w:tc>
        <w:tc>
          <w:tcPr>
            <w:tcW w:w="2620" w:type="dxa"/>
            <w:vAlign w:val="bottom"/>
            <w:gridSpan w:val="2"/>
          </w:tcPr>
          <w:p>
            <w:pPr>
              <w:ind w:left="80"/>
              <w:spacing w:after="0"/>
              <w:rPr>
                <w:sz w:val="20"/>
                <w:szCs w:val="20"/>
                <w:color w:val="auto"/>
              </w:rPr>
            </w:pPr>
            <w:r>
              <w:rPr>
                <w:rFonts w:ascii="Arial" w:cs="Arial" w:eastAsia="Arial" w:hAnsi="Arial"/>
                <w:sz w:val="14"/>
                <w:szCs w:val="14"/>
                <w:b w:val="1"/>
                <w:bCs w:val="1"/>
                <w:color w:val="3D3935"/>
              </w:rPr>
              <w:t>Committee memberships:</w:t>
            </w:r>
          </w:p>
        </w:tc>
        <w:tc>
          <w:tcPr>
            <w:tcW w:w="140" w:type="dxa"/>
            <w:vAlign w:val="bottom"/>
          </w:tcPr>
          <w:p>
            <w:pPr>
              <w:spacing w:after="0"/>
              <w:rPr>
                <w:sz w:val="24"/>
                <w:szCs w:val="24"/>
                <w:color w:val="auto"/>
              </w:rPr>
            </w:pPr>
          </w:p>
        </w:tc>
        <w:tc>
          <w:tcPr>
            <w:tcW w:w="820" w:type="dxa"/>
            <w:vAlign w:val="bottom"/>
            <w:tcBorders>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left w:val="single" w:sz="8" w:color="CCCCCC"/>
            </w:tcBorders>
          </w:tcPr>
          <w:p>
            <w:pPr>
              <w:spacing w:after="0"/>
              <w:rPr>
                <w:sz w:val="17"/>
                <w:szCs w:val="17"/>
                <w:color w:val="auto"/>
              </w:rPr>
            </w:pPr>
          </w:p>
        </w:tc>
        <w:tc>
          <w:tcPr>
            <w:tcW w:w="2160" w:type="dxa"/>
            <w:vAlign w:val="bottom"/>
          </w:tcPr>
          <w:p>
            <w:pPr>
              <w:ind w:left="120"/>
              <w:spacing w:after="0"/>
              <w:rPr>
                <w:sz w:val="20"/>
                <w:szCs w:val="20"/>
                <w:color w:val="auto"/>
              </w:rPr>
            </w:pPr>
            <w:r>
              <w:rPr>
                <w:rFonts w:ascii="Arial" w:cs="Arial" w:eastAsia="Arial" w:hAnsi="Arial"/>
                <w:sz w:val="14"/>
                <w:szCs w:val="14"/>
                <w:b w:val="1"/>
                <w:bCs w:val="1"/>
                <w:color w:val="3D3935"/>
              </w:rPr>
              <w:t>EC CC</w:t>
            </w:r>
            <w:r>
              <w:rPr>
                <w:rFonts w:ascii="Arial" w:cs="Arial" w:eastAsia="Arial" w:hAnsi="Arial"/>
                <w:sz w:val="14"/>
                <w:szCs w:val="14"/>
                <w:b w:val="1"/>
                <w:bCs w:val="1"/>
                <w:color w:val="0078D4"/>
              </w:rPr>
              <w:t>FC</w:t>
            </w:r>
            <w:r>
              <w:rPr>
                <w:rFonts w:ascii="Arial" w:cs="Arial" w:eastAsia="Arial" w:hAnsi="Arial"/>
                <w:sz w:val="14"/>
                <w:szCs w:val="14"/>
                <w:b w:val="1"/>
                <w:bCs w:val="1"/>
                <w:color w:val="3D3935"/>
              </w:rPr>
              <w:t xml:space="preserve"> RC</w:t>
            </w: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ind w:left="120"/>
              <w:spacing w:after="0"/>
              <w:rPr>
                <w:sz w:val="20"/>
                <w:szCs w:val="20"/>
                <w:color w:val="auto"/>
              </w:rPr>
            </w:pPr>
            <w:r>
              <w:rPr>
                <w:rFonts w:ascii="Arial" w:cs="Arial" w:eastAsia="Arial" w:hAnsi="Arial"/>
                <w:sz w:val="14"/>
                <w:szCs w:val="14"/>
                <w:b w:val="1"/>
                <w:bCs w:val="1"/>
                <w:color w:val="3D3935"/>
              </w:rPr>
              <w:t>AC RC</w:t>
            </w: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ind w:left="80"/>
              <w:spacing w:after="0"/>
              <w:rPr>
                <w:sz w:val="20"/>
                <w:szCs w:val="20"/>
                <w:color w:val="auto"/>
              </w:rPr>
            </w:pPr>
            <w:r>
              <w:rPr>
                <w:rFonts w:ascii="Arial" w:cs="Arial" w:eastAsia="Arial" w:hAnsi="Arial"/>
                <w:sz w:val="14"/>
                <w:szCs w:val="14"/>
                <w:b w:val="1"/>
                <w:bCs w:val="1"/>
                <w:color w:val="3D3935"/>
              </w:rPr>
              <w:t>GC RC</w:t>
            </w: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433"/>
        </w:trPr>
        <w:tc>
          <w:tcPr>
            <w:tcW w:w="820" w:type="dxa"/>
            <w:vAlign w:val="bottom"/>
            <w:tcBorders>
              <w:left w:val="single" w:sz="8" w:color="CCCCCC"/>
            </w:tcBorders>
          </w:tcPr>
          <w:p>
            <w:pPr>
              <w:spacing w:after="0"/>
              <w:rPr>
                <w:sz w:val="24"/>
                <w:szCs w:val="24"/>
                <w:color w:val="auto"/>
              </w:rPr>
            </w:pPr>
          </w:p>
        </w:tc>
        <w:tc>
          <w:tcPr>
            <w:tcW w:w="2800" w:type="dxa"/>
            <w:vAlign w:val="bottom"/>
            <w:gridSpan w:val="2"/>
          </w:tcPr>
          <w:p>
            <w:pPr>
              <w:ind w:left="1340"/>
              <w:spacing w:after="0"/>
              <w:rPr>
                <w:sz w:val="20"/>
                <w:szCs w:val="20"/>
                <w:color w:val="auto"/>
              </w:rPr>
            </w:pPr>
            <w:r>
              <w:rPr>
                <w:rFonts w:ascii="Arial" w:cs="Arial" w:eastAsia="Arial" w:hAnsi="Arial"/>
                <w:sz w:val="18"/>
                <w:szCs w:val="18"/>
                <w:b w:val="1"/>
                <w:bCs w:val="1"/>
                <w:color w:val="0072CE"/>
              </w:rPr>
              <w:t>Judith A. Miscik</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ind w:left="20"/>
              <w:spacing w:after="0"/>
              <w:rPr>
                <w:sz w:val="20"/>
                <w:szCs w:val="20"/>
                <w:color w:val="auto"/>
              </w:rPr>
            </w:pPr>
            <w:r>
              <w:rPr>
                <w:rFonts w:ascii="Arial" w:cs="Arial" w:eastAsia="Arial" w:hAnsi="Arial"/>
                <w:sz w:val="18"/>
                <w:szCs w:val="18"/>
                <w:b w:val="1"/>
                <w:bCs w:val="1"/>
                <w:color w:val="0072CE"/>
                <w:w w:val="98"/>
              </w:rPr>
              <w:t>Patricia F. Russo</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ind w:left="380"/>
              <w:spacing w:after="0"/>
              <w:rPr>
                <w:sz w:val="20"/>
                <w:szCs w:val="20"/>
                <w:color w:val="auto"/>
              </w:rPr>
            </w:pPr>
            <w:r>
              <w:rPr>
                <w:rFonts w:ascii="Arial" w:cs="Arial" w:eastAsia="Arial" w:hAnsi="Arial"/>
                <w:sz w:val="18"/>
                <w:szCs w:val="18"/>
                <w:b w:val="1"/>
                <w:bCs w:val="1"/>
                <w:color w:val="0072CE"/>
              </w:rPr>
              <w:t>Mark A. Tatum</w:t>
            </w:r>
          </w:p>
        </w:tc>
        <w:tc>
          <w:tcPr>
            <w:tcW w:w="140" w:type="dxa"/>
            <w:vAlign w:val="bottom"/>
          </w:tcPr>
          <w:p>
            <w:pPr>
              <w:spacing w:after="0"/>
              <w:rPr>
                <w:sz w:val="24"/>
                <w:szCs w:val="24"/>
                <w:color w:val="auto"/>
              </w:rPr>
            </w:pPr>
          </w:p>
        </w:tc>
        <w:tc>
          <w:tcPr>
            <w:tcW w:w="820" w:type="dxa"/>
            <w:vAlign w:val="bottom"/>
            <w:tcBorders>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505"/>
        </w:trPr>
        <w:tc>
          <w:tcPr>
            <w:tcW w:w="820" w:type="dxa"/>
            <w:vAlign w:val="bottom"/>
            <w:tcBorders>
              <w:left w:val="single" w:sz="8" w:color="CCCCCC"/>
            </w:tcBorders>
          </w:tcPr>
          <w:p>
            <w:pPr>
              <w:spacing w:after="0"/>
              <w:rPr>
                <w:sz w:val="24"/>
                <w:szCs w:val="24"/>
                <w:color w:val="auto"/>
              </w:rPr>
            </w:pPr>
          </w:p>
        </w:tc>
        <w:tc>
          <w:tcPr>
            <w:tcW w:w="2160" w:type="dxa"/>
            <w:vAlign w:val="bottom"/>
          </w:tcPr>
          <w:p>
            <w:pPr>
              <w:ind w:left="1340"/>
              <w:spacing w:after="0"/>
              <w:rPr>
                <w:sz w:val="20"/>
                <w:szCs w:val="20"/>
                <w:color w:val="auto"/>
              </w:rPr>
            </w:pPr>
            <w:r>
              <w:rPr>
                <w:rFonts w:ascii="Arial" w:cs="Arial" w:eastAsia="Arial" w:hAnsi="Arial"/>
                <w:sz w:val="14"/>
                <w:szCs w:val="14"/>
                <w:b w:val="1"/>
                <w:bCs w:val="1"/>
                <w:color w:val="3D3935"/>
              </w:rPr>
              <w:t xml:space="preserve">Age: </w:t>
            </w:r>
            <w:r>
              <w:rPr>
                <w:rFonts w:ascii="Arial" w:cs="Arial" w:eastAsia="Arial" w:hAnsi="Arial"/>
                <w:sz w:val="14"/>
                <w:szCs w:val="14"/>
                <w:color w:val="3D3935"/>
              </w:rPr>
              <w:t>66</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vMerge w:val="restart"/>
          </w:tcPr>
          <w:p>
            <w:pPr>
              <w:ind w:left="20"/>
              <w:spacing w:after="0"/>
              <w:rPr>
                <w:sz w:val="20"/>
                <w:szCs w:val="20"/>
                <w:color w:val="auto"/>
              </w:rPr>
            </w:pPr>
            <w:r>
              <w:rPr>
                <w:rFonts w:ascii="Arial" w:cs="Arial" w:eastAsia="Arial" w:hAnsi="Arial"/>
                <w:sz w:val="14"/>
                <w:szCs w:val="14"/>
                <w:b w:val="1"/>
                <w:bCs w:val="1"/>
                <w:color w:val="3D3935"/>
              </w:rPr>
              <w:t xml:space="preserve">Age: </w:t>
            </w:r>
            <w:r>
              <w:rPr>
                <w:rFonts w:ascii="Arial" w:cs="Arial" w:eastAsia="Arial" w:hAnsi="Arial"/>
                <w:sz w:val="14"/>
                <w:szCs w:val="14"/>
                <w:color w:val="3D3935"/>
              </w:rPr>
              <w:t>72</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ind w:left="380"/>
              <w:spacing w:after="0"/>
              <w:rPr>
                <w:sz w:val="20"/>
                <w:szCs w:val="20"/>
                <w:color w:val="auto"/>
              </w:rPr>
            </w:pPr>
            <w:r>
              <w:rPr>
                <w:rFonts w:ascii="Arial" w:cs="Arial" w:eastAsia="Arial" w:hAnsi="Arial"/>
                <w:sz w:val="14"/>
                <w:szCs w:val="14"/>
                <w:b w:val="1"/>
                <w:bCs w:val="1"/>
                <w:color w:val="3D3935"/>
              </w:rPr>
              <w:t xml:space="preserve">Age: </w:t>
            </w:r>
            <w:r>
              <w:rPr>
                <w:rFonts w:ascii="Arial" w:cs="Arial" w:eastAsia="Arial" w:hAnsi="Arial"/>
                <w:sz w:val="14"/>
                <w:szCs w:val="14"/>
                <w:color w:val="3D3935"/>
              </w:rPr>
              <w:t>55</w:t>
            </w:r>
          </w:p>
        </w:tc>
        <w:tc>
          <w:tcPr>
            <w:tcW w:w="140" w:type="dxa"/>
            <w:vAlign w:val="bottom"/>
          </w:tcPr>
          <w:p>
            <w:pPr>
              <w:spacing w:after="0"/>
              <w:rPr>
                <w:sz w:val="24"/>
                <w:szCs w:val="24"/>
                <w:color w:val="auto"/>
              </w:rPr>
            </w:pPr>
          </w:p>
        </w:tc>
        <w:tc>
          <w:tcPr>
            <w:tcW w:w="820" w:type="dxa"/>
            <w:vAlign w:val="bottom"/>
            <w:tcBorders>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20" w:type="dxa"/>
            <w:vAlign w:val="bottom"/>
            <w:tcBorders>
              <w:left w:val="single" w:sz="8" w:color="CCCCCC"/>
            </w:tcBorders>
          </w:tcPr>
          <w:p>
            <w:pPr>
              <w:spacing w:after="0"/>
              <w:rPr>
                <w:sz w:val="16"/>
                <w:szCs w:val="16"/>
                <w:color w:val="auto"/>
              </w:rPr>
            </w:pPr>
          </w:p>
        </w:tc>
        <w:tc>
          <w:tcPr>
            <w:tcW w:w="2800" w:type="dxa"/>
            <w:vAlign w:val="bottom"/>
            <w:gridSpan w:val="2"/>
          </w:tcPr>
          <w:p>
            <w:pPr>
              <w:ind w:left="1340"/>
              <w:spacing w:after="0"/>
              <w:rPr>
                <w:sz w:val="20"/>
                <w:szCs w:val="20"/>
                <w:color w:val="auto"/>
              </w:rPr>
            </w:pPr>
            <w:r>
              <w:rPr>
                <w:rFonts w:ascii="Arial" w:cs="Arial" w:eastAsia="Arial" w:hAnsi="Arial"/>
                <w:sz w:val="14"/>
                <w:szCs w:val="14"/>
                <w:b w:val="1"/>
                <w:bCs w:val="1"/>
                <w:color w:val="3D3935"/>
              </w:rPr>
              <w:t xml:space="preserve">Director since: </w:t>
            </w:r>
            <w:r>
              <w:rPr>
                <w:rFonts w:ascii="Arial" w:cs="Arial" w:eastAsia="Arial" w:hAnsi="Arial"/>
                <w:sz w:val="14"/>
                <w:szCs w:val="14"/>
                <w:color w:val="3D3935"/>
              </w:rPr>
              <w:t>2018</w:t>
            </w: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60" w:type="dxa"/>
            <w:vAlign w:val="bottom"/>
          </w:tcPr>
          <w:p>
            <w:pPr>
              <w:ind w:left="380"/>
              <w:spacing w:after="0"/>
              <w:rPr>
                <w:sz w:val="20"/>
                <w:szCs w:val="20"/>
                <w:color w:val="auto"/>
              </w:rPr>
            </w:pPr>
            <w:r>
              <w:rPr>
                <w:rFonts w:ascii="Arial" w:cs="Arial" w:eastAsia="Arial" w:hAnsi="Arial"/>
                <w:sz w:val="14"/>
                <w:szCs w:val="14"/>
                <w:b w:val="1"/>
                <w:bCs w:val="1"/>
                <w:color w:val="3D3935"/>
                <w:w w:val="94"/>
              </w:rPr>
              <w:t xml:space="preserve">Director since: </w:t>
            </w:r>
            <w:r>
              <w:rPr>
                <w:rFonts w:ascii="Arial" w:cs="Arial" w:eastAsia="Arial" w:hAnsi="Arial"/>
                <w:sz w:val="14"/>
                <w:szCs w:val="14"/>
                <w:color w:val="3D3935"/>
                <w:w w:val="94"/>
              </w:rPr>
              <w:t>2021</w:t>
            </w:r>
          </w:p>
        </w:tc>
        <w:tc>
          <w:tcPr>
            <w:tcW w:w="140" w:type="dxa"/>
            <w:vAlign w:val="bottom"/>
          </w:tcPr>
          <w:p>
            <w:pPr>
              <w:spacing w:after="0"/>
              <w:rPr>
                <w:sz w:val="16"/>
                <w:szCs w:val="16"/>
                <w:color w:val="auto"/>
              </w:rPr>
            </w:pPr>
          </w:p>
        </w:tc>
        <w:tc>
          <w:tcPr>
            <w:tcW w:w="82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0" w:type="dxa"/>
            <w:vAlign w:val="bottom"/>
            <w:tcBorders>
              <w:left w:val="single" w:sz="8" w:color="CCCCCC"/>
            </w:tcBorders>
          </w:tcPr>
          <w:p>
            <w:pPr>
              <w:spacing w:after="0"/>
              <w:rPr>
                <w:sz w:val="17"/>
                <w:szCs w:val="17"/>
                <w:color w:val="auto"/>
              </w:rPr>
            </w:pPr>
          </w:p>
        </w:tc>
        <w:tc>
          <w:tcPr>
            <w:tcW w:w="2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Pr>
          <w:p>
            <w:pPr>
              <w:ind w:left="20"/>
              <w:spacing w:after="0"/>
              <w:rPr>
                <w:sz w:val="20"/>
                <w:szCs w:val="20"/>
                <w:color w:val="auto"/>
              </w:rPr>
            </w:pPr>
            <w:r>
              <w:rPr>
                <w:rFonts w:ascii="Arial" w:cs="Arial" w:eastAsia="Arial" w:hAnsi="Arial"/>
                <w:sz w:val="14"/>
                <w:szCs w:val="14"/>
                <w:b w:val="1"/>
                <w:bCs w:val="1"/>
                <w:color w:val="3D3935"/>
              </w:rPr>
              <w:t xml:space="preserve">Director since: </w:t>
            </w:r>
            <w:r>
              <w:rPr>
                <w:rFonts w:ascii="Arial" w:cs="Arial" w:eastAsia="Arial" w:hAnsi="Arial"/>
                <w:sz w:val="14"/>
                <w:szCs w:val="14"/>
                <w:color w:val="3D3935"/>
              </w:rPr>
              <w:t>2009</w:t>
            </w: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20" w:type="dxa"/>
            <w:vAlign w:val="bottom"/>
            <w:tcBorders>
              <w:left w:val="single" w:sz="8" w:color="CCCCCC"/>
            </w:tcBorders>
          </w:tcPr>
          <w:p>
            <w:pPr>
              <w:spacing w:after="0"/>
              <w:rPr>
                <w:sz w:val="22"/>
                <w:szCs w:val="22"/>
                <w:color w:val="auto"/>
              </w:rPr>
            </w:pPr>
          </w:p>
        </w:tc>
        <w:tc>
          <w:tcPr>
            <w:tcW w:w="2160" w:type="dxa"/>
            <w:vAlign w:val="bottom"/>
          </w:tcPr>
          <w:p>
            <w:pPr>
              <w:ind w:left="60"/>
              <w:spacing w:after="0"/>
              <w:rPr>
                <w:sz w:val="20"/>
                <w:szCs w:val="20"/>
                <w:color w:val="auto"/>
              </w:rPr>
            </w:pPr>
            <w:r>
              <w:rPr>
                <w:rFonts w:ascii="Arial" w:cs="Arial" w:eastAsia="Arial" w:hAnsi="Arial"/>
                <w:sz w:val="14"/>
                <w:szCs w:val="14"/>
                <w:color w:val="3D3935"/>
              </w:rPr>
              <w:t>Senior Advisor, Lazard</w:t>
            </w:r>
          </w:p>
        </w:tc>
        <w:tc>
          <w:tcPr>
            <w:tcW w:w="6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0" w:type="dxa"/>
            <w:vAlign w:val="bottom"/>
            <w:gridSpan w:val="2"/>
          </w:tcPr>
          <w:p>
            <w:pPr>
              <w:ind w:left="60"/>
              <w:spacing w:after="0"/>
              <w:rPr>
                <w:sz w:val="20"/>
                <w:szCs w:val="20"/>
                <w:color w:val="auto"/>
              </w:rPr>
            </w:pPr>
            <w:r>
              <w:rPr>
                <w:rFonts w:ascii="Arial" w:cs="Arial" w:eastAsia="Arial" w:hAnsi="Arial"/>
                <w:sz w:val="14"/>
                <w:szCs w:val="14"/>
                <w:color w:val="3D3935"/>
              </w:rPr>
              <w:t>Chair, Hewlett Packard</w:t>
            </w:r>
          </w:p>
        </w:tc>
        <w:tc>
          <w:tcPr>
            <w:tcW w:w="360" w:type="dxa"/>
            <w:vAlign w:val="bottom"/>
          </w:tcPr>
          <w:p>
            <w:pPr>
              <w:spacing w:after="0"/>
              <w:rPr>
                <w:sz w:val="22"/>
                <w:szCs w:val="22"/>
                <w:color w:val="auto"/>
              </w:rPr>
            </w:pPr>
          </w:p>
        </w:tc>
        <w:tc>
          <w:tcPr>
            <w:tcW w:w="2620" w:type="dxa"/>
            <w:vAlign w:val="bottom"/>
            <w:gridSpan w:val="2"/>
          </w:tcPr>
          <w:p>
            <w:pPr>
              <w:ind w:left="60"/>
              <w:spacing w:after="0"/>
              <w:rPr>
                <w:sz w:val="20"/>
                <w:szCs w:val="20"/>
                <w:color w:val="auto"/>
              </w:rPr>
            </w:pPr>
            <w:r>
              <w:rPr>
                <w:rFonts w:ascii="Arial" w:cs="Arial" w:eastAsia="Arial" w:hAnsi="Arial"/>
                <w:sz w:val="14"/>
                <w:szCs w:val="14"/>
                <w:color w:val="3D3935"/>
              </w:rPr>
              <w:t>Deputy Commissioner and Chief</w:t>
            </w:r>
          </w:p>
        </w:tc>
        <w:tc>
          <w:tcPr>
            <w:tcW w:w="140" w:type="dxa"/>
            <w:vAlign w:val="bottom"/>
          </w:tcPr>
          <w:p>
            <w:pPr>
              <w:spacing w:after="0"/>
              <w:rPr>
                <w:sz w:val="22"/>
                <w:szCs w:val="22"/>
                <w:color w:val="auto"/>
              </w:rPr>
            </w:pPr>
          </w:p>
        </w:tc>
        <w:tc>
          <w:tcPr>
            <w:tcW w:w="820" w:type="dxa"/>
            <w:vAlign w:val="bottom"/>
            <w:tcBorders>
              <w:right w:val="single" w:sz="8" w:color="CCCCCC"/>
            </w:tcBorders>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820" w:type="dxa"/>
            <w:vAlign w:val="bottom"/>
            <w:tcBorders>
              <w:left w:val="single" w:sz="8" w:color="CCCCCC"/>
            </w:tcBorders>
          </w:tcPr>
          <w:p>
            <w:pPr>
              <w:spacing w:after="0"/>
              <w:rPr>
                <w:sz w:val="17"/>
                <w:szCs w:val="17"/>
                <w:color w:val="auto"/>
              </w:rPr>
            </w:pPr>
          </w:p>
        </w:tc>
        <w:tc>
          <w:tcPr>
            <w:tcW w:w="2160" w:type="dxa"/>
            <w:vAlign w:val="bottom"/>
          </w:tcPr>
          <w:p>
            <w:pPr>
              <w:ind w:left="60"/>
              <w:spacing w:after="0"/>
              <w:rPr>
                <w:sz w:val="20"/>
                <w:szCs w:val="20"/>
                <w:color w:val="auto"/>
              </w:rPr>
            </w:pPr>
            <w:r>
              <w:rPr>
                <w:rFonts w:ascii="Arial" w:cs="Arial" w:eastAsia="Arial" w:hAnsi="Arial"/>
                <w:sz w:val="14"/>
                <w:szCs w:val="14"/>
                <w:color w:val="3D3935"/>
              </w:rPr>
              <w:t>Geopolitical Advisory</w:t>
            </w: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0" w:type="dxa"/>
            <w:vAlign w:val="bottom"/>
            <w:gridSpan w:val="2"/>
          </w:tcPr>
          <w:p>
            <w:pPr>
              <w:ind w:left="60"/>
              <w:spacing w:after="0"/>
              <w:rPr>
                <w:sz w:val="20"/>
                <w:szCs w:val="20"/>
                <w:color w:val="auto"/>
              </w:rPr>
            </w:pPr>
            <w:r>
              <w:rPr>
                <w:rFonts w:ascii="Arial" w:cs="Arial" w:eastAsia="Arial" w:hAnsi="Arial"/>
                <w:sz w:val="14"/>
                <w:szCs w:val="14"/>
                <w:color w:val="3D3935"/>
              </w:rPr>
              <w:t>Enterprise Company</w:t>
            </w:r>
          </w:p>
        </w:tc>
        <w:tc>
          <w:tcPr>
            <w:tcW w:w="360" w:type="dxa"/>
            <w:vAlign w:val="bottom"/>
          </w:tcPr>
          <w:p>
            <w:pPr>
              <w:spacing w:after="0"/>
              <w:rPr>
                <w:sz w:val="17"/>
                <w:szCs w:val="17"/>
                <w:color w:val="auto"/>
              </w:rPr>
            </w:pPr>
          </w:p>
        </w:tc>
        <w:tc>
          <w:tcPr>
            <w:tcW w:w="2620" w:type="dxa"/>
            <w:vAlign w:val="bottom"/>
            <w:gridSpan w:val="2"/>
          </w:tcPr>
          <w:p>
            <w:pPr>
              <w:ind w:left="60"/>
              <w:spacing w:after="0"/>
              <w:rPr>
                <w:sz w:val="20"/>
                <w:szCs w:val="20"/>
                <w:color w:val="auto"/>
              </w:rPr>
            </w:pPr>
            <w:r>
              <w:rPr>
                <w:rFonts w:ascii="Arial" w:cs="Arial" w:eastAsia="Arial" w:hAnsi="Arial"/>
                <w:sz w:val="14"/>
                <w:szCs w:val="14"/>
                <w:color w:val="3D3935"/>
              </w:rPr>
              <w:t>Operating Officer, National</w:t>
            </w:r>
          </w:p>
        </w:tc>
        <w:tc>
          <w:tcPr>
            <w:tcW w:w="140" w:type="dxa"/>
            <w:vAlign w:val="bottom"/>
          </w:tcPr>
          <w:p>
            <w:pPr>
              <w:spacing w:after="0"/>
              <w:rPr>
                <w:sz w:val="17"/>
                <w:szCs w:val="17"/>
                <w:color w:val="auto"/>
              </w:rPr>
            </w:pPr>
          </w:p>
        </w:tc>
        <w:tc>
          <w:tcPr>
            <w:tcW w:w="82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20" w:type="dxa"/>
            <w:vAlign w:val="bottom"/>
            <w:tcBorders>
              <w:left w:val="single" w:sz="8" w:color="CCCCCC"/>
            </w:tcBorders>
          </w:tcPr>
          <w:p>
            <w:pPr>
              <w:spacing w:after="0"/>
              <w:rPr>
                <w:sz w:val="16"/>
                <w:szCs w:val="16"/>
                <w:color w:val="auto"/>
              </w:rPr>
            </w:pPr>
          </w:p>
        </w:tc>
        <w:tc>
          <w:tcPr>
            <w:tcW w:w="2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20" w:type="dxa"/>
            <w:vAlign w:val="bottom"/>
            <w:gridSpan w:val="2"/>
          </w:tcPr>
          <w:p>
            <w:pPr>
              <w:ind w:left="60"/>
              <w:spacing w:after="0"/>
              <w:rPr>
                <w:sz w:val="20"/>
                <w:szCs w:val="20"/>
                <w:color w:val="auto"/>
              </w:rPr>
            </w:pPr>
            <w:r>
              <w:rPr>
                <w:rFonts w:ascii="Arial" w:cs="Arial" w:eastAsia="Arial" w:hAnsi="Arial"/>
                <w:sz w:val="14"/>
                <w:szCs w:val="14"/>
                <w:color w:val="3D3935"/>
              </w:rPr>
              <w:t>Basketball Association</w:t>
            </w:r>
          </w:p>
        </w:tc>
        <w:tc>
          <w:tcPr>
            <w:tcW w:w="140" w:type="dxa"/>
            <w:vAlign w:val="bottom"/>
          </w:tcPr>
          <w:p>
            <w:pPr>
              <w:spacing w:after="0"/>
              <w:rPr>
                <w:sz w:val="16"/>
                <w:szCs w:val="16"/>
                <w:color w:val="auto"/>
              </w:rPr>
            </w:pPr>
          </w:p>
        </w:tc>
        <w:tc>
          <w:tcPr>
            <w:tcW w:w="82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820" w:type="dxa"/>
            <w:vAlign w:val="bottom"/>
            <w:tcBorders>
              <w:left w:val="single" w:sz="8" w:color="CCCCCC"/>
            </w:tcBorders>
          </w:tcPr>
          <w:p>
            <w:pPr>
              <w:spacing w:after="0"/>
              <w:rPr>
                <w:sz w:val="3"/>
                <w:szCs w:val="3"/>
                <w:color w:val="auto"/>
              </w:rPr>
            </w:pPr>
          </w:p>
        </w:tc>
        <w:tc>
          <w:tcPr>
            <w:tcW w:w="2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0" w:type="dxa"/>
            <w:vAlign w:val="bottom"/>
            <w:gridSpan w:val="2"/>
          </w:tcPr>
          <w:p>
            <w:pPr>
              <w:spacing w:after="0"/>
              <w:rPr>
                <w:sz w:val="3"/>
                <w:szCs w:val="3"/>
                <w:color w:val="auto"/>
              </w:rPr>
            </w:pPr>
          </w:p>
        </w:tc>
        <w:tc>
          <w:tcPr>
            <w:tcW w:w="360" w:type="dxa"/>
            <w:vAlign w:val="bottom"/>
          </w:tcPr>
          <w:p>
            <w:pPr>
              <w:spacing w:after="0"/>
              <w:rPr>
                <w:sz w:val="3"/>
                <w:szCs w:val="3"/>
                <w:color w:val="auto"/>
              </w:rPr>
            </w:pPr>
          </w:p>
        </w:tc>
        <w:tc>
          <w:tcPr>
            <w:tcW w:w="262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Borders>
              <w:right w:val="single" w:sz="8" w:color="CCCCC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5"/>
        </w:trPr>
        <w:tc>
          <w:tcPr>
            <w:tcW w:w="820" w:type="dxa"/>
            <w:vAlign w:val="bottom"/>
            <w:tcBorders>
              <w:left w:val="single" w:sz="8" w:color="CCCCCC"/>
            </w:tcBorders>
          </w:tcPr>
          <w:p>
            <w:pPr>
              <w:spacing w:after="0"/>
              <w:rPr>
                <w:sz w:val="24"/>
                <w:szCs w:val="24"/>
                <w:color w:val="auto"/>
              </w:rPr>
            </w:pPr>
          </w:p>
        </w:tc>
        <w:tc>
          <w:tcPr>
            <w:tcW w:w="2160" w:type="dxa"/>
            <w:vAlign w:val="bottom"/>
            <w:shd w:val="clear" w:color="auto" w:fill="F0F3F5"/>
          </w:tcPr>
          <w:p>
            <w:pPr>
              <w:ind w:left="120"/>
              <w:spacing w:after="0"/>
              <w:rPr>
                <w:sz w:val="20"/>
                <w:szCs w:val="20"/>
                <w:color w:val="auto"/>
              </w:rPr>
            </w:pPr>
            <w:r>
              <w:rPr>
                <w:rFonts w:ascii="Arial" w:cs="Arial" w:eastAsia="Arial" w:hAnsi="Arial"/>
                <w:sz w:val="14"/>
                <w:szCs w:val="14"/>
                <w:b w:val="1"/>
                <w:bCs w:val="1"/>
                <w:color w:val="3D3935"/>
              </w:rPr>
              <w:t>Committee memberships:</w:t>
            </w:r>
          </w:p>
        </w:tc>
        <w:tc>
          <w:tcPr>
            <w:tcW w:w="640" w:type="dxa"/>
            <w:vAlign w:val="bottom"/>
            <w:shd w:val="clear" w:color="auto" w:fill="F0F3F5"/>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gridSpan w:val="2"/>
            <w:shd w:val="clear" w:color="auto" w:fill="F0F3F5"/>
          </w:tcPr>
          <w:p>
            <w:pPr>
              <w:ind w:left="120"/>
              <w:spacing w:after="0"/>
              <w:rPr>
                <w:sz w:val="20"/>
                <w:szCs w:val="20"/>
                <w:color w:val="auto"/>
              </w:rPr>
            </w:pPr>
            <w:r>
              <w:rPr>
                <w:rFonts w:ascii="Arial" w:cs="Arial" w:eastAsia="Arial" w:hAnsi="Arial"/>
                <w:sz w:val="14"/>
                <w:szCs w:val="14"/>
                <w:b w:val="1"/>
                <w:bCs w:val="1"/>
                <w:color w:val="3D3935"/>
              </w:rPr>
              <w:t>Committee memberships:</w:t>
            </w:r>
          </w:p>
        </w:tc>
        <w:tc>
          <w:tcPr>
            <w:tcW w:w="360" w:type="dxa"/>
            <w:vAlign w:val="bottom"/>
          </w:tcPr>
          <w:p>
            <w:pPr>
              <w:spacing w:after="0"/>
              <w:rPr>
                <w:sz w:val="24"/>
                <w:szCs w:val="24"/>
                <w:color w:val="auto"/>
              </w:rPr>
            </w:pPr>
          </w:p>
        </w:tc>
        <w:tc>
          <w:tcPr>
            <w:tcW w:w="2620" w:type="dxa"/>
            <w:vAlign w:val="bottom"/>
            <w:gridSpan w:val="2"/>
            <w:shd w:val="clear" w:color="auto" w:fill="F0F3F5"/>
          </w:tcPr>
          <w:p>
            <w:pPr>
              <w:ind w:left="120"/>
              <w:spacing w:after="0"/>
              <w:rPr>
                <w:sz w:val="20"/>
                <w:szCs w:val="20"/>
                <w:color w:val="auto"/>
              </w:rPr>
            </w:pPr>
            <w:r>
              <w:rPr>
                <w:rFonts w:ascii="Arial" w:cs="Arial" w:eastAsia="Arial" w:hAnsi="Arial"/>
                <w:sz w:val="14"/>
                <w:szCs w:val="14"/>
                <w:b w:val="1"/>
                <w:bCs w:val="1"/>
                <w:color w:val="3D3935"/>
              </w:rPr>
              <w:t>Committee memberships:</w:t>
            </w:r>
          </w:p>
        </w:tc>
        <w:tc>
          <w:tcPr>
            <w:tcW w:w="140" w:type="dxa"/>
            <w:vAlign w:val="bottom"/>
            <w:shd w:val="clear" w:color="auto" w:fill="F0F3F5"/>
          </w:tcPr>
          <w:p>
            <w:pPr>
              <w:spacing w:after="0"/>
              <w:rPr>
                <w:sz w:val="24"/>
                <w:szCs w:val="24"/>
                <w:color w:val="auto"/>
              </w:rPr>
            </w:pPr>
          </w:p>
        </w:tc>
        <w:tc>
          <w:tcPr>
            <w:tcW w:w="820" w:type="dxa"/>
            <w:vAlign w:val="bottom"/>
            <w:tcBorders>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20" w:type="dxa"/>
            <w:vAlign w:val="bottom"/>
            <w:tcBorders>
              <w:left w:val="single" w:sz="8" w:color="CCCCCC"/>
            </w:tcBorders>
          </w:tcPr>
          <w:p>
            <w:pPr>
              <w:spacing w:after="0"/>
              <w:rPr>
                <w:sz w:val="16"/>
                <w:szCs w:val="16"/>
                <w:color w:val="auto"/>
              </w:rPr>
            </w:pPr>
          </w:p>
        </w:tc>
        <w:tc>
          <w:tcPr>
            <w:tcW w:w="2160" w:type="dxa"/>
            <w:vAlign w:val="bottom"/>
            <w:shd w:val="clear" w:color="auto" w:fill="F0F3F5"/>
          </w:tcPr>
          <w:p>
            <w:pPr>
              <w:ind w:left="120"/>
              <w:spacing w:after="0"/>
              <w:rPr>
                <w:sz w:val="20"/>
                <w:szCs w:val="20"/>
                <w:color w:val="auto"/>
              </w:rPr>
            </w:pPr>
            <w:r>
              <w:rPr>
                <w:rFonts w:ascii="Arial" w:cs="Arial" w:eastAsia="Arial" w:hAnsi="Arial"/>
                <w:sz w:val="14"/>
                <w:szCs w:val="14"/>
                <w:b w:val="1"/>
                <w:bCs w:val="1"/>
                <w:color w:val="3D3935"/>
              </w:rPr>
              <w:t>EC FC</w:t>
            </w:r>
            <w:r>
              <w:rPr>
                <w:rFonts w:ascii="Arial" w:cs="Arial" w:eastAsia="Arial" w:hAnsi="Arial"/>
                <w:sz w:val="14"/>
                <w:szCs w:val="14"/>
                <w:b w:val="1"/>
                <w:bCs w:val="1"/>
                <w:color w:val="0078D4"/>
              </w:rPr>
              <w:t>RC</w:t>
            </w:r>
          </w:p>
        </w:tc>
        <w:tc>
          <w:tcPr>
            <w:tcW w:w="640" w:type="dxa"/>
            <w:vAlign w:val="bottom"/>
            <w:shd w:val="clear" w:color="auto" w:fill="F0F3F5"/>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shd w:val="clear" w:color="auto" w:fill="F0F3F5"/>
          </w:tcPr>
          <w:p>
            <w:pPr>
              <w:ind w:left="120"/>
              <w:spacing w:after="0"/>
              <w:rPr>
                <w:sz w:val="20"/>
                <w:szCs w:val="20"/>
                <w:color w:val="auto"/>
              </w:rPr>
            </w:pPr>
            <w:r>
              <w:rPr>
                <w:rFonts w:ascii="Arial" w:cs="Arial" w:eastAsia="Arial" w:hAnsi="Arial"/>
                <w:sz w:val="14"/>
                <w:szCs w:val="14"/>
                <w:b w:val="1"/>
                <w:bCs w:val="1"/>
                <w:color w:val="3D3935"/>
              </w:rPr>
              <w:t>EC CC FC</w:t>
            </w:r>
            <w:r>
              <w:rPr>
                <w:rFonts w:ascii="Arial" w:cs="Arial" w:eastAsia="Arial" w:hAnsi="Arial"/>
                <w:sz w:val="14"/>
                <w:szCs w:val="14"/>
                <w:b w:val="1"/>
                <w:bCs w:val="1"/>
                <w:color w:val="0078D4"/>
              </w:rPr>
              <w:t>GC</w:t>
            </w:r>
          </w:p>
        </w:tc>
        <w:tc>
          <w:tcPr>
            <w:tcW w:w="1480" w:type="dxa"/>
            <w:vAlign w:val="bottom"/>
            <w:shd w:val="clear" w:color="auto" w:fill="F0F3F5"/>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shd w:val="clear" w:color="auto" w:fill="F0F3F5"/>
          </w:tcPr>
          <w:p>
            <w:pPr>
              <w:ind w:left="120"/>
              <w:spacing w:after="0"/>
              <w:rPr>
                <w:sz w:val="20"/>
                <w:szCs w:val="20"/>
                <w:color w:val="auto"/>
              </w:rPr>
            </w:pPr>
            <w:r>
              <w:rPr>
                <w:rFonts w:ascii="Arial" w:cs="Arial" w:eastAsia="Arial" w:hAnsi="Arial"/>
                <w:sz w:val="14"/>
                <w:szCs w:val="14"/>
                <w:b w:val="1"/>
                <w:bCs w:val="1"/>
                <w:color w:val="3D3935"/>
              </w:rPr>
              <w:t>AC GC</w:t>
            </w:r>
          </w:p>
        </w:tc>
        <w:tc>
          <w:tcPr>
            <w:tcW w:w="1660" w:type="dxa"/>
            <w:vAlign w:val="bottom"/>
            <w:shd w:val="clear" w:color="auto" w:fill="F0F3F5"/>
          </w:tcPr>
          <w:p>
            <w:pPr>
              <w:spacing w:after="0"/>
              <w:rPr>
                <w:sz w:val="16"/>
                <w:szCs w:val="16"/>
                <w:color w:val="auto"/>
              </w:rPr>
            </w:pPr>
          </w:p>
        </w:tc>
        <w:tc>
          <w:tcPr>
            <w:tcW w:w="140" w:type="dxa"/>
            <w:vAlign w:val="bottom"/>
            <w:shd w:val="clear" w:color="auto" w:fill="F0F3F5"/>
          </w:tcPr>
          <w:p>
            <w:pPr>
              <w:spacing w:after="0"/>
              <w:rPr>
                <w:sz w:val="16"/>
                <w:szCs w:val="16"/>
                <w:color w:val="auto"/>
              </w:rPr>
            </w:pPr>
          </w:p>
        </w:tc>
        <w:tc>
          <w:tcPr>
            <w:tcW w:w="82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430"/>
        </w:trPr>
        <w:tc>
          <w:tcPr>
            <w:tcW w:w="820" w:type="dxa"/>
            <w:vAlign w:val="bottom"/>
            <w:tcBorders>
              <w:left w:val="single" w:sz="8" w:color="CCCCCC"/>
            </w:tcBorders>
          </w:tcPr>
          <w:p>
            <w:pPr>
              <w:spacing w:after="0"/>
              <w:rPr>
                <w:sz w:val="24"/>
                <w:szCs w:val="24"/>
                <w:color w:val="auto"/>
              </w:rPr>
            </w:pPr>
          </w:p>
        </w:tc>
        <w:tc>
          <w:tcPr>
            <w:tcW w:w="2800" w:type="dxa"/>
            <w:vAlign w:val="bottom"/>
            <w:gridSpan w:val="2"/>
          </w:tcPr>
          <w:p>
            <w:pPr>
              <w:ind w:left="1340"/>
              <w:spacing w:after="0"/>
              <w:rPr>
                <w:sz w:val="20"/>
                <w:szCs w:val="20"/>
                <w:color w:val="auto"/>
              </w:rPr>
            </w:pPr>
            <w:r>
              <w:rPr>
                <w:rFonts w:ascii="Arial" w:cs="Arial" w:eastAsia="Arial" w:hAnsi="Arial"/>
                <w:sz w:val="18"/>
                <w:szCs w:val="18"/>
                <w:b w:val="1"/>
                <w:bCs w:val="1"/>
                <w:color w:val="0072CE"/>
              </w:rPr>
              <w:t>Jan E. Tighe</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ind w:left="20"/>
              <w:spacing w:after="0"/>
              <w:rPr>
                <w:sz w:val="20"/>
                <w:szCs w:val="20"/>
                <w:color w:val="auto"/>
              </w:rPr>
            </w:pPr>
            <w:r>
              <w:rPr>
                <w:rFonts w:ascii="Arial" w:cs="Arial" w:eastAsia="Arial" w:hAnsi="Arial"/>
                <w:sz w:val="18"/>
                <w:szCs w:val="18"/>
                <w:b w:val="1"/>
                <w:bCs w:val="1"/>
                <w:color w:val="0072CE"/>
              </w:rPr>
              <w:t>Devin N. Wenig</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Borders>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505"/>
        </w:trPr>
        <w:tc>
          <w:tcPr>
            <w:tcW w:w="820" w:type="dxa"/>
            <w:vAlign w:val="bottom"/>
            <w:tcBorders>
              <w:left w:val="single" w:sz="8" w:color="CCCCCC"/>
            </w:tcBorders>
          </w:tcPr>
          <w:p>
            <w:pPr>
              <w:spacing w:after="0"/>
              <w:rPr>
                <w:sz w:val="24"/>
                <w:szCs w:val="24"/>
                <w:color w:val="auto"/>
              </w:rPr>
            </w:pPr>
          </w:p>
        </w:tc>
        <w:tc>
          <w:tcPr>
            <w:tcW w:w="2160" w:type="dxa"/>
            <w:vAlign w:val="bottom"/>
          </w:tcPr>
          <w:p>
            <w:pPr>
              <w:ind w:left="1340"/>
              <w:spacing w:after="0"/>
              <w:rPr>
                <w:sz w:val="20"/>
                <w:szCs w:val="20"/>
                <w:color w:val="auto"/>
              </w:rPr>
            </w:pPr>
            <w:r>
              <w:rPr>
                <w:rFonts w:ascii="Arial" w:cs="Arial" w:eastAsia="Arial" w:hAnsi="Arial"/>
                <w:sz w:val="14"/>
                <w:szCs w:val="14"/>
                <w:b w:val="1"/>
                <w:bCs w:val="1"/>
                <w:color w:val="3D3935"/>
              </w:rPr>
              <w:t>Age</w:t>
            </w:r>
            <w:r>
              <w:rPr>
                <w:rFonts w:ascii="Arial" w:cs="Arial" w:eastAsia="Arial" w:hAnsi="Arial"/>
                <w:sz w:val="14"/>
                <w:szCs w:val="14"/>
                <w:color w:val="3D3935"/>
              </w:rPr>
              <w:t>: 62</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ind w:left="20"/>
              <w:spacing w:after="0"/>
              <w:rPr>
                <w:sz w:val="20"/>
                <w:szCs w:val="20"/>
                <w:color w:val="auto"/>
              </w:rPr>
            </w:pPr>
            <w:r>
              <w:rPr>
                <w:rFonts w:ascii="Arial" w:cs="Arial" w:eastAsia="Arial" w:hAnsi="Arial"/>
                <w:sz w:val="14"/>
                <w:szCs w:val="14"/>
                <w:b w:val="1"/>
                <w:bCs w:val="1"/>
                <w:color w:val="3D3935"/>
              </w:rPr>
              <w:t xml:space="preserve">Age: </w:t>
            </w:r>
            <w:r>
              <w:rPr>
                <w:rFonts w:ascii="Arial" w:cs="Arial" w:eastAsia="Arial" w:hAnsi="Arial"/>
                <w:sz w:val="14"/>
                <w:szCs w:val="14"/>
                <w:color w:val="3D3935"/>
              </w:rPr>
              <w:t>58</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Borders>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Borders>
              <w:left w:val="single" w:sz="8" w:color="CCCCCC"/>
            </w:tcBorders>
          </w:tcPr>
          <w:p>
            <w:pPr>
              <w:spacing w:after="0"/>
              <w:rPr>
                <w:sz w:val="17"/>
                <w:szCs w:val="17"/>
                <w:color w:val="auto"/>
              </w:rPr>
            </w:pPr>
          </w:p>
        </w:tc>
        <w:tc>
          <w:tcPr>
            <w:tcW w:w="2800" w:type="dxa"/>
            <w:vAlign w:val="bottom"/>
            <w:gridSpan w:val="2"/>
          </w:tcPr>
          <w:p>
            <w:pPr>
              <w:ind w:left="1340"/>
              <w:spacing w:after="0"/>
              <w:rPr>
                <w:sz w:val="20"/>
                <w:szCs w:val="20"/>
                <w:color w:val="auto"/>
              </w:rPr>
            </w:pPr>
            <w:r>
              <w:rPr>
                <w:rFonts w:ascii="Arial" w:cs="Arial" w:eastAsia="Arial" w:hAnsi="Arial"/>
                <w:sz w:val="14"/>
                <w:szCs w:val="14"/>
                <w:b w:val="1"/>
                <w:bCs w:val="1"/>
                <w:color w:val="3D3935"/>
              </w:rPr>
              <w:t>Director Since</w:t>
            </w:r>
            <w:r>
              <w:rPr>
                <w:rFonts w:ascii="Arial" w:cs="Arial" w:eastAsia="Arial" w:hAnsi="Arial"/>
                <w:sz w:val="14"/>
                <w:szCs w:val="14"/>
                <w:color w:val="3D3935"/>
              </w:rPr>
              <w:t>: 2023</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Pr>
          <w:p>
            <w:pPr>
              <w:ind w:left="20"/>
              <w:spacing w:after="0"/>
              <w:rPr>
                <w:sz w:val="20"/>
                <w:szCs w:val="20"/>
                <w:color w:val="auto"/>
              </w:rPr>
            </w:pPr>
            <w:r>
              <w:rPr>
                <w:rFonts w:ascii="Arial" w:cs="Arial" w:eastAsia="Arial" w:hAnsi="Arial"/>
                <w:sz w:val="14"/>
                <w:szCs w:val="14"/>
                <w:b w:val="1"/>
                <w:bCs w:val="1"/>
                <w:color w:val="3D3935"/>
              </w:rPr>
              <w:t xml:space="preserve">Director since: </w:t>
            </w:r>
            <w:r>
              <w:rPr>
                <w:rFonts w:ascii="Arial" w:cs="Arial" w:eastAsia="Arial" w:hAnsi="Arial"/>
                <w:sz w:val="14"/>
                <w:szCs w:val="14"/>
                <w:color w:val="3D3935"/>
              </w:rPr>
              <w:t>2018</w:t>
            </w: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820" w:type="dxa"/>
            <w:vAlign w:val="bottom"/>
            <w:tcBorders>
              <w:left w:val="single" w:sz="8" w:color="CCCCCC"/>
            </w:tcBorders>
          </w:tcPr>
          <w:p>
            <w:pPr>
              <w:spacing w:after="0"/>
              <w:rPr>
                <w:sz w:val="24"/>
                <w:szCs w:val="24"/>
                <w:color w:val="auto"/>
              </w:rPr>
            </w:pPr>
          </w:p>
        </w:tc>
        <w:tc>
          <w:tcPr>
            <w:tcW w:w="2160" w:type="dxa"/>
            <w:vAlign w:val="bottom"/>
          </w:tcPr>
          <w:p>
            <w:pPr>
              <w:ind w:left="60"/>
              <w:spacing w:after="0"/>
              <w:rPr>
                <w:sz w:val="20"/>
                <w:szCs w:val="20"/>
                <w:color w:val="auto"/>
              </w:rPr>
            </w:pPr>
            <w:r>
              <w:rPr>
                <w:rFonts w:ascii="Arial" w:cs="Arial" w:eastAsia="Arial" w:hAnsi="Arial"/>
                <w:sz w:val="14"/>
                <w:szCs w:val="14"/>
                <w:color w:val="3D3935"/>
              </w:rPr>
              <w:t>Retired Vice Admiral, U.S. Navy</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gridSpan w:val="2"/>
          </w:tcPr>
          <w:p>
            <w:pPr>
              <w:ind w:left="60"/>
              <w:spacing w:after="0"/>
              <w:rPr>
                <w:sz w:val="20"/>
                <w:szCs w:val="20"/>
                <w:color w:val="auto"/>
              </w:rPr>
            </w:pPr>
            <w:r>
              <w:rPr>
                <w:rFonts w:ascii="Arial" w:cs="Arial" w:eastAsia="Arial" w:hAnsi="Arial"/>
                <w:sz w:val="14"/>
                <w:szCs w:val="14"/>
                <w:color w:val="3D3935"/>
              </w:rPr>
              <w:t>Co-Founder and Chief Executive Officer,</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Borders>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820" w:type="dxa"/>
            <w:vAlign w:val="bottom"/>
            <w:tcBorders>
              <w:left w:val="single" w:sz="8" w:color="CCCCCC"/>
            </w:tcBorders>
          </w:tcPr>
          <w:p>
            <w:pPr>
              <w:spacing w:after="0"/>
              <w:rPr>
                <w:sz w:val="16"/>
                <w:szCs w:val="16"/>
                <w:color w:val="auto"/>
              </w:rPr>
            </w:pPr>
          </w:p>
        </w:tc>
        <w:tc>
          <w:tcPr>
            <w:tcW w:w="2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ind w:left="60"/>
              <w:spacing w:after="0"/>
              <w:rPr>
                <w:sz w:val="20"/>
                <w:szCs w:val="20"/>
                <w:color w:val="auto"/>
              </w:rPr>
            </w:pPr>
            <w:r>
              <w:rPr>
                <w:rFonts w:ascii="Arial" w:cs="Arial" w:eastAsia="Arial" w:hAnsi="Arial"/>
                <w:sz w:val="14"/>
                <w:szCs w:val="14"/>
                <w:color w:val="3D3935"/>
              </w:rPr>
              <w:t>Symbolic.ai</w:t>
            </w:r>
          </w:p>
        </w:tc>
        <w:tc>
          <w:tcPr>
            <w:tcW w:w="1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820" w:type="dxa"/>
            <w:vAlign w:val="bottom"/>
            <w:tcBorders>
              <w:left w:val="single" w:sz="8" w:color="CCCCCC"/>
            </w:tcBorders>
          </w:tcPr>
          <w:p>
            <w:pPr>
              <w:spacing w:after="0"/>
              <w:rPr>
                <w:sz w:val="4"/>
                <w:szCs w:val="4"/>
                <w:color w:val="auto"/>
              </w:rPr>
            </w:pPr>
          </w:p>
        </w:tc>
        <w:tc>
          <w:tcPr>
            <w:tcW w:w="2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0" w:type="dxa"/>
            <w:vAlign w:val="bottom"/>
            <w:gridSpan w:val="2"/>
          </w:tcPr>
          <w:p>
            <w:pPr>
              <w:spacing w:after="0"/>
              <w:rPr>
                <w:sz w:val="4"/>
                <w:szCs w:val="4"/>
                <w:color w:val="auto"/>
              </w:rPr>
            </w:pPr>
          </w:p>
        </w:tc>
        <w:tc>
          <w:tcPr>
            <w:tcW w:w="3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Borders>
              <w:right w:val="single" w:sz="8" w:color="CCCCCC"/>
            </w:tcBorders>
          </w:tcPr>
          <w:p>
            <w:pPr>
              <w:spacing w:after="0"/>
              <w:rPr>
                <w:sz w:val="4"/>
                <w:szCs w:val="4"/>
                <w:color w:val="auto"/>
              </w:rPr>
            </w:pPr>
          </w:p>
        </w:tc>
        <w:tc>
          <w:tcPr>
            <w:tcW w:w="0" w:type="dxa"/>
            <w:vAlign w:val="bottom"/>
          </w:tcPr>
          <w:p>
            <w:pPr>
              <w:spacing w:after="0"/>
              <w:rPr>
                <w:sz w:val="1"/>
                <w:szCs w:val="1"/>
                <w:color w:val="auto"/>
              </w:rPr>
            </w:pPr>
          </w:p>
        </w:tc>
      </w:tr>
      <w:tr>
        <w:trPr>
          <w:trHeight w:val="288"/>
        </w:trPr>
        <w:tc>
          <w:tcPr>
            <w:tcW w:w="820" w:type="dxa"/>
            <w:vAlign w:val="bottom"/>
            <w:tcBorders>
              <w:left w:val="single" w:sz="8" w:color="CCCCCC"/>
            </w:tcBorders>
          </w:tcPr>
          <w:p>
            <w:pPr>
              <w:spacing w:after="0"/>
              <w:rPr>
                <w:sz w:val="24"/>
                <w:szCs w:val="24"/>
                <w:color w:val="auto"/>
              </w:rPr>
            </w:pPr>
          </w:p>
        </w:tc>
        <w:tc>
          <w:tcPr>
            <w:tcW w:w="2160" w:type="dxa"/>
            <w:vAlign w:val="bottom"/>
            <w:shd w:val="clear" w:color="auto" w:fill="F0F3F5"/>
          </w:tcPr>
          <w:p>
            <w:pPr>
              <w:ind w:left="120"/>
              <w:spacing w:after="0"/>
              <w:rPr>
                <w:sz w:val="20"/>
                <w:szCs w:val="20"/>
                <w:color w:val="auto"/>
              </w:rPr>
            </w:pPr>
            <w:r>
              <w:rPr>
                <w:rFonts w:ascii="Arial" w:cs="Arial" w:eastAsia="Arial" w:hAnsi="Arial"/>
                <w:sz w:val="14"/>
                <w:szCs w:val="14"/>
                <w:b w:val="1"/>
                <w:bCs w:val="1"/>
                <w:color w:val="3D3935"/>
              </w:rPr>
              <w:t>Committee memberships:</w:t>
            </w:r>
          </w:p>
        </w:tc>
        <w:tc>
          <w:tcPr>
            <w:tcW w:w="640" w:type="dxa"/>
            <w:vAlign w:val="bottom"/>
            <w:shd w:val="clear" w:color="auto" w:fill="F0F3F5"/>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gridSpan w:val="2"/>
            <w:shd w:val="clear" w:color="auto" w:fill="F0F3F5"/>
          </w:tcPr>
          <w:p>
            <w:pPr>
              <w:ind w:left="120"/>
              <w:spacing w:after="0"/>
              <w:rPr>
                <w:sz w:val="20"/>
                <w:szCs w:val="20"/>
                <w:color w:val="auto"/>
              </w:rPr>
            </w:pPr>
            <w:r>
              <w:rPr>
                <w:rFonts w:ascii="Arial" w:cs="Arial" w:eastAsia="Arial" w:hAnsi="Arial"/>
                <w:sz w:val="14"/>
                <w:szCs w:val="14"/>
                <w:b w:val="1"/>
                <w:bCs w:val="1"/>
                <w:color w:val="3D3935"/>
              </w:rPr>
              <w:t>Committee memberships:</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Borders>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820" w:type="dxa"/>
            <w:vAlign w:val="bottom"/>
            <w:tcBorders>
              <w:left w:val="single" w:sz="8" w:color="CCCCCC"/>
            </w:tcBorders>
          </w:tcPr>
          <w:p>
            <w:pPr>
              <w:spacing w:after="0"/>
              <w:rPr>
                <w:sz w:val="17"/>
                <w:szCs w:val="17"/>
                <w:color w:val="auto"/>
              </w:rPr>
            </w:pPr>
          </w:p>
        </w:tc>
        <w:tc>
          <w:tcPr>
            <w:tcW w:w="2160" w:type="dxa"/>
            <w:vAlign w:val="bottom"/>
            <w:shd w:val="clear" w:color="auto" w:fill="F0F3F5"/>
          </w:tcPr>
          <w:p>
            <w:pPr>
              <w:ind w:left="120"/>
              <w:spacing w:after="0"/>
              <w:rPr>
                <w:sz w:val="20"/>
                <w:szCs w:val="20"/>
                <w:color w:val="auto"/>
              </w:rPr>
            </w:pPr>
            <w:r>
              <w:rPr>
                <w:rFonts w:ascii="Arial" w:cs="Arial" w:eastAsia="Arial" w:hAnsi="Arial"/>
                <w:sz w:val="14"/>
                <w:szCs w:val="14"/>
                <w:b w:val="1"/>
                <w:bCs w:val="1"/>
                <w:color w:val="3D3935"/>
              </w:rPr>
              <w:t>AC RC</w:t>
            </w:r>
          </w:p>
        </w:tc>
        <w:tc>
          <w:tcPr>
            <w:tcW w:w="640" w:type="dxa"/>
            <w:vAlign w:val="bottom"/>
            <w:shd w:val="clear" w:color="auto" w:fill="F0F3F5"/>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shd w:val="clear" w:color="auto" w:fill="F0F3F5"/>
          </w:tcPr>
          <w:p>
            <w:pPr>
              <w:ind w:left="120"/>
              <w:spacing w:after="0"/>
              <w:rPr>
                <w:sz w:val="20"/>
                <w:szCs w:val="20"/>
                <w:color w:val="auto"/>
              </w:rPr>
            </w:pPr>
            <w:r>
              <w:rPr>
                <w:rFonts w:ascii="Arial" w:cs="Arial" w:eastAsia="Arial" w:hAnsi="Arial"/>
                <w:sz w:val="14"/>
                <w:szCs w:val="14"/>
                <w:b w:val="1"/>
                <w:bCs w:val="1"/>
                <w:color w:val="8C56EE"/>
              </w:rPr>
              <w:t>CC</w:t>
            </w:r>
          </w:p>
        </w:tc>
        <w:tc>
          <w:tcPr>
            <w:tcW w:w="1480" w:type="dxa"/>
            <w:vAlign w:val="bottom"/>
            <w:shd w:val="clear" w:color="auto" w:fill="F0F3F5"/>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Borders>
              <w:right w:val="single" w:sz="8" w:color="CCCCCC"/>
            </w:tcBorders>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820" w:type="dxa"/>
            <w:vAlign w:val="bottom"/>
            <w:tcBorders>
              <w:left w:val="single" w:sz="8" w:color="CCCCCC"/>
            </w:tcBorders>
          </w:tcPr>
          <w:p>
            <w:pPr>
              <w:spacing w:after="0"/>
              <w:rPr>
                <w:sz w:val="24"/>
                <w:szCs w:val="24"/>
                <w:color w:val="auto"/>
              </w:rPr>
            </w:pPr>
          </w:p>
        </w:tc>
        <w:tc>
          <w:tcPr>
            <w:tcW w:w="2160" w:type="dxa"/>
            <w:vAlign w:val="bottom"/>
          </w:tcPr>
          <w:p>
            <w:pPr>
              <w:ind w:left="60"/>
              <w:spacing w:after="0"/>
              <w:rPr>
                <w:sz w:val="20"/>
                <w:szCs w:val="20"/>
                <w:color w:val="auto"/>
              </w:rPr>
            </w:pPr>
            <w:r>
              <w:rPr>
                <w:rFonts w:ascii="Arial" w:cs="Arial" w:eastAsia="Arial" w:hAnsi="Arial"/>
                <w:sz w:val="16"/>
                <w:szCs w:val="16"/>
                <w:b w:val="1"/>
                <w:bCs w:val="1"/>
                <w:color w:val="3D3935"/>
              </w:rPr>
              <w:t xml:space="preserve">AC </w:t>
            </w:r>
            <w:r>
              <w:rPr>
                <w:rFonts w:ascii="Arial" w:cs="Arial" w:eastAsia="Arial" w:hAnsi="Arial"/>
                <w:sz w:val="16"/>
                <w:szCs w:val="16"/>
                <w:color w:val="3D3935"/>
              </w:rPr>
              <w:t>– Audit Committee</w:t>
            </w:r>
          </w:p>
        </w:tc>
        <w:tc>
          <w:tcPr>
            <w:tcW w:w="2320" w:type="dxa"/>
            <w:vAlign w:val="bottom"/>
            <w:gridSpan w:val="3"/>
          </w:tcPr>
          <w:p>
            <w:pPr>
              <w:ind w:left="80"/>
              <w:spacing w:after="0"/>
              <w:rPr>
                <w:sz w:val="20"/>
                <w:szCs w:val="20"/>
                <w:color w:val="auto"/>
              </w:rPr>
            </w:pPr>
            <w:r>
              <w:rPr>
                <w:rFonts w:ascii="Arial" w:cs="Arial" w:eastAsia="Arial" w:hAnsi="Arial"/>
                <w:sz w:val="16"/>
                <w:szCs w:val="16"/>
                <w:b w:val="1"/>
                <w:bCs w:val="1"/>
                <w:color w:val="3D3935"/>
              </w:rPr>
              <w:t xml:space="preserve">CC </w:t>
            </w:r>
            <w:r>
              <w:rPr>
                <w:rFonts w:ascii="Arial" w:cs="Arial" w:eastAsia="Arial" w:hAnsi="Arial"/>
                <w:sz w:val="16"/>
                <w:szCs w:val="16"/>
                <w:color w:val="3D3935"/>
              </w:rPr>
              <w:t>– Executive Compensation</w:t>
            </w:r>
          </w:p>
        </w:tc>
        <w:tc>
          <w:tcPr>
            <w:tcW w:w="2800" w:type="dxa"/>
            <w:vAlign w:val="bottom"/>
            <w:gridSpan w:val="3"/>
          </w:tcPr>
          <w:p>
            <w:pPr>
              <w:ind w:left="180"/>
              <w:spacing w:after="0"/>
              <w:rPr>
                <w:sz w:val="20"/>
                <w:szCs w:val="20"/>
                <w:color w:val="auto"/>
              </w:rPr>
            </w:pPr>
            <w:r>
              <w:rPr>
                <w:rFonts w:ascii="Arial" w:cs="Arial" w:eastAsia="Arial" w:hAnsi="Arial"/>
                <w:sz w:val="16"/>
                <w:szCs w:val="16"/>
                <w:b w:val="1"/>
                <w:bCs w:val="1"/>
                <w:color w:val="3D3935"/>
              </w:rPr>
              <w:t xml:space="preserve">GC </w:t>
            </w:r>
            <w:r>
              <w:rPr>
                <w:rFonts w:ascii="Arial" w:cs="Arial" w:eastAsia="Arial" w:hAnsi="Arial"/>
                <w:sz w:val="16"/>
                <w:szCs w:val="16"/>
                <w:color w:val="3D3935"/>
              </w:rPr>
              <w:t>– Governance and Corporate</w:t>
            </w:r>
          </w:p>
        </w:tc>
        <w:tc>
          <w:tcPr>
            <w:tcW w:w="1660" w:type="dxa"/>
            <w:vAlign w:val="bottom"/>
          </w:tcPr>
          <w:p>
            <w:pPr>
              <w:ind w:left="60"/>
              <w:spacing w:after="0"/>
              <w:rPr>
                <w:sz w:val="20"/>
                <w:szCs w:val="20"/>
                <w:color w:val="auto"/>
              </w:rPr>
            </w:pPr>
            <w:r>
              <w:rPr>
                <w:rFonts w:ascii="Webdings" w:cs="Webdings" w:eastAsia="Webdings" w:hAnsi="Webdings"/>
                <w:sz w:val="16"/>
                <w:szCs w:val="16"/>
                <w:b w:val="1"/>
                <w:bCs w:val="1"/>
                <w:color w:val="0072CE"/>
              </w:rPr>
              <w:t xml:space="preserve">g </w:t>
            </w:r>
            <w:r>
              <w:rPr>
                <w:rFonts w:ascii="Arial" w:cs="Arial" w:eastAsia="Arial" w:hAnsi="Arial"/>
                <w:sz w:val="16"/>
                <w:szCs w:val="16"/>
                <w:color w:val="3D3935"/>
              </w:rPr>
              <w:t>– Committee Chair</w:t>
            </w:r>
          </w:p>
        </w:tc>
        <w:tc>
          <w:tcPr>
            <w:tcW w:w="140" w:type="dxa"/>
            <w:vAlign w:val="bottom"/>
          </w:tcPr>
          <w:p>
            <w:pPr>
              <w:spacing w:after="0"/>
              <w:rPr>
                <w:sz w:val="24"/>
                <w:szCs w:val="24"/>
                <w:color w:val="auto"/>
              </w:rPr>
            </w:pPr>
          </w:p>
        </w:tc>
        <w:tc>
          <w:tcPr>
            <w:tcW w:w="820" w:type="dxa"/>
            <w:vAlign w:val="bottom"/>
            <w:tcBorders>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CCCCCC"/>
            </w:tcBorders>
          </w:tcPr>
          <w:p>
            <w:pPr>
              <w:spacing w:after="0"/>
              <w:rPr>
                <w:sz w:val="18"/>
                <w:szCs w:val="18"/>
                <w:color w:val="auto"/>
              </w:rPr>
            </w:pPr>
          </w:p>
        </w:tc>
        <w:tc>
          <w:tcPr>
            <w:tcW w:w="2160" w:type="dxa"/>
            <w:vAlign w:val="bottom"/>
          </w:tcPr>
          <w:p>
            <w:pPr>
              <w:ind w:left="60"/>
              <w:spacing w:after="0"/>
              <w:rPr>
                <w:sz w:val="20"/>
                <w:szCs w:val="20"/>
                <w:color w:val="auto"/>
              </w:rPr>
            </w:pPr>
            <w:r>
              <w:rPr>
                <w:rFonts w:ascii="Arial" w:cs="Arial" w:eastAsia="Arial" w:hAnsi="Arial"/>
                <w:sz w:val="16"/>
                <w:szCs w:val="16"/>
                <w:b w:val="1"/>
                <w:bCs w:val="1"/>
                <w:color w:val="3D3935"/>
              </w:rPr>
              <w:t xml:space="preserve">EC </w:t>
            </w:r>
            <w:r>
              <w:rPr>
                <w:rFonts w:ascii="Arial" w:cs="Arial" w:eastAsia="Arial" w:hAnsi="Arial"/>
                <w:sz w:val="16"/>
                <w:szCs w:val="16"/>
                <w:color w:val="3D3935"/>
              </w:rPr>
              <w:t>– Executive Committee</w:t>
            </w:r>
          </w:p>
        </w:tc>
        <w:tc>
          <w:tcPr>
            <w:tcW w:w="2320" w:type="dxa"/>
            <w:vAlign w:val="bottom"/>
            <w:gridSpan w:val="3"/>
          </w:tcPr>
          <w:p>
            <w:pPr>
              <w:ind w:left="440"/>
              <w:spacing w:after="0"/>
              <w:rPr>
                <w:sz w:val="20"/>
                <w:szCs w:val="20"/>
                <w:color w:val="auto"/>
              </w:rPr>
            </w:pPr>
            <w:r>
              <w:rPr>
                <w:rFonts w:ascii="Arial" w:cs="Arial" w:eastAsia="Arial" w:hAnsi="Arial"/>
                <w:sz w:val="16"/>
                <w:szCs w:val="16"/>
                <w:color w:val="3D3935"/>
              </w:rPr>
              <w:t>Committee</w:t>
            </w:r>
          </w:p>
        </w:tc>
        <w:tc>
          <w:tcPr>
            <w:tcW w:w="2800" w:type="dxa"/>
            <w:vAlign w:val="bottom"/>
            <w:gridSpan w:val="3"/>
          </w:tcPr>
          <w:p>
            <w:pPr>
              <w:ind w:left="560"/>
              <w:spacing w:after="0"/>
              <w:rPr>
                <w:sz w:val="20"/>
                <w:szCs w:val="20"/>
                <w:color w:val="auto"/>
              </w:rPr>
            </w:pPr>
            <w:r>
              <w:rPr>
                <w:rFonts w:ascii="Arial" w:cs="Arial" w:eastAsia="Arial" w:hAnsi="Arial"/>
                <w:sz w:val="16"/>
                <w:szCs w:val="16"/>
                <w:color w:val="3D3935"/>
              </w:rPr>
              <w:t>Responsibility Committee</w:t>
            </w:r>
          </w:p>
        </w:tc>
        <w:tc>
          <w:tcPr>
            <w:tcW w:w="1660" w:type="dxa"/>
            <w:vAlign w:val="bottom"/>
          </w:tcPr>
          <w:p>
            <w:pPr>
              <w:ind w:left="60"/>
              <w:spacing w:after="0"/>
              <w:rPr>
                <w:sz w:val="20"/>
                <w:szCs w:val="20"/>
                <w:color w:val="auto"/>
              </w:rPr>
            </w:pPr>
            <w:r>
              <w:rPr>
                <w:rFonts w:ascii="Webdings" w:cs="Webdings" w:eastAsia="Webdings" w:hAnsi="Webdings"/>
                <w:sz w:val="16"/>
                <w:szCs w:val="16"/>
                <w:b w:val="1"/>
                <w:bCs w:val="1"/>
                <w:color w:val="8C56EE"/>
              </w:rPr>
              <w:t xml:space="preserve">g </w:t>
            </w:r>
            <w:r>
              <w:rPr>
                <w:rFonts w:ascii="Arial" w:cs="Arial" w:eastAsia="Arial" w:hAnsi="Arial"/>
                <w:sz w:val="16"/>
                <w:szCs w:val="16"/>
                <w:color w:val="3D3935"/>
              </w:rPr>
              <w:t>– Committee Chair</w:t>
            </w:r>
          </w:p>
        </w:tc>
        <w:tc>
          <w:tcPr>
            <w:tcW w:w="140" w:type="dxa"/>
            <w:vAlign w:val="bottom"/>
          </w:tcPr>
          <w:p>
            <w:pPr>
              <w:spacing w:after="0"/>
              <w:rPr>
                <w:sz w:val="18"/>
                <w:szCs w:val="18"/>
                <w:color w:val="auto"/>
              </w:rPr>
            </w:pPr>
          </w:p>
        </w:tc>
        <w:tc>
          <w:tcPr>
            <w:tcW w:w="820" w:type="dxa"/>
            <w:vAlign w:val="bottom"/>
            <w:tcBorders>
              <w:right w:val="single" w:sz="8" w:color="CCCC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CCCCCC"/>
            </w:tcBorders>
          </w:tcPr>
          <w:p>
            <w:pPr>
              <w:spacing w:after="0"/>
              <w:rPr>
                <w:sz w:val="18"/>
                <w:szCs w:val="18"/>
                <w:color w:val="auto"/>
              </w:rPr>
            </w:pPr>
          </w:p>
        </w:tc>
        <w:tc>
          <w:tcPr>
            <w:tcW w:w="2160" w:type="dxa"/>
            <w:vAlign w:val="bottom"/>
          </w:tcPr>
          <w:p>
            <w:pPr>
              <w:spacing w:after="0"/>
              <w:rPr>
                <w:sz w:val="18"/>
                <w:szCs w:val="18"/>
                <w:color w:val="auto"/>
              </w:rPr>
            </w:pPr>
          </w:p>
        </w:tc>
        <w:tc>
          <w:tcPr>
            <w:tcW w:w="2320" w:type="dxa"/>
            <w:vAlign w:val="bottom"/>
            <w:gridSpan w:val="3"/>
          </w:tcPr>
          <w:p>
            <w:pPr>
              <w:ind w:left="80"/>
              <w:spacing w:after="0"/>
              <w:rPr>
                <w:sz w:val="20"/>
                <w:szCs w:val="20"/>
                <w:color w:val="auto"/>
              </w:rPr>
            </w:pPr>
            <w:r>
              <w:rPr>
                <w:rFonts w:ascii="Arial" w:cs="Arial" w:eastAsia="Arial" w:hAnsi="Arial"/>
                <w:sz w:val="16"/>
                <w:szCs w:val="16"/>
                <w:b w:val="1"/>
                <w:bCs w:val="1"/>
                <w:color w:val="3D3935"/>
              </w:rPr>
              <w:t xml:space="preserve">FC </w:t>
            </w:r>
            <w:r>
              <w:rPr>
                <w:rFonts w:ascii="Arial" w:cs="Arial" w:eastAsia="Arial" w:hAnsi="Arial"/>
                <w:sz w:val="16"/>
                <w:szCs w:val="16"/>
                <w:color w:val="3D3935"/>
              </w:rPr>
              <w:t>– Finance Committee</w:t>
            </w:r>
          </w:p>
        </w:tc>
        <w:tc>
          <w:tcPr>
            <w:tcW w:w="2800" w:type="dxa"/>
            <w:vAlign w:val="bottom"/>
            <w:gridSpan w:val="3"/>
          </w:tcPr>
          <w:p>
            <w:pPr>
              <w:ind w:left="180"/>
              <w:spacing w:after="0"/>
              <w:rPr>
                <w:sz w:val="20"/>
                <w:szCs w:val="20"/>
                <w:color w:val="auto"/>
              </w:rPr>
            </w:pPr>
            <w:r>
              <w:rPr>
                <w:rFonts w:ascii="Arial" w:cs="Arial" w:eastAsia="Arial" w:hAnsi="Arial"/>
                <w:sz w:val="16"/>
                <w:szCs w:val="16"/>
                <w:b w:val="1"/>
                <w:bCs w:val="1"/>
                <w:color w:val="3D3935"/>
              </w:rPr>
              <w:t xml:space="preserve">RC </w:t>
            </w:r>
            <w:r>
              <w:rPr>
                <w:rFonts w:ascii="Arial" w:cs="Arial" w:eastAsia="Arial" w:hAnsi="Arial"/>
                <w:sz w:val="16"/>
                <w:szCs w:val="16"/>
                <w:color w:val="3D3935"/>
              </w:rPr>
              <w:t>– Risk and Cybersecurity</w:t>
            </w:r>
          </w:p>
        </w:tc>
        <w:tc>
          <w:tcPr>
            <w:tcW w:w="1660" w:type="dxa"/>
            <w:vAlign w:val="bottom"/>
          </w:tcPr>
          <w:p>
            <w:pPr>
              <w:ind w:left="380"/>
              <w:spacing w:after="0"/>
              <w:rPr>
                <w:sz w:val="20"/>
                <w:szCs w:val="20"/>
                <w:color w:val="auto"/>
              </w:rPr>
            </w:pPr>
            <w:r>
              <w:rPr>
                <w:rFonts w:ascii="Arial" w:cs="Arial" w:eastAsia="Arial" w:hAnsi="Arial"/>
                <w:sz w:val="16"/>
                <w:szCs w:val="16"/>
                <w:color w:val="3D3935"/>
              </w:rPr>
              <w:t>following Annual</w:t>
            </w:r>
          </w:p>
        </w:tc>
        <w:tc>
          <w:tcPr>
            <w:tcW w:w="140" w:type="dxa"/>
            <w:vAlign w:val="bottom"/>
          </w:tcPr>
          <w:p>
            <w:pPr>
              <w:spacing w:after="0"/>
              <w:rPr>
                <w:sz w:val="18"/>
                <w:szCs w:val="18"/>
                <w:color w:val="auto"/>
              </w:rPr>
            </w:pPr>
          </w:p>
        </w:tc>
        <w:tc>
          <w:tcPr>
            <w:tcW w:w="820" w:type="dxa"/>
            <w:vAlign w:val="bottom"/>
            <w:tcBorders>
              <w:right w:val="single" w:sz="8" w:color="CCCCCC"/>
            </w:tcBorders>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820" w:type="dxa"/>
            <w:vAlign w:val="bottom"/>
            <w:tcBorders>
              <w:left w:val="single" w:sz="8" w:color="CCCCCC"/>
            </w:tcBorders>
          </w:tcPr>
          <w:p>
            <w:pPr>
              <w:spacing w:after="0"/>
              <w:rPr>
                <w:sz w:val="21"/>
                <w:szCs w:val="21"/>
                <w:color w:val="auto"/>
              </w:rPr>
            </w:pPr>
          </w:p>
        </w:tc>
        <w:tc>
          <w:tcPr>
            <w:tcW w:w="2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80" w:type="dxa"/>
            <w:vAlign w:val="bottom"/>
          </w:tcPr>
          <w:p>
            <w:pPr>
              <w:ind w:left="560"/>
              <w:spacing w:after="0"/>
              <w:rPr>
                <w:sz w:val="20"/>
                <w:szCs w:val="20"/>
                <w:color w:val="auto"/>
              </w:rPr>
            </w:pPr>
            <w:r>
              <w:rPr>
                <w:rFonts w:ascii="Arial" w:cs="Arial" w:eastAsia="Arial" w:hAnsi="Arial"/>
                <w:sz w:val="16"/>
                <w:szCs w:val="16"/>
                <w:color w:val="3D3935"/>
              </w:rPr>
              <w:t>Committee</w:t>
            </w: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60" w:type="dxa"/>
            <w:vAlign w:val="bottom"/>
          </w:tcPr>
          <w:p>
            <w:pPr>
              <w:ind w:left="380"/>
              <w:spacing w:after="0"/>
              <w:rPr>
                <w:sz w:val="20"/>
                <w:szCs w:val="20"/>
                <w:color w:val="auto"/>
              </w:rPr>
            </w:pPr>
            <w:r>
              <w:rPr>
                <w:rFonts w:ascii="Arial" w:cs="Arial" w:eastAsia="Arial" w:hAnsi="Arial"/>
                <w:sz w:val="16"/>
                <w:szCs w:val="16"/>
                <w:color w:val="3D3935"/>
              </w:rPr>
              <w:t>Meeting</w:t>
            </w:r>
          </w:p>
        </w:tc>
        <w:tc>
          <w:tcPr>
            <w:tcW w:w="140" w:type="dxa"/>
            <w:vAlign w:val="bottom"/>
          </w:tcPr>
          <w:p>
            <w:pPr>
              <w:spacing w:after="0"/>
              <w:rPr>
                <w:sz w:val="21"/>
                <w:szCs w:val="21"/>
                <w:color w:val="auto"/>
              </w:rPr>
            </w:pPr>
          </w:p>
        </w:tc>
        <w:tc>
          <w:tcPr>
            <w:tcW w:w="820" w:type="dxa"/>
            <w:vAlign w:val="bottom"/>
            <w:tcBorders>
              <w:right w:val="single" w:sz="8" w:color="CCCCCC"/>
            </w:tcBorders>
          </w:tcPr>
          <w:p>
            <w:pPr>
              <w:spacing w:after="0"/>
              <w:rPr>
                <w:sz w:val="21"/>
                <w:szCs w:val="21"/>
                <w:color w:val="auto"/>
              </w:rPr>
            </w:pPr>
          </w:p>
        </w:tc>
        <w:tc>
          <w:tcPr>
            <w:tcW w:w="0" w:type="dxa"/>
            <w:vAlign w:val="bottom"/>
          </w:tcPr>
          <w:p>
            <w:pPr>
              <w:spacing w:after="0"/>
              <w:rPr>
                <w:sz w:val="1"/>
                <w:szCs w:val="1"/>
                <w:color w:val="auto"/>
              </w:rPr>
            </w:pPr>
          </w:p>
        </w:tc>
      </w:tr>
      <w:tr>
        <w:trPr>
          <w:trHeight w:val="715"/>
        </w:trPr>
        <w:tc>
          <w:tcPr>
            <w:tcW w:w="820" w:type="dxa"/>
            <w:vAlign w:val="bottom"/>
            <w:tcBorders>
              <w:left w:val="single" w:sz="8" w:color="CCCCCC"/>
            </w:tcBorders>
          </w:tcPr>
          <w:p>
            <w:pPr>
              <w:spacing w:after="0"/>
              <w:rPr>
                <w:sz w:val="24"/>
                <w:szCs w:val="24"/>
                <w:color w:val="auto"/>
              </w:rPr>
            </w:pPr>
          </w:p>
        </w:tc>
        <w:tc>
          <w:tcPr>
            <w:tcW w:w="2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20" w:type="dxa"/>
            <w:vAlign w:val="bottom"/>
            <w:gridSpan w:val="2"/>
          </w:tcPr>
          <w:p>
            <w:pPr>
              <w:ind w:left="680"/>
              <w:spacing w:after="0"/>
              <w:rPr>
                <w:sz w:val="20"/>
                <w:szCs w:val="20"/>
                <w:color w:val="auto"/>
              </w:rPr>
            </w:pPr>
            <w:r>
              <w:rPr>
                <w:rFonts w:ascii="Arial" w:cs="Arial" w:eastAsia="Arial" w:hAnsi="Arial"/>
                <w:sz w:val="14"/>
                <w:szCs w:val="14"/>
                <w:b w:val="1"/>
                <w:bCs w:val="1"/>
                <w:color w:val="0072CE"/>
              </w:rPr>
              <w:t>2025 Proxy Statement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3D3935"/>
                <w:w w:val="76"/>
              </w:rPr>
              <w:t>3</w:t>
            </w:r>
          </w:p>
        </w:tc>
        <w:tc>
          <w:tcPr>
            <w:tcW w:w="820" w:type="dxa"/>
            <w:vAlign w:val="bottom"/>
            <w:tcBorders>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820" w:type="dxa"/>
            <w:vAlign w:val="bottom"/>
            <w:tcBorders>
              <w:left w:val="single" w:sz="8" w:color="CCCCCC"/>
              <w:bottom w:val="single" w:sz="8" w:color="CCCCCC"/>
            </w:tcBorders>
          </w:tcPr>
          <w:p>
            <w:pPr>
              <w:spacing w:after="0"/>
              <w:rPr>
                <w:sz w:val="24"/>
                <w:szCs w:val="24"/>
                <w:color w:val="auto"/>
              </w:rPr>
            </w:pPr>
          </w:p>
        </w:tc>
        <w:tc>
          <w:tcPr>
            <w:tcW w:w="2160" w:type="dxa"/>
            <w:vAlign w:val="bottom"/>
            <w:tcBorders>
              <w:bottom w:val="single" w:sz="8" w:color="CCCCCC"/>
            </w:tcBorders>
          </w:tcPr>
          <w:p>
            <w:pPr>
              <w:spacing w:after="0"/>
              <w:rPr>
                <w:sz w:val="24"/>
                <w:szCs w:val="24"/>
                <w:color w:val="auto"/>
              </w:rPr>
            </w:pPr>
          </w:p>
        </w:tc>
        <w:tc>
          <w:tcPr>
            <w:tcW w:w="640" w:type="dxa"/>
            <w:vAlign w:val="bottom"/>
            <w:tcBorders>
              <w:bottom w:val="single" w:sz="8" w:color="CCCCCC"/>
            </w:tcBorders>
          </w:tcPr>
          <w:p>
            <w:pPr>
              <w:spacing w:after="0"/>
              <w:rPr>
                <w:sz w:val="24"/>
                <w:szCs w:val="24"/>
                <w:color w:val="auto"/>
              </w:rPr>
            </w:pPr>
          </w:p>
        </w:tc>
        <w:tc>
          <w:tcPr>
            <w:tcW w:w="360" w:type="dxa"/>
            <w:vAlign w:val="bottom"/>
            <w:tcBorders>
              <w:bottom w:val="single" w:sz="8" w:color="CCCCCC"/>
            </w:tcBorders>
          </w:tcPr>
          <w:p>
            <w:pPr>
              <w:spacing w:after="0"/>
              <w:rPr>
                <w:sz w:val="24"/>
                <w:szCs w:val="24"/>
                <w:color w:val="auto"/>
              </w:rPr>
            </w:pPr>
          </w:p>
        </w:tc>
        <w:tc>
          <w:tcPr>
            <w:tcW w:w="1320" w:type="dxa"/>
            <w:vAlign w:val="bottom"/>
            <w:tcBorders>
              <w:bottom w:val="single" w:sz="8" w:color="CCCCCC"/>
            </w:tcBorders>
          </w:tcPr>
          <w:p>
            <w:pPr>
              <w:spacing w:after="0"/>
              <w:rPr>
                <w:sz w:val="24"/>
                <w:szCs w:val="24"/>
                <w:color w:val="auto"/>
              </w:rPr>
            </w:pPr>
          </w:p>
        </w:tc>
        <w:tc>
          <w:tcPr>
            <w:tcW w:w="1480" w:type="dxa"/>
            <w:vAlign w:val="bottom"/>
            <w:tcBorders>
              <w:bottom w:val="single" w:sz="8" w:color="CCCCCC"/>
            </w:tcBorders>
          </w:tcPr>
          <w:p>
            <w:pPr>
              <w:spacing w:after="0"/>
              <w:rPr>
                <w:sz w:val="24"/>
                <w:szCs w:val="24"/>
                <w:color w:val="auto"/>
              </w:rPr>
            </w:pPr>
          </w:p>
        </w:tc>
        <w:tc>
          <w:tcPr>
            <w:tcW w:w="360" w:type="dxa"/>
            <w:vAlign w:val="bottom"/>
            <w:tcBorders>
              <w:bottom w:val="single" w:sz="8" w:color="CCCCCC"/>
            </w:tcBorders>
          </w:tcPr>
          <w:p>
            <w:pPr>
              <w:spacing w:after="0"/>
              <w:rPr>
                <w:sz w:val="24"/>
                <w:szCs w:val="24"/>
                <w:color w:val="auto"/>
              </w:rPr>
            </w:pPr>
          </w:p>
        </w:tc>
        <w:tc>
          <w:tcPr>
            <w:tcW w:w="960" w:type="dxa"/>
            <w:vAlign w:val="bottom"/>
            <w:tcBorders>
              <w:bottom w:val="single" w:sz="8" w:color="CCCCCC"/>
            </w:tcBorders>
          </w:tcPr>
          <w:p>
            <w:pPr>
              <w:spacing w:after="0"/>
              <w:rPr>
                <w:sz w:val="24"/>
                <w:szCs w:val="24"/>
                <w:color w:val="auto"/>
              </w:rPr>
            </w:pPr>
          </w:p>
        </w:tc>
        <w:tc>
          <w:tcPr>
            <w:tcW w:w="1660" w:type="dxa"/>
            <w:vAlign w:val="bottom"/>
            <w:tcBorders>
              <w:bottom w:val="single" w:sz="8" w:color="CCCCCC"/>
            </w:tcBorders>
          </w:tcPr>
          <w:p>
            <w:pPr>
              <w:spacing w:after="0"/>
              <w:rPr>
                <w:sz w:val="24"/>
                <w:szCs w:val="24"/>
                <w:color w:val="auto"/>
              </w:rPr>
            </w:pPr>
          </w:p>
        </w:tc>
        <w:tc>
          <w:tcPr>
            <w:tcW w:w="140" w:type="dxa"/>
            <w:vAlign w:val="bottom"/>
            <w:tcBorders>
              <w:bottom w:val="single" w:sz="8" w:color="CCCCCC"/>
            </w:tcBorders>
          </w:tcPr>
          <w:p>
            <w:pPr>
              <w:spacing w:after="0"/>
              <w:rPr>
                <w:sz w:val="24"/>
                <w:szCs w:val="24"/>
                <w:color w:val="auto"/>
              </w:rPr>
            </w:pPr>
          </w:p>
        </w:tc>
        <w:tc>
          <w:tcPr>
            <w:tcW w:w="820" w:type="dxa"/>
            <w:vAlign w:val="bottom"/>
            <w:tcBorders>
              <w:bottom w:val="single" w:sz="8" w:color="CCCCCC"/>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-4279265</wp:posOffset>
            </wp:positionV>
            <wp:extent cx="5760720" cy="660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60720" cy="660400"/>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-2693035</wp:posOffset>
            </wp:positionV>
            <wp:extent cx="3497580" cy="660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97580" cy="6604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81915</wp:posOffset>
            </wp:positionV>
            <wp:extent cx="6810375" cy="51511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10375" cy="515112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0072CE"/>
        </w:rPr>
        <w:t>Proxy Summary</w:t>
      </w:r>
    </w:p>
    <w:p>
      <w:pPr>
        <w:spacing w:after="0" w:line="200" w:lineRule="exact"/>
        <w:rPr>
          <w:sz w:val="20"/>
          <w:szCs w:val="20"/>
          <w:color w:val="auto"/>
        </w:rPr>
      </w:pPr>
    </w:p>
    <w:p>
      <w:pPr>
        <w:spacing w:after="0" w:line="343" w:lineRule="exact"/>
        <w:rPr>
          <w:sz w:val="20"/>
          <w:szCs w:val="20"/>
          <w:color w:val="auto"/>
        </w:rPr>
      </w:pPr>
    </w:p>
    <w:p>
      <w:pPr>
        <w:ind w:left="820"/>
        <w:spacing w:after="0"/>
        <w:rPr>
          <w:sz w:val="20"/>
          <w:szCs w:val="20"/>
          <w:color w:val="auto"/>
        </w:rPr>
      </w:pPr>
      <w:r>
        <w:rPr>
          <w:rFonts w:ascii="Arial" w:cs="Arial" w:eastAsia="Arial" w:hAnsi="Arial"/>
          <w:sz w:val="40"/>
          <w:szCs w:val="40"/>
          <w:b w:val="1"/>
          <w:bCs w:val="1"/>
          <w:color w:val="0072CE"/>
        </w:rPr>
        <w:t>Stewardship Engagement Process and Actions</w:t>
      </w:r>
    </w:p>
    <w:p>
      <w:pPr>
        <w:spacing w:after="0" w:line="127" w:lineRule="exact"/>
        <w:rPr>
          <w:sz w:val="20"/>
          <w:szCs w:val="20"/>
          <w:color w:val="auto"/>
        </w:rPr>
      </w:pPr>
    </w:p>
    <w:p>
      <w:pPr>
        <w:jc w:val="both"/>
        <w:ind w:left="820" w:right="1060"/>
        <w:spacing w:after="0" w:line="292" w:lineRule="auto"/>
        <w:rPr>
          <w:sz w:val="20"/>
          <w:szCs w:val="20"/>
          <w:color w:val="auto"/>
        </w:rPr>
      </w:pPr>
      <w:r>
        <w:rPr>
          <w:rFonts w:ascii="Arial" w:cs="Arial" w:eastAsia="Arial" w:hAnsi="Arial"/>
          <w:sz w:val="16"/>
          <w:szCs w:val="16"/>
          <w:color w:val="3D3935"/>
        </w:rPr>
        <w:t>The Company’s extensive stewardship outreach program has frequent and recurring touch points with institutional investors and other stakeholders to help gain feedback on a variety of topics. Below is a summary of our process and the actions we have taken in response to feedback.</w:t>
      </w:r>
    </w:p>
    <w:p>
      <w:pPr>
        <w:sectPr>
          <w:pgSz w:w="11900" w:h="16867" w:orient="portrait"/>
          <w:cols w:equalWidth="0" w:num="1">
            <w:col w:w="10720"/>
          </w:cols>
          <w:pgMar w:left="580" w:top="140" w:right="599" w:bottom="0" w:gutter="0" w:footer="0" w:header="0"/>
        </w:sectPr>
      </w:pPr>
    </w:p>
    <w:p>
      <w:pPr>
        <w:spacing w:after="0" w:line="336" w:lineRule="exact"/>
        <w:rPr>
          <w:sz w:val="20"/>
          <w:szCs w:val="20"/>
          <w:color w:val="auto"/>
        </w:rPr>
      </w:pPr>
    </w:p>
    <w:p>
      <w:pPr>
        <w:jc w:val="center"/>
        <w:ind w:left="780"/>
        <w:spacing w:after="0"/>
        <w:rPr>
          <w:sz w:val="20"/>
          <w:szCs w:val="20"/>
          <w:color w:val="auto"/>
        </w:rPr>
      </w:pPr>
      <w:r>
        <w:rPr>
          <w:rFonts w:ascii="Arial" w:cs="Arial" w:eastAsia="Arial" w:hAnsi="Arial"/>
          <w:sz w:val="28"/>
          <w:szCs w:val="28"/>
          <w:color w:val="3D3935"/>
        </w:rPr>
        <w:t>Conducted over</w:t>
      </w:r>
    </w:p>
    <w:p>
      <w:pPr>
        <w:spacing w:after="0" w:line="30" w:lineRule="exact"/>
        <w:rPr>
          <w:sz w:val="20"/>
          <w:szCs w:val="20"/>
          <w:color w:val="auto"/>
        </w:rPr>
      </w:pPr>
    </w:p>
    <w:p>
      <w:pPr>
        <w:ind w:left="1060" w:right="340" w:firstLine="10"/>
        <w:spacing w:after="0" w:line="247" w:lineRule="auto"/>
        <w:tabs>
          <w:tab w:leader="none" w:pos="1496" w:val="left"/>
        </w:tabs>
        <w:numPr>
          <w:ilvl w:val="0"/>
          <w:numId w:val="13"/>
        </w:numPr>
        <w:rPr>
          <w:rFonts w:ascii="Arial" w:cs="Arial" w:eastAsia="Arial" w:hAnsi="Arial"/>
          <w:sz w:val="28"/>
          <w:szCs w:val="28"/>
          <w:b w:val="1"/>
          <w:bCs w:val="1"/>
          <w:color w:val="3D3935"/>
        </w:rPr>
      </w:pPr>
      <w:r>
        <w:rPr>
          <w:rFonts w:ascii="Arial" w:cs="Arial" w:eastAsia="Arial" w:hAnsi="Arial"/>
          <w:sz w:val="28"/>
          <w:szCs w:val="28"/>
          <w:color w:val="3D3935"/>
        </w:rPr>
        <w:t>stewardship engagements since 2024</w:t>
      </w:r>
    </w:p>
    <w:p>
      <w:pPr>
        <w:spacing w:after="0" w:line="184"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0072CE"/>
        </w:rPr>
        <w:t>Who Participated</w:t>
      </w:r>
    </w:p>
    <w:p>
      <w:pPr>
        <w:spacing w:after="0" w:line="86" w:lineRule="exact"/>
        <w:rPr>
          <w:sz w:val="20"/>
          <w:szCs w:val="20"/>
          <w:color w:val="auto"/>
        </w:rPr>
      </w:pPr>
    </w:p>
    <w:p>
      <w:pPr>
        <w:ind w:left="1260" w:right="120" w:hanging="190"/>
        <w:spacing w:after="0" w:line="291" w:lineRule="auto"/>
        <w:tabs>
          <w:tab w:leader="none" w:pos="1260" w:val="left"/>
        </w:tabs>
        <w:numPr>
          <w:ilvl w:val="0"/>
          <w:numId w:val="14"/>
        </w:numPr>
        <w:rPr>
          <w:rFonts w:ascii="Arial" w:cs="Arial" w:eastAsia="Arial" w:hAnsi="Arial"/>
          <w:sz w:val="16"/>
          <w:szCs w:val="16"/>
          <w:color w:val="0072CE"/>
        </w:rPr>
      </w:pPr>
      <w:r>
        <w:rPr>
          <w:rFonts w:ascii="Arial" w:cs="Arial" w:eastAsia="Arial" w:hAnsi="Arial"/>
          <w:sz w:val="16"/>
          <w:szCs w:val="16"/>
          <w:color w:val="3D3935"/>
        </w:rPr>
        <w:t>Members of the Board, including the Independent Lead Director and the Chair of the Executive Compensation Committee</w:t>
      </w:r>
    </w:p>
    <w:p>
      <w:pPr>
        <w:spacing w:after="0" w:line="18" w:lineRule="exact"/>
        <w:rPr>
          <w:rFonts w:ascii="Arial" w:cs="Arial" w:eastAsia="Arial" w:hAnsi="Arial"/>
          <w:sz w:val="16"/>
          <w:szCs w:val="16"/>
          <w:color w:val="0072CE"/>
        </w:rPr>
      </w:pPr>
    </w:p>
    <w:p>
      <w:pPr>
        <w:ind w:left="1260" w:right="80" w:hanging="190"/>
        <w:spacing w:after="0" w:line="286" w:lineRule="auto"/>
        <w:tabs>
          <w:tab w:leader="none" w:pos="1260" w:val="left"/>
        </w:tabs>
        <w:numPr>
          <w:ilvl w:val="0"/>
          <w:numId w:val="14"/>
        </w:numPr>
        <w:rPr>
          <w:rFonts w:ascii="Arial" w:cs="Arial" w:eastAsia="Arial" w:hAnsi="Arial"/>
          <w:sz w:val="16"/>
          <w:szCs w:val="16"/>
          <w:color w:val="0072CE"/>
        </w:rPr>
      </w:pPr>
      <w:r>
        <w:rPr>
          <w:rFonts w:ascii="Arial" w:cs="Arial" w:eastAsia="Arial" w:hAnsi="Arial"/>
          <w:sz w:val="16"/>
          <w:szCs w:val="16"/>
          <w:color w:val="3D3935"/>
        </w:rPr>
        <w:t>Members of management, including over 10 executives and other senior subject matters experts from the Corporate Governance, Human Resources, Legal, Labor, Investor Relations, Supply Chain, and Sustainability organizations</w:t>
      </w:r>
    </w:p>
    <w:p>
      <w:pPr>
        <w:spacing w:after="0" w:line="187"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0072CE"/>
        </w:rPr>
        <w:t>Who We Engaged</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260"/>
        <w:spacing w:after="0"/>
        <w:rPr>
          <w:sz w:val="20"/>
          <w:szCs w:val="20"/>
          <w:color w:val="auto"/>
        </w:rPr>
      </w:pPr>
      <w:r>
        <w:rPr>
          <w:rFonts w:ascii="Arial" w:cs="Arial" w:eastAsia="Arial" w:hAnsi="Arial"/>
          <w:sz w:val="25"/>
          <w:szCs w:val="25"/>
          <w:b w:val="1"/>
          <w:bCs w:val="1"/>
          <w:color w:val="0072CE"/>
        </w:rPr>
        <w:t>GM’s Commitment to Listen and Evolve</w:t>
      </w:r>
    </w:p>
    <w:p>
      <w:pPr>
        <w:spacing w:after="0" w:line="82" w:lineRule="exact"/>
        <w:rPr>
          <w:sz w:val="20"/>
          <w:szCs w:val="20"/>
          <w:color w:val="auto"/>
        </w:rPr>
      </w:pPr>
    </w:p>
    <w:tbl>
      <w:tblPr>
        <w:tblLayout w:type="fixed"/>
        <w:tblInd w:w="10" w:type="dxa"/>
        <w:tblCellMar>
          <w:top w:w="0" w:type="dxa"/>
          <w:left w:w="0" w:type="dxa"/>
          <w:bottom w:w="0" w:type="dxa"/>
          <w:right w:w="0" w:type="dxa"/>
        </w:tblCellMar>
      </w:tblPr>
      <w:tr>
        <w:trPr>
          <w:trHeight w:val="440"/>
        </w:trPr>
        <w:tc>
          <w:tcPr>
            <w:tcW w:w="1840" w:type="dxa"/>
            <w:vAlign w:val="bottom"/>
            <w:tcBorders>
              <w:top w:val="single" w:sz="8" w:color="0072CE"/>
              <w:left w:val="single" w:sz="8" w:color="0072CE"/>
            </w:tcBorders>
          </w:tcPr>
          <w:p>
            <w:pPr>
              <w:ind w:left="300"/>
              <w:spacing w:after="0"/>
              <w:rPr>
                <w:sz w:val="20"/>
                <w:szCs w:val="20"/>
                <w:color w:val="auto"/>
              </w:rPr>
            </w:pPr>
            <w:r>
              <w:rPr>
                <w:rFonts w:ascii="Arial" w:cs="Arial" w:eastAsia="Arial" w:hAnsi="Arial"/>
                <w:sz w:val="18"/>
                <w:szCs w:val="18"/>
                <w:b w:val="1"/>
                <w:bCs w:val="1"/>
                <w:color w:val="0072CE"/>
              </w:rPr>
              <w:t>Engaging with</w:t>
            </w:r>
          </w:p>
        </w:tc>
        <w:tc>
          <w:tcPr>
            <w:tcW w:w="1640" w:type="dxa"/>
            <w:vAlign w:val="bottom"/>
            <w:tcBorders>
              <w:top w:val="single" w:sz="8" w:color="0072CE"/>
            </w:tcBorders>
          </w:tcPr>
          <w:p>
            <w:pPr>
              <w:ind w:left="200"/>
              <w:spacing w:after="0"/>
              <w:rPr>
                <w:sz w:val="20"/>
                <w:szCs w:val="20"/>
                <w:color w:val="auto"/>
              </w:rPr>
            </w:pPr>
            <w:r>
              <w:rPr>
                <w:rFonts w:ascii="Arial" w:cs="Arial" w:eastAsia="Arial" w:hAnsi="Arial"/>
                <w:sz w:val="18"/>
                <w:szCs w:val="18"/>
                <w:b w:val="1"/>
                <w:bCs w:val="1"/>
                <w:color w:val="0072CE"/>
              </w:rPr>
              <w:t>Robust</w:t>
            </w:r>
          </w:p>
        </w:tc>
        <w:tc>
          <w:tcPr>
            <w:tcW w:w="2120" w:type="dxa"/>
            <w:vAlign w:val="bottom"/>
            <w:tcBorders>
              <w:top w:val="single" w:sz="8" w:color="0072CE"/>
              <w:right w:val="single" w:sz="8" w:color="0072CE"/>
            </w:tcBorders>
          </w:tcPr>
          <w:p>
            <w:pPr>
              <w:ind w:left="240"/>
              <w:spacing w:after="0"/>
              <w:rPr>
                <w:sz w:val="20"/>
                <w:szCs w:val="20"/>
                <w:color w:val="auto"/>
              </w:rPr>
            </w:pPr>
            <w:r>
              <w:rPr>
                <w:rFonts w:ascii="Arial" w:cs="Arial" w:eastAsia="Arial" w:hAnsi="Arial"/>
                <w:sz w:val="18"/>
                <w:szCs w:val="18"/>
                <w:b w:val="1"/>
                <w:bCs w:val="1"/>
                <w:color w:val="0072CE"/>
              </w:rPr>
              <w:t>Enhancing</w:t>
            </w:r>
          </w:p>
        </w:tc>
      </w:tr>
      <w:tr>
        <w:trPr>
          <w:trHeight w:val="247"/>
        </w:trPr>
        <w:tc>
          <w:tcPr>
            <w:tcW w:w="1840" w:type="dxa"/>
            <w:vAlign w:val="bottom"/>
            <w:tcBorders>
              <w:left w:val="single" w:sz="8" w:color="0072CE"/>
            </w:tcBorders>
          </w:tcPr>
          <w:p>
            <w:pPr>
              <w:ind w:left="300"/>
              <w:spacing w:after="0"/>
              <w:rPr>
                <w:sz w:val="20"/>
                <w:szCs w:val="20"/>
                <w:color w:val="auto"/>
              </w:rPr>
            </w:pPr>
            <w:r>
              <w:rPr>
                <w:rFonts w:ascii="Arial" w:cs="Arial" w:eastAsia="Arial" w:hAnsi="Arial"/>
                <w:sz w:val="18"/>
                <w:szCs w:val="18"/>
                <w:b w:val="1"/>
                <w:bCs w:val="1"/>
                <w:color w:val="0072CE"/>
              </w:rPr>
              <w:t>Investors</w:t>
            </w:r>
          </w:p>
        </w:tc>
        <w:tc>
          <w:tcPr>
            <w:tcW w:w="1640" w:type="dxa"/>
            <w:vAlign w:val="bottom"/>
          </w:tcPr>
          <w:p>
            <w:pPr>
              <w:ind w:left="200"/>
              <w:spacing w:after="0"/>
              <w:rPr>
                <w:sz w:val="20"/>
                <w:szCs w:val="20"/>
                <w:color w:val="auto"/>
              </w:rPr>
            </w:pPr>
            <w:r>
              <w:rPr>
                <w:rFonts w:ascii="Arial" w:cs="Arial" w:eastAsia="Arial" w:hAnsi="Arial"/>
                <w:sz w:val="18"/>
                <w:szCs w:val="18"/>
                <w:b w:val="1"/>
                <w:bCs w:val="1"/>
                <w:color w:val="0072CE"/>
              </w:rPr>
              <w:t>Discussions</w:t>
            </w:r>
          </w:p>
        </w:tc>
        <w:tc>
          <w:tcPr>
            <w:tcW w:w="2120" w:type="dxa"/>
            <w:vAlign w:val="bottom"/>
            <w:tcBorders>
              <w:right w:val="single" w:sz="8" w:color="0072CE"/>
            </w:tcBorders>
          </w:tcPr>
          <w:p>
            <w:pPr>
              <w:ind w:left="240"/>
              <w:spacing w:after="0"/>
              <w:rPr>
                <w:sz w:val="20"/>
                <w:szCs w:val="20"/>
                <w:color w:val="auto"/>
              </w:rPr>
            </w:pPr>
            <w:r>
              <w:rPr>
                <w:rFonts w:ascii="Arial" w:cs="Arial" w:eastAsia="Arial" w:hAnsi="Arial"/>
                <w:sz w:val="18"/>
                <w:szCs w:val="18"/>
                <w:b w:val="1"/>
                <w:bCs w:val="1"/>
                <w:color w:val="0072CE"/>
              </w:rPr>
              <w:t>Practices</w:t>
            </w:r>
          </w:p>
        </w:tc>
      </w:tr>
      <w:tr>
        <w:trPr>
          <w:trHeight w:val="270"/>
        </w:trPr>
        <w:tc>
          <w:tcPr>
            <w:tcW w:w="1840" w:type="dxa"/>
            <w:vAlign w:val="bottom"/>
            <w:tcBorders>
              <w:left w:val="single" w:sz="8" w:color="0072CE"/>
            </w:tcBorders>
          </w:tcPr>
          <w:p>
            <w:pPr>
              <w:ind w:left="300"/>
              <w:spacing w:after="0"/>
              <w:rPr>
                <w:sz w:val="20"/>
                <w:szCs w:val="20"/>
                <w:color w:val="auto"/>
              </w:rPr>
            </w:pPr>
            <w:r>
              <w:rPr>
                <w:rFonts w:ascii="Arial" w:cs="Arial" w:eastAsia="Arial" w:hAnsi="Arial"/>
                <w:sz w:val="16"/>
                <w:szCs w:val="16"/>
                <w:color w:val="3D3935"/>
              </w:rPr>
              <w:t>The Company</w:t>
            </w:r>
          </w:p>
        </w:tc>
        <w:tc>
          <w:tcPr>
            <w:tcW w:w="1640" w:type="dxa"/>
            <w:vAlign w:val="bottom"/>
          </w:tcPr>
          <w:p>
            <w:pPr>
              <w:ind w:left="200"/>
              <w:spacing w:after="0"/>
              <w:rPr>
                <w:sz w:val="20"/>
                <w:szCs w:val="20"/>
                <w:color w:val="auto"/>
              </w:rPr>
            </w:pPr>
            <w:r>
              <w:rPr>
                <w:rFonts w:ascii="Arial" w:cs="Arial" w:eastAsia="Arial" w:hAnsi="Arial"/>
                <w:sz w:val="16"/>
                <w:szCs w:val="16"/>
                <w:color w:val="3D3935"/>
              </w:rPr>
              <w:t>We intentionally</w:t>
            </w:r>
          </w:p>
        </w:tc>
        <w:tc>
          <w:tcPr>
            <w:tcW w:w="2120" w:type="dxa"/>
            <w:vAlign w:val="bottom"/>
            <w:tcBorders>
              <w:right w:val="single" w:sz="8" w:color="0072CE"/>
            </w:tcBorders>
          </w:tcPr>
          <w:p>
            <w:pPr>
              <w:ind w:left="240"/>
              <w:spacing w:after="0"/>
              <w:rPr>
                <w:sz w:val="20"/>
                <w:szCs w:val="20"/>
                <w:color w:val="auto"/>
              </w:rPr>
            </w:pPr>
            <w:r>
              <w:rPr>
                <w:rFonts w:ascii="Arial" w:cs="Arial" w:eastAsia="Arial" w:hAnsi="Arial"/>
                <w:sz w:val="16"/>
                <w:szCs w:val="16"/>
                <w:color w:val="3D3935"/>
              </w:rPr>
              <w:t>The constructive</w:t>
            </w:r>
          </w:p>
        </w:tc>
      </w:tr>
      <w:tr>
        <w:trPr>
          <w:trHeight w:val="258"/>
        </w:trPr>
        <w:tc>
          <w:tcPr>
            <w:tcW w:w="1840" w:type="dxa"/>
            <w:vAlign w:val="bottom"/>
            <w:tcBorders>
              <w:left w:val="single" w:sz="8" w:color="0072CE"/>
            </w:tcBorders>
          </w:tcPr>
          <w:p>
            <w:pPr>
              <w:ind w:left="300"/>
              <w:spacing w:after="0"/>
              <w:rPr>
                <w:sz w:val="20"/>
                <w:szCs w:val="20"/>
                <w:color w:val="auto"/>
              </w:rPr>
            </w:pPr>
            <w:r>
              <w:rPr>
                <w:rFonts w:ascii="Arial" w:cs="Arial" w:eastAsia="Arial" w:hAnsi="Arial"/>
                <w:sz w:val="16"/>
                <w:szCs w:val="16"/>
                <w:color w:val="3D3935"/>
              </w:rPr>
              <w:t>conducts outreach</w:t>
            </w:r>
          </w:p>
        </w:tc>
        <w:tc>
          <w:tcPr>
            <w:tcW w:w="1640" w:type="dxa"/>
            <w:vAlign w:val="bottom"/>
          </w:tcPr>
          <w:p>
            <w:pPr>
              <w:ind w:left="200"/>
              <w:spacing w:after="0"/>
              <w:rPr>
                <w:sz w:val="20"/>
                <w:szCs w:val="20"/>
                <w:color w:val="auto"/>
              </w:rPr>
            </w:pPr>
            <w:r>
              <w:rPr>
                <w:rFonts w:ascii="Arial" w:cs="Arial" w:eastAsia="Arial" w:hAnsi="Arial"/>
                <w:sz w:val="16"/>
                <w:szCs w:val="16"/>
                <w:color w:val="3D3935"/>
              </w:rPr>
              <w:t>seek input</w:t>
            </w:r>
          </w:p>
        </w:tc>
        <w:tc>
          <w:tcPr>
            <w:tcW w:w="2120" w:type="dxa"/>
            <w:vAlign w:val="bottom"/>
            <w:tcBorders>
              <w:right w:val="single" w:sz="8" w:color="0072CE"/>
            </w:tcBorders>
          </w:tcPr>
          <w:p>
            <w:pPr>
              <w:ind w:left="240"/>
              <w:spacing w:after="0"/>
              <w:rPr>
                <w:sz w:val="20"/>
                <w:szCs w:val="20"/>
                <w:color w:val="auto"/>
              </w:rPr>
            </w:pPr>
            <w:r>
              <w:rPr>
                <w:rFonts w:ascii="Arial" w:cs="Arial" w:eastAsia="Arial" w:hAnsi="Arial"/>
                <w:sz w:val="16"/>
                <w:szCs w:val="16"/>
                <w:color w:val="3D3935"/>
              </w:rPr>
              <w:t>insights,</w:t>
            </w:r>
          </w:p>
        </w:tc>
      </w:tr>
      <w:tr>
        <w:trPr>
          <w:trHeight w:val="174"/>
        </w:trPr>
        <w:tc>
          <w:tcPr>
            <w:tcW w:w="1840" w:type="dxa"/>
            <w:vAlign w:val="bottom"/>
          </w:tcPr>
          <w:p>
            <w:pPr>
              <w:ind w:left="300"/>
              <w:spacing w:after="0" w:line="174" w:lineRule="exact"/>
              <w:rPr>
                <w:sz w:val="20"/>
                <w:szCs w:val="20"/>
                <w:color w:val="auto"/>
              </w:rPr>
            </w:pPr>
            <w:r>
              <w:rPr>
                <w:rFonts w:ascii="Arial" w:cs="Arial" w:eastAsia="Arial" w:hAnsi="Arial"/>
                <w:sz w:val="16"/>
                <w:szCs w:val="16"/>
                <w:color w:val="3D3935"/>
              </w:rPr>
              <w:t>throughout the</w:t>
            </w:r>
          </w:p>
        </w:tc>
        <w:tc>
          <w:tcPr>
            <w:tcW w:w="1640" w:type="dxa"/>
            <w:vAlign w:val="bottom"/>
          </w:tcPr>
          <w:p>
            <w:pPr>
              <w:ind w:left="200"/>
              <w:spacing w:after="0" w:line="174" w:lineRule="exact"/>
              <w:rPr>
                <w:sz w:val="20"/>
                <w:szCs w:val="20"/>
                <w:color w:val="auto"/>
              </w:rPr>
            </w:pPr>
            <w:r>
              <w:rPr>
                <w:rFonts w:ascii="Arial" w:cs="Arial" w:eastAsia="Arial" w:hAnsi="Arial"/>
                <w:sz w:val="16"/>
                <w:szCs w:val="16"/>
                <w:color w:val="3D3935"/>
              </w:rPr>
              <w:t>from different</w:t>
            </w:r>
          </w:p>
        </w:tc>
        <w:tc>
          <w:tcPr>
            <w:tcW w:w="2120" w:type="dxa"/>
            <w:vAlign w:val="bottom"/>
          </w:tcPr>
          <w:p>
            <w:pPr>
              <w:ind w:left="240"/>
              <w:spacing w:after="0" w:line="174" w:lineRule="exact"/>
              <w:rPr>
                <w:sz w:val="20"/>
                <w:szCs w:val="20"/>
                <w:color w:val="auto"/>
              </w:rPr>
            </w:pPr>
            <w:r>
              <w:rPr>
                <w:rFonts w:ascii="Arial" w:cs="Arial" w:eastAsia="Arial" w:hAnsi="Arial"/>
                <w:sz w:val="16"/>
                <w:szCs w:val="16"/>
                <w:color w:val="3D3935"/>
              </w:rPr>
              <w:t>experiences, and</w:t>
            </w:r>
          </w:p>
        </w:tc>
      </w:tr>
      <w:tr>
        <w:trPr>
          <w:trHeight w:val="216"/>
        </w:trPr>
        <w:tc>
          <w:tcPr>
            <w:tcW w:w="1840" w:type="dxa"/>
            <w:vAlign w:val="bottom"/>
          </w:tcPr>
          <w:p>
            <w:pPr>
              <w:ind w:left="300"/>
              <w:spacing w:after="0"/>
              <w:rPr>
                <w:sz w:val="20"/>
                <w:szCs w:val="20"/>
                <w:color w:val="auto"/>
              </w:rPr>
            </w:pPr>
            <w:r>
              <w:rPr>
                <w:rFonts w:ascii="Arial" w:cs="Arial" w:eastAsia="Arial" w:hAnsi="Arial"/>
                <w:sz w:val="16"/>
                <w:szCs w:val="16"/>
                <w:color w:val="3D3935"/>
              </w:rPr>
              <w:t>year to investors</w:t>
            </w:r>
          </w:p>
        </w:tc>
        <w:tc>
          <w:tcPr>
            <w:tcW w:w="1640" w:type="dxa"/>
            <w:vAlign w:val="bottom"/>
          </w:tcPr>
          <w:p>
            <w:pPr>
              <w:ind w:left="200"/>
              <w:spacing w:after="0"/>
              <w:rPr>
                <w:sz w:val="20"/>
                <w:szCs w:val="20"/>
                <w:color w:val="auto"/>
              </w:rPr>
            </w:pPr>
            <w:r>
              <w:rPr>
                <w:rFonts w:ascii="Arial" w:cs="Arial" w:eastAsia="Arial" w:hAnsi="Arial"/>
                <w:sz w:val="16"/>
                <w:szCs w:val="16"/>
                <w:color w:val="3D3935"/>
              </w:rPr>
              <w:t>perspectives,</w:t>
            </w:r>
          </w:p>
        </w:tc>
        <w:tc>
          <w:tcPr>
            <w:tcW w:w="2120" w:type="dxa"/>
            <w:vAlign w:val="bottom"/>
          </w:tcPr>
          <w:p>
            <w:pPr>
              <w:ind w:left="240"/>
              <w:spacing w:after="0"/>
              <w:rPr>
                <w:sz w:val="20"/>
                <w:szCs w:val="20"/>
                <w:color w:val="auto"/>
              </w:rPr>
            </w:pPr>
            <w:r>
              <w:rPr>
                <w:rFonts w:ascii="Arial" w:cs="Arial" w:eastAsia="Arial" w:hAnsi="Arial"/>
                <w:sz w:val="16"/>
                <w:szCs w:val="16"/>
                <w:color w:val="3D3935"/>
              </w:rPr>
              <w:t>ideas exchanged</w:t>
            </w:r>
          </w:p>
        </w:tc>
      </w:tr>
      <w:tr>
        <w:trPr>
          <w:trHeight w:val="216"/>
        </w:trPr>
        <w:tc>
          <w:tcPr>
            <w:tcW w:w="1840" w:type="dxa"/>
            <w:vAlign w:val="bottom"/>
          </w:tcPr>
          <w:p>
            <w:pPr>
              <w:ind w:left="300"/>
              <w:spacing w:after="0"/>
              <w:rPr>
                <w:sz w:val="20"/>
                <w:szCs w:val="20"/>
                <w:color w:val="auto"/>
              </w:rPr>
            </w:pPr>
            <w:r>
              <w:rPr>
                <w:rFonts w:ascii="Arial" w:cs="Arial" w:eastAsia="Arial" w:hAnsi="Arial"/>
                <w:sz w:val="16"/>
                <w:szCs w:val="16"/>
                <w:color w:val="3D3935"/>
              </w:rPr>
              <w:t>and other</w:t>
            </w:r>
          </w:p>
        </w:tc>
        <w:tc>
          <w:tcPr>
            <w:tcW w:w="1640" w:type="dxa"/>
            <w:vAlign w:val="bottom"/>
          </w:tcPr>
          <w:p>
            <w:pPr>
              <w:ind w:left="200"/>
              <w:spacing w:after="0"/>
              <w:rPr>
                <w:sz w:val="20"/>
                <w:szCs w:val="20"/>
                <w:color w:val="auto"/>
              </w:rPr>
            </w:pPr>
            <w:r>
              <w:rPr>
                <w:rFonts w:ascii="Arial" w:cs="Arial" w:eastAsia="Arial" w:hAnsi="Arial"/>
                <w:sz w:val="16"/>
                <w:szCs w:val="16"/>
                <w:color w:val="3D3935"/>
              </w:rPr>
              <w:t>including each of</w:t>
            </w:r>
          </w:p>
        </w:tc>
        <w:tc>
          <w:tcPr>
            <w:tcW w:w="2120" w:type="dxa"/>
            <w:vAlign w:val="bottom"/>
          </w:tcPr>
          <w:p>
            <w:pPr>
              <w:ind w:left="240"/>
              <w:spacing w:after="0"/>
              <w:rPr>
                <w:sz w:val="20"/>
                <w:szCs w:val="20"/>
                <w:color w:val="auto"/>
              </w:rPr>
            </w:pPr>
            <w:r>
              <w:rPr>
                <w:rFonts w:ascii="Arial" w:cs="Arial" w:eastAsia="Arial" w:hAnsi="Arial"/>
                <w:sz w:val="16"/>
                <w:szCs w:val="16"/>
                <w:color w:val="3D3935"/>
              </w:rPr>
              <w:t>during these</w:t>
            </w:r>
          </w:p>
        </w:tc>
      </w:tr>
      <w:tr>
        <w:trPr>
          <w:trHeight w:val="216"/>
        </w:trPr>
        <w:tc>
          <w:tcPr>
            <w:tcW w:w="1840" w:type="dxa"/>
            <w:vAlign w:val="bottom"/>
          </w:tcPr>
          <w:p>
            <w:pPr>
              <w:ind w:left="300"/>
              <w:spacing w:after="0"/>
              <w:rPr>
                <w:sz w:val="20"/>
                <w:szCs w:val="20"/>
                <w:color w:val="auto"/>
              </w:rPr>
            </w:pPr>
            <w:r>
              <w:rPr>
                <w:rFonts w:ascii="Arial" w:cs="Arial" w:eastAsia="Arial" w:hAnsi="Arial"/>
                <w:sz w:val="16"/>
                <w:szCs w:val="16"/>
                <w:color w:val="3D3935"/>
              </w:rPr>
              <w:t>stakeholders;</w:t>
            </w:r>
          </w:p>
        </w:tc>
        <w:tc>
          <w:tcPr>
            <w:tcW w:w="1640" w:type="dxa"/>
            <w:vAlign w:val="bottom"/>
          </w:tcPr>
          <w:p>
            <w:pPr>
              <w:ind w:left="200"/>
              <w:spacing w:after="0"/>
              <w:rPr>
                <w:sz w:val="20"/>
                <w:szCs w:val="20"/>
                <w:color w:val="auto"/>
              </w:rPr>
            </w:pPr>
            <w:r>
              <w:rPr>
                <w:rFonts w:ascii="Arial" w:cs="Arial" w:eastAsia="Arial" w:hAnsi="Arial"/>
                <w:sz w:val="16"/>
                <w:szCs w:val="16"/>
                <w:color w:val="3D3935"/>
              </w:rPr>
              <w:t>the Company’s</w:t>
            </w:r>
          </w:p>
        </w:tc>
        <w:tc>
          <w:tcPr>
            <w:tcW w:w="2120" w:type="dxa"/>
            <w:vAlign w:val="bottom"/>
          </w:tcPr>
          <w:p>
            <w:pPr>
              <w:ind w:left="240"/>
              <w:spacing w:after="0"/>
              <w:rPr>
                <w:sz w:val="20"/>
                <w:szCs w:val="20"/>
                <w:color w:val="auto"/>
              </w:rPr>
            </w:pPr>
            <w:r>
              <w:rPr>
                <w:rFonts w:ascii="Arial" w:cs="Arial" w:eastAsia="Arial" w:hAnsi="Arial"/>
                <w:sz w:val="16"/>
                <w:szCs w:val="16"/>
                <w:color w:val="3D3935"/>
              </w:rPr>
              <w:t>engagements inform</w:t>
            </w:r>
          </w:p>
        </w:tc>
      </w:tr>
      <w:tr>
        <w:trPr>
          <w:trHeight w:val="216"/>
        </w:trPr>
        <w:tc>
          <w:tcPr>
            <w:tcW w:w="1840" w:type="dxa"/>
            <w:vAlign w:val="bottom"/>
          </w:tcPr>
          <w:p>
            <w:pPr>
              <w:ind w:left="300"/>
              <w:spacing w:after="0"/>
              <w:rPr>
                <w:sz w:val="20"/>
                <w:szCs w:val="20"/>
                <w:color w:val="auto"/>
              </w:rPr>
            </w:pPr>
            <w:r>
              <w:rPr>
                <w:rFonts w:ascii="Arial" w:cs="Arial" w:eastAsia="Arial" w:hAnsi="Arial"/>
                <w:sz w:val="16"/>
                <w:szCs w:val="16"/>
                <w:color w:val="3D3935"/>
              </w:rPr>
              <w:t>we also have a</w:t>
            </w:r>
          </w:p>
        </w:tc>
        <w:tc>
          <w:tcPr>
            <w:tcW w:w="1640" w:type="dxa"/>
            <w:vAlign w:val="bottom"/>
          </w:tcPr>
          <w:p>
            <w:pPr>
              <w:ind w:left="200"/>
              <w:spacing w:after="0"/>
              <w:rPr>
                <w:sz w:val="20"/>
                <w:szCs w:val="20"/>
                <w:color w:val="auto"/>
              </w:rPr>
            </w:pPr>
            <w:r>
              <w:rPr>
                <w:rFonts w:ascii="Arial" w:cs="Arial" w:eastAsia="Arial" w:hAnsi="Arial"/>
                <w:sz w:val="16"/>
                <w:szCs w:val="16"/>
                <w:color w:val="3D3935"/>
              </w:rPr>
              <w:t>shareholder</w:t>
            </w:r>
          </w:p>
        </w:tc>
        <w:tc>
          <w:tcPr>
            <w:tcW w:w="2120" w:type="dxa"/>
            <w:vAlign w:val="bottom"/>
          </w:tcPr>
          <w:p>
            <w:pPr>
              <w:ind w:left="240"/>
              <w:spacing w:after="0"/>
              <w:rPr>
                <w:sz w:val="20"/>
                <w:szCs w:val="20"/>
                <w:color w:val="auto"/>
              </w:rPr>
            </w:pPr>
            <w:r>
              <w:rPr>
                <w:rFonts w:ascii="Arial" w:cs="Arial" w:eastAsia="Arial" w:hAnsi="Arial"/>
                <w:sz w:val="16"/>
                <w:szCs w:val="16"/>
                <w:color w:val="3D3935"/>
              </w:rPr>
              <w:t>agenda items</w:t>
            </w:r>
          </w:p>
        </w:tc>
      </w:tr>
      <w:tr>
        <w:trPr>
          <w:trHeight w:val="216"/>
        </w:trPr>
        <w:tc>
          <w:tcPr>
            <w:tcW w:w="1840" w:type="dxa"/>
            <w:vAlign w:val="bottom"/>
            <w:tcBorders>
              <w:left w:val="single" w:sz="8" w:color="0072CE"/>
            </w:tcBorders>
          </w:tcPr>
          <w:p>
            <w:pPr>
              <w:ind w:left="300"/>
              <w:spacing w:after="0"/>
              <w:rPr>
                <w:sz w:val="20"/>
                <w:szCs w:val="20"/>
                <w:color w:val="auto"/>
              </w:rPr>
            </w:pPr>
            <w:r>
              <w:rPr>
                <w:rFonts w:ascii="Arial" w:cs="Arial" w:eastAsia="Arial" w:hAnsi="Arial"/>
                <w:sz w:val="16"/>
                <w:szCs w:val="16"/>
                <w:color w:val="3D3935"/>
              </w:rPr>
              <w:t>practice of inviting</w:t>
            </w:r>
          </w:p>
        </w:tc>
        <w:tc>
          <w:tcPr>
            <w:tcW w:w="1640" w:type="dxa"/>
            <w:vAlign w:val="bottom"/>
          </w:tcPr>
          <w:p>
            <w:pPr>
              <w:ind w:left="200"/>
              <w:spacing w:after="0"/>
              <w:rPr>
                <w:sz w:val="20"/>
                <w:szCs w:val="20"/>
                <w:color w:val="auto"/>
              </w:rPr>
            </w:pPr>
            <w:r>
              <w:rPr>
                <w:rFonts w:ascii="Arial" w:cs="Arial" w:eastAsia="Arial" w:hAnsi="Arial"/>
                <w:sz w:val="16"/>
                <w:szCs w:val="16"/>
                <w:color w:val="3D3935"/>
              </w:rPr>
              <w:t>proponents</w:t>
            </w:r>
          </w:p>
        </w:tc>
        <w:tc>
          <w:tcPr>
            <w:tcW w:w="2120" w:type="dxa"/>
            <w:vAlign w:val="bottom"/>
            <w:tcBorders>
              <w:right w:val="single" w:sz="8" w:color="0072CE"/>
            </w:tcBorders>
          </w:tcPr>
          <w:p>
            <w:pPr>
              <w:ind w:left="240"/>
              <w:spacing w:after="0"/>
              <w:rPr>
                <w:sz w:val="20"/>
                <w:szCs w:val="20"/>
                <w:color w:val="auto"/>
              </w:rPr>
            </w:pPr>
            <w:r>
              <w:rPr>
                <w:rFonts w:ascii="Arial" w:cs="Arial" w:eastAsia="Arial" w:hAnsi="Arial"/>
                <w:sz w:val="16"/>
                <w:szCs w:val="16"/>
                <w:color w:val="3D3935"/>
              </w:rPr>
              <w:t>throughout the year</w:t>
            </w:r>
          </w:p>
        </w:tc>
      </w:tr>
      <w:tr>
        <w:trPr>
          <w:trHeight w:val="216"/>
        </w:trPr>
        <w:tc>
          <w:tcPr>
            <w:tcW w:w="1840" w:type="dxa"/>
            <w:vAlign w:val="bottom"/>
            <w:tcBorders>
              <w:left w:val="single" w:sz="8" w:color="0072CE"/>
            </w:tcBorders>
          </w:tcPr>
          <w:p>
            <w:pPr>
              <w:ind w:left="300"/>
              <w:spacing w:after="0"/>
              <w:rPr>
                <w:sz w:val="20"/>
                <w:szCs w:val="20"/>
                <w:color w:val="auto"/>
              </w:rPr>
            </w:pPr>
            <w:r>
              <w:rPr>
                <w:rFonts w:ascii="Arial" w:cs="Arial" w:eastAsia="Arial" w:hAnsi="Arial"/>
                <w:sz w:val="16"/>
                <w:szCs w:val="16"/>
                <w:color w:val="3D3935"/>
              </w:rPr>
              <w:t>buy- and sell-side</w:t>
            </w:r>
          </w:p>
        </w:tc>
        <w:tc>
          <w:tcPr>
            <w:tcW w:w="1640" w:type="dxa"/>
            <w:vAlign w:val="bottom"/>
          </w:tcPr>
          <w:p>
            <w:pPr>
              <w:spacing w:after="0"/>
              <w:rPr>
                <w:sz w:val="18"/>
                <w:szCs w:val="18"/>
                <w:color w:val="auto"/>
              </w:rPr>
            </w:pPr>
          </w:p>
        </w:tc>
        <w:tc>
          <w:tcPr>
            <w:tcW w:w="2120" w:type="dxa"/>
            <w:vAlign w:val="bottom"/>
            <w:tcBorders>
              <w:right w:val="single" w:sz="8" w:color="0072CE"/>
            </w:tcBorders>
          </w:tcPr>
          <w:p>
            <w:pPr>
              <w:ind w:left="240"/>
              <w:spacing w:after="0"/>
              <w:rPr>
                <w:sz w:val="20"/>
                <w:szCs w:val="20"/>
                <w:color w:val="auto"/>
              </w:rPr>
            </w:pPr>
            <w:r>
              <w:rPr>
                <w:rFonts w:ascii="Arial" w:cs="Arial" w:eastAsia="Arial" w:hAnsi="Arial"/>
                <w:sz w:val="16"/>
                <w:szCs w:val="16"/>
                <w:color w:val="3D3935"/>
              </w:rPr>
              <w:t>and help the Board</w:t>
            </w:r>
          </w:p>
        </w:tc>
      </w:tr>
      <w:tr>
        <w:trPr>
          <w:trHeight w:val="216"/>
        </w:trPr>
        <w:tc>
          <w:tcPr>
            <w:tcW w:w="1840" w:type="dxa"/>
            <w:vAlign w:val="bottom"/>
            <w:tcBorders>
              <w:left w:val="single" w:sz="8" w:color="0072CE"/>
            </w:tcBorders>
          </w:tcPr>
          <w:p>
            <w:pPr>
              <w:ind w:left="300"/>
              <w:spacing w:after="0"/>
              <w:rPr>
                <w:sz w:val="20"/>
                <w:szCs w:val="20"/>
                <w:color w:val="auto"/>
              </w:rPr>
            </w:pPr>
            <w:r>
              <w:rPr>
                <w:rFonts w:ascii="Arial" w:cs="Arial" w:eastAsia="Arial" w:hAnsi="Arial"/>
                <w:sz w:val="16"/>
                <w:szCs w:val="16"/>
                <w:color w:val="3D3935"/>
              </w:rPr>
              <w:t>analysts to</w:t>
            </w:r>
          </w:p>
        </w:tc>
        <w:tc>
          <w:tcPr>
            <w:tcW w:w="1640" w:type="dxa"/>
            <w:vAlign w:val="bottom"/>
          </w:tcPr>
          <w:p>
            <w:pPr>
              <w:spacing w:after="0"/>
              <w:rPr>
                <w:sz w:val="18"/>
                <w:szCs w:val="18"/>
                <w:color w:val="auto"/>
              </w:rPr>
            </w:pPr>
          </w:p>
        </w:tc>
        <w:tc>
          <w:tcPr>
            <w:tcW w:w="2120" w:type="dxa"/>
            <w:vAlign w:val="bottom"/>
            <w:tcBorders>
              <w:right w:val="single" w:sz="8" w:color="0072CE"/>
            </w:tcBorders>
          </w:tcPr>
          <w:p>
            <w:pPr>
              <w:ind w:left="240"/>
              <w:spacing w:after="0"/>
              <w:rPr>
                <w:sz w:val="20"/>
                <w:szCs w:val="20"/>
                <w:color w:val="auto"/>
              </w:rPr>
            </w:pPr>
            <w:r>
              <w:rPr>
                <w:rFonts w:ascii="Arial" w:cs="Arial" w:eastAsia="Arial" w:hAnsi="Arial"/>
                <w:sz w:val="16"/>
                <w:szCs w:val="16"/>
                <w:color w:val="3D3935"/>
              </w:rPr>
              <w:t>evaluate and assess</w:t>
            </w:r>
          </w:p>
        </w:tc>
      </w:tr>
      <w:tr>
        <w:trPr>
          <w:trHeight w:val="216"/>
        </w:trPr>
        <w:tc>
          <w:tcPr>
            <w:tcW w:w="1840" w:type="dxa"/>
            <w:vAlign w:val="bottom"/>
            <w:tcBorders>
              <w:left w:val="single" w:sz="8" w:color="0072CE"/>
            </w:tcBorders>
          </w:tcPr>
          <w:p>
            <w:pPr>
              <w:ind w:left="300"/>
              <w:spacing w:after="0"/>
              <w:rPr>
                <w:sz w:val="20"/>
                <w:szCs w:val="20"/>
                <w:color w:val="auto"/>
              </w:rPr>
            </w:pPr>
            <w:r>
              <w:rPr>
                <w:rFonts w:ascii="Arial" w:cs="Arial" w:eastAsia="Arial" w:hAnsi="Arial"/>
                <w:sz w:val="16"/>
                <w:szCs w:val="16"/>
                <w:color w:val="3D3935"/>
              </w:rPr>
              <w:t>Board meetings</w:t>
            </w:r>
          </w:p>
        </w:tc>
        <w:tc>
          <w:tcPr>
            <w:tcW w:w="1640" w:type="dxa"/>
            <w:vAlign w:val="bottom"/>
          </w:tcPr>
          <w:p>
            <w:pPr>
              <w:spacing w:after="0"/>
              <w:rPr>
                <w:sz w:val="18"/>
                <w:szCs w:val="18"/>
                <w:color w:val="auto"/>
              </w:rPr>
            </w:pPr>
          </w:p>
        </w:tc>
        <w:tc>
          <w:tcPr>
            <w:tcW w:w="2120" w:type="dxa"/>
            <w:vAlign w:val="bottom"/>
            <w:tcBorders>
              <w:right w:val="single" w:sz="8" w:color="0072CE"/>
            </w:tcBorders>
          </w:tcPr>
          <w:p>
            <w:pPr>
              <w:ind w:left="240"/>
              <w:spacing w:after="0"/>
              <w:rPr>
                <w:sz w:val="20"/>
                <w:szCs w:val="20"/>
                <w:color w:val="auto"/>
              </w:rPr>
            </w:pPr>
            <w:r>
              <w:rPr>
                <w:rFonts w:ascii="Arial" w:cs="Arial" w:eastAsia="Arial" w:hAnsi="Arial"/>
                <w:sz w:val="16"/>
                <w:szCs w:val="16"/>
                <w:color w:val="3D3935"/>
              </w:rPr>
              <w:t>key initiatives</w:t>
            </w:r>
          </w:p>
        </w:tc>
      </w:tr>
      <w:tr>
        <w:trPr>
          <w:trHeight w:val="272"/>
        </w:trPr>
        <w:tc>
          <w:tcPr>
            <w:tcW w:w="1840" w:type="dxa"/>
            <w:vAlign w:val="bottom"/>
            <w:tcBorders>
              <w:left w:val="single" w:sz="8" w:color="0072CE"/>
              <w:bottom w:val="single" w:sz="8" w:color="0072CE"/>
            </w:tcBorders>
          </w:tcPr>
          <w:p>
            <w:pPr>
              <w:spacing w:after="0"/>
              <w:rPr>
                <w:sz w:val="23"/>
                <w:szCs w:val="23"/>
                <w:color w:val="auto"/>
              </w:rPr>
            </w:pPr>
          </w:p>
        </w:tc>
        <w:tc>
          <w:tcPr>
            <w:tcW w:w="1640" w:type="dxa"/>
            <w:vAlign w:val="bottom"/>
            <w:tcBorders>
              <w:bottom w:val="single" w:sz="8" w:color="0072CE"/>
            </w:tcBorders>
          </w:tcPr>
          <w:p>
            <w:pPr>
              <w:spacing w:after="0"/>
              <w:rPr>
                <w:sz w:val="23"/>
                <w:szCs w:val="23"/>
                <w:color w:val="auto"/>
              </w:rPr>
            </w:pPr>
          </w:p>
        </w:tc>
        <w:tc>
          <w:tcPr>
            <w:tcW w:w="2120" w:type="dxa"/>
            <w:vAlign w:val="bottom"/>
            <w:tcBorders>
              <w:bottom w:val="single" w:sz="8" w:color="0072CE"/>
              <w:right w:val="single" w:sz="8" w:color="0072CE"/>
            </w:tcBorders>
          </w:tcPr>
          <w:p>
            <w:pPr>
              <w:spacing w:after="0"/>
              <w:rPr>
                <w:sz w:val="23"/>
                <w:szCs w:val="23"/>
                <w:color w:val="auto"/>
              </w:rPr>
            </w:pPr>
          </w:p>
        </w:tc>
      </w:tr>
    </w:tbl>
    <w:p>
      <w:pPr>
        <w:spacing w:after="0" w:line="200" w:lineRule="exact"/>
        <w:rPr>
          <w:sz w:val="20"/>
          <w:szCs w:val="20"/>
          <w:color w:val="auto"/>
        </w:rPr>
      </w:pPr>
    </w:p>
    <w:p>
      <w:pPr>
        <w:spacing w:after="0" w:line="22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0072CE"/>
        </w:rPr>
        <w:t>Board and Governance</w:t>
      </w:r>
    </w:p>
    <w:p>
      <w:pPr>
        <w:spacing w:after="0" w:line="95" w:lineRule="exact"/>
        <w:rPr>
          <w:sz w:val="20"/>
          <w:szCs w:val="20"/>
          <w:color w:val="auto"/>
        </w:rPr>
      </w:pPr>
    </w:p>
    <w:p>
      <w:pPr>
        <w:ind w:left="860" w:right="1480" w:hanging="186"/>
        <w:spacing w:after="0" w:line="281" w:lineRule="auto"/>
        <w:tabs>
          <w:tab w:leader="none" w:pos="860" w:val="left"/>
        </w:tabs>
        <w:numPr>
          <w:ilvl w:val="0"/>
          <w:numId w:val="15"/>
        </w:numPr>
        <w:rPr>
          <w:rFonts w:ascii="Arial" w:cs="Arial" w:eastAsia="Arial" w:hAnsi="Arial"/>
          <w:sz w:val="16"/>
          <w:szCs w:val="16"/>
          <w:color w:val="0072CE"/>
        </w:rPr>
      </w:pPr>
      <w:r>
        <w:rPr>
          <w:rFonts w:ascii="Arial" w:cs="Arial" w:eastAsia="Arial" w:hAnsi="Arial"/>
          <w:sz w:val="16"/>
          <w:szCs w:val="16"/>
          <w:color w:val="3D3935"/>
        </w:rPr>
        <w:t>Encouraged to communicate to shareholders the Board’s succession plan given the retirements of Linda Gooden and</w:t>
      </w:r>
    </w:p>
    <w:p>
      <w:pPr>
        <w:spacing w:after="0" w:line="1" w:lineRule="exact"/>
        <w:rPr>
          <w:sz w:val="20"/>
          <w:szCs w:val="20"/>
          <w:color w:val="auto"/>
        </w:rPr>
      </w:pPr>
    </w:p>
    <w:p>
      <w:pPr>
        <w:ind w:left="860" w:right="1160"/>
        <w:spacing w:after="0" w:line="301" w:lineRule="auto"/>
        <w:rPr>
          <w:sz w:val="20"/>
          <w:szCs w:val="20"/>
          <w:color w:val="auto"/>
        </w:rPr>
      </w:pPr>
      <w:r>
        <w:rPr>
          <w:rFonts w:ascii="Arial" w:cs="Arial" w:eastAsia="Arial" w:hAnsi="Arial"/>
          <w:sz w:val="16"/>
          <w:szCs w:val="16"/>
          <w:color w:val="3D3935"/>
        </w:rPr>
        <w:t>Tom Schoewe. Please see page 9 for actions taken to continuously evolve the Board, including the addition of Alfred F. Kelly, Jr. since the last Annual Meeting of Shareholders.</w:t>
      </w:r>
    </w:p>
    <w:p>
      <w:pPr>
        <w:sectPr>
          <w:pgSz w:w="11900" w:h="16867" w:orient="portrait"/>
          <w:cols w:equalWidth="0" w:num="2">
            <w:col w:w="3380" w:space="720"/>
            <w:col w:w="6620"/>
          </w:cols>
          <w:pgMar w:left="580" w:top="140" w:right="599" w:bottom="0" w:gutter="0" w:footer="0" w:header="0"/>
          <w:type w:val="continuous"/>
        </w:sectPr>
      </w:pPr>
    </w:p>
    <w:bookmarkStart w:id="9" w:name="page10"/>
    <w:bookmarkEnd w:id="9"/>
    <w:p>
      <w:pPr>
        <w:ind w:left="3960"/>
        <w:spacing w:after="0"/>
        <w:rPr>
          <w:sz w:val="20"/>
          <w:szCs w:val="20"/>
          <w:color w:val="auto"/>
        </w:rPr>
      </w:pPr>
      <w:r>
        <w:rPr>
          <w:rFonts w:ascii="Arial" w:cs="Arial" w:eastAsia="Arial" w:hAnsi="Arial"/>
          <w:sz w:val="18"/>
          <w:szCs w:val="18"/>
          <w:b w:val="1"/>
          <w:bCs w:val="1"/>
          <w:color w:val="0072CE"/>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37052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10375" cy="3705225"/>
                    </a:xfrm>
                    <a:prstGeom prst="rect">
                      <a:avLst/>
                    </a:prstGeom>
                    <a:noFill/>
                  </pic:spPr>
                </pic:pic>
              </a:graphicData>
            </a:graphic>
          </wp:anchor>
        </w:drawing>
        <w:t>Executive Compensation</w:t>
      </w:r>
    </w:p>
    <w:p>
      <w:pPr>
        <w:spacing w:after="0" w:line="95" w:lineRule="exact"/>
        <w:rPr>
          <w:sz w:val="20"/>
          <w:szCs w:val="20"/>
          <w:color w:val="auto"/>
        </w:rPr>
      </w:pPr>
    </w:p>
    <w:p>
      <w:pPr>
        <w:ind w:left="4140" w:right="240" w:hanging="179"/>
        <w:spacing w:after="0" w:line="321" w:lineRule="auto"/>
        <w:tabs>
          <w:tab w:leader="none" w:pos="4120" w:val="left"/>
        </w:tabs>
        <w:rPr>
          <w:sz w:val="20"/>
          <w:szCs w:val="20"/>
          <w:color w:val="auto"/>
        </w:rPr>
      </w:pPr>
      <w:r>
        <w:rPr>
          <w:rFonts w:ascii="Arial" w:cs="Arial" w:eastAsia="Arial" w:hAnsi="Arial"/>
          <w:sz w:val="16"/>
          <w:szCs w:val="16"/>
          <w:color w:val="0072CE"/>
        </w:rPr>
        <w:t>•</w:t>
      </w:r>
      <w:r>
        <w:rPr>
          <w:rFonts w:ascii="Arial" w:cs="Arial" w:eastAsia="Arial" w:hAnsi="Arial"/>
          <w:sz w:val="16"/>
          <w:szCs w:val="16"/>
          <w:color w:val="3D3935"/>
        </w:rPr>
        <w:tab/>
        <w:t>For specific feedback and responses on executive compensation, please see pages 5 and 47-49 .</w:t>
      </w:r>
    </w:p>
    <w:p>
      <w:pPr>
        <w:spacing w:after="0" w:line="11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0072CE"/>
        </w:rPr>
        <w:t>Capital Allocation</w:t>
      </w:r>
    </w:p>
    <w:p>
      <w:pPr>
        <w:spacing w:after="0" w:line="95" w:lineRule="exact"/>
        <w:rPr>
          <w:sz w:val="20"/>
          <w:szCs w:val="20"/>
          <w:color w:val="auto"/>
        </w:rPr>
      </w:pPr>
    </w:p>
    <w:tbl>
      <w:tblPr>
        <w:tblLayout w:type="fixed"/>
        <w:tblInd w:w="240" w:type="dxa"/>
        <w:tblCellMar>
          <w:top w:w="0" w:type="dxa"/>
          <w:left w:w="0" w:type="dxa"/>
          <w:bottom w:w="0" w:type="dxa"/>
          <w:right w:w="0" w:type="dxa"/>
        </w:tblCellMar>
      </w:tblPr>
      <w:tr>
        <w:trPr>
          <w:trHeight w:val="215"/>
        </w:trPr>
        <w:tc>
          <w:tcPr>
            <w:tcW w:w="2920" w:type="dxa"/>
            <w:vAlign w:val="bottom"/>
          </w:tcPr>
          <w:p>
            <w:pPr>
              <w:spacing w:after="0"/>
              <w:rPr>
                <w:sz w:val="18"/>
                <w:szCs w:val="18"/>
                <w:color w:val="auto"/>
              </w:rPr>
            </w:pPr>
          </w:p>
        </w:tc>
        <w:tc>
          <w:tcPr>
            <w:tcW w:w="5620" w:type="dxa"/>
            <w:vAlign w:val="bottom"/>
          </w:tcPr>
          <w:p>
            <w:pPr>
              <w:ind w:left="80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Encouraged to further explain to shareholders the Board’s role in</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5620" w:type="dxa"/>
            <w:vAlign w:val="bottom"/>
          </w:tcPr>
          <w:p>
            <w:pPr>
              <w:ind w:left="980"/>
              <w:spacing w:after="0"/>
              <w:rPr>
                <w:sz w:val="20"/>
                <w:szCs w:val="20"/>
                <w:color w:val="auto"/>
              </w:rPr>
            </w:pPr>
            <w:r>
              <w:rPr>
                <w:rFonts w:ascii="Arial" w:cs="Arial" w:eastAsia="Arial" w:hAnsi="Arial"/>
                <w:sz w:val="16"/>
                <w:szCs w:val="16"/>
                <w:color w:val="3D3935"/>
              </w:rPr>
              <w:t>capital allocation planning and continue the return of capital to</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5620" w:type="dxa"/>
            <w:vAlign w:val="bottom"/>
          </w:tcPr>
          <w:p>
            <w:pPr>
              <w:ind w:left="980"/>
              <w:spacing w:after="0"/>
              <w:rPr>
                <w:sz w:val="20"/>
                <w:szCs w:val="20"/>
                <w:color w:val="auto"/>
              </w:rPr>
            </w:pPr>
            <w:r>
              <w:rPr>
                <w:rFonts w:ascii="Arial" w:cs="Arial" w:eastAsia="Arial" w:hAnsi="Arial"/>
                <w:sz w:val="16"/>
                <w:szCs w:val="16"/>
                <w:color w:val="3D3935"/>
              </w:rPr>
              <w:t>shareholders pursuant to the Company’s Allocation Framework.</w:t>
            </w:r>
          </w:p>
        </w:tc>
        <w:tc>
          <w:tcPr>
            <w:tcW w:w="0" w:type="dxa"/>
            <w:vAlign w:val="bottom"/>
          </w:tcPr>
          <w:p>
            <w:pPr>
              <w:spacing w:after="0"/>
              <w:rPr>
                <w:sz w:val="1"/>
                <w:szCs w:val="1"/>
                <w:color w:val="auto"/>
              </w:rPr>
            </w:pPr>
          </w:p>
        </w:tc>
      </w:tr>
      <w:tr>
        <w:trPr>
          <w:trHeight w:val="216"/>
        </w:trPr>
        <w:tc>
          <w:tcPr>
            <w:tcW w:w="2920" w:type="dxa"/>
            <w:vAlign w:val="bottom"/>
            <w:vMerge w:val="restart"/>
          </w:tcPr>
          <w:p>
            <w:pPr>
              <w:spacing w:after="0"/>
              <w:rPr>
                <w:sz w:val="20"/>
                <w:szCs w:val="20"/>
                <w:color w:val="auto"/>
              </w:rPr>
            </w:pPr>
            <w:r>
              <w:rPr>
                <w:rFonts w:ascii="Arial" w:cs="Arial" w:eastAsia="Arial" w:hAnsi="Arial"/>
                <w:sz w:val="16"/>
                <w:szCs w:val="16"/>
                <w:color w:val="3D3935"/>
              </w:rPr>
              <w:t>of outstanding common stock</w:t>
            </w:r>
          </w:p>
        </w:tc>
        <w:tc>
          <w:tcPr>
            <w:tcW w:w="5620" w:type="dxa"/>
            <w:vAlign w:val="bottom"/>
          </w:tcPr>
          <w:p>
            <w:pPr>
              <w:ind w:left="980"/>
              <w:spacing w:after="0"/>
              <w:rPr>
                <w:sz w:val="20"/>
                <w:szCs w:val="20"/>
                <w:color w:val="auto"/>
              </w:rPr>
            </w:pPr>
            <w:r>
              <w:rPr>
                <w:rFonts w:ascii="Arial" w:cs="Arial" w:eastAsia="Arial" w:hAnsi="Arial"/>
                <w:sz w:val="16"/>
                <w:szCs w:val="16"/>
                <w:color w:val="3D3935"/>
              </w:rPr>
              <w:t>In Q1 2025, the Board announced a $6 billion shareholder</w:t>
            </w:r>
          </w:p>
        </w:tc>
        <w:tc>
          <w:tcPr>
            <w:tcW w:w="0" w:type="dxa"/>
            <w:vAlign w:val="bottom"/>
          </w:tcPr>
          <w:p>
            <w:pPr>
              <w:spacing w:after="0"/>
              <w:rPr>
                <w:sz w:val="1"/>
                <w:szCs w:val="1"/>
                <w:color w:val="auto"/>
              </w:rPr>
            </w:pPr>
          </w:p>
        </w:tc>
      </w:tr>
      <w:tr>
        <w:trPr>
          <w:trHeight w:val="135"/>
        </w:trPr>
        <w:tc>
          <w:tcPr>
            <w:tcW w:w="2920" w:type="dxa"/>
            <w:vAlign w:val="bottom"/>
            <w:vMerge w:val="continue"/>
          </w:tcPr>
          <w:p>
            <w:pPr>
              <w:spacing w:after="0"/>
              <w:rPr>
                <w:sz w:val="11"/>
                <w:szCs w:val="11"/>
                <w:color w:val="auto"/>
              </w:rPr>
            </w:pPr>
          </w:p>
        </w:tc>
        <w:tc>
          <w:tcPr>
            <w:tcW w:w="5620" w:type="dxa"/>
            <w:vAlign w:val="bottom"/>
            <w:vMerge w:val="restart"/>
          </w:tcPr>
          <w:p>
            <w:pPr>
              <w:ind w:left="980"/>
              <w:spacing w:after="0"/>
              <w:rPr>
                <w:sz w:val="20"/>
                <w:szCs w:val="20"/>
                <w:color w:val="auto"/>
              </w:rPr>
            </w:pPr>
            <w:r>
              <w:rPr>
                <w:rFonts w:ascii="Arial" w:cs="Arial" w:eastAsia="Arial" w:hAnsi="Arial"/>
                <w:sz w:val="16"/>
                <w:szCs w:val="16"/>
                <w:color w:val="3D3935"/>
              </w:rPr>
              <w:t>buyback authorization and announced its intent to increase the</w:t>
            </w:r>
          </w:p>
        </w:tc>
        <w:tc>
          <w:tcPr>
            <w:tcW w:w="0" w:type="dxa"/>
            <w:vAlign w:val="bottom"/>
          </w:tcPr>
          <w:p>
            <w:pPr>
              <w:spacing w:after="0"/>
              <w:rPr>
                <w:sz w:val="1"/>
                <w:szCs w:val="1"/>
                <w:color w:val="auto"/>
              </w:rPr>
            </w:pPr>
          </w:p>
        </w:tc>
      </w:tr>
      <w:tr>
        <w:trPr>
          <w:trHeight w:val="81"/>
        </w:trPr>
        <w:tc>
          <w:tcPr>
            <w:tcW w:w="2920" w:type="dxa"/>
            <w:vAlign w:val="bottom"/>
          </w:tcPr>
          <w:p>
            <w:pPr>
              <w:spacing w:after="0"/>
              <w:rPr>
                <w:sz w:val="7"/>
                <w:szCs w:val="7"/>
                <w:color w:val="auto"/>
              </w:rPr>
            </w:pPr>
          </w:p>
        </w:tc>
        <w:tc>
          <w:tcPr>
            <w:tcW w:w="5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5620" w:type="dxa"/>
            <w:vAlign w:val="bottom"/>
          </w:tcPr>
          <w:p>
            <w:pPr>
              <w:ind w:left="980"/>
              <w:spacing w:after="0"/>
              <w:rPr>
                <w:sz w:val="20"/>
                <w:szCs w:val="20"/>
                <w:color w:val="auto"/>
              </w:rPr>
            </w:pPr>
            <w:r>
              <w:rPr>
                <w:rFonts w:ascii="Arial" w:cs="Arial" w:eastAsia="Arial" w:hAnsi="Arial"/>
                <w:sz w:val="16"/>
                <w:szCs w:val="16"/>
                <w:color w:val="3D3935"/>
              </w:rPr>
              <w:t>common stock dividend by $0.03 per share.</w:t>
            </w:r>
          </w:p>
        </w:tc>
        <w:tc>
          <w:tcPr>
            <w:tcW w:w="0" w:type="dxa"/>
            <w:vAlign w:val="bottom"/>
          </w:tcPr>
          <w:p>
            <w:pPr>
              <w:spacing w:after="0"/>
              <w:rPr>
                <w:sz w:val="1"/>
                <w:szCs w:val="1"/>
                <w:color w:val="auto"/>
              </w:rPr>
            </w:pPr>
          </w:p>
        </w:tc>
      </w:tr>
    </w:tbl>
    <w:p>
      <w:pPr>
        <w:spacing w:after="0" w:line="339"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3D3935"/>
        </w:rPr>
        <w:t>Other focus areas of common themes discussed with shareholders:</w:t>
      </w:r>
    </w:p>
    <w:p>
      <w:pPr>
        <w:sectPr>
          <w:pgSz w:w="11900" w:h="16838" w:orient="portrait"/>
          <w:cols w:equalWidth="0" w:num="1">
            <w:col w:w="9080"/>
          </w:cols>
          <w:pgMar w:left="1400" w:top="188" w:right="1419" w:bottom="0" w:gutter="0" w:footer="0" w:header="0"/>
        </w:sectPr>
      </w:pPr>
    </w:p>
    <w:p>
      <w:pPr>
        <w:spacing w:after="0" w:line="167" w:lineRule="exact"/>
        <w:rPr>
          <w:sz w:val="20"/>
          <w:szCs w:val="20"/>
          <w:color w:val="auto"/>
        </w:rPr>
      </w:pPr>
    </w:p>
    <w:p>
      <w:pPr>
        <w:ind w:left="240" w:right="40" w:hanging="185"/>
        <w:spacing w:after="0" w:line="316" w:lineRule="auto"/>
        <w:tabs>
          <w:tab w:leader="none" w:pos="240" w:val="left"/>
        </w:tabs>
        <w:numPr>
          <w:ilvl w:val="0"/>
          <w:numId w:val="16"/>
        </w:numPr>
        <w:rPr>
          <w:rFonts w:ascii="Arial" w:cs="Arial" w:eastAsia="Arial" w:hAnsi="Arial"/>
          <w:sz w:val="16"/>
          <w:szCs w:val="16"/>
          <w:color w:val="0072CE"/>
        </w:rPr>
      </w:pPr>
      <w:r>
        <w:rPr>
          <w:rFonts w:ascii="Arial" w:cs="Arial" w:eastAsia="Arial" w:hAnsi="Arial"/>
          <w:sz w:val="16"/>
          <w:szCs w:val="16"/>
          <w:color w:val="3D3935"/>
        </w:rPr>
        <w:t>Human rights and supply chain sustainability issues, especially in regions with indigenous people;</w:t>
      </w:r>
    </w:p>
    <w:p>
      <w:pPr>
        <w:spacing w:after="0" w:line="1" w:lineRule="exact"/>
        <w:rPr>
          <w:rFonts w:ascii="Arial" w:cs="Arial" w:eastAsia="Arial" w:hAnsi="Arial"/>
          <w:sz w:val="16"/>
          <w:szCs w:val="16"/>
          <w:color w:val="0072CE"/>
        </w:rPr>
      </w:pPr>
    </w:p>
    <w:p>
      <w:pPr>
        <w:ind w:left="240" w:hanging="185"/>
        <w:spacing w:after="0" w:line="321" w:lineRule="auto"/>
        <w:tabs>
          <w:tab w:leader="none" w:pos="240" w:val="left"/>
        </w:tabs>
        <w:numPr>
          <w:ilvl w:val="0"/>
          <w:numId w:val="16"/>
        </w:numPr>
        <w:rPr>
          <w:rFonts w:ascii="Arial" w:cs="Arial" w:eastAsia="Arial" w:hAnsi="Arial"/>
          <w:sz w:val="16"/>
          <w:szCs w:val="16"/>
          <w:color w:val="0072CE"/>
        </w:rPr>
      </w:pPr>
      <w:r>
        <w:rPr>
          <w:rFonts w:ascii="Arial" w:cs="Arial" w:eastAsia="Arial" w:hAnsi="Arial"/>
          <w:sz w:val="16"/>
          <w:szCs w:val="16"/>
          <w:color w:val="3D3935"/>
        </w:rPr>
        <w:t>Talent strategy and workforce matters especially with our represented team members;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199" w:right="320" w:hanging="199"/>
        <w:spacing w:after="0" w:line="316" w:lineRule="auto"/>
        <w:tabs>
          <w:tab w:leader="none" w:pos="199" w:val="left"/>
        </w:tabs>
        <w:numPr>
          <w:ilvl w:val="0"/>
          <w:numId w:val="17"/>
        </w:numPr>
        <w:rPr>
          <w:rFonts w:ascii="Arial" w:cs="Arial" w:eastAsia="Arial" w:hAnsi="Arial"/>
          <w:sz w:val="16"/>
          <w:szCs w:val="16"/>
          <w:color w:val="0072CE"/>
        </w:rPr>
      </w:pPr>
      <w:r>
        <w:rPr>
          <w:rFonts w:ascii="Arial" w:cs="Arial" w:eastAsia="Arial" w:hAnsi="Arial"/>
          <w:sz w:val="16"/>
          <w:szCs w:val="16"/>
          <w:color w:val="3D3935"/>
        </w:rPr>
        <w:t>Product safety, especially with regards to the future of transportation and our AV strategy; and</w:t>
      </w:r>
    </w:p>
    <w:p>
      <w:pPr>
        <w:spacing w:after="0" w:line="1" w:lineRule="exact"/>
        <w:rPr>
          <w:rFonts w:ascii="Arial" w:cs="Arial" w:eastAsia="Arial" w:hAnsi="Arial"/>
          <w:sz w:val="16"/>
          <w:szCs w:val="16"/>
          <w:color w:val="0072CE"/>
        </w:rPr>
      </w:pPr>
    </w:p>
    <w:p>
      <w:pPr>
        <w:ind w:left="199" w:right="720" w:hanging="199"/>
        <w:spacing w:after="0" w:line="321" w:lineRule="auto"/>
        <w:tabs>
          <w:tab w:leader="none" w:pos="199" w:val="left"/>
        </w:tabs>
        <w:numPr>
          <w:ilvl w:val="0"/>
          <w:numId w:val="17"/>
        </w:numPr>
        <w:rPr>
          <w:rFonts w:ascii="Arial" w:cs="Arial" w:eastAsia="Arial" w:hAnsi="Arial"/>
          <w:sz w:val="16"/>
          <w:szCs w:val="16"/>
          <w:color w:val="0072CE"/>
        </w:rPr>
      </w:pPr>
      <w:r>
        <w:rPr>
          <w:rFonts w:ascii="Arial" w:cs="Arial" w:eastAsia="Arial" w:hAnsi="Arial"/>
          <w:sz w:val="16"/>
          <w:szCs w:val="16"/>
          <w:color w:val="3D3935"/>
        </w:rPr>
        <w:t>Climate strategy, especially our efforts to reduce greenhouse gas emissions.</w:t>
      </w:r>
    </w:p>
    <w:p>
      <w:pPr>
        <w:spacing w:after="0" w:line="200" w:lineRule="exact"/>
        <w:rPr>
          <w:sz w:val="20"/>
          <w:szCs w:val="20"/>
          <w:color w:val="auto"/>
        </w:rPr>
      </w:pPr>
    </w:p>
    <w:p>
      <w:pPr>
        <w:sectPr>
          <w:pgSz w:w="11900" w:h="16838" w:orient="portrait"/>
          <w:cols w:equalWidth="0" w:num="2">
            <w:col w:w="4040" w:space="681"/>
            <w:col w:w="4359"/>
          </w:cols>
          <w:pgMar w:left="1400" w:top="188" w:right="14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67284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10375" cy="6728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Proxy Summary</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Compensation Highlights</w:t>
      </w:r>
    </w:p>
    <w:p>
      <w:pPr>
        <w:spacing w:after="0" w:line="127" w:lineRule="exact"/>
        <w:rPr>
          <w:sz w:val="20"/>
          <w:szCs w:val="20"/>
          <w:color w:val="auto"/>
        </w:rPr>
      </w:pPr>
    </w:p>
    <w:p>
      <w:pPr>
        <w:jc w:val="both"/>
        <w:ind w:right="200"/>
        <w:spacing w:after="0" w:line="284" w:lineRule="auto"/>
        <w:rPr>
          <w:sz w:val="20"/>
          <w:szCs w:val="20"/>
          <w:color w:val="auto"/>
        </w:rPr>
      </w:pPr>
      <w:r>
        <w:rPr>
          <w:rFonts w:ascii="Arial" w:cs="Arial" w:eastAsia="Arial" w:hAnsi="Arial"/>
          <w:sz w:val="16"/>
          <w:szCs w:val="16"/>
          <w:color w:val="3D3935"/>
        </w:rPr>
        <w:t>Our executive compensation program is designed to focus our leaders on key areas that drive the business forward, align to the short-term and long-term interests of our shareholders, and reward our leaders for delivering on the Company’s strategy and vision.</w:t>
      </w:r>
    </w:p>
    <w:p>
      <w:pPr>
        <w:spacing w:after="0" w:line="137" w:lineRule="exact"/>
        <w:rPr>
          <w:sz w:val="20"/>
          <w:szCs w:val="20"/>
          <w:color w:val="auto"/>
        </w:rPr>
      </w:pPr>
    </w:p>
    <w:p>
      <w:pPr>
        <w:ind w:right="620"/>
        <w:spacing w:after="0" w:line="288" w:lineRule="auto"/>
        <w:rPr>
          <w:sz w:val="20"/>
          <w:szCs w:val="20"/>
          <w:color w:val="auto"/>
        </w:rPr>
      </w:pPr>
      <w:r>
        <w:rPr>
          <w:rFonts w:ascii="Arial" w:cs="Arial" w:eastAsia="Arial" w:hAnsi="Arial"/>
          <w:sz w:val="29"/>
          <w:szCs w:val="29"/>
          <w:b w:val="1"/>
          <w:bCs w:val="1"/>
          <w:color w:val="3D3935"/>
        </w:rPr>
        <w:t>2024 Say-on-Pay Vote Outcome and Shareholder Engagement and Responsiveness</w:t>
      </w:r>
    </w:p>
    <w:p>
      <w:pPr>
        <w:spacing w:after="0" w:line="3" w:lineRule="exact"/>
        <w:rPr>
          <w:sz w:val="20"/>
          <w:szCs w:val="20"/>
          <w:color w:val="auto"/>
        </w:rPr>
      </w:pPr>
    </w:p>
    <w:p>
      <w:pPr>
        <w:ind w:right="220"/>
        <w:spacing w:after="0" w:line="268" w:lineRule="auto"/>
        <w:rPr>
          <w:sz w:val="20"/>
          <w:szCs w:val="20"/>
          <w:color w:val="auto"/>
        </w:rPr>
      </w:pPr>
      <w:r>
        <w:rPr>
          <w:rFonts w:ascii="Arial" w:cs="Arial" w:eastAsia="Arial" w:hAnsi="Arial"/>
          <w:sz w:val="16"/>
          <w:szCs w:val="16"/>
          <w:color w:val="3D3935"/>
        </w:rPr>
        <w:t>Our stewardship engagement program is an important input to how our Compensation Committee evolves our executive compensation program to ensure continued alignment with our business strategy and the interests of our management team and shareholders. Accordingly, and as described in more detail in our Compensation Discussion and Analysis (CD&amp;A) starting on page 45 of this Proxy Statement, the Company undertook a multi-phased engagement effort in early 2024 during the “proxy season” to explain the rationale behind the enhancements to our 2024 executive compensation program and related disclosures. The Chair of our Compensation Committee Wesley Bush and Independent Lead Director Patricia Russo participated in these engagements. Despite that outreach, our 2024 Say-on-Pay vote was approximately 58%, which was significantly lower than our historically strong support and disappointing to the Board. The Board determined that it was therefore important to continue our compensation-focused shareholder outreach effort to better understand investor perspectives and concerns, particularly of those who voted against our 2024 Say-on-Pay proposal, and to better position the Company to be responsive to that feedback.</w:t>
      </w:r>
    </w:p>
    <w:p>
      <w:pPr>
        <w:spacing w:after="0" w:line="116" w:lineRule="exact"/>
        <w:rPr>
          <w:sz w:val="20"/>
          <w:szCs w:val="20"/>
          <w:color w:val="auto"/>
        </w:rPr>
      </w:pPr>
    </w:p>
    <w:p>
      <w:pPr>
        <w:ind w:right="280"/>
        <w:spacing w:after="0" w:line="269" w:lineRule="auto"/>
        <w:rPr>
          <w:sz w:val="20"/>
          <w:szCs w:val="20"/>
          <w:color w:val="auto"/>
        </w:rPr>
      </w:pPr>
      <w:r>
        <w:rPr>
          <w:rFonts w:ascii="Arial" w:cs="Arial" w:eastAsia="Arial" w:hAnsi="Arial"/>
          <w:sz w:val="16"/>
          <w:szCs w:val="16"/>
          <w:color w:val="3D3935"/>
        </w:rPr>
        <w:t>To that end, the Company met with a significant number of our shareholders throughout fall 2024 and winter 2025, with a specific focus on understanding the rationale for 2024 Say-on-Pay votes, further discussing the disclosed changes to our 2024 program, and seeking input on potential enhancements to program features and disclosures to be included in our 2025 Proxy Statement. Mr. Bush and Ms. Russo again participated in meetings to ensure a direct line of communication between shareholders and our Board. In these meetings, we confirmed that concerns, including those driving votes against our 2024 Say-on-Pay proposal, were largely related to shareholder desire for enhanced alignment of management compensation with shareholder outcomes, and that shareholders were broadly supportive of the changes we had forward-disclosed to our program for 2024.</w:t>
      </w:r>
    </w:p>
    <w:p>
      <w:pPr>
        <w:spacing w:after="0" w:line="119" w:lineRule="exact"/>
        <w:rPr>
          <w:sz w:val="20"/>
          <w:szCs w:val="20"/>
          <w:color w:val="auto"/>
        </w:rPr>
      </w:pPr>
    </w:p>
    <w:p>
      <w:pPr>
        <w:ind w:right="220"/>
        <w:spacing w:after="0" w:line="277" w:lineRule="auto"/>
        <w:rPr>
          <w:sz w:val="20"/>
          <w:szCs w:val="20"/>
          <w:color w:val="auto"/>
        </w:rPr>
      </w:pPr>
      <w:r>
        <w:rPr>
          <w:rFonts w:ascii="Arial" w:cs="Arial" w:eastAsia="Arial" w:hAnsi="Arial"/>
          <w:sz w:val="16"/>
          <w:szCs w:val="16"/>
          <w:color w:val="3D3935"/>
        </w:rPr>
        <w:t>These multiple engagement phases have been an important input to our Compensation Committee’s determination to approve changes to our 2024 executive compensation program and additional changes and disclosure enhancements for 2025. The Committee believes these collective changes reflect and are responsive to shareholder feedback and better align our compensation program with our strategic priorities and the pace of the Company’s transformation strategy.</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3D3935"/>
        </w:rPr>
        <w:t>Program Design Changes</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3D3935"/>
        </w:rPr>
        <w:t>STIP</w:t>
      </w:r>
    </w:p>
    <w:p>
      <w:pPr>
        <w:spacing w:after="0" w:line="73" w:lineRule="exact"/>
        <w:rPr>
          <w:sz w:val="20"/>
          <w:szCs w:val="20"/>
          <w:color w:val="auto"/>
        </w:rPr>
      </w:pPr>
    </w:p>
    <w:p>
      <w:pPr>
        <w:ind w:left="240" w:right="280" w:hanging="185"/>
        <w:spacing w:after="0" w:line="284" w:lineRule="auto"/>
        <w:tabs>
          <w:tab w:leader="none" w:pos="240" w:val="left"/>
        </w:tabs>
        <w:numPr>
          <w:ilvl w:val="0"/>
          <w:numId w:val="18"/>
        </w:numPr>
        <w:rPr>
          <w:rFonts w:ascii="Arial" w:cs="Arial" w:eastAsia="Arial" w:hAnsi="Arial"/>
          <w:sz w:val="16"/>
          <w:szCs w:val="16"/>
          <w:color w:val="0072CE"/>
        </w:rPr>
      </w:pPr>
      <w:r>
        <w:rPr>
          <w:rFonts w:ascii="Arial" w:cs="Arial" w:eastAsia="Arial" w:hAnsi="Arial"/>
          <w:sz w:val="16"/>
          <w:szCs w:val="16"/>
          <w:color w:val="3D3935"/>
        </w:rPr>
        <w:t>Incorporated quantifiable goals tied to GM’s strategic pillars for EV (25% of STIP), Software &amp; Services (“S&amp;S”) (10% of STIP), and AV strategy (5% of STIP), and rebalanced the weighting of these metrics to retain focus on driving profitability and cash flows while also further incentivizing key elements of our strategic transformation</w:t>
      </w:r>
    </w:p>
    <w:p>
      <w:pPr>
        <w:spacing w:after="0" w:line="8" w:lineRule="exact"/>
        <w:rPr>
          <w:rFonts w:ascii="Arial" w:cs="Arial" w:eastAsia="Arial" w:hAnsi="Arial"/>
          <w:sz w:val="16"/>
          <w:szCs w:val="16"/>
          <w:color w:val="0072CE"/>
        </w:rPr>
      </w:pPr>
    </w:p>
    <w:p>
      <w:pPr>
        <w:ind w:left="240" w:right="840" w:hanging="185"/>
        <w:spacing w:after="0" w:line="299" w:lineRule="auto"/>
        <w:tabs>
          <w:tab w:leader="none" w:pos="240" w:val="left"/>
        </w:tabs>
        <w:numPr>
          <w:ilvl w:val="0"/>
          <w:numId w:val="18"/>
        </w:numPr>
        <w:rPr>
          <w:rFonts w:ascii="Arial" w:cs="Arial" w:eastAsia="Arial" w:hAnsi="Arial"/>
          <w:sz w:val="16"/>
          <w:szCs w:val="16"/>
          <w:color w:val="0072CE"/>
        </w:rPr>
      </w:pPr>
      <w:r>
        <w:rPr>
          <w:rFonts w:ascii="Arial" w:cs="Arial" w:eastAsia="Arial" w:hAnsi="Arial"/>
          <w:sz w:val="16"/>
          <w:szCs w:val="16"/>
          <w:color w:val="3D3935"/>
        </w:rPr>
        <w:t>Final STIP payout subject to an individual performance modifier not to exceed 110% of the STIP payout amount generated by Company performance; total payout remains capped at 200% of target</w:t>
      </w:r>
    </w:p>
    <w:p>
      <w:pPr>
        <w:ind w:left="240" w:hanging="185"/>
        <w:spacing w:after="0"/>
        <w:tabs>
          <w:tab w:leader="none" w:pos="240" w:val="left"/>
        </w:tabs>
        <w:numPr>
          <w:ilvl w:val="0"/>
          <w:numId w:val="18"/>
        </w:numPr>
        <w:rPr>
          <w:rFonts w:ascii="Arial" w:cs="Arial" w:eastAsia="Arial" w:hAnsi="Arial"/>
          <w:sz w:val="16"/>
          <w:szCs w:val="16"/>
          <w:color w:val="0072CE"/>
        </w:rPr>
      </w:pPr>
      <w:r>
        <w:rPr>
          <w:rFonts w:ascii="Arial" w:cs="Arial" w:eastAsia="Arial" w:hAnsi="Arial"/>
          <w:sz w:val="16"/>
          <w:szCs w:val="16"/>
          <w:color w:val="3D3935"/>
        </w:rPr>
        <w:t>Eliminated the strategic goals component of the STIP, previously weighted 25%</w:t>
      </w:r>
    </w:p>
    <w:p>
      <w:pPr>
        <w:sectPr>
          <w:pgSz w:w="11900" w:h="16838" w:orient="portrait"/>
          <w:cols w:equalWidth="0" w:num="1">
            <w:col w:w="9080"/>
          </w:cols>
          <w:pgMar w:left="1400" w:top="188" w:right="1419" w:bottom="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6"/>
          <w:szCs w:val="16"/>
          <w:b w:val="1"/>
          <w:bCs w:val="1"/>
          <w:color w:val="3D3935"/>
        </w:rPr>
        <w:t>LTIP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-98425</wp:posOffset>
            </wp:positionV>
            <wp:extent cx="6810375" cy="2127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10375" cy="2127885"/>
                    </a:xfrm>
                    <a:prstGeom prst="rect">
                      <a:avLst/>
                    </a:prstGeom>
                    <a:noFill/>
                  </pic:spPr>
                </pic:pic>
              </a:graphicData>
            </a:graphic>
          </wp:anchor>
        </w:drawing>
      </w:r>
    </w:p>
    <w:p>
      <w:pPr>
        <w:spacing w:after="0" w:line="15" w:lineRule="exact"/>
        <w:rPr>
          <w:sz w:val="20"/>
          <w:szCs w:val="20"/>
          <w:color w:val="auto"/>
        </w:rPr>
      </w:pPr>
    </w:p>
    <w:p>
      <w:pPr>
        <w:ind w:left="240" w:right="380" w:hanging="185"/>
        <w:spacing w:after="0" w:line="283" w:lineRule="auto"/>
        <w:tabs>
          <w:tab w:leader="none" w:pos="240" w:val="left"/>
        </w:tabs>
        <w:numPr>
          <w:ilvl w:val="0"/>
          <w:numId w:val="19"/>
        </w:numPr>
        <w:rPr>
          <w:rFonts w:ascii="Arial" w:cs="Arial" w:eastAsia="Arial" w:hAnsi="Arial"/>
          <w:sz w:val="16"/>
          <w:szCs w:val="16"/>
          <w:color w:val="0072CE"/>
        </w:rPr>
      </w:pPr>
      <w:r>
        <w:rPr>
          <w:rFonts w:ascii="Arial" w:cs="Arial" w:eastAsia="Arial" w:hAnsi="Arial"/>
          <w:sz w:val="16"/>
          <w:szCs w:val="16"/>
          <w:color w:val="3D3935"/>
        </w:rPr>
        <w:t>Cumulative AAOCF was added to the 2024 PSU performance measures (30% of LTIP) to increase focus on long-term cash generation; EV measures were transitioned into our STIP as noted above</w:t>
      </w:r>
    </w:p>
    <w:p>
      <w:pPr>
        <w:spacing w:after="0" w:line="9" w:lineRule="exact"/>
        <w:rPr>
          <w:rFonts w:ascii="Arial" w:cs="Arial" w:eastAsia="Arial" w:hAnsi="Arial"/>
          <w:sz w:val="16"/>
          <w:szCs w:val="16"/>
          <w:color w:val="0072CE"/>
        </w:rPr>
      </w:pPr>
    </w:p>
    <w:p>
      <w:pPr>
        <w:ind w:left="240" w:hanging="185"/>
        <w:spacing w:after="0"/>
        <w:tabs>
          <w:tab w:leader="none" w:pos="240" w:val="left"/>
        </w:tabs>
        <w:numPr>
          <w:ilvl w:val="0"/>
          <w:numId w:val="19"/>
        </w:numPr>
        <w:rPr>
          <w:rFonts w:ascii="Arial" w:cs="Arial" w:eastAsia="Arial" w:hAnsi="Arial"/>
          <w:sz w:val="16"/>
          <w:szCs w:val="16"/>
          <w:color w:val="0072CE"/>
        </w:rPr>
      </w:pPr>
      <w:r>
        <w:rPr>
          <w:rFonts w:ascii="Arial" w:cs="Arial" w:eastAsia="Arial" w:hAnsi="Arial"/>
          <w:sz w:val="16"/>
          <w:szCs w:val="16"/>
          <w:color w:val="3D3935"/>
        </w:rPr>
        <w:t>Incorporated RSUs (25% of LTIP) in lieu of stock options to improve our ability to attract and retain key talent</w:t>
      </w:r>
    </w:p>
    <w:p>
      <w:pPr>
        <w:spacing w:after="0" w:line="72" w:lineRule="exact"/>
        <w:rPr>
          <w:rFonts w:ascii="Arial" w:cs="Arial" w:eastAsia="Arial" w:hAnsi="Arial"/>
          <w:sz w:val="16"/>
          <w:szCs w:val="16"/>
          <w:color w:val="0072CE"/>
        </w:rPr>
      </w:pPr>
    </w:p>
    <w:p>
      <w:pPr>
        <w:ind w:left="240" w:right="560" w:hanging="185"/>
        <w:spacing w:after="0" w:line="304" w:lineRule="auto"/>
        <w:tabs>
          <w:tab w:leader="none" w:pos="240" w:val="left"/>
        </w:tabs>
        <w:numPr>
          <w:ilvl w:val="0"/>
          <w:numId w:val="19"/>
        </w:numPr>
        <w:rPr>
          <w:rFonts w:ascii="Arial" w:cs="Arial" w:eastAsia="Arial" w:hAnsi="Arial"/>
          <w:sz w:val="16"/>
          <w:szCs w:val="16"/>
          <w:color w:val="0072CE"/>
        </w:rPr>
      </w:pPr>
      <w:r>
        <w:rPr>
          <w:rFonts w:ascii="Arial" w:cs="Arial" w:eastAsia="Arial" w:hAnsi="Arial"/>
          <w:sz w:val="16"/>
          <w:szCs w:val="16"/>
          <w:color w:val="3D3935"/>
        </w:rPr>
        <w:t>Increased target performance for the relative TSR PSUs from 50th percentile to 55th percentile starting with awards granted in 2025</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3D3935"/>
        </w:rPr>
        <w:t>The Company also remains focused on responding to shareholder interest for additional disclosure on key elements of our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60" w:type="dxa"/>
            <w:vAlign w:val="bottom"/>
          </w:tcPr>
          <w:p>
            <w:pPr>
              <w:spacing w:after="0"/>
              <w:rPr>
                <w:sz w:val="20"/>
                <w:szCs w:val="20"/>
                <w:color w:val="auto"/>
              </w:rPr>
            </w:pPr>
            <w:r>
              <w:rPr>
                <w:rFonts w:ascii="Arial" w:cs="Arial" w:eastAsia="Arial" w:hAnsi="Arial"/>
                <w:sz w:val="16"/>
                <w:szCs w:val="16"/>
                <w:color w:val="3D3935"/>
              </w:rPr>
              <w:t>executive compensation program and approach, and has expanded our disclosure regarding shareholder outreach and</w:t>
            </w:r>
          </w:p>
        </w:tc>
        <w:tc>
          <w:tcPr>
            <w:tcW w:w="520" w:type="dxa"/>
            <w:vAlign w:val="bottom"/>
          </w:tcPr>
          <w:p>
            <w:pPr>
              <w:spacing w:after="0"/>
              <w:rPr>
                <w:sz w:val="16"/>
                <w:szCs w:val="16"/>
                <w:color w:val="auto"/>
              </w:rPr>
            </w:pPr>
          </w:p>
        </w:tc>
      </w:tr>
      <w:tr>
        <w:trPr>
          <w:trHeight w:val="215"/>
        </w:trPr>
        <w:tc>
          <w:tcPr>
            <w:tcW w:w="8560" w:type="dxa"/>
            <w:vAlign w:val="bottom"/>
          </w:tcPr>
          <w:p>
            <w:pPr>
              <w:spacing w:after="0"/>
              <w:rPr>
                <w:sz w:val="20"/>
                <w:szCs w:val="20"/>
                <w:color w:val="auto"/>
              </w:rPr>
            </w:pPr>
            <w:r>
              <w:rPr>
                <w:rFonts w:ascii="Arial" w:cs="Arial" w:eastAsia="Arial" w:hAnsi="Arial"/>
                <w:sz w:val="16"/>
                <w:szCs w:val="16"/>
                <w:color w:val="3D3935"/>
              </w:rPr>
              <w:t>responsiveness, metric selection, the target setting process, and peer group selection in our CD&amp;A beginning on page</w:t>
            </w:r>
          </w:p>
        </w:tc>
        <w:tc>
          <w:tcPr>
            <w:tcW w:w="520" w:type="dxa"/>
            <w:vAlign w:val="bottom"/>
          </w:tcPr>
          <w:p>
            <w:pPr>
              <w:jc w:val="right"/>
              <w:ind w:right="164"/>
              <w:spacing w:after="0"/>
              <w:rPr>
                <w:sz w:val="20"/>
                <w:szCs w:val="20"/>
                <w:color w:val="auto"/>
              </w:rPr>
            </w:pPr>
            <w:r>
              <w:rPr>
                <w:rFonts w:ascii="Arial" w:cs="Arial" w:eastAsia="Arial" w:hAnsi="Arial"/>
                <w:sz w:val="16"/>
                <w:szCs w:val="16"/>
                <w:color w:val="3D3935"/>
                <w:w w:val="97"/>
              </w:rPr>
              <w:t>45 .</w:t>
            </w:r>
          </w:p>
        </w:tc>
      </w:tr>
      <w:tr>
        <w:trPr>
          <w:trHeight w:val="783"/>
        </w:trPr>
        <w:tc>
          <w:tcPr>
            <w:tcW w:w="8560" w:type="dxa"/>
            <w:vAlign w:val="bottom"/>
          </w:tcPr>
          <w:p>
            <w:pPr>
              <w:ind w:left="7000"/>
              <w:spacing w:after="0"/>
              <w:rPr>
                <w:sz w:val="20"/>
                <w:szCs w:val="20"/>
                <w:color w:val="auto"/>
              </w:rPr>
            </w:pPr>
            <w:r>
              <w:rPr>
                <w:rFonts w:ascii="Arial" w:cs="Arial" w:eastAsia="Arial" w:hAnsi="Arial"/>
                <w:sz w:val="14"/>
                <w:szCs w:val="14"/>
                <w:b w:val="1"/>
                <w:bCs w:val="1"/>
                <w:color w:val="0072CE"/>
              </w:rPr>
              <w:t>2025 Proxy Statement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3D3935"/>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8305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10375" cy="830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Proxy Summary</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Elements of Compensation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420" w:type="dxa"/>
            <w:vAlign w:val="bottom"/>
            <w:vMerge w:val="restart"/>
          </w:tcPr>
          <w:p>
            <w:pPr>
              <w:ind w:left="60"/>
              <w:spacing w:after="0"/>
              <w:rPr>
                <w:sz w:val="20"/>
                <w:szCs w:val="20"/>
                <w:color w:val="auto"/>
              </w:rPr>
            </w:pPr>
            <w:r>
              <w:rPr>
                <w:rFonts w:ascii="Arial" w:cs="Arial" w:eastAsia="Arial" w:hAnsi="Arial"/>
                <w:sz w:val="14"/>
                <w:szCs w:val="14"/>
                <w:b w:val="1"/>
                <w:bCs w:val="1"/>
                <w:color w:val="3D3935"/>
              </w:rPr>
              <w:t>Compensation</w:t>
            </w:r>
          </w:p>
        </w:tc>
        <w:tc>
          <w:tcPr>
            <w:tcW w:w="1900" w:type="dxa"/>
            <w:vAlign w:val="bottom"/>
            <w:shd w:val="clear" w:color="auto" w:fill="C3D7EE"/>
          </w:tcPr>
          <w:p>
            <w:pPr>
              <w:ind w:left="40"/>
              <w:spacing w:after="0"/>
              <w:rPr>
                <w:sz w:val="20"/>
                <w:szCs w:val="20"/>
                <w:color w:val="auto"/>
              </w:rPr>
            </w:pPr>
            <w:r>
              <w:rPr>
                <w:rFonts w:ascii="Arial" w:cs="Arial" w:eastAsia="Arial" w:hAnsi="Arial"/>
                <w:sz w:val="14"/>
                <w:szCs w:val="14"/>
                <w:b w:val="1"/>
                <w:bCs w:val="1"/>
                <w:color w:val="3D3935"/>
              </w:rPr>
              <w:t>Short-Term Cash</w:t>
            </w:r>
          </w:p>
        </w:tc>
        <w:tc>
          <w:tcPr>
            <w:tcW w:w="1920" w:type="dxa"/>
            <w:vAlign w:val="bottom"/>
            <w:shd w:val="clear" w:color="auto" w:fill="C3D7EE"/>
          </w:tcPr>
          <w:p>
            <w:pPr>
              <w:spacing w:after="0"/>
              <w:rPr>
                <w:sz w:val="23"/>
                <w:szCs w:val="23"/>
                <w:color w:val="auto"/>
              </w:rPr>
            </w:pPr>
          </w:p>
        </w:tc>
        <w:tc>
          <w:tcPr>
            <w:tcW w:w="1920" w:type="dxa"/>
            <w:vAlign w:val="bottom"/>
            <w:shd w:val="clear" w:color="auto" w:fill="BABBBC"/>
          </w:tcPr>
          <w:p>
            <w:pPr>
              <w:ind w:left="60"/>
              <w:spacing w:after="0"/>
              <w:rPr>
                <w:sz w:val="20"/>
                <w:szCs w:val="20"/>
                <w:color w:val="auto"/>
              </w:rPr>
            </w:pPr>
            <w:r>
              <w:rPr>
                <w:rFonts w:ascii="Arial" w:cs="Arial" w:eastAsia="Arial" w:hAnsi="Arial"/>
                <w:sz w:val="14"/>
                <w:szCs w:val="14"/>
                <w:b w:val="1"/>
                <w:bCs w:val="1"/>
                <w:color w:val="3D3935"/>
              </w:rPr>
              <w:t>Long-Term Equity</w:t>
            </w:r>
          </w:p>
        </w:tc>
        <w:tc>
          <w:tcPr>
            <w:tcW w:w="1920" w:type="dxa"/>
            <w:vAlign w:val="bottom"/>
            <w:shd w:val="clear" w:color="auto" w:fill="BABBBC"/>
          </w:tcPr>
          <w:p>
            <w:pPr>
              <w:spacing w:after="0"/>
              <w:rPr>
                <w:sz w:val="23"/>
                <w:szCs w:val="23"/>
                <w:color w:val="auto"/>
              </w:rPr>
            </w:pPr>
          </w:p>
        </w:tc>
        <w:tc>
          <w:tcPr>
            <w:tcW w:w="0" w:type="dxa"/>
            <w:vAlign w:val="bottom"/>
          </w:tcPr>
          <w:p>
            <w:pPr>
              <w:spacing w:after="0"/>
              <w:rPr>
                <w:sz w:val="1"/>
                <w:szCs w:val="1"/>
                <w:color w:val="auto"/>
              </w:rPr>
            </w:pPr>
          </w:p>
        </w:tc>
      </w:tr>
      <w:tr>
        <w:trPr>
          <w:trHeight w:val="72"/>
        </w:trPr>
        <w:tc>
          <w:tcPr>
            <w:tcW w:w="1420" w:type="dxa"/>
            <w:vAlign w:val="bottom"/>
            <w:vMerge w:val="continue"/>
          </w:tcPr>
          <w:p>
            <w:pPr>
              <w:spacing w:after="0"/>
              <w:rPr>
                <w:sz w:val="6"/>
                <w:szCs w:val="6"/>
                <w:color w:val="auto"/>
              </w:rPr>
            </w:pPr>
          </w:p>
        </w:tc>
        <w:tc>
          <w:tcPr>
            <w:tcW w:w="1900" w:type="dxa"/>
            <w:vAlign w:val="bottom"/>
            <w:vMerge w:val="restart"/>
            <w:shd w:val="clear" w:color="auto" w:fill="D9D9D6"/>
          </w:tcPr>
          <w:p>
            <w:pPr>
              <w:ind w:left="40"/>
              <w:spacing w:after="0"/>
              <w:rPr>
                <w:sz w:val="20"/>
                <w:szCs w:val="20"/>
                <w:color w:val="auto"/>
              </w:rPr>
            </w:pPr>
            <w:r>
              <w:rPr>
                <w:rFonts w:ascii="Arial" w:cs="Arial" w:eastAsia="Arial" w:hAnsi="Arial"/>
                <w:sz w:val="14"/>
                <w:szCs w:val="14"/>
                <w:b w:val="1"/>
                <w:bCs w:val="1"/>
                <w:color w:val="3D3935"/>
              </w:rPr>
              <w:t>Salary</w:t>
            </w:r>
          </w:p>
        </w:tc>
        <w:tc>
          <w:tcPr>
            <w:tcW w:w="1920" w:type="dxa"/>
            <w:vAlign w:val="bottom"/>
            <w:vMerge w:val="restart"/>
            <w:shd w:val="clear" w:color="auto" w:fill="0072CE"/>
          </w:tcPr>
          <w:p>
            <w:pPr>
              <w:ind w:left="60"/>
              <w:spacing w:after="0"/>
              <w:rPr>
                <w:sz w:val="20"/>
                <w:szCs w:val="20"/>
                <w:color w:val="auto"/>
              </w:rPr>
            </w:pPr>
            <w:r>
              <w:rPr>
                <w:rFonts w:ascii="Arial" w:cs="Arial" w:eastAsia="Arial" w:hAnsi="Arial"/>
                <w:sz w:val="14"/>
                <w:szCs w:val="14"/>
                <w:b w:val="1"/>
                <w:bCs w:val="1"/>
                <w:color w:val="FFFFFF"/>
              </w:rPr>
              <w:t>STIP</w:t>
            </w:r>
          </w:p>
        </w:tc>
        <w:tc>
          <w:tcPr>
            <w:tcW w:w="1920" w:type="dxa"/>
            <w:vAlign w:val="bottom"/>
            <w:vMerge w:val="restart"/>
            <w:shd w:val="clear" w:color="auto" w:fill="05C3DD"/>
          </w:tcPr>
          <w:p>
            <w:pPr>
              <w:ind w:left="60"/>
              <w:spacing w:after="0"/>
              <w:rPr>
                <w:sz w:val="20"/>
                <w:szCs w:val="20"/>
                <w:color w:val="auto"/>
              </w:rPr>
            </w:pPr>
            <w:r>
              <w:rPr>
                <w:rFonts w:ascii="Arial" w:cs="Arial" w:eastAsia="Arial" w:hAnsi="Arial"/>
                <w:sz w:val="14"/>
                <w:szCs w:val="14"/>
                <w:b w:val="1"/>
                <w:bCs w:val="1"/>
                <w:color w:val="3D3935"/>
              </w:rPr>
              <w:t>PSUs</w:t>
            </w:r>
          </w:p>
        </w:tc>
        <w:tc>
          <w:tcPr>
            <w:tcW w:w="1920" w:type="dxa"/>
            <w:vAlign w:val="bottom"/>
            <w:vMerge w:val="restart"/>
            <w:shd w:val="clear" w:color="auto" w:fill="6ADBEB"/>
          </w:tcPr>
          <w:p>
            <w:pPr>
              <w:ind w:left="60"/>
              <w:spacing w:after="0"/>
              <w:rPr>
                <w:sz w:val="20"/>
                <w:szCs w:val="20"/>
                <w:color w:val="auto"/>
              </w:rPr>
            </w:pPr>
            <w:r>
              <w:rPr>
                <w:rFonts w:ascii="Arial" w:cs="Arial" w:eastAsia="Arial" w:hAnsi="Arial"/>
                <w:sz w:val="14"/>
                <w:szCs w:val="14"/>
                <w:b w:val="1"/>
                <w:bCs w:val="1"/>
                <w:color w:val="3D3935"/>
              </w:rPr>
              <w:t>RSUs</w:t>
            </w:r>
          </w:p>
        </w:tc>
        <w:tc>
          <w:tcPr>
            <w:tcW w:w="0" w:type="dxa"/>
            <w:vAlign w:val="bottom"/>
          </w:tcPr>
          <w:p>
            <w:pPr>
              <w:spacing w:after="0"/>
              <w:rPr>
                <w:sz w:val="1"/>
                <w:szCs w:val="1"/>
                <w:color w:val="auto"/>
              </w:rPr>
            </w:pPr>
          </w:p>
        </w:tc>
      </w:tr>
      <w:tr>
        <w:trPr>
          <w:trHeight w:val="197"/>
        </w:trPr>
        <w:tc>
          <w:tcPr>
            <w:tcW w:w="1420" w:type="dxa"/>
            <w:vAlign w:val="bottom"/>
            <w:tcBorders>
              <w:bottom w:val="single" w:sz="8" w:color="0072CE"/>
            </w:tcBorders>
          </w:tcPr>
          <w:p>
            <w:pPr>
              <w:ind w:left="60"/>
              <w:spacing w:after="0"/>
              <w:rPr>
                <w:sz w:val="20"/>
                <w:szCs w:val="20"/>
                <w:color w:val="auto"/>
              </w:rPr>
            </w:pPr>
            <w:r>
              <w:rPr>
                <w:rFonts w:ascii="Arial" w:cs="Arial" w:eastAsia="Arial" w:hAnsi="Arial"/>
                <w:sz w:val="14"/>
                <w:szCs w:val="14"/>
                <w:b w:val="1"/>
                <w:bCs w:val="1"/>
                <w:color w:val="3D3935"/>
              </w:rPr>
              <w:t>Components</w:t>
            </w:r>
          </w:p>
        </w:tc>
        <w:tc>
          <w:tcPr>
            <w:tcW w:w="1900" w:type="dxa"/>
            <w:vAlign w:val="bottom"/>
            <w:tcBorders>
              <w:bottom w:val="single" w:sz="8" w:color="0072CE"/>
            </w:tcBorders>
            <w:vMerge w:val="continue"/>
            <w:shd w:val="clear" w:color="auto" w:fill="D9D9D6"/>
          </w:tcPr>
          <w:p>
            <w:pPr>
              <w:spacing w:after="0"/>
              <w:rPr>
                <w:sz w:val="17"/>
                <w:szCs w:val="17"/>
                <w:color w:val="auto"/>
              </w:rPr>
            </w:pPr>
          </w:p>
        </w:tc>
        <w:tc>
          <w:tcPr>
            <w:tcW w:w="1920" w:type="dxa"/>
            <w:vAlign w:val="bottom"/>
            <w:tcBorders>
              <w:bottom w:val="single" w:sz="8" w:color="0072CE"/>
            </w:tcBorders>
            <w:vMerge w:val="continue"/>
            <w:shd w:val="clear" w:color="auto" w:fill="0072CE"/>
          </w:tcPr>
          <w:p>
            <w:pPr>
              <w:spacing w:after="0"/>
              <w:rPr>
                <w:sz w:val="17"/>
                <w:szCs w:val="17"/>
                <w:color w:val="auto"/>
              </w:rPr>
            </w:pPr>
          </w:p>
        </w:tc>
        <w:tc>
          <w:tcPr>
            <w:tcW w:w="1920" w:type="dxa"/>
            <w:vAlign w:val="bottom"/>
            <w:tcBorders>
              <w:bottom w:val="single" w:sz="8" w:color="0072CE"/>
            </w:tcBorders>
            <w:vMerge w:val="continue"/>
            <w:shd w:val="clear" w:color="auto" w:fill="05C3DD"/>
          </w:tcPr>
          <w:p>
            <w:pPr>
              <w:spacing w:after="0"/>
              <w:rPr>
                <w:sz w:val="17"/>
                <w:szCs w:val="17"/>
                <w:color w:val="auto"/>
              </w:rPr>
            </w:pPr>
          </w:p>
        </w:tc>
        <w:tc>
          <w:tcPr>
            <w:tcW w:w="1920" w:type="dxa"/>
            <w:vAlign w:val="bottom"/>
            <w:tcBorders>
              <w:bottom w:val="single" w:sz="8" w:color="0072CE"/>
            </w:tcBorders>
            <w:vMerge w:val="continue"/>
            <w:shd w:val="clear" w:color="auto" w:fill="6ADBEB"/>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420" w:type="dxa"/>
            <w:vAlign w:val="bottom"/>
          </w:tcPr>
          <w:p>
            <w:pPr>
              <w:ind w:left="60"/>
              <w:spacing w:after="0"/>
              <w:rPr>
                <w:sz w:val="20"/>
                <w:szCs w:val="20"/>
                <w:color w:val="auto"/>
              </w:rPr>
            </w:pPr>
            <w:r>
              <w:rPr>
                <w:rFonts w:ascii="Arial" w:cs="Arial" w:eastAsia="Arial" w:hAnsi="Arial"/>
                <w:sz w:val="14"/>
                <w:szCs w:val="14"/>
                <w:b w:val="1"/>
                <w:bCs w:val="1"/>
                <w:color w:val="3D3935"/>
              </w:rPr>
              <w:t>Link to Strategy</w:t>
            </w:r>
          </w:p>
        </w:tc>
        <w:tc>
          <w:tcPr>
            <w:tcW w:w="1900" w:type="dxa"/>
            <w:vAlign w:val="bottom"/>
          </w:tcPr>
          <w:p>
            <w:pPr>
              <w:ind w:left="40"/>
              <w:spacing w:after="0"/>
              <w:rPr>
                <w:sz w:val="20"/>
                <w:szCs w:val="20"/>
                <w:color w:val="auto"/>
              </w:rPr>
            </w:pPr>
            <w:r>
              <w:rPr>
                <w:rFonts w:ascii="Arial" w:cs="Arial" w:eastAsia="Arial" w:hAnsi="Arial"/>
                <w:sz w:val="16"/>
                <w:szCs w:val="16"/>
                <w:color w:val="3D3935"/>
              </w:rPr>
              <w:t>Market-competitive</w:t>
            </w:r>
          </w:p>
        </w:tc>
        <w:tc>
          <w:tcPr>
            <w:tcW w:w="1920" w:type="dxa"/>
            <w:vAlign w:val="bottom"/>
          </w:tcPr>
          <w:p>
            <w:pPr>
              <w:ind w:left="60"/>
              <w:spacing w:after="0"/>
              <w:rPr>
                <w:sz w:val="20"/>
                <w:szCs w:val="20"/>
                <w:color w:val="auto"/>
              </w:rPr>
            </w:pPr>
            <w:r>
              <w:rPr>
                <w:rFonts w:ascii="Arial" w:cs="Arial" w:eastAsia="Arial" w:hAnsi="Arial"/>
                <w:sz w:val="16"/>
                <w:szCs w:val="16"/>
                <w:color w:val="3D3935"/>
              </w:rPr>
              <w:t>Annual cash incentive</w:t>
            </w:r>
          </w:p>
        </w:tc>
        <w:tc>
          <w:tcPr>
            <w:tcW w:w="1920" w:type="dxa"/>
            <w:vAlign w:val="bottom"/>
          </w:tcPr>
          <w:p>
            <w:pPr>
              <w:ind w:left="60"/>
              <w:spacing w:after="0"/>
              <w:rPr>
                <w:sz w:val="20"/>
                <w:szCs w:val="20"/>
                <w:color w:val="auto"/>
              </w:rPr>
            </w:pPr>
            <w:r>
              <w:rPr>
                <w:rFonts w:ascii="Arial" w:cs="Arial" w:eastAsia="Arial" w:hAnsi="Arial"/>
                <w:sz w:val="16"/>
                <w:szCs w:val="16"/>
                <w:color w:val="3D3935"/>
              </w:rPr>
              <w:t>Align leadership with</w:t>
            </w:r>
          </w:p>
        </w:tc>
        <w:tc>
          <w:tcPr>
            <w:tcW w:w="1920" w:type="dxa"/>
            <w:vAlign w:val="bottom"/>
          </w:tcPr>
          <w:p>
            <w:pPr>
              <w:ind w:left="60"/>
              <w:spacing w:after="0"/>
              <w:rPr>
                <w:sz w:val="20"/>
                <w:szCs w:val="20"/>
                <w:color w:val="auto"/>
              </w:rPr>
            </w:pPr>
            <w:r>
              <w:rPr>
                <w:rFonts w:ascii="Arial" w:cs="Arial" w:eastAsia="Arial" w:hAnsi="Arial"/>
                <w:sz w:val="16"/>
                <w:szCs w:val="16"/>
                <w:color w:val="3D3935"/>
              </w:rPr>
              <w:t>Promotes executive</w:t>
            </w:r>
          </w:p>
        </w:tc>
        <w:tc>
          <w:tcPr>
            <w:tcW w:w="0" w:type="dxa"/>
            <w:vAlign w:val="bottom"/>
          </w:tcPr>
          <w:p>
            <w:pPr>
              <w:spacing w:after="0"/>
              <w:rPr>
                <w:sz w:val="1"/>
                <w:szCs w:val="1"/>
                <w:color w:val="auto"/>
              </w:rPr>
            </w:pPr>
          </w:p>
        </w:tc>
      </w:tr>
      <w:tr>
        <w:trPr>
          <w:trHeight w:val="215"/>
        </w:trPr>
        <w:tc>
          <w:tcPr>
            <w:tcW w:w="1420" w:type="dxa"/>
            <w:vAlign w:val="bottom"/>
          </w:tcPr>
          <w:p>
            <w:pPr>
              <w:spacing w:after="0"/>
              <w:rPr>
                <w:sz w:val="18"/>
                <w:szCs w:val="18"/>
                <w:color w:val="auto"/>
              </w:rPr>
            </w:pPr>
          </w:p>
        </w:tc>
        <w:tc>
          <w:tcPr>
            <w:tcW w:w="1900" w:type="dxa"/>
            <w:vAlign w:val="bottom"/>
          </w:tcPr>
          <w:p>
            <w:pPr>
              <w:ind w:left="40"/>
              <w:spacing w:after="0"/>
              <w:rPr>
                <w:sz w:val="20"/>
                <w:szCs w:val="20"/>
                <w:color w:val="auto"/>
              </w:rPr>
            </w:pPr>
            <w:r>
              <w:rPr>
                <w:rFonts w:ascii="Arial" w:cs="Arial" w:eastAsia="Arial" w:hAnsi="Arial"/>
                <w:sz w:val="16"/>
                <w:szCs w:val="16"/>
                <w:color w:val="3D3935"/>
              </w:rPr>
              <w:t>salary reflects</w:t>
            </w:r>
          </w:p>
        </w:tc>
        <w:tc>
          <w:tcPr>
            <w:tcW w:w="1920" w:type="dxa"/>
            <w:vAlign w:val="bottom"/>
          </w:tcPr>
          <w:p>
            <w:pPr>
              <w:ind w:left="60"/>
              <w:spacing w:after="0"/>
              <w:rPr>
                <w:sz w:val="20"/>
                <w:szCs w:val="20"/>
                <w:color w:val="auto"/>
              </w:rPr>
            </w:pPr>
            <w:r>
              <w:rPr>
                <w:rFonts w:ascii="Arial" w:cs="Arial" w:eastAsia="Arial" w:hAnsi="Arial"/>
                <w:sz w:val="16"/>
                <w:szCs w:val="16"/>
                <w:color w:val="3D3935"/>
              </w:rPr>
              <w:t>based on achievements</w:t>
            </w:r>
          </w:p>
        </w:tc>
        <w:tc>
          <w:tcPr>
            <w:tcW w:w="1920" w:type="dxa"/>
            <w:vAlign w:val="bottom"/>
          </w:tcPr>
          <w:p>
            <w:pPr>
              <w:ind w:left="60"/>
              <w:spacing w:after="0"/>
              <w:rPr>
                <w:sz w:val="20"/>
                <w:szCs w:val="20"/>
                <w:color w:val="auto"/>
              </w:rPr>
            </w:pPr>
            <w:r>
              <w:rPr>
                <w:rFonts w:ascii="Arial" w:cs="Arial" w:eastAsia="Arial" w:hAnsi="Arial"/>
                <w:sz w:val="16"/>
                <w:szCs w:val="16"/>
                <w:color w:val="3D3935"/>
              </w:rPr>
              <w:t>long-term Company</w:t>
            </w:r>
          </w:p>
        </w:tc>
        <w:tc>
          <w:tcPr>
            <w:tcW w:w="1920" w:type="dxa"/>
            <w:vAlign w:val="bottom"/>
          </w:tcPr>
          <w:p>
            <w:pPr>
              <w:ind w:left="60"/>
              <w:spacing w:after="0"/>
              <w:rPr>
                <w:sz w:val="20"/>
                <w:szCs w:val="20"/>
                <w:color w:val="auto"/>
              </w:rPr>
            </w:pPr>
            <w:r>
              <w:rPr>
                <w:rFonts w:ascii="Arial" w:cs="Arial" w:eastAsia="Arial" w:hAnsi="Arial"/>
                <w:sz w:val="16"/>
                <w:szCs w:val="16"/>
                <w:color w:val="3D3935"/>
              </w:rPr>
              <w:t>retention, stock</w:t>
            </w:r>
          </w:p>
        </w:tc>
        <w:tc>
          <w:tcPr>
            <w:tcW w:w="0" w:type="dxa"/>
            <w:vAlign w:val="bottom"/>
          </w:tcPr>
          <w:p>
            <w:pPr>
              <w:spacing w:after="0"/>
              <w:rPr>
                <w:sz w:val="1"/>
                <w:szCs w:val="1"/>
                <w:color w:val="auto"/>
              </w:rPr>
            </w:pPr>
          </w:p>
        </w:tc>
      </w:tr>
      <w:tr>
        <w:trPr>
          <w:trHeight w:val="204"/>
        </w:trPr>
        <w:tc>
          <w:tcPr>
            <w:tcW w:w="1420" w:type="dxa"/>
            <w:vAlign w:val="bottom"/>
          </w:tcPr>
          <w:p>
            <w:pPr>
              <w:spacing w:after="0"/>
              <w:rPr>
                <w:sz w:val="17"/>
                <w:szCs w:val="17"/>
                <w:color w:val="auto"/>
              </w:rPr>
            </w:pPr>
          </w:p>
        </w:tc>
        <w:tc>
          <w:tcPr>
            <w:tcW w:w="1900" w:type="dxa"/>
            <w:vAlign w:val="bottom"/>
          </w:tcPr>
          <w:p>
            <w:pPr>
              <w:ind w:left="40"/>
              <w:spacing w:after="0"/>
              <w:rPr>
                <w:sz w:val="20"/>
                <w:szCs w:val="20"/>
                <w:color w:val="auto"/>
              </w:rPr>
            </w:pPr>
            <w:r>
              <w:rPr>
                <w:rFonts w:ascii="Arial" w:cs="Arial" w:eastAsia="Arial" w:hAnsi="Arial"/>
                <w:sz w:val="16"/>
                <w:szCs w:val="16"/>
                <w:color w:val="3D3935"/>
              </w:rPr>
              <w:t>contribution,</w:t>
            </w:r>
          </w:p>
        </w:tc>
        <w:tc>
          <w:tcPr>
            <w:tcW w:w="1920" w:type="dxa"/>
            <w:vAlign w:val="bottom"/>
          </w:tcPr>
          <w:p>
            <w:pPr>
              <w:ind w:left="60"/>
              <w:spacing w:after="0"/>
              <w:rPr>
                <w:sz w:val="20"/>
                <w:szCs w:val="20"/>
                <w:color w:val="auto"/>
              </w:rPr>
            </w:pPr>
            <w:r>
              <w:rPr>
                <w:rFonts w:ascii="Arial" w:cs="Arial" w:eastAsia="Arial" w:hAnsi="Arial"/>
                <w:sz w:val="16"/>
                <w:szCs w:val="16"/>
                <w:color w:val="3D3935"/>
              </w:rPr>
              <w:t>of Company financial</w:t>
            </w:r>
          </w:p>
        </w:tc>
        <w:tc>
          <w:tcPr>
            <w:tcW w:w="1920" w:type="dxa"/>
            <w:vAlign w:val="bottom"/>
          </w:tcPr>
          <w:p>
            <w:pPr>
              <w:ind w:left="60"/>
              <w:spacing w:after="0"/>
              <w:rPr>
                <w:sz w:val="20"/>
                <w:szCs w:val="20"/>
                <w:color w:val="auto"/>
              </w:rPr>
            </w:pPr>
            <w:r>
              <w:rPr>
                <w:rFonts w:ascii="Arial" w:cs="Arial" w:eastAsia="Arial" w:hAnsi="Arial"/>
                <w:sz w:val="16"/>
                <w:szCs w:val="16"/>
                <w:color w:val="3D3935"/>
              </w:rPr>
              <w:t>goals and shareholder</w:t>
            </w:r>
          </w:p>
        </w:tc>
        <w:tc>
          <w:tcPr>
            <w:tcW w:w="1920" w:type="dxa"/>
            <w:vAlign w:val="bottom"/>
          </w:tcPr>
          <w:p>
            <w:pPr>
              <w:ind w:left="60"/>
              <w:spacing w:after="0"/>
              <w:rPr>
                <w:sz w:val="20"/>
                <w:szCs w:val="20"/>
                <w:color w:val="auto"/>
              </w:rPr>
            </w:pPr>
            <w:r>
              <w:rPr>
                <w:rFonts w:ascii="Arial" w:cs="Arial" w:eastAsia="Arial" w:hAnsi="Arial"/>
                <w:sz w:val="16"/>
                <w:szCs w:val="16"/>
                <w:color w:val="3D3935"/>
              </w:rPr>
              <w:t>ownership, and</w:t>
            </w:r>
          </w:p>
        </w:tc>
        <w:tc>
          <w:tcPr>
            <w:tcW w:w="0" w:type="dxa"/>
            <w:vAlign w:val="bottom"/>
          </w:tcPr>
          <w:p>
            <w:pPr>
              <w:spacing w:after="0"/>
              <w:rPr>
                <w:sz w:val="1"/>
                <w:szCs w:val="1"/>
                <w:color w:val="auto"/>
              </w:rPr>
            </w:pPr>
          </w:p>
        </w:tc>
      </w:tr>
      <w:tr>
        <w:trPr>
          <w:trHeight w:val="215"/>
        </w:trPr>
        <w:tc>
          <w:tcPr>
            <w:tcW w:w="1420" w:type="dxa"/>
            <w:vAlign w:val="bottom"/>
          </w:tcPr>
          <w:p>
            <w:pPr>
              <w:spacing w:after="0"/>
              <w:rPr>
                <w:sz w:val="18"/>
                <w:szCs w:val="18"/>
                <w:color w:val="auto"/>
              </w:rPr>
            </w:pPr>
          </w:p>
        </w:tc>
        <w:tc>
          <w:tcPr>
            <w:tcW w:w="1900" w:type="dxa"/>
            <w:vAlign w:val="bottom"/>
          </w:tcPr>
          <w:p>
            <w:pPr>
              <w:ind w:left="40"/>
              <w:spacing w:after="0"/>
              <w:rPr>
                <w:sz w:val="20"/>
                <w:szCs w:val="20"/>
                <w:color w:val="auto"/>
              </w:rPr>
            </w:pPr>
            <w:r>
              <w:rPr>
                <w:rFonts w:ascii="Arial" w:cs="Arial" w:eastAsia="Arial" w:hAnsi="Arial"/>
                <w:sz w:val="16"/>
                <w:szCs w:val="16"/>
                <w:color w:val="3D3935"/>
              </w:rPr>
              <w:t>experience, knowledge,</w:t>
            </w:r>
          </w:p>
        </w:tc>
        <w:tc>
          <w:tcPr>
            <w:tcW w:w="1920" w:type="dxa"/>
            <w:vAlign w:val="bottom"/>
          </w:tcPr>
          <w:p>
            <w:pPr>
              <w:ind w:left="60"/>
              <w:spacing w:after="0"/>
              <w:rPr>
                <w:sz w:val="20"/>
                <w:szCs w:val="20"/>
                <w:color w:val="auto"/>
              </w:rPr>
            </w:pPr>
            <w:r>
              <w:rPr>
                <w:rFonts w:ascii="Arial" w:cs="Arial" w:eastAsia="Arial" w:hAnsi="Arial"/>
                <w:sz w:val="16"/>
                <w:szCs w:val="16"/>
                <w:color w:val="3D3935"/>
              </w:rPr>
              <w:t>goals and goals linked</w:t>
            </w:r>
          </w:p>
        </w:tc>
        <w:tc>
          <w:tcPr>
            <w:tcW w:w="1920" w:type="dxa"/>
            <w:vAlign w:val="bottom"/>
          </w:tcPr>
          <w:p>
            <w:pPr>
              <w:ind w:left="60"/>
              <w:spacing w:after="0"/>
              <w:rPr>
                <w:sz w:val="20"/>
                <w:szCs w:val="20"/>
                <w:color w:val="auto"/>
              </w:rPr>
            </w:pPr>
            <w:r>
              <w:rPr>
                <w:rFonts w:ascii="Arial" w:cs="Arial" w:eastAsia="Arial" w:hAnsi="Arial"/>
                <w:sz w:val="16"/>
                <w:szCs w:val="16"/>
                <w:color w:val="3D3935"/>
              </w:rPr>
              <w:t>interests, with an</w:t>
            </w:r>
          </w:p>
        </w:tc>
        <w:tc>
          <w:tcPr>
            <w:tcW w:w="1920" w:type="dxa"/>
            <w:vAlign w:val="bottom"/>
          </w:tcPr>
          <w:p>
            <w:pPr>
              <w:ind w:left="60"/>
              <w:spacing w:after="0"/>
              <w:rPr>
                <w:sz w:val="20"/>
                <w:szCs w:val="20"/>
                <w:color w:val="auto"/>
              </w:rPr>
            </w:pPr>
            <w:r>
              <w:rPr>
                <w:rFonts w:ascii="Arial" w:cs="Arial" w:eastAsia="Arial" w:hAnsi="Arial"/>
                <w:sz w:val="16"/>
                <w:szCs w:val="16"/>
                <w:color w:val="3D3935"/>
              </w:rPr>
              <w:t>alignment with</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900" w:type="dxa"/>
            <w:vAlign w:val="bottom"/>
          </w:tcPr>
          <w:p>
            <w:pPr>
              <w:ind w:left="40"/>
              <w:spacing w:after="0"/>
              <w:rPr>
                <w:sz w:val="20"/>
                <w:szCs w:val="20"/>
                <w:color w:val="auto"/>
              </w:rPr>
            </w:pPr>
            <w:r>
              <w:rPr>
                <w:rFonts w:ascii="Arial" w:cs="Arial" w:eastAsia="Arial" w:hAnsi="Arial"/>
                <w:sz w:val="16"/>
                <w:szCs w:val="16"/>
                <w:color w:val="3D3935"/>
              </w:rPr>
              <w:t>skills, and performance</w:t>
            </w:r>
          </w:p>
        </w:tc>
        <w:tc>
          <w:tcPr>
            <w:tcW w:w="1920" w:type="dxa"/>
            <w:vAlign w:val="bottom"/>
          </w:tcPr>
          <w:p>
            <w:pPr>
              <w:ind w:left="60"/>
              <w:spacing w:after="0"/>
              <w:rPr>
                <w:sz w:val="20"/>
                <w:szCs w:val="20"/>
                <w:color w:val="auto"/>
              </w:rPr>
            </w:pPr>
            <w:r>
              <w:rPr>
                <w:rFonts w:ascii="Arial" w:cs="Arial" w:eastAsia="Arial" w:hAnsi="Arial"/>
                <w:sz w:val="16"/>
                <w:szCs w:val="16"/>
                <w:color w:val="3D3935"/>
              </w:rPr>
              <w:t>to our strategic pillars</w:t>
            </w:r>
          </w:p>
        </w:tc>
        <w:tc>
          <w:tcPr>
            <w:tcW w:w="1920" w:type="dxa"/>
            <w:vAlign w:val="bottom"/>
          </w:tcPr>
          <w:p>
            <w:pPr>
              <w:ind w:left="60"/>
              <w:spacing w:after="0"/>
              <w:rPr>
                <w:sz w:val="20"/>
                <w:szCs w:val="20"/>
                <w:color w:val="auto"/>
              </w:rPr>
            </w:pPr>
            <w:r>
              <w:rPr>
                <w:rFonts w:ascii="Arial" w:cs="Arial" w:eastAsia="Arial" w:hAnsi="Arial"/>
                <w:sz w:val="16"/>
                <w:szCs w:val="16"/>
                <w:color w:val="3D3935"/>
              </w:rPr>
              <w:t>increased focus</w:t>
            </w:r>
          </w:p>
        </w:tc>
        <w:tc>
          <w:tcPr>
            <w:tcW w:w="1920" w:type="dxa"/>
            <w:vAlign w:val="bottom"/>
          </w:tcPr>
          <w:p>
            <w:pPr>
              <w:ind w:left="60"/>
              <w:spacing w:after="0"/>
              <w:rPr>
                <w:sz w:val="20"/>
                <w:szCs w:val="20"/>
                <w:color w:val="auto"/>
              </w:rPr>
            </w:pPr>
            <w:r>
              <w:rPr>
                <w:rFonts w:ascii="Arial" w:cs="Arial" w:eastAsia="Arial" w:hAnsi="Arial"/>
                <w:sz w:val="16"/>
                <w:szCs w:val="16"/>
                <w:color w:val="3D3935"/>
              </w:rPr>
              <w:t>shareholder interests</w:t>
            </w:r>
          </w:p>
        </w:tc>
        <w:tc>
          <w:tcPr>
            <w:tcW w:w="0" w:type="dxa"/>
            <w:vAlign w:val="bottom"/>
          </w:tcPr>
          <w:p>
            <w:pPr>
              <w:spacing w:after="0"/>
              <w:rPr>
                <w:sz w:val="1"/>
                <w:szCs w:val="1"/>
                <w:color w:val="auto"/>
              </w:rPr>
            </w:pPr>
          </w:p>
        </w:tc>
      </w:tr>
      <w:tr>
        <w:trPr>
          <w:trHeight w:val="204"/>
        </w:trPr>
        <w:tc>
          <w:tcPr>
            <w:tcW w:w="1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920" w:type="dxa"/>
            <w:vAlign w:val="bottom"/>
          </w:tcPr>
          <w:p>
            <w:pPr>
              <w:ind w:left="60"/>
              <w:spacing w:after="0"/>
              <w:rPr>
                <w:sz w:val="20"/>
                <w:szCs w:val="20"/>
                <w:color w:val="auto"/>
              </w:rPr>
            </w:pPr>
            <w:r>
              <w:rPr>
                <w:rFonts w:ascii="Arial" w:cs="Arial" w:eastAsia="Arial" w:hAnsi="Arial"/>
                <w:sz w:val="16"/>
                <w:szCs w:val="16"/>
                <w:color w:val="3D3935"/>
              </w:rPr>
              <w:t>on Company</w:t>
            </w: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4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920" w:type="dxa"/>
            <w:vAlign w:val="bottom"/>
          </w:tcPr>
          <w:p>
            <w:pPr>
              <w:ind w:left="60"/>
              <w:spacing w:after="0"/>
              <w:rPr>
                <w:sz w:val="20"/>
                <w:szCs w:val="20"/>
                <w:color w:val="auto"/>
              </w:rPr>
            </w:pPr>
            <w:r>
              <w:rPr>
                <w:rFonts w:ascii="Arial" w:cs="Arial" w:eastAsia="Arial" w:hAnsi="Arial"/>
                <w:sz w:val="16"/>
                <w:szCs w:val="16"/>
                <w:color w:val="3D3935"/>
              </w:rPr>
              <w:t>cash generation</w:t>
            </w: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1420" w:type="dxa"/>
            <w:vAlign w:val="bottom"/>
            <w:tcBorders>
              <w:bottom w:val="single" w:sz="8" w:color="0072CE"/>
            </w:tcBorders>
          </w:tcPr>
          <w:p>
            <w:pPr>
              <w:spacing w:after="0"/>
              <w:rPr>
                <w:sz w:val="7"/>
                <w:szCs w:val="7"/>
                <w:color w:val="auto"/>
              </w:rPr>
            </w:pPr>
          </w:p>
        </w:tc>
        <w:tc>
          <w:tcPr>
            <w:tcW w:w="1900" w:type="dxa"/>
            <w:vAlign w:val="bottom"/>
            <w:tcBorders>
              <w:bottom w:val="single" w:sz="8" w:color="0072CE"/>
            </w:tcBorders>
          </w:tcPr>
          <w:p>
            <w:pPr>
              <w:spacing w:after="0"/>
              <w:rPr>
                <w:sz w:val="7"/>
                <w:szCs w:val="7"/>
                <w:color w:val="auto"/>
              </w:rPr>
            </w:pPr>
          </w:p>
        </w:tc>
        <w:tc>
          <w:tcPr>
            <w:tcW w:w="1920" w:type="dxa"/>
            <w:vAlign w:val="bottom"/>
            <w:tcBorders>
              <w:bottom w:val="single" w:sz="8" w:color="0072CE"/>
            </w:tcBorders>
          </w:tcPr>
          <w:p>
            <w:pPr>
              <w:spacing w:after="0"/>
              <w:rPr>
                <w:sz w:val="7"/>
                <w:szCs w:val="7"/>
                <w:color w:val="auto"/>
              </w:rPr>
            </w:pPr>
          </w:p>
        </w:tc>
        <w:tc>
          <w:tcPr>
            <w:tcW w:w="1920" w:type="dxa"/>
            <w:vAlign w:val="bottom"/>
            <w:tcBorders>
              <w:bottom w:val="single" w:sz="8" w:color="0072CE"/>
            </w:tcBorders>
          </w:tcPr>
          <w:p>
            <w:pPr>
              <w:spacing w:after="0"/>
              <w:rPr>
                <w:sz w:val="7"/>
                <w:szCs w:val="7"/>
                <w:color w:val="auto"/>
              </w:rPr>
            </w:pPr>
          </w:p>
        </w:tc>
        <w:tc>
          <w:tcPr>
            <w:tcW w:w="1920" w:type="dxa"/>
            <w:vAlign w:val="bottom"/>
            <w:tcBorders>
              <w:bottom w:val="single" w:sz="8" w:color="0072CE"/>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CEO and NEO PayMix</w:t>
      </w:r>
    </w:p>
    <w:p>
      <w:pPr>
        <w:spacing w:after="0" w:line="154" w:lineRule="exact"/>
        <w:rPr>
          <w:sz w:val="20"/>
          <w:szCs w:val="20"/>
          <w:color w:val="auto"/>
        </w:rPr>
      </w:pPr>
    </w:p>
    <w:p>
      <w:pPr>
        <w:spacing w:after="0"/>
        <w:tabs>
          <w:tab w:leader="none" w:pos="4680" w:val="left"/>
        </w:tabs>
        <w:rPr>
          <w:sz w:val="20"/>
          <w:szCs w:val="20"/>
          <w:color w:val="auto"/>
        </w:rPr>
      </w:pPr>
      <w:r>
        <w:rPr>
          <w:rFonts w:ascii="Arial" w:cs="Arial" w:eastAsia="Arial" w:hAnsi="Arial"/>
          <w:sz w:val="18"/>
          <w:szCs w:val="18"/>
          <w:b w:val="1"/>
          <w:bCs w:val="1"/>
          <w:color w:val="0072CE"/>
        </w:rPr>
        <w:t>CEO</w:t>
      </w:r>
      <w:r>
        <w:rPr>
          <w:sz w:val="20"/>
          <w:szCs w:val="20"/>
          <w:color w:val="auto"/>
        </w:rPr>
        <w:tab/>
      </w:r>
      <w:r>
        <w:rPr>
          <w:rFonts w:ascii="Arial" w:cs="Arial" w:eastAsia="Arial" w:hAnsi="Arial"/>
          <w:sz w:val="18"/>
          <w:szCs w:val="18"/>
          <w:b w:val="1"/>
          <w:bCs w:val="1"/>
          <w:color w:val="0072CE"/>
        </w:rPr>
        <w:t>Other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2024 Incentive Plan Outcomes</w:t>
      </w:r>
    </w:p>
    <w:p>
      <w:pPr>
        <w:spacing w:after="0" w:line="119" w:lineRule="exact"/>
        <w:rPr>
          <w:sz w:val="20"/>
          <w:szCs w:val="20"/>
          <w:color w:val="auto"/>
        </w:rPr>
      </w:pPr>
    </w:p>
    <w:p>
      <w:pPr>
        <w:ind w:right="360"/>
        <w:spacing w:after="0" w:line="280" w:lineRule="auto"/>
        <w:rPr>
          <w:sz w:val="20"/>
          <w:szCs w:val="20"/>
          <w:color w:val="auto"/>
        </w:rPr>
      </w:pPr>
      <w:r>
        <w:rPr>
          <w:rFonts w:ascii="Arial" w:cs="Arial" w:eastAsia="Arial" w:hAnsi="Arial"/>
          <w:sz w:val="16"/>
          <w:szCs w:val="16"/>
          <w:color w:val="3D3935"/>
        </w:rPr>
        <w:t>Across our performance metrics, GM achieved above-target EBIT-adjusted and Adjusted Automotive Free Cash Flow (AAFCF) results, achieved positive Q4 variable profit on our EV portfolio, launched software on-time and with quality, and refocused our autonomous vehicle strategy. Collectively, these results led to achievement of 147% of target Company performance in our STIP. We also delivered a strong total return to shareholders this year, and while we are excited about this progress, our three-year TSR performance is still below our target, leading to a payout of 80% on the PSU for the 2022-2024 LTIP cycle. For our CEO, these outcomes represent a payout of 95% of her total target compensation. We believe these outcomes demonstrate that our incentive plans are operating effectively to appropriately reward both annual and long-term performance, and we are pleased to see the strength of our execution translating into improved share price performance and value creation for shareholders over the past year.</w:t>
      </w:r>
    </w:p>
    <w:p>
      <w:pPr>
        <w:sectPr>
          <w:pgSz w:w="11900" w:h="16838" w:orient="portrait"/>
          <w:cols w:equalWidth="0" w:num="1">
            <w:col w:w="9080"/>
          </w:cols>
          <w:pgMar w:left="1400" w:top="112" w:right="1419" w:bottom="1440" w:gutter="0" w:footer="0" w:header="0"/>
        </w:sectPr>
      </w:pPr>
    </w:p>
    <w:bookmarkStart w:id="11" w:name="page12"/>
    <w:bookmarkEnd w:id="11"/>
    <w:p>
      <w:pPr>
        <w:ind w:left="60"/>
        <w:spacing w:after="0"/>
        <w:rPr>
          <w:sz w:val="20"/>
          <w:szCs w:val="20"/>
          <w:color w:val="auto"/>
        </w:rPr>
      </w:pPr>
      <w:r>
        <w:rPr>
          <w:rFonts w:ascii="Arial" w:cs="Arial" w:eastAsia="Arial" w:hAnsi="Arial"/>
          <w:sz w:val="14"/>
          <w:szCs w:val="14"/>
          <w:b w:val="1"/>
          <w:bCs w:val="1"/>
          <w:color w:val="3D3935"/>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550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10375" cy="550545"/>
                    </a:xfrm>
                    <a:prstGeom prst="rect">
                      <a:avLst/>
                    </a:prstGeom>
                    <a:noFill/>
                  </pic:spPr>
                </pic:pic>
              </a:graphicData>
            </a:graphic>
          </wp:anchor>
        </w:drawing>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88677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Proxy Summary</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Governance Highlights</w:t>
      </w:r>
    </w:p>
    <w:p>
      <w:pPr>
        <w:spacing w:after="0" w:line="127"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3D3935"/>
        </w:rPr>
        <w:t>The Board is committed to governance structures and practices that protect shareholder value and important shareholder rights. The Governance and Corporate Responsibility Committee (the “Governance Committee”) regularly reviews these structures and practices and makes updates as appropriate. Highlights of GM’s governance structures include the following:</w:t>
      </w:r>
    </w:p>
    <w:p>
      <w:pPr>
        <w:sectPr>
          <w:pgSz w:w="11900" w:h="16838" w:orient="portrait"/>
          <w:cols w:equalWidth="0" w:num="1">
            <w:col w:w="9080"/>
          </w:cols>
          <w:pgMar w:left="1400" w:top="454" w:right="141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0072CE"/>
        </w:rPr>
        <w:t>Independence</w:t>
      </w:r>
    </w:p>
    <w:p>
      <w:pPr>
        <w:spacing w:after="0" w:line="68" w:lineRule="exact"/>
        <w:rPr>
          <w:sz w:val="20"/>
          <w:szCs w:val="20"/>
          <w:color w:val="auto"/>
        </w:rPr>
      </w:pPr>
    </w:p>
    <w:p>
      <w:pPr>
        <w:ind w:left="420" w:hanging="189"/>
        <w:spacing w:after="0"/>
        <w:tabs>
          <w:tab w:leader="none" w:pos="420" w:val="left"/>
        </w:tabs>
        <w:numPr>
          <w:ilvl w:val="0"/>
          <w:numId w:val="20"/>
        </w:numPr>
        <w:rPr>
          <w:rFonts w:ascii="Arial" w:cs="Arial" w:eastAsia="Arial" w:hAnsi="Arial"/>
          <w:sz w:val="16"/>
          <w:szCs w:val="16"/>
          <w:color w:val="0072CE"/>
        </w:rPr>
      </w:pPr>
      <w:r>
        <w:rPr>
          <w:rFonts w:ascii="Arial" w:cs="Arial" w:eastAsia="Arial" w:hAnsi="Arial"/>
          <w:sz w:val="16"/>
          <w:szCs w:val="16"/>
          <w:color w:val="3D3935"/>
        </w:rPr>
        <w:t>Ten out of eleven director nominees are independent</w:t>
      </w:r>
    </w:p>
    <w:p>
      <w:pPr>
        <w:spacing w:after="0" w:line="86" w:lineRule="exact"/>
        <w:rPr>
          <w:rFonts w:ascii="Arial" w:cs="Arial" w:eastAsia="Arial" w:hAnsi="Arial"/>
          <w:sz w:val="16"/>
          <w:szCs w:val="16"/>
          <w:color w:val="0072CE"/>
        </w:rPr>
      </w:pPr>
    </w:p>
    <w:p>
      <w:pPr>
        <w:ind w:left="420" w:right="480" w:hanging="189"/>
        <w:spacing w:after="0" w:line="316" w:lineRule="auto"/>
        <w:tabs>
          <w:tab w:leader="none" w:pos="420" w:val="left"/>
        </w:tabs>
        <w:numPr>
          <w:ilvl w:val="0"/>
          <w:numId w:val="20"/>
        </w:numPr>
        <w:rPr>
          <w:rFonts w:ascii="Arial" w:cs="Arial" w:eastAsia="Arial" w:hAnsi="Arial"/>
          <w:sz w:val="16"/>
          <w:szCs w:val="16"/>
          <w:color w:val="0072CE"/>
        </w:rPr>
      </w:pPr>
      <w:r>
        <w:rPr>
          <w:rFonts w:ascii="Arial" w:cs="Arial" w:eastAsia="Arial" w:hAnsi="Arial"/>
          <w:sz w:val="16"/>
          <w:szCs w:val="16"/>
          <w:color w:val="3D3935"/>
        </w:rPr>
        <w:t>Strong Independent Lead Director with clearly delineated duties</w:t>
      </w:r>
    </w:p>
    <w:p>
      <w:pPr>
        <w:spacing w:after="0" w:line="1" w:lineRule="exact"/>
        <w:rPr>
          <w:rFonts w:ascii="Arial" w:cs="Arial" w:eastAsia="Arial" w:hAnsi="Arial"/>
          <w:sz w:val="16"/>
          <w:szCs w:val="16"/>
          <w:color w:val="0072CE"/>
        </w:rPr>
      </w:pPr>
    </w:p>
    <w:p>
      <w:pPr>
        <w:ind w:left="420" w:right="500" w:hanging="189"/>
        <w:spacing w:after="0" w:line="301" w:lineRule="auto"/>
        <w:tabs>
          <w:tab w:leader="none" w:pos="420" w:val="left"/>
        </w:tabs>
        <w:numPr>
          <w:ilvl w:val="0"/>
          <w:numId w:val="20"/>
        </w:numPr>
        <w:rPr>
          <w:rFonts w:ascii="Arial" w:cs="Arial" w:eastAsia="Arial" w:hAnsi="Arial"/>
          <w:sz w:val="16"/>
          <w:szCs w:val="16"/>
          <w:color w:val="0072CE"/>
        </w:rPr>
      </w:pPr>
      <w:r>
        <w:rPr>
          <w:rFonts w:ascii="Arial" w:cs="Arial" w:eastAsia="Arial" w:hAnsi="Arial"/>
          <w:sz w:val="16"/>
          <w:szCs w:val="16"/>
          <w:color w:val="3D3935"/>
        </w:rPr>
        <w:t>All standing Board committees, other than the Executive Committee, composed entirely of independent directors</w:t>
      </w:r>
    </w:p>
    <w:p>
      <w:pPr>
        <w:spacing w:after="0" w:line="9" w:lineRule="exact"/>
        <w:rPr>
          <w:rFonts w:ascii="Arial" w:cs="Arial" w:eastAsia="Arial" w:hAnsi="Arial"/>
          <w:sz w:val="16"/>
          <w:szCs w:val="16"/>
          <w:color w:val="0072CE"/>
        </w:rPr>
      </w:pPr>
    </w:p>
    <w:p>
      <w:pPr>
        <w:ind w:left="420" w:right="20" w:hanging="189"/>
        <w:spacing w:after="0" w:line="316" w:lineRule="auto"/>
        <w:tabs>
          <w:tab w:leader="none" w:pos="420" w:val="left"/>
        </w:tabs>
        <w:numPr>
          <w:ilvl w:val="0"/>
          <w:numId w:val="20"/>
        </w:numPr>
        <w:rPr>
          <w:rFonts w:ascii="Arial" w:cs="Arial" w:eastAsia="Arial" w:hAnsi="Arial"/>
          <w:sz w:val="16"/>
          <w:szCs w:val="16"/>
          <w:color w:val="0072CE"/>
        </w:rPr>
      </w:pPr>
      <w:r>
        <w:rPr>
          <w:rFonts w:ascii="Arial" w:cs="Arial" w:eastAsia="Arial" w:hAnsi="Arial"/>
          <w:sz w:val="16"/>
          <w:szCs w:val="16"/>
          <w:color w:val="3D3935"/>
        </w:rPr>
        <w:t>Regular executive sessions of independent directors without management present</w:t>
      </w:r>
    </w:p>
    <w:p>
      <w:pPr>
        <w:spacing w:after="0" w:line="1" w:lineRule="exact"/>
        <w:rPr>
          <w:rFonts w:ascii="Arial" w:cs="Arial" w:eastAsia="Arial" w:hAnsi="Arial"/>
          <w:sz w:val="16"/>
          <w:szCs w:val="16"/>
          <w:color w:val="0072CE"/>
        </w:rPr>
      </w:pPr>
    </w:p>
    <w:p>
      <w:pPr>
        <w:ind w:left="420" w:right="280" w:hanging="189"/>
        <w:spacing w:after="0" w:line="321" w:lineRule="auto"/>
        <w:tabs>
          <w:tab w:leader="none" w:pos="420" w:val="left"/>
        </w:tabs>
        <w:numPr>
          <w:ilvl w:val="0"/>
          <w:numId w:val="20"/>
        </w:numPr>
        <w:rPr>
          <w:rFonts w:ascii="Arial" w:cs="Arial" w:eastAsia="Arial" w:hAnsi="Arial"/>
          <w:sz w:val="16"/>
          <w:szCs w:val="16"/>
          <w:color w:val="0072CE"/>
        </w:rPr>
      </w:pPr>
      <w:r>
        <w:rPr>
          <w:rFonts w:ascii="Arial" w:cs="Arial" w:eastAsia="Arial" w:hAnsi="Arial"/>
          <w:sz w:val="16"/>
          <w:szCs w:val="16"/>
          <w:color w:val="3D3935"/>
        </w:rPr>
        <w:t>Board and committees may hire outside advisors independently of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0072CE"/>
        </w:rPr>
        <w:t>Accountability</w:t>
      </w:r>
    </w:p>
    <w:p>
      <w:pPr>
        <w:spacing w:after="0" w:line="68" w:lineRule="exact"/>
        <w:rPr>
          <w:sz w:val="20"/>
          <w:szCs w:val="20"/>
          <w:color w:val="auto"/>
        </w:rPr>
      </w:pPr>
    </w:p>
    <w:p>
      <w:pPr>
        <w:ind w:left="420" w:hanging="189"/>
        <w:spacing w:after="0"/>
        <w:tabs>
          <w:tab w:leader="none" w:pos="420" w:val="left"/>
        </w:tabs>
        <w:numPr>
          <w:ilvl w:val="0"/>
          <w:numId w:val="21"/>
        </w:numPr>
        <w:rPr>
          <w:rFonts w:ascii="Arial" w:cs="Arial" w:eastAsia="Arial" w:hAnsi="Arial"/>
          <w:sz w:val="16"/>
          <w:szCs w:val="16"/>
          <w:color w:val="0072CE"/>
        </w:rPr>
      </w:pPr>
      <w:r>
        <w:rPr>
          <w:rFonts w:ascii="Arial" w:cs="Arial" w:eastAsia="Arial" w:hAnsi="Arial"/>
          <w:sz w:val="16"/>
          <w:szCs w:val="16"/>
          <w:color w:val="3D3935"/>
        </w:rPr>
        <w:t>Annual election of all directors</w:t>
      </w:r>
    </w:p>
    <w:p>
      <w:pPr>
        <w:spacing w:after="0" w:line="86" w:lineRule="exact"/>
        <w:rPr>
          <w:rFonts w:ascii="Arial" w:cs="Arial" w:eastAsia="Arial" w:hAnsi="Arial"/>
          <w:sz w:val="16"/>
          <w:szCs w:val="16"/>
          <w:color w:val="0072CE"/>
        </w:rPr>
      </w:pPr>
    </w:p>
    <w:p>
      <w:pPr>
        <w:ind w:left="420" w:right="180" w:hanging="189"/>
        <w:spacing w:after="0" w:line="316" w:lineRule="auto"/>
        <w:tabs>
          <w:tab w:leader="none" w:pos="420" w:val="left"/>
        </w:tabs>
        <w:numPr>
          <w:ilvl w:val="0"/>
          <w:numId w:val="21"/>
        </w:numPr>
        <w:rPr>
          <w:rFonts w:ascii="Arial" w:cs="Arial" w:eastAsia="Arial" w:hAnsi="Arial"/>
          <w:sz w:val="16"/>
          <w:szCs w:val="16"/>
          <w:color w:val="0072CE"/>
        </w:rPr>
      </w:pPr>
      <w:r>
        <w:rPr>
          <w:rFonts w:ascii="Arial" w:cs="Arial" w:eastAsia="Arial" w:hAnsi="Arial"/>
          <w:sz w:val="16"/>
          <w:szCs w:val="16"/>
          <w:color w:val="3D3935"/>
        </w:rPr>
        <w:t>Annual election of Chair and, if CEO, Independent Lead Director, by non-employee directors</w:t>
      </w:r>
    </w:p>
    <w:p>
      <w:pPr>
        <w:spacing w:after="0" w:line="1" w:lineRule="exact"/>
        <w:rPr>
          <w:rFonts w:ascii="Arial" w:cs="Arial" w:eastAsia="Arial" w:hAnsi="Arial"/>
          <w:sz w:val="16"/>
          <w:szCs w:val="16"/>
          <w:color w:val="0072CE"/>
        </w:rPr>
      </w:pPr>
    </w:p>
    <w:p>
      <w:pPr>
        <w:ind w:left="420" w:right="520" w:hanging="189"/>
        <w:spacing w:after="0" w:line="316" w:lineRule="auto"/>
        <w:tabs>
          <w:tab w:leader="none" w:pos="420" w:val="left"/>
        </w:tabs>
        <w:numPr>
          <w:ilvl w:val="0"/>
          <w:numId w:val="21"/>
        </w:numPr>
        <w:rPr>
          <w:rFonts w:ascii="Arial" w:cs="Arial" w:eastAsia="Arial" w:hAnsi="Arial"/>
          <w:sz w:val="16"/>
          <w:szCs w:val="16"/>
          <w:color w:val="0072CE"/>
        </w:rPr>
      </w:pPr>
      <w:r>
        <w:rPr>
          <w:rFonts w:ascii="Arial" w:cs="Arial" w:eastAsia="Arial" w:hAnsi="Arial"/>
          <w:sz w:val="16"/>
          <w:szCs w:val="16"/>
          <w:color w:val="3D3935"/>
        </w:rPr>
        <w:t>Majority voting with director resignation policy (plurality voting in contested elections)</w:t>
      </w:r>
    </w:p>
    <w:p>
      <w:pPr>
        <w:spacing w:after="0" w:line="1" w:lineRule="exact"/>
        <w:rPr>
          <w:rFonts w:ascii="Arial" w:cs="Arial" w:eastAsia="Arial" w:hAnsi="Arial"/>
          <w:sz w:val="16"/>
          <w:szCs w:val="16"/>
          <w:color w:val="0072CE"/>
        </w:rPr>
      </w:pPr>
    </w:p>
    <w:p>
      <w:pPr>
        <w:ind w:left="420" w:hanging="189"/>
        <w:spacing w:after="0"/>
        <w:tabs>
          <w:tab w:leader="none" w:pos="420" w:val="left"/>
        </w:tabs>
        <w:numPr>
          <w:ilvl w:val="0"/>
          <w:numId w:val="21"/>
        </w:numPr>
        <w:rPr>
          <w:rFonts w:ascii="Arial" w:cs="Arial" w:eastAsia="Arial" w:hAnsi="Arial"/>
          <w:sz w:val="16"/>
          <w:szCs w:val="16"/>
          <w:color w:val="0072CE"/>
        </w:rPr>
      </w:pPr>
      <w:r>
        <w:rPr>
          <w:rFonts w:ascii="Arial" w:cs="Arial" w:eastAsia="Arial" w:hAnsi="Arial"/>
          <w:sz w:val="16"/>
          <w:szCs w:val="16"/>
          <w:color w:val="3D3935"/>
        </w:rPr>
        <w:t>Annual Board and committee self-evaluations</w:t>
      </w:r>
    </w:p>
    <w:p>
      <w:pPr>
        <w:spacing w:after="0" w:line="86" w:lineRule="exact"/>
        <w:rPr>
          <w:rFonts w:ascii="Arial" w:cs="Arial" w:eastAsia="Arial" w:hAnsi="Arial"/>
          <w:sz w:val="16"/>
          <w:szCs w:val="16"/>
          <w:color w:val="0072CE"/>
        </w:rPr>
      </w:pPr>
    </w:p>
    <w:p>
      <w:pPr>
        <w:ind w:left="420" w:right="60" w:hanging="189"/>
        <w:spacing w:after="0" w:line="316" w:lineRule="auto"/>
        <w:tabs>
          <w:tab w:leader="none" w:pos="420" w:val="left"/>
        </w:tabs>
        <w:numPr>
          <w:ilvl w:val="0"/>
          <w:numId w:val="21"/>
        </w:numPr>
        <w:rPr>
          <w:rFonts w:ascii="Arial" w:cs="Arial" w:eastAsia="Arial" w:hAnsi="Arial"/>
          <w:sz w:val="16"/>
          <w:szCs w:val="16"/>
          <w:color w:val="0072CE"/>
        </w:rPr>
      </w:pPr>
      <w:r>
        <w:rPr>
          <w:rFonts w:ascii="Arial" w:cs="Arial" w:eastAsia="Arial" w:hAnsi="Arial"/>
          <w:sz w:val="16"/>
          <w:szCs w:val="16"/>
          <w:color w:val="3D3935"/>
        </w:rPr>
        <w:t>Annual evaluation of CEO (including compensation) by independent directors</w:t>
      </w:r>
    </w:p>
    <w:p>
      <w:pPr>
        <w:spacing w:after="0" w:line="1" w:lineRule="exact"/>
        <w:rPr>
          <w:rFonts w:ascii="Arial" w:cs="Arial" w:eastAsia="Arial" w:hAnsi="Arial"/>
          <w:sz w:val="16"/>
          <w:szCs w:val="16"/>
          <w:color w:val="0072CE"/>
        </w:rPr>
      </w:pPr>
    </w:p>
    <w:p>
      <w:pPr>
        <w:ind w:left="420" w:right="500" w:hanging="189"/>
        <w:spacing w:after="0" w:line="316" w:lineRule="auto"/>
        <w:tabs>
          <w:tab w:leader="none" w:pos="420" w:val="left"/>
        </w:tabs>
        <w:numPr>
          <w:ilvl w:val="0"/>
          <w:numId w:val="21"/>
        </w:numPr>
        <w:rPr>
          <w:rFonts w:ascii="Arial" w:cs="Arial" w:eastAsia="Arial" w:hAnsi="Arial"/>
          <w:sz w:val="16"/>
          <w:szCs w:val="16"/>
          <w:color w:val="0072CE"/>
        </w:rPr>
      </w:pPr>
      <w:r>
        <w:rPr>
          <w:rFonts w:ascii="Arial" w:cs="Arial" w:eastAsia="Arial" w:hAnsi="Arial"/>
          <w:sz w:val="16"/>
          <w:szCs w:val="16"/>
          <w:color w:val="3D3935"/>
        </w:rPr>
        <w:t>Clawback policy that applies to our short- and long-term incentive plans</w:t>
      </w:r>
    </w:p>
    <w:p>
      <w:pPr>
        <w:spacing w:after="0" w:line="1" w:lineRule="exact"/>
        <w:rPr>
          <w:rFonts w:ascii="Arial" w:cs="Arial" w:eastAsia="Arial" w:hAnsi="Arial"/>
          <w:sz w:val="16"/>
          <w:szCs w:val="16"/>
          <w:color w:val="0072CE"/>
        </w:rPr>
      </w:pPr>
    </w:p>
    <w:p>
      <w:pPr>
        <w:ind w:left="420" w:hanging="189"/>
        <w:spacing w:after="0"/>
        <w:tabs>
          <w:tab w:leader="none" w:pos="420" w:val="left"/>
        </w:tabs>
        <w:numPr>
          <w:ilvl w:val="0"/>
          <w:numId w:val="21"/>
        </w:numPr>
        <w:rPr>
          <w:rFonts w:ascii="Arial" w:cs="Arial" w:eastAsia="Arial" w:hAnsi="Arial"/>
          <w:sz w:val="16"/>
          <w:szCs w:val="16"/>
          <w:color w:val="0072CE"/>
        </w:rPr>
      </w:pPr>
      <w:r>
        <w:rPr>
          <w:rFonts w:ascii="Arial" w:cs="Arial" w:eastAsia="Arial" w:hAnsi="Arial"/>
          <w:sz w:val="16"/>
          <w:szCs w:val="16"/>
          <w:color w:val="3D3935"/>
        </w:rPr>
        <w:t>Oversight of political contributions and lobbying</w:t>
      </w:r>
    </w:p>
    <w:p>
      <w:pPr>
        <w:spacing w:after="0" w:line="86" w:lineRule="exact"/>
        <w:rPr>
          <w:rFonts w:ascii="Arial" w:cs="Arial" w:eastAsia="Arial" w:hAnsi="Arial"/>
          <w:sz w:val="16"/>
          <w:szCs w:val="16"/>
          <w:color w:val="0072CE"/>
        </w:rPr>
      </w:pPr>
    </w:p>
    <w:p>
      <w:pPr>
        <w:ind w:left="420" w:right="720" w:hanging="189"/>
        <w:spacing w:after="0" w:line="321" w:lineRule="auto"/>
        <w:tabs>
          <w:tab w:leader="none" w:pos="420" w:val="left"/>
        </w:tabs>
        <w:numPr>
          <w:ilvl w:val="0"/>
          <w:numId w:val="21"/>
        </w:numPr>
        <w:rPr>
          <w:rFonts w:ascii="Arial" w:cs="Arial" w:eastAsia="Arial" w:hAnsi="Arial"/>
          <w:sz w:val="16"/>
          <w:szCs w:val="16"/>
          <w:color w:val="0072CE"/>
        </w:rPr>
      </w:pPr>
      <w:r>
        <w:rPr>
          <w:rFonts w:ascii="Arial" w:cs="Arial" w:eastAsia="Arial" w:hAnsi="Arial"/>
          <w:sz w:val="16"/>
          <w:szCs w:val="16"/>
          <w:color w:val="3D3935"/>
        </w:rPr>
        <w:t>Comprehensive code of conduct, “Winning with Integrity”</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ind w:left="1406"/>
        <w:spacing w:after="0"/>
        <w:rPr>
          <w:sz w:val="20"/>
          <w:szCs w:val="20"/>
          <w:color w:val="auto"/>
        </w:rPr>
      </w:pPr>
      <w:r>
        <w:rPr>
          <w:rFonts w:ascii="Arial" w:cs="Arial" w:eastAsia="Arial" w:hAnsi="Arial"/>
          <w:sz w:val="18"/>
          <w:szCs w:val="18"/>
          <w:b w:val="1"/>
          <w:bCs w:val="1"/>
          <w:color w:val="0072CE"/>
        </w:rPr>
        <w:t>Best Practices</w:t>
      </w:r>
    </w:p>
    <w:p>
      <w:pPr>
        <w:spacing w:after="0" w:line="95" w:lineRule="exact"/>
        <w:rPr>
          <w:sz w:val="20"/>
          <w:szCs w:val="20"/>
          <w:color w:val="auto"/>
        </w:rPr>
      </w:pPr>
    </w:p>
    <w:p>
      <w:pPr>
        <w:ind w:left="186" w:hanging="186"/>
        <w:spacing w:after="0"/>
        <w:tabs>
          <w:tab w:leader="none" w:pos="186" w:val="left"/>
        </w:tabs>
        <w:numPr>
          <w:ilvl w:val="0"/>
          <w:numId w:val="22"/>
        </w:numPr>
        <w:rPr>
          <w:rFonts w:ascii="Arial" w:cs="Arial" w:eastAsia="Arial" w:hAnsi="Arial"/>
          <w:sz w:val="16"/>
          <w:szCs w:val="16"/>
          <w:color w:val="0072CE"/>
        </w:rPr>
      </w:pPr>
      <w:r>
        <w:rPr>
          <w:rFonts w:ascii="Arial" w:cs="Arial" w:eastAsia="Arial" w:hAnsi="Arial"/>
          <w:sz w:val="16"/>
          <w:szCs w:val="16"/>
          <w:color w:val="3D3935"/>
        </w:rPr>
        <w:t>CEO and executive leadership succession planning</w:t>
      </w:r>
    </w:p>
    <w:p>
      <w:pPr>
        <w:spacing w:after="0" w:line="86" w:lineRule="exact"/>
        <w:rPr>
          <w:rFonts w:ascii="Arial" w:cs="Arial" w:eastAsia="Arial" w:hAnsi="Arial"/>
          <w:sz w:val="16"/>
          <w:szCs w:val="16"/>
          <w:color w:val="0072CE"/>
        </w:rPr>
      </w:pPr>
    </w:p>
    <w:p>
      <w:pPr>
        <w:ind w:left="186" w:right="540" w:hanging="186"/>
        <w:spacing w:after="0" w:line="316" w:lineRule="auto"/>
        <w:tabs>
          <w:tab w:leader="none" w:pos="186" w:val="left"/>
        </w:tabs>
        <w:numPr>
          <w:ilvl w:val="0"/>
          <w:numId w:val="22"/>
        </w:numPr>
        <w:rPr>
          <w:rFonts w:ascii="Arial" w:cs="Arial" w:eastAsia="Arial" w:hAnsi="Arial"/>
          <w:sz w:val="16"/>
          <w:szCs w:val="16"/>
          <w:color w:val="0072CE"/>
        </w:rPr>
      </w:pPr>
      <w:r>
        <w:rPr>
          <w:rFonts w:ascii="Arial" w:cs="Arial" w:eastAsia="Arial" w:hAnsi="Arial"/>
          <w:sz w:val="16"/>
          <w:szCs w:val="16"/>
          <w:color w:val="3D3935"/>
        </w:rPr>
        <w:t>Routine engagement with shareholders and other key stakeholders</w:t>
      </w:r>
    </w:p>
    <w:p>
      <w:pPr>
        <w:spacing w:after="0" w:line="1" w:lineRule="exact"/>
        <w:rPr>
          <w:rFonts w:ascii="Arial" w:cs="Arial" w:eastAsia="Arial" w:hAnsi="Arial"/>
          <w:sz w:val="16"/>
          <w:szCs w:val="16"/>
          <w:color w:val="0072CE"/>
        </w:rPr>
      </w:pPr>
    </w:p>
    <w:p>
      <w:pPr>
        <w:ind w:left="186" w:right="340" w:hanging="186"/>
        <w:spacing w:after="0" w:line="316" w:lineRule="auto"/>
        <w:tabs>
          <w:tab w:leader="none" w:pos="186" w:val="left"/>
        </w:tabs>
        <w:numPr>
          <w:ilvl w:val="0"/>
          <w:numId w:val="22"/>
        </w:numPr>
        <w:rPr>
          <w:rFonts w:ascii="Arial" w:cs="Arial" w:eastAsia="Arial" w:hAnsi="Arial"/>
          <w:sz w:val="16"/>
          <w:szCs w:val="16"/>
          <w:color w:val="0072CE"/>
        </w:rPr>
      </w:pPr>
      <w:r>
        <w:rPr>
          <w:rFonts w:ascii="Arial" w:cs="Arial" w:eastAsia="Arial" w:hAnsi="Arial"/>
          <w:sz w:val="16"/>
          <w:szCs w:val="16"/>
          <w:color w:val="3D3935"/>
        </w:rPr>
        <w:t>Diverse Board in terms of gender, race and ethnicity, experiences, and specific skills and qualifications</w:t>
      </w:r>
    </w:p>
    <w:p>
      <w:pPr>
        <w:spacing w:after="0" w:line="1" w:lineRule="exact"/>
        <w:rPr>
          <w:rFonts w:ascii="Arial" w:cs="Arial" w:eastAsia="Arial" w:hAnsi="Arial"/>
          <w:sz w:val="16"/>
          <w:szCs w:val="16"/>
          <w:color w:val="0072CE"/>
        </w:rPr>
      </w:pPr>
    </w:p>
    <w:p>
      <w:pPr>
        <w:ind w:left="186" w:right="1220" w:hanging="186"/>
        <w:spacing w:after="0" w:line="316" w:lineRule="auto"/>
        <w:tabs>
          <w:tab w:leader="none" w:pos="186" w:val="left"/>
        </w:tabs>
        <w:numPr>
          <w:ilvl w:val="0"/>
          <w:numId w:val="22"/>
        </w:numPr>
        <w:rPr>
          <w:rFonts w:ascii="Arial" w:cs="Arial" w:eastAsia="Arial" w:hAnsi="Arial"/>
          <w:sz w:val="16"/>
          <w:szCs w:val="16"/>
          <w:color w:val="0072CE"/>
        </w:rPr>
      </w:pPr>
      <w:r>
        <w:rPr>
          <w:rFonts w:ascii="Arial" w:cs="Arial" w:eastAsia="Arial" w:hAnsi="Arial"/>
          <w:sz w:val="16"/>
          <w:szCs w:val="16"/>
          <w:color w:val="3D3935"/>
        </w:rPr>
        <w:t>Strategy and risk oversight by full Board and committees</w:t>
      </w:r>
    </w:p>
    <w:p>
      <w:pPr>
        <w:spacing w:after="0" w:line="1" w:lineRule="exact"/>
        <w:rPr>
          <w:rFonts w:ascii="Arial" w:cs="Arial" w:eastAsia="Arial" w:hAnsi="Arial"/>
          <w:sz w:val="16"/>
          <w:szCs w:val="16"/>
          <w:color w:val="0072CE"/>
        </w:rPr>
      </w:pPr>
    </w:p>
    <w:p>
      <w:pPr>
        <w:ind w:left="186" w:right="700" w:hanging="186"/>
        <w:spacing w:after="0" w:line="304" w:lineRule="auto"/>
        <w:tabs>
          <w:tab w:leader="none" w:pos="186" w:val="left"/>
        </w:tabs>
        <w:numPr>
          <w:ilvl w:val="0"/>
          <w:numId w:val="22"/>
        </w:numPr>
        <w:rPr>
          <w:rFonts w:ascii="Arial" w:cs="Arial" w:eastAsia="Arial" w:hAnsi="Arial"/>
          <w:sz w:val="16"/>
          <w:szCs w:val="16"/>
          <w:color w:val="0072CE"/>
        </w:rPr>
      </w:pPr>
      <w:r>
        <w:rPr>
          <w:rFonts w:ascii="Arial" w:cs="Arial" w:eastAsia="Arial" w:hAnsi="Arial"/>
          <w:sz w:val="16"/>
          <w:szCs w:val="16"/>
          <w:color w:val="3D3935"/>
        </w:rPr>
        <w:t>Board and committee oversight of sustainability issues and priorities</w:t>
      </w:r>
    </w:p>
    <w:p>
      <w:pPr>
        <w:spacing w:after="0" w:line="6" w:lineRule="exact"/>
        <w:rPr>
          <w:rFonts w:ascii="Arial" w:cs="Arial" w:eastAsia="Arial" w:hAnsi="Arial"/>
          <w:sz w:val="16"/>
          <w:szCs w:val="16"/>
          <w:color w:val="0072CE"/>
        </w:rPr>
      </w:pPr>
    </w:p>
    <w:p>
      <w:pPr>
        <w:ind w:left="186" w:right="400" w:hanging="186"/>
        <w:spacing w:after="0" w:line="316" w:lineRule="auto"/>
        <w:tabs>
          <w:tab w:leader="none" w:pos="186" w:val="left"/>
        </w:tabs>
        <w:numPr>
          <w:ilvl w:val="0"/>
          <w:numId w:val="22"/>
        </w:numPr>
        <w:rPr>
          <w:rFonts w:ascii="Arial" w:cs="Arial" w:eastAsia="Arial" w:hAnsi="Arial"/>
          <w:sz w:val="16"/>
          <w:szCs w:val="16"/>
          <w:color w:val="0072CE"/>
        </w:rPr>
      </w:pPr>
      <w:r>
        <w:rPr>
          <w:rFonts w:ascii="Arial" w:cs="Arial" w:eastAsia="Arial" w:hAnsi="Arial"/>
          <w:sz w:val="16"/>
          <w:szCs w:val="16"/>
          <w:color w:val="3D3935"/>
        </w:rPr>
        <w:t>Stock ownership requirements for all senior leaders and non-employee directors</w:t>
      </w:r>
    </w:p>
    <w:p>
      <w:pPr>
        <w:spacing w:after="0" w:line="1" w:lineRule="exact"/>
        <w:rPr>
          <w:rFonts w:ascii="Arial" w:cs="Arial" w:eastAsia="Arial" w:hAnsi="Arial"/>
          <w:sz w:val="16"/>
          <w:szCs w:val="16"/>
          <w:color w:val="0072CE"/>
        </w:rPr>
      </w:pPr>
    </w:p>
    <w:p>
      <w:pPr>
        <w:ind w:left="186" w:hanging="186"/>
        <w:spacing w:after="0"/>
        <w:tabs>
          <w:tab w:leader="none" w:pos="186" w:val="left"/>
        </w:tabs>
        <w:numPr>
          <w:ilvl w:val="0"/>
          <w:numId w:val="22"/>
        </w:numPr>
        <w:rPr>
          <w:rFonts w:ascii="Arial" w:cs="Arial" w:eastAsia="Arial" w:hAnsi="Arial"/>
          <w:sz w:val="16"/>
          <w:szCs w:val="16"/>
          <w:color w:val="0072CE"/>
        </w:rPr>
      </w:pPr>
      <w:r>
        <w:rPr>
          <w:rFonts w:ascii="Arial" w:cs="Arial" w:eastAsia="Arial" w:hAnsi="Arial"/>
          <w:sz w:val="16"/>
          <w:szCs w:val="16"/>
          <w:color w:val="3D3935"/>
        </w:rPr>
        <w:t>“Overboarding” limits for our directors</w:t>
      </w:r>
    </w:p>
    <w:p>
      <w:pPr>
        <w:spacing w:after="0" w:line="86" w:lineRule="exact"/>
        <w:rPr>
          <w:rFonts w:ascii="Arial" w:cs="Arial" w:eastAsia="Arial" w:hAnsi="Arial"/>
          <w:sz w:val="16"/>
          <w:szCs w:val="16"/>
          <w:color w:val="0072CE"/>
        </w:rPr>
      </w:pPr>
    </w:p>
    <w:p>
      <w:pPr>
        <w:ind w:left="186" w:right="1100" w:hanging="186"/>
        <w:spacing w:after="0" w:line="321" w:lineRule="auto"/>
        <w:tabs>
          <w:tab w:leader="none" w:pos="186" w:val="left"/>
        </w:tabs>
        <w:numPr>
          <w:ilvl w:val="0"/>
          <w:numId w:val="22"/>
        </w:numPr>
        <w:rPr>
          <w:rFonts w:ascii="Arial" w:cs="Arial" w:eastAsia="Arial" w:hAnsi="Arial"/>
          <w:sz w:val="16"/>
          <w:szCs w:val="16"/>
          <w:color w:val="0072CE"/>
        </w:rPr>
      </w:pPr>
      <w:r>
        <w:rPr>
          <w:rFonts w:ascii="Arial" w:cs="Arial" w:eastAsia="Arial" w:hAnsi="Arial"/>
          <w:sz w:val="16"/>
          <w:szCs w:val="16"/>
          <w:color w:val="3D3935"/>
        </w:rPr>
        <w:t>Orientation program for new directors and continuing education for all directors</w:t>
      </w:r>
    </w:p>
    <w:p>
      <w:pPr>
        <w:spacing w:after="0" w:line="394" w:lineRule="exact"/>
        <w:rPr>
          <w:sz w:val="20"/>
          <w:szCs w:val="20"/>
          <w:color w:val="auto"/>
        </w:rPr>
      </w:pPr>
    </w:p>
    <w:p>
      <w:pPr>
        <w:ind w:left="1206"/>
        <w:spacing w:after="0"/>
        <w:rPr>
          <w:sz w:val="20"/>
          <w:szCs w:val="20"/>
          <w:color w:val="auto"/>
        </w:rPr>
      </w:pPr>
      <w:r>
        <w:rPr>
          <w:rFonts w:ascii="Arial" w:cs="Arial" w:eastAsia="Arial" w:hAnsi="Arial"/>
          <w:sz w:val="18"/>
          <w:szCs w:val="18"/>
          <w:b w:val="1"/>
          <w:bCs w:val="1"/>
          <w:color w:val="0072CE"/>
        </w:rPr>
        <w:t>Shareholder Rights</w:t>
      </w:r>
    </w:p>
    <w:p>
      <w:pPr>
        <w:spacing w:after="0" w:line="68" w:lineRule="exact"/>
        <w:rPr>
          <w:sz w:val="20"/>
          <w:szCs w:val="20"/>
          <w:color w:val="auto"/>
        </w:rPr>
      </w:pPr>
    </w:p>
    <w:p>
      <w:pPr>
        <w:ind w:left="186" w:hanging="186"/>
        <w:spacing w:after="0"/>
        <w:tabs>
          <w:tab w:leader="none" w:pos="186" w:val="left"/>
        </w:tabs>
        <w:numPr>
          <w:ilvl w:val="0"/>
          <w:numId w:val="23"/>
        </w:numPr>
        <w:rPr>
          <w:rFonts w:ascii="Arial" w:cs="Arial" w:eastAsia="Arial" w:hAnsi="Arial"/>
          <w:sz w:val="16"/>
          <w:szCs w:val="16"/>
          <w:color w:val="0072CE"/>
        </w:rPr>
      </w:pPr>
      <w:r>
        <w:rPr>
          <w:rFonts w:ascii="Arial" w:cs="Arial" w:eastAsia="Arial" w:hAnsi="Arial"/>
          <w:sz w:val="16"/>
          <w:szCs w:val="16"/>
          <w:color w:val="3D3935"/>
        </w:rPr>
        <w:t>Proxy access</w:t>
      </w:r>
    </w:p>
    <w:p>
      <w:pPr>
        <w:spacing w:after="0" w:line="86" w:lineRule="exact"/>
        <w:rPr>
          <w:rFonts w:ascii="Arial" w:cs="Arial" w:eastAsia="Arial" w:hAnsi="Arial"/>
          <w:sz w:val="16"/>
          <w:szCs w:val="16"/>
          <w:color w:val="0072CE"/>
        </w:rPr>
      </w:pPr>
    </w:p>
    <w:p>
      <w:pPr>
        <w:ind w:left="186" w:hanging="186"/>
        <w:spacing w:after="0"/>
        <w:tabs>
          <w:tab w:leader="none" w:pos="186" w:val="left"/>
        </w:tabs>
        <w:numPr>
          <w:ilvl w:val="0"/>
          <w:numId w:val="23"/>
        </w:numPr>
        <w:rPr>
          <w:rFonts w:ascii="Arial" w:cs="Arial" w:eastAsia="Arial" w:hAnsi="Arial"/>
          <w:sz w:val="16"/>
          <w:szCs w:val="16"/>
          <w:color w:val="0072CE"/>
        </w:rPr>
      </w:pPr>
      <w:r>
        <w:rPr>
          <w:rFonts w:ascii="Arial" w:cs="Arial" w:eastAsia="Arial" w:hAnsi="Arial"/>
          <w:sz w:val="16"/>
          <w:szCs w:val="16"/>
          <w:color w:val="3D3935"/>
        </w:rPr>
        <w:t>Shareholder right to call special meetings</w:t>
      </w:r>
    </w:p>
    <w:p>
      <w:pPr>
        <w:spacing w:after="0" w:line="86" w:lineRule="exact"/>
        <w:rPr>
          <w:rFonts w:ascii="Arial" w:cs="Arial" w:eastAsia="Arial" w:hAnsi="Arial"/>
          <w:sz w:val="16"/>
          <w:szCs w:val="16"/>
          <w:color w:val="0072CE"/>
        </w:rPr>
      </w:pPr>
    </w:p>
    <w:p>
      <w:pPr>
        <w:ind w:left="186" w:hanging="186"/>
        <w:spacing w:after="0"/>
        <w:tabs>
          <w:tab w:leader="none" w:pos="186" w:val="left"/>
        </w:tabs>
        <w:numPr>
          <w:ilvl w:val="0"/>
          <w:numId w:val="23"/>
        </w:numPr>
        <w:rPr>
          <w:rFonts w:ascii="Arial" w:cs="Arial" w:eastAsia="Arial" w:hAnsi="Arial"/>
          <w:sz w:val="16"/>
          <w:szCs w:val="16"/>
          <w:color w:val="0072CE"/>
        </w:rPr>
      </w:pPr>
      <w:r>
        <w:rPr>
          <w:rFonts w:ascii="Arial" w:cs="Arial" w:eastAsia="Arial" w:hAnsi="Arial"/>
          <w:sz w:val="16"/>
          <w:szCs w:val="16"/>
          <w:color w:val="3D3935"/>
        </w:rPr>
        <w:t>No poison pill or dual-class shares</w:t>
      </w:r>
    </w:p>
    <w:p>
      <w:pPr>
        <w:spacing w:after="0" w:line="86" w:lineRule="exact"/>
        <w:rPr>
          <w:rFonts w:ascii="Arial" w:cs="Arial" w:eastAsia="Arial" w:hAnsi="Arial"/>
          <w:sz w:val="16"/>
          <w:szCs w:val="16"/>
          <w:color w:val="0072CE"/>
        </w:rPr>
      </w:pPr>
    </w:p>
    <w:p>
      <w:pPr>
        <w:ind w:left="186" w:hanging="186"/>
        <w:spacing w:after="0"/>
        <w:tabs>
          <w:tab w:leader="none" w:pos="186" w:val="left"/>
        </w:tabs>
        <w:numPr>
          <w:ilvl w:val="0"/>
          <w:numId w:val="23"/>
        </w:numPr>
        <w:rPr>
          <w:rFonts w:ascii="Arial" w:cs="Arial" w:eastAsia="Arial" w:hAnsi="Arial"/>
          <w:sz w:val="16"/>
          <w:szCs w:val="16"/>
          <w:color w:val="0072CE"/>
        </w:rPr>
      </w:pPr>
      <w:r>
        <w:rPr>
          <w:rFonts w:ascii="Arial" w:cs="Arial" w:eastAsia="Arial" w:hAnsi="Arial"/>
          <w:sz w:val="16"/>
          <w:szCs w:val="16"/>
          <w:color w:val="3D3935"/>
        </w:rPr>
        <w:t>One-share, one-vote standard</w:t>
      </w:r>
    </w:p>
    <w:p>
      <w:pPr>
        <w:spacing w:after="0" w:line="2452" w:lineRule="exact"/>
        <w:rPr>
          <w:sz w:val="20"/>
          <w:szCs w:val="20"/>
          <w:color w:val="auto"/>
        </w:rPr>
      </w:pPr>
    </w:p>
    <w:p>
      <w:pPr>
        <w:sectPr>
          <w:pgSz w:w="11900" w:h="16838" w:orient="portrait"/>
          <w:cols w:equalWidth="0" w:num="2">
            <w:col w:w="4200" w:space="594"/>
            <w:col w:w="4286"/>
          </w:cols>
          <w:pgMar w:left="1400" w:top="454"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7000"/>
        <w:spacing w:after="0"/>
        <w:tabs>
          <w:tab w:leader="none" w:pos="8940" w:val="left"/>
        </w:tabs>
        <w:rPr>
          <w:sz w:val="20"/>
          <w:szCs w:val="20"/>
          <w:color w:val="auto"/>
        </w:rPr>
      </w:pPr>
      <w:r>
        <w:rPr>
          <w:rFonts w:ascii="Arial" w:cs="Arial" w:eastAsia="Arial" w:hAnsi="Arial"/>
          <w:sz w:val="14"/>
          <w:szCs w:val="14"/>
          <w:b w:val="1"/>
          <w:bCs w:val="1"/>
          <w:color w:val="0072CE"/>
        </w:rPr>
        <w:t>2025 Proxy Statement</w:t>
      </w:r>
      <w:r>
        <w:rPr>
          <w:sz w:val="20"/>
          <w:szCs w:val="20"/>
          <w:color w:val="auto"/>
        </w:rPr>
        <w:tab/>
      </w:r>
      <w:r>
        <w:rPr>
          <w:rFonts w:ascii="Arial" w:cs="Arial" w:eastAsia="Arial" w:hAnsi="Arial"/>
          <w:sz w:val="14"/>
          <w:szCs w:val="14"/>
          <w:b w:val="1"/>
          <w:bCs w:val="1"/>
          <w:color w:val="3D3935"/>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933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10375" cy="933450"/>
                    </a:xfrm>
                    <a:prstGeom prst="rect">
                      <a:avLst/>
                    </a:prstGeom>
                    <a:noFill/>
                  </pic:spPr>
                </pic:pic>
              </a:graphicData>
            </a:graphic>
          </wp:anchor>
        </w:drawing>
      </w:r>
    </w:p>
    <w:p>
      <w:pPr>
        <w:sectPr>
          <w:pgSz w:w="11900" w:h="16838" w:orient="portrait"/>
          <w:cols w:equalWidth="0" w:num="1">
            <w:col w:w="9080"/>
          </w:cols>
          <w:pgMar w:left="1400" w:top="454" w:right="1419" w:bottom="1440" w:gutter="0" w:footer="0" w:header="0"/>
          <w:type w:val="continuous"/>
        </w:sectPr>
      </w:pPr>
    </w:p>
    <w:bookmarkStart w:id="12" w:name="page13"/>
    <w:bookmarkEnd w:id="12"/>
    <w:p>
      <w:pPr>
        <w:spacing w:after="0" w:line="29" w:lineRule="exact"/>
        <w:rPr>
          <w:sz w:val="20"/>
          <w:szCs w:val="20"/>
          <w:color w:val="auto"/>
        </w:rPr>
      </w:pPr>
    </w:p>
    <w:p>
      <w:pPr>
        <w:ind w:left="60"/>
        <w:spacing w:after="0"/>
        <w:rPr>
          <w:sz w:val="20"/>
          <w:szCs w:val="20"/>
          <w:color w:val="auto"/>
        </w:rPr>
      </w:pPr>
      <w:r>
        <w:rPr>
          <w:rFonts w:ascii="Arial" w:cs="Arial" w:eastAsia="Arial" w:hAnsi="Arial"/>
          <w:sz w:val="49"/>
          <w:szCs w:val="49"/>
          <w:b w:val="1"/>
          <w:bCs w:val="1"/>
          <w:color w:val="3D3935"/>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-320040</wp:posOffset>
            </wp:positionV>
            <wp:extent cx="6810375" cy="79228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10375" cy="7922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40"/>
        <w:spacing w:after="0"/>
        <w:rPr>
          <w:sz w:val="20"/>
          <w:szCs w:val="20"/>
          <w:color w:val="auto"/>
        </w:rPr>
      </w:pPr>
      <w:r>
        <w:rPr>
          <w:rFonts w:ascii="Arial" w:cs="Arial" w:eastAsia="Arial" w:hAnsi="Arial"/>
          <w:sz w:val="22"/>
          <w:szCs w:val="22"/>
          <w:color w:val="FFFFFF"/>
        </w:rPr>
        <w:t>ITEM 1</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49"/>
          <w:szCs w:val="49"/>
          <w:b w:val="1"/>
          <w:bCs w:val="1"/>
          <w:color w:val="3D3935"/>
        </w:rPr>
        <w:t>Annual Election of Directors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240" w:right="900"/>
        <w:spacing w:after="0" w:line="301" w:lineRule="auto"/>
        <w:rPr>
          <w:sz w:val="20"/>
          <w:szCs w:val="20"/>
          <w:color w:val="auto"/>
        </w:rPr>
      </w:pPr>
      <w:r>
        <w:rPr>
          <w:rFonts w:ascii="Arial" w:cs="Arial" w:eastAsia="Arial" w:hAnsi="Arial"/>
          <w:sz w:val="16"/>
          <w:szCs w:val="16"/>
          <w:color w:val="3D3935"/>
        </w:rPr>
        <w:t>At the Annual Meeting, 11 directors will be nominated for election to GM’s Board of Directors. The Governance Committee evaluated the nominees in accordance with the Committee’s charter and our Corporate Governance Guidelines and submitted the nominees to the Board for approval.</w:t>
      </w:r>
    </w:p>
    <w:p>
      <w:pPr>
        <w:spacing w:after="0" w:line="91" w:lineRule="exact"/>
        <w:rPr>
          <w:sz w:val="20"/>
          <w:szCs w:val="20"/>
          <w:color w:val="auto"/>
        </w:rPr>
      </w:pPr>
    </w:p>
    <w:p>
      <w:pPr>
        <w:jc w:val="both"/>
        <w:ind w:left="240" w:right="660"/>
        <w:spacing w:after="0" w:line="301" w:lineRule="auto"/>
        <w:rPr>
          <w:sz w:val="20"/>
          <w:szCs w:val="20"/>
          <w:color w:val="auto"/>
        </w:rPr>
      </w:pPr>
      <w:r>
        <w:rPr>
          <w:rFonts w:ascii="Arial" w:cs="Arial" w:eastAsia="Arial" w:hAnsi="Arial"/>
          <w:sz w:val="16"/>
          <w:szCs w:val="16"/>
          <w:color w:val="3D3935"/>
        </w:rPr>
        <w:t>The Board believes that the director nominees’ diverse backgrounds, attributes, and experiences provide valuable insights for the Board’s oversight of the Company. Seven of the 11 nominees, or 63 percent, bring gender, racial, or ethnic diversity to the Board, including four of the six committee chairs.</w:t>
      </w:r>
    </w:p>
    <w:p>
      <w:pPr>
        <w:spacing w:after="0" w:line="104" w:lineRule="exact"/>
        <w:rPr>
          <w:sz w:val="20"/>
          <w:szCs w:val="20"/>
          <w:color w:val="auto"/>
        </w:rPr>
      </w:pPr>
    </w:p>
    <w:p>
      <w:pPr>
        <w:jc w:val="both"/>
        <w:ind w:left="240" w:right="360"/>
        <w:spacing w:after="0" w:line="301" w:lineRule="auto"/>
        <w:rPr>
          <w:sz w:val="20"/>
          <w:szCs w:val="20"/>
          <w:color w:val="auto"/>
        </w:rPr>
      </w:pPr>
      <w:r>
        <w:rPr>
          <w:rFonts w:ascii="Arial" w:cs="Arial" w:eastAsia="Arial" w:hAnsi="Arial"/>
          <w:sz w:val="16"/>
          <w:szCs w:val="16"/>
          <w:color w:val="3D3935"/>
        </w:rPr>
        <w:t>Of the 11 director nominees, ten were previously elected at the 2024 annual meeting. Alfred F. Kelly, Jr. was elected to the Board in September 2024. Further information on the Board’s composition, as well as each nominee’s qualifications and relevant experience, are provided on the following pages.</w:t>
      </w:r>
    </w:p>
    <w:p>
      <w:pPr>
        <w:spacing w:after="0" w:line="91" w:lineRule="exact"/>
        <w:rPr>
          <w:sz w:val="20"/>
          <w:szCs w:val="20"/>
          <w:color w:val="auto"/>
        </w:rPr>
      </w:pPr>
    </w:p>
    <w:p>
      <w:pPr>
        <w:ind w:left="240" w:right="560"/>
        <w:spacing w:after="0" w:line="291" w:lineRule="auto"/>
        <w:rPr>
          <w:sz w:val="20"/>
          <w:szCs w:val="20"/>
          <w:color w:val="auto"/>
        </w:rPr>
      </w:pPr>
      <w:r>
        <w:rPr>
          <w:rFonts w:ascii="Arial" w:cs="Arial" w:eastAsia="Arial" w:hAnsi="Arial"/>
          <w:sz w:val="16"/>
          <w:szCs w:val="16"/>
          <w:color w:val="3D3935"/>
        </w:rPr>
        <w:t>If elected, the director nominees will serve on the Board until the next annual meeting of shareholders, or until their earlier resignation or removal. If any nominee becomes unable to serve, proxies will be voted for the election of such other person as the Board may designate, unless the Board chooses to reduce the number of directors standing for election. Each of the nominees has consented to being named in this Proxy Statement and serving on the Board, if elected.</w:t>
      </w:r>
    </w:p>
    <w:p>
      <w:pPr>
        <w:spacing w:after="0" w:line="130" w:lineRule="exact"/>
        <w:rPr>
          <w:sz w:val="20"/>
          <w:szCs w:val="20"/>
          <w:color w:val="auto"/>
        </w:rPr>
      </w:pPr>
    </w:p>
    <w:p>
      <w:pPr>
        <w:spacing w:after="0"/>
        <w:rPr>
          <w:sz w:val="20"/>
          <w:szCs w:val="20"/>
          <w:color w:val="auto"/>
        </w:rPr>
      </w:pPr>
      <w:r>
        <w:rPr>
          <w:sz w:val="1"/>
          <w:szCs w:val="1"/>
          <w:color w:val="auto"/>
        </w:rPr>
        <w:drawing>
          <wp:inline distT="0" distB="0" distL="0" distR="0">
            <wp:extent cx="402590" cy="29972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02590" cy="299720"/>
                    </a:xfrm>
                    <a:prstGeom prst="rect">
                      <a:avLst/>
                    </a:prstGeom>
                    <a:noFill/>
                    <a:ln>
                      <a:noFill/>
                    </a:ln>
                  </pic:spPr>
                </pic:pic>
              </a:graphicData>
            </a:graphic>
          </wp:inline>
        </w:drawing>
      </w:r>
      <w:r>
        <w:rPr>
          <w:rFonts w:ascii="Arial" w:cs="Arial" w:eastAsia="Arial" w:hAnsi="Arial"/>
          <w:sz w:val="18"/>
          <w:szCs w:val="18"/>
          <w:color w:val="3D3935"/>
        </w:rPr>
        <w:t xml:space="preserve"> The Board recommends a vote </w:t>
      </w:r>
      <w:r>
        <w:rPr>
          <w:rFonts w:ascii="Arial" w:cs="Arial" w:eastAsia="Arial" w:hAnsi="Arial"/>
          <w:sz w:val="18"/>
          <w:szCs w:val="18"/>
          <w:b w:val="1"/>
          <w:bCs w:val="1"/>
          <w:color w:val="3D3935"/>
        </w:rPr>
        <w:t>FOR</w:t>
      </w:r>
      <w:r>
        <w:rPr>
          <w:rFonts w:ascii="Arial" w:cs="Arial" w:eastAsia="Arial" w:hAnsi="Arial"/>
          <w:sz w:val="18"/>
          <w:szCs w:val="18"/>
          <w:color w:val="3D3935"/>
        </w:rPr>
        <w:t xml:space="preserve"> each of the nominees identified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25107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10375" cy="2510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1 Annual Election of Directors</w:t>
      </w:r>
    </w:p>
    <w:p>
      <w:pPr>
        <w:spacing w:after="0" w:line="200" w:lineRule="exact"/>
        <w:rPr>
          <w:sz w:val="20"/>
          <w:szCs w:val="20"/>
          <w:color w:val="auto"/>
        </w:rPr>
      </w:pPr>
    </w:p>
    <w:p>
      <w:pPr>
        <w:spacing w:after="0" w:line="343" w:lineRule="exact"/>
        <w:rPr>
          <w:sz w:val="20"/>
          <w:szCs w:val="20"/>
          <w:color w:val="auto"/>
        </w:rPr>
      </w:pPr>
    </w:p>
    <w:p>
      <w:pPr>
        <w:ind w:right="560"/>
        <w:spacing w:after="0" w:line="276" w:lineRule="auto"/>
        <w:rPr>
          <w:sz w:val="20"/>
          <w:szCs w:val="20"/>
          <w:color w:val="auto"/>
        </w:rPr>
      </w:pPr>
      <w:r>
        <w:rPr>
          <w:rFonts w:ascii="Arial" w:cs="Arial" w:eastAsia="Arial" w:hAnsi="Arial"/>
          <w:sz w:val="40"/>
          <w:szCs w:val="40"/>
          <w:b w:val="1"/>
          <w:bCs w:val="1"/>
          <w:color w:val="0072CE"/>
        </w:rPr>
        <w:t>Board Membership Criteria, Refreshment, and Succession Planning</w:t>
      </w:r>
    </w:p>
    <w:p>
      <w:pPr>
        <w:spacing w:after="0" w:line="1"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color w:val="3D3935"/>
        </w:rPr>
        <w:t>The selection of qualified directors is fundamental to the Board’s successful oversight of GM’s strategy and enterprise risks. We seek directors who bring diverse viewpoints and perspectives, possess a variety of skills, professional experiences, and backgrounds, and effectively represent the long-term interests of shareholders. The priorities for recruiting new directors are continually evolving based on the Company’s strategic needs. It is important that the Board remains a strategic asset capable of overseeing and helping management address the risks, trends, and opportunities GM is facing now and in</w:t>
      </w:r>
    </w:p>
    <w:p>
      <w:pPr>
        <w:spacing w:after="0" w:line="3" w:lineRule="exact"/>
        <w:rPr>
          <w:sz w:val="20"/>
          <w:szCs w:val="20"/>
          <w:color w:val="auto"/>
        </w:rPr>
      </w:pPr>
    </w:p>
    <w:p>
      <w:pPr>
        <w:ind w:right="800"/>
        <w:spacing w:after="0" w:line="301" w:lineRule="auto"/>
        <w:rPr>
          <w:sz w:val="20"/>
          <w:szCs w:val="20"/>
          <w:color w:val="auto"/>
        </w:rPr>
      </w:pPr>
      <w:r>
        <w:rPr>
          <w:rFonts w:ascii="Arial" w:cs="Arial" w:eastAsia="Arial" w:hAnsi="Arial"/>
          <w:sz w:val="16"/>
          <w:szCs w:val="16"/>
          <w:color w:val="3D3935"/>
        </w:rPr>
        <w:t>the future. The ongoing assessment and planning have enabled the Board to elect eight new members over the past six years, including most recently Mark Tatum in 2021, Joanne Crevoiserat and Jonathan (“Jon”) McNeill in 2022, Vice Admiral (Ret.) Jan Tighe in 2023, and Alfred (“Al”) F. Kelly, Jr. in 2024.</w:t>
      </w:r>
    </w:p>
    <w:p>
      <w:pPr>
        <w:sectPr>
          <w:pgSz w:w="11900" w:h="16867" w:orient="portrait"/>
          <w:cols w:equalWidth="0" w:num="1">
            <w:col w:w="9140"/>
          </w:cols>
          <w:pgMar w:left="1400" w:top="82" w:right="1359" w:bottom="0" w:gutter="0" w:footer="0" w:header="0"/>
        </w:sectPr>
      </w:pPr>
    </w:p>
    <w:bookmarkStart w:id="13" w:name="page14"/>
    <w:bookmarkEnd w:id="13"/>
    <w:p>
      <w:pPr>
        <w:ind w:left="100"/>
        <w:spacing w:after="0"/>
        <w:rPr>
          <w:sz w:val="20"/>
          <w:szCs w:val="20"/>
          <w:color w:val="auto"/>
        </w:rPr>
      </w:pPr>
      <w:r>
        <w:rPr>
          <w:rFonts w:ascii="Arial" w:cs="Arial" w:eastAsia="Arial" w:hAnsi="Arial"/>
          <w:sz w:val="27"/>
          <w:szCs w:val="27"/>
          <w:b w:val="1"/>
          <w:bCs w:val="1"/>
          <w:color w:val="3D3935"/>
        </w:rPr>
        <w:t>2021</w:t>
      </w:r>
    </w:p>
    <w:p>
      <w:pPr>
        <w:spacing w:after="0" w:line="169" w:lineRule="exact"/>
        <w:rPr>
          <w:sz w:val="20"/>
          <w:szCs w:val="20"/>
          <w:color w:val="auto"/>
        </w:rPr>
      </w:pPr>
    </w:p>
    <w:p>
      <w:pPr>
        <w:ind w:left="100"/>
        <w:spacing w:after="0" w:line="325" w:lineRule="auto"/>
        <w:rPr>
          <w:sz w:val="20"/>
          <w:szCs w:val="20"/>
          <w:color w:val="auto"/>
        </w:rPr>
      </w:pPr>
      <w:r>
        <w:rPr>
          <w:rFonts w:ascii="Arial" w:cs="Arial" w:eastAsia="Arial" w:hAnsi="Arial"/>
          <w:sz w:val="14"/>
          <w:szCs w:val="14"/>
          <w:color w:val="3D3935"/>
        </w:rPr>
        <w:t>Mark Tatum joins the Board, adding marketing, brand, and customer experience expertise.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7"/>
          <w:szCs w:val="27"/>
          <w:b w:val="1"/>
          <w:bCs w:val="1"/>
          <w:color w:val="3D3935"/>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-2767330</wp:posOffset>
            </wp:positionH>
            <wp:positionV relativeFrom="paragraph">
              <wp:posOffset>-297815</wp:posOffset>
            </wp:positionV>
            <wp:extent cx="6810375" cy="63455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10375" cy="6345555"/>
                    </a:xfrm>
                    <a:prstGeom prst="rect">
                      <a:avLst/>
                    </a:prstGeom>
                    <a:noFill/>
                  </pic:spPr>
                </pic:pic>
              </a:graphicData>
            </a:graphic>
          </wp:anchor>
        </w:drawing>
      </w:r>
    </w:p>
    <w:p>
      <w:pPr>
        <w:spacing w:after="0" w:line="149" w:lineRule="exact"/>
        <w:rPr>
          <w:sz w:val="20"/>
          <w:szCs w:val="20"/>
          <w:color w:val="auto"/>
        </w:rPr>
      </w:pPr>
    </w:p>
    <w:p>
      <w:pPr>
        <w:ind w:right="2480"/>
        <w:spacing w:after="0" w:line="325" w:lineRule="auto"/>
        <w:rPr>
          <w:sz w:val="20"/>
          <w:szCs w:val="20"/>
          <w:color w:val="auto"/>
        </w:rPr>
      </w:pPr>
      <w:r>
        <w:rPr>
          <w:rFonts w:ascii="Arial" w:cs="Arial" w:eastAsia="Arial" w:hAnsi="Arial"/>
          <w:sz w:val="14"/>
          <w:szCs w:val="14"/>
          <w:color w:val="3D3935"/>
        </w:rPr>
        <w:t>Jan Tighe joins the Board, adding cybersecurity, risk management, and technology expertise.</w:t>
      </w:r>
    </w:p>
    <w:p>
      <w:pPr>
        <w:spacing w:after="0" w:line="200" w:lineRule="exact"/>
        <w:rPr>
          <w:sz w:val="20"/>
          <w:szCs w:val="20"/>
          <w:color w:val="auto"/>
        </w:rPr>
      </w:pPr>
    </w:p>
    <w:p>
      <w:pPr>
        <w:sectPr>
          <w:pgSz w:w="11900" w:h="16838" w:orient="portrait"/>
          <w:cols w:equalWidth="0" w:num="2">
            <w:col w:w="3080" w:space="460"/>
            <w:col w:w="5540"/>
          </w:cols>
          <w:pgMar w:left="1400" w:top="299" w:right="1419" w:bottom="0" w:gutter="0" w:footer="0" w:header="0"/>
        </w:sectPr>
      </w:pPr>
    </w:p>
    <w:p>
      <w:pPr>
        <w:spacing w:after="0" w:line="294" w:lineRule="exact"/>
        <w:rPr>
          <w:sz w:val="20"/>
          <w:szCs w:val="20"/>
          <w:color w:val="auto"/>
        </w:rPr>
      </w:pPr>
    </w:p>
    <w:p>
      <w:pPr>
        <w:ind w:left="1340"/>
        <w:spacing w:after="0"/>
        <w:rPr>
          <w:sz w:val="20"/>
          <w:szCs w:val="20"/>
          <w:color w:val="auto"/>
        </w:rPr>
      </w:pPr>
      <w:r>
        <w:rPr>
          <w:rFonts w:ascii="Arial" w:cs="Arial" w:eastAsia="Arial" w:hAnsi="Arial"/>
          <w:sz w:val="35"/>
          <w:szCs w:val="35"/>
          <w:color w:val="FFFFFF"/>
        </w:rPr>
        <w:t>Continuous Board Refreshment</w:t>
      </w:r>
    </w:p>
    <w:p>
      <w:pPr>
        <w:sectPr>
          <w:pgSz w:w="11900" w:h="16838" w:orient="portrait"/>
          <w:cols w:equalWidth="0" w:num="1">
            <w:col w:w="9080"/>
          </w:cols>
          <w:pgMar w:left="1400" w:top="299" w:right="14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60"/>
        <w:spacing w:after="0"/>
        <w:rPr>
          <w:sz w:val="20"/>
          <w:szCs w:val="20"/>
          <w:color w:val="auto"/>
        </w:rPr>
      </w:pPr>
      <w:r>
        <w:rPr>
          <w:rFonts w:ascii="Arial" w:cs="Arial" w:eastAsia="Arial" w:hAnsi="Arial"/>
          <w:sz w:val="27"/>
          <w:szCs w:val="27"/>
          <w:b w:val="1"/>
          <w:bCs w:val="1"/>
          <w:color w:val="3D3935"/>
        </w:rPr>
        <w:t>2022</w:t>
      </w:r>
    </w:p>
    <w:p>
      <w:pPr>
        <w:spacing w:after="0" w:line="169" w:lineRule="exact"/>
        <w:rPr>
          <w:sz w:val="20"/>
          <w:szCs w:val="20"/>
          <w:color w:val="auto"/>
        </w:rPr>
      </w:pPr>
    </w:p>
    <w:p>
      <w:pPr>
        <w:ind w:left="1660"/>
        <w:spacing w:after="0"/>
        <w:rPr>
          <w:sz w:val="20"/>
          <w:szCs w:val="20"/>
          <w:color w:val="auto"/>
        </w:rPr>
      </w:pPr>
      <w:r>
        <w:rPr>
          <w:rFonts w:ascii="Arial" w:cs="Arial" w:eastAsia="Arial" w:hAnsi="Arial"/>
          <w:sz w:val="14"/>
          <w:szCs w:val="14"/>
          <w:color w:val="3D3935"/>
        </w:rPr>
        <w:t>Joanne Crevoiserat and Jon McNeill</w:t>
      </w:r>
    </w:p>
    <w:p>
      <w:pPr>
        <w:spacing w:after="0" w:line="29" w:lineRule="exact"/>
        <w:rPr>
          <w:sz w:val="20"/>
          <w:szCs w:val="20"/>
          <w:color w:val="auto"/>
        </w:rPr>
      </w:pPr>
    </w:p>
    <w:p>
      <w:pPr>
        <w:ind w:left="1660"/>
        <w:spacing w:after="0"/>
        <w:rPr>
          <w:sz w:val="20"/>
          <w:szCs w:val="20"/>
          <w:color w:val="auto"/>
        </w:rPr>
      </w:pPr>
      <w:r>
        <w:rPr>
          <w:rFonts w:ascii="Arial" w:cs="Arial" w:eastAsia="Arial" w:hAnsi="Arial"/>
          <w:sz w:val="14"/>
          <w:szCs w:val="14"/>
          <w:color w:val="3D3935"/>
        </w:rPr>
        <w:t>join the Board, adding industry,</w:t>
      </w:r>
    </w:p>
    <w:p>
      <w:pPr>
        <w:spacing w:after="0" w:line="28" w:lineRule="exact"/>
        <w:rPr>
          <w:sz w:val="20"/>
          <w:szCs w:val="20"/>
          <w:color w:val="auto"/>
        </w:rPr>
      </w:pPr>
    </w:p>
    <w:p>
      <w:pPr>
        <w:ind w:left="1660"/>
        <w:spacing w:after="0"/>
        <w:rPr>
          <w:sz w:val="20"/>
          <w:szCs w:val="20"/>
          <w:color w:val="auto"/>
        </w:rPr>
      </w:pPr>
      <w:r>
        <w:rPr>
          <w:rFonts w:ascii="Arial" w:cs="Arial" w:eastAsia="Arial" w:hAnsi="Arial"/>
          <w:sz w:val="14"/>
          <w:szCs w:val="14"/>
          <w:color w:val="3D3935"/>
        </w:rPr>
        <w:t>financial, marketing, brand, and</w:t>
      </w:r>
    </w:p>
    <w:p>
      <w:pPr>
        <w:spacing w:after="0" w:line="28" w:lineRule="exact"/>
        <w:rPr>
          <w:sz w:val="20"/>
          <w:szCs w:val="20"/>
          <w:color w:val="auto"/>
        </w:rPr>
      </w:pPr>
    </w:p>
    <w:p>
      <w:pPr>
        <w:ind w:left="1660"/>
        <w:spacing w:after="0"/>
        <w:rPr>
          <w:sz w:val="20"/>
          <w:szCs w:val="20"/>
          <w:color w:val="auto"/>
        </w:rPr>
      </w:pPr>
      <w:r>
        <w:rPr>
          <w:rFonts w:ascii="Arial" w:cs="Arial" w:eastAsia="Arial" w:hAnsi="Arial"/>
          <w:sz w:val="14"/>
          <w:szCs w:val="14"/>
          <w:color w:val="3D3935"/>
        </w:rPr>
        <w:t>technological expertise.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7"/>
          <w:szCs w:val="27"/>
          <w:b w:val="1"/>
          <w:bCs w:val="1"/>
          <w:color w:val="3D3935"/>
        </w:rPr>
        <w:t>2024</w:t>
      </w:r>
    </w:p>
    <w:p>
      <w:pPr>
        <w:spacing w:after="0" w:line="169" w:lineRule="exact"/>
        <w:rPr>
          <w:sz w:val="20"/>
          <w:szCs w:val="20"/>
          <w:color w:val="auto"/>
        </w:rPr>
      </w:pPr>
    </w:p>
    <w:p>
      <w:pPr>
        <w:ind w:right="1440"/>
        <w:spacing w:after="0" w:line="325" w:lineRule="auto"/>
        <w:rPr>
          <w:sz w:val="20"/>
          <w:szCs w:val="20"/>
          <w:color w:val="auto"/>
        </w:rPr>
      </w:pPr>
      <w:r>
        <w:rPr>
          <w:rFonts w:ascii="Arial" w:cs="Arial" w:eastAsia="Arial" w:hAnsi="Arial"/>
          <w:sz w:val="14"/>
          <w:szCs w:val="14"/>
          <w:color w:val="3D3935"/>
        </w:rPr>
        <w:t>Al Kelly joins the Board adding financial, risk management, and cybersecurity expertise.</w:t>
      </w:r>
    </w:p>
    <w:p>
      <w:pPr>
        <w:spacing w:after="0" w:line="493" w:lineRule="exact"/>
        <w:rPr>
          <w:sz w:val="20"/>
          <w:szCs w:val="20"/>
          <w:color w:val="auto"/>
        </w:rPr>
      </w:pPr>
    </w:p>
    <w:p>
      <w:pPr>
        <w:sectPr>
          <w:pgSz w:w="11900" w:h="16838" w:orient="portrait"/>
          <w:cols w:equalWidth="0" w:num="2">
            <w:col w:w="4100" w:space="720"/>
            <w:col w:w="4260"/>
          </w:cols>
          <w:pgMar w:left="1400" w:top="299" w:right="1419" w:bottom="0" w:gutter="0" w:footer="0" w:header="0"/>
          <w:type w:val="continuous"/>
        </w:sectPr>
      </w:pPr>
    </w:p>
    <w:p>
      <w:pPr>
        <w:spacing w:after="0" w:line="146"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3D3935"/>
        </w:rPr>
        <w:t>In evaluating potential director candidates, the Governance Committee considers, among other factors, the criteria included on the skills matrix on page 11, the skills and experience of our current directors, and certain additional characteristics that it believes one or more directors should possess based on an assessment of the needs of the Board at that time. In every case, director candidates must be able to contribute significantly to the Board’s discussion and decision-making on the broad array of complex issues facing GM. The Governance Committee also engages a reputable, qualified search firm to help identify and evaluate potential candidates. In addition, GM’s Corporate Governance Guidelines include the general policy that non-employee directors will not stand for election after reaching age 72, with any exceptions requiring approval by the Board.</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3D3935"/>
        </w:rPr>
        <w:t>At this time, the Board has approved an exception for Independent Lead Director, Patricia Russo. The Board believes</w:t>
      </w:r>
    </w:p>
    <w:p>
      <w:pPr>
        <w:spacing w:after="0" w:line="32"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3D3935"/>
        </w:rPr>
        <w:t>Ms. Russo’s expertise and deep knowledge about GM are pertinent and required to see the Company remains highly valuable as we advance our strategic transformation. The remaining ten Board candidates are compliant with the Corporate Governance Guidelines.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2CE"/>
        </w:rPr>
        <w:t>Board Spotlight: Recognizing Distinguished Service</w:t>
      </w:r>
    </w:p>
    <w:p>
      <w:pPr>
        <w:spacing w:after="0" w:line="95" w:lineRule="exact"/>
        <w:rPr>
          <w:sz w:val="20"/>
          <w:szCs w:val="20"/>
          <w:color w:val="auto"/>
        </w:rPr>
      </w:pPr>
    </w:p>
    <w:p>
      <w:pPr>
        <w:ind w:left="240" w:right="860"/>
        <w:spacing w:after="0" w:line="272" w:lineRule="auto"/>
        <w:rPr>
          <w:sz w:val="20"/>
          <w:szCs w:val="20"/>
          <w:color w:val="auto"/>
        </w:rPr>
      </w:pPr>
      <w:r>
        <w:rPr>
          <w:rFonts w:ascii="Arial" w:cs="Arial" w:eastAsia="Arial" w:hAnsi="Arial"/>
          <w:sz w:val="16"/>
          <w:szCs w:val="16"/>
          <w:color w:val="3D3935"/>
        </w:rPr>
        <w:t xml:space="preserve">The Board would like to express its gratitude to Tom Schoewe for his dedication to the Audit Committee and to Linda Gooden for her role in establishing the Risk and Cybersecurity Committee. Both played critical roles in developing best-in-class procedures to oversee the audit, risk, and cybersecurity functions and therefore helped protect shareholder, customer, and Company interests </w:t>
      </w:r>
      <w:r>
        <w:rPr>
          <w:rFonts w:ascii="Arial" w:cs="Arial" w:eastAsia="Arial" w:hAnsi="Arial"/>
          <w:sz w:val="17"/>
          <w:szCs w:val="17"/>
          <w:b w:val="1"/>
          <w:bCs w:val="1"/>
          <w:color w:val="3D3935"/>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72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3D3935"/>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40881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10375" cy="4088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ITEM 1 Annual Election of Directors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2025 Board Nominee Skills and Statistics</w:t>
      </w:r>
    </w:p>
    <w:p>
      <w:pPr>
        <w:spacing w:after="0" w:line="132" w:lineRule="exact"/>
        <w:rPr>
          <w:sz w:val="20"/>
          <w:szCs w:val="20"/>
          <w:color w:val="auto"/>
        </w:rPr>
      </w:pPr>
    </w:p>
    <w:p>
      <w:pPr>
        <w:ind w:right="500"/>
        <w:spacing w:after="0" w:line="289" w:lineRule="auto"/>
        <w:rPr>
          <w:sz w:val="20"/>
          <w:szCs w:val="20"/>
          <w:color w:val="auto"/>
        </w:rPr>
      </w:pPr>
      <w:r>
        <w:rPr>
          <w:rFonts w:ascii="Arial" w:cs="Arial" w:eastAsia="Arial" w:hAnsi="Arial"/>
          <w:sz w:val="16"/>
          <w:szCs w:val="16"/>
          <w:color w:val="3D3935"/>
        </w:rPr>
        <w:t>General Motors is committed to ensuring its Board remains a strategic asset to the Company. We have also thoughtfully managed director succession planning to leverage the combined benefits of deep institutional knowledge and new perspectives through Board refreshment. In addition, the Company’s Corporate Governance Guidelines emphasize the Board’s commitment to selecting highly qualified candidates who reflect GM’s global workforce and customer base.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661"/>
        </w:trPr>
        <w:tc>
          <w:tcPr>
            <w:tcW w:w="2240" w:type="dxa"/>
            <w:vAlign w:val="bottom"/>
            <w:shd w:val="clear" w:color="auto" w:fill="F0F3F5"/>
          </w:tcPr>
          <w:p>
            <w:pPr>
              <w:jc w:val="right"/>
              <w:ind w:right="552"/>
              <w:spacing w:after="0"/>
              <w:rPr>
                <w:sz w:val="20"/>
                <w:szCs w:val="20"/>
                <w:color w:val="auto"/>
              </w:rPr>
            </w:pPr>
            <w:r>
              <w:rPr>
                <w:rFonts w:ascii="Arial" w:cs="Arial" w:eastAsia="Arial" w:hAnsi="Arial"/>
                <w:sz w:val="43"/>
                <w:szCs w:val="43"/>
                <w:b w:val="1"/>
                <w:bCs w:val="1"/>
                <w:color w:val="0072CE"/>
              </w:rPr>
              <w:t>45%</w:t>
            </w:r>
          </w:p>
        </w:tc>
        <w:tc>
          <w:tcPr>
            <w:tcW w:w="40" w:type="dxa"/>
            <w:vAlign w:val="bottom"/>
          </w:tcPr>
          <w:p>
            <w:pPr>
              <w:spacing w:after="0"/>
              <w:rPr>
                <w:sz w:val="24"/>
                <w:szCs w:val="24"/>
                <w:color w:val="auto"/>
              </w:rPr>
            </w:pPr>
          </w:p>
        </w:tc>
        <w:tc>
          <w:tcPr>
            <w:tcW w:w="2240" w:type="dxa"/>
            <w:vAlign w:val="bottom"/>
            <w:shd w:val="clear" w:color="auto" w:fill="F0F3F5"/>
          </w:tcPr>
          <w:p>
            <w:pPr>
              <w:jc w:val="center"/>
              <w:spacing w:after="0"/>
              <w:rPr>
                <w:sz w:val="20"/>
                <w:szCs w:val="20"/>
                <w:color w:val="auto"/>
              </w:rPr>
            </w:pPr>
            <w:r>
              <w:rPr>
                <w:rFonts w:ascii="Arial" w:cs="Arial" w:eastAsia="Arial" w:hAnsi="Arial"/>
                <w:sz w:val="43"/>
                <w:szCs w:val="43"/>
                <w:b w:val="1"/>
                <w:bCs w:val="1"/>
                <w:color w:val="0072CE"/>
                <w:w w:val="99"/>
              </w:rPr>
              <w:t>63%</w:t>
            </w:r>
          </w:p>
        </w:tc>
        <w:tc>
          <w:tcPr>
            <w:tcW w:w="60" w:type="dxa"/>
            <w:vAlign w:val="bottom"/>
          </w:tcPr>
          <w:p>
            <w:pPr>
              <w:spacing w:after="0"/>
              <w:rPr>
                <w:sz w:val="24"/>
                <w:szCs w:val="24"/>
                <w:color w:val="auto"/>
              </w:rPr>
            </w:pPr>
          </w:p>
        </w:tc>
        <w:tc>
          <w:tcPr>
            <w:tcW w:w="2220" w:type="dxa"/>
            <w:vAlign w:val="bottom"/>
            <w:shd w:val="clear" w:color="auto" w:fill="F0F3F5"/>
          </w:tcPr>
          <w:p>
            <w:pPr>
              <w:jc w:val="center"/>
              <w:spacing w:after="0"/>
              <w:rPr>
                <w:sz w:val="20"/>
                <w:szCs w:val="20"/>
                <w:color w:val="auto"/>
              </w:rPr>
            </w:pPr>
            <w:r>
              <w:rPr>
                <w:rFonts w:ascii="Arial" w:cs="Arial" w:eastAsia="Arial" w:hAnsi="Arial"/>
                <w:sz w:val="43"/>
                <w:szCs w:val="43"/>
                <w:b w:val="1"/>
                <w:bCs w:val="1"/>
                <w:color w:val="0072CE"/>
              </w:rPr>
              <w:t>6</w:t>
            </w:r>
          </w:p>
        </w:tc>
        <w:tc>
          <w:tcPr>
            <w:tcW w:w="60" w:type="dxa"/>
            <w:vAlign w:val="bottom"/>
          </w:tcPr>
          <w:p>
            <w:pPr>
              <w:spacing w:after="0"/>
              <w:rPr>
                <w:sz w:val="24"/>
                <w:szCs w:val="24"/>
                <w:color w:val="auto"/>
              </w:rPr>
            </w:pPr>
          </w:p>
        </w:tc>
        <w:tc>
          <w:tcPr>
            <w:tcW w:w="2220" w:type="dxa"/>
            <w:vAlign w:val="bottom"/>
            <w:shd w:val="clear" w:color="auto" w:fill="F0F3F5"/>
          </w:tcPr>
          <w:p>
            <w:pPr>
              <w:jc w:val="center"/>
              <w:spacing w:after="0"/>
              <w:rPr>
                <w:sz w:val="20"/>
                <w:szCs w:val="20"/>
                <w:color w:val="auto"/>
              </w:rPr>
            </w:pPr>
            <w:r>
              <w:rPr>
                <w:rFonts w:ascii="Arial" w:cs="Arial" w:eastAsia="Arial" w:hAnsi="Arial"/>
                <w:sz w:val="43"/>
                <w:szCs w:val="43"/>
                <w:b w:val="1"/>
                <w:bCs w:val="1"/>
                <w:color w:val="0072CE"/>
              </w:rPr>
              <w:t>63</w:t>
            </w:r>
          </w:p>
        </w:tc>
      </w:tr>
      <w:tr>
        <w:trPr>
          <w:trHeight w:val="215"/>
        </w:trPr>
        <w:tc>
          <w:tcPr>
            <w:tcW w:w="2240" w:type="dxa"/>
            <w:vAlign w:val="bottom"/>
            <w:shd w:val="clear" w:color="auto" w:fill="F0F3F5"/>
          </w:tcPr>
          <w:p>
            <w:pPr>
              <w:jc w:val="center"/>
              <w:spacing w:after="0"/>
              <w:rPr>
                <w:sz w:val="20"/>
                <w:szCs w:val="20"/>
                <w:color w:val="auto"/>
              </w:rPr>
            </w:pPr>
            <w:r>
              <w:rPr>
                <w:rFonts w:ascii="Arial" w:cs="Arial" w:eastAsia="Arial" w:hAnsi="Arial"/>
                <w:sz w:val="16"/>
                <w:szCs w:val="16"/>
                <w:color w:val="3D3935"/>
              </w:rPr>
              <w:t>Women</w:t>
            </w:r>
          </w:p>
        </w:tc>
        <w:tc>
          <w:tcPr>
            <w:tcW w:w="40" w:type="dxa"/>
            <w:vAlign w:val="bottom"/>
          </w:tcPr>
          <w:p>
            <w:pPr>
              <w:spacing w:after="0"/>
              <w:rPr>
                <w:sz w:val="18"/>
                <w:szCs w:val="18"/>
                <w:color w:val="auto"/>
              </w:rPr>
            </w:pPr>
          </w:p>
        </w:tc>
        <w:tc>
          <w:tcPr>
            <w:tcW w:w="2240" w:type="dxa"/>
            <w:vAlign w:val="bottom"/>
            <w:shd w:val="clear" w:color="auto" w:fill="F0F3F5"/>
          </w:tcPr>
          <w:p>
            <w:pPr>
              <w:jc w:val="center"/>
              <w:spacing w:after="0"/>
              <w:rPr>
                <w:sz w:val="20"/>
                <w:szCs w:val="20"/>
                <w:color w:val="auto"/>
              </w:rPr>
            </w:pPr>
            <w:r>
              <w:rPr>
                <w:rFonts w:ascii="Arial" w:cs="Arial" w:eastAsia="Arial" w:hAnsi="Arial"/>
                <w:sz w:val="16"/>
                <w:szCs w:val="16"/>
                <w:color w:val="3D3935"/>
              </w:rPr>
              <w:t>Board Committee</w:t>
            </w:r>
          </w:p>
        </w:tc>
        <w:tc>
          <w:tcPr>
            <w:tcW w:w="60" w:type="dxa"/>
            <w:vAlign w:val="bottom"/>
          </w:tcPr>
          <w:p>
            <w:pPr>
              <w:spacing w:after="0"/>
              <w:rPr>
                <w:sz w:val="18"/>
                <w:szCs w:val="18"/>
                <w:color w:val="auto"/>
              </w:rPr>
            </w:pPr>
          </w:p>
        </w:tc>
        <w:tc>
          <w:tcPr>
            <w:tcW w:w="2220" w:type="dxa"/>
            <w:vAlign w:val="bottom"/>
            <w:shd w:val="clear" w:color="auto" w:fill="F0F3F5"/>
          </w:tcPr>
          <w:p>
            <w:pPr>
              <w:jc w:val="center"/>
              <w:spacing w:after="0"/>
              <w:rPr>
                <w:sz w:val="20"/>
                <w:szCs w:val="20"/>
                <w:color w:val="auto"/>
              </w:rPr>
            </w:pPr>
            <w:r>
              <w:rPr>
                <w:rFonts w:ascii="Arial" w:cs="Arial" w:eastAsia="Arial" w:hAnsi="Arial"/>
                <w:sz w:val="16"/>
                <w:szCs w:val="16"/>
                <w:color w:val="3D3935"/>
              </w:rPr>
              <w:t>Years Average</w:t>
            </w:r>
          </w:p>
        </w:tc>
        <w:tc>
          <w:tcPr>
            <w:tcW w:w="60" w:type="dxa"/>
            <w:vAlign w:val="bottom"/>
          </w:tcPr>
          <w:p>
            <w:pPr>
              <w:spacing w:after="0"/>
              <w:rPr>
                <w:sz w:val="18"/>
                <w:szCs w:val="18"/>
                <w:color w:val="auto"/>
              </w:rPr>
            </w:pPr>
          </w:p>
        </w:tc>
        <w:tc>
          <w:tcPr>
            <w:tcW w:w="2220" w:type="dxa"/>
            <w:vAlign w:val="bottom"/>
            <w:shd w:val="clear" w:color="auto" w:fill="F0F3F5"/>
          </w:tcPr>
          <w:p>
            <w:pPr>
              <w:jc w:val="center"/>
              <w:spacing w:after="0"/>
              <w:rPr>
                <w:sz w:val="20"/>
                <w:szCs w:val="20"/>
                <w:color w:val="auto"/>
              </w:rPr>
            </w:pPr>
            <w:r>
              <w:rPr>
                <w:rFonts w:ascii="Arial" w:cs="Arial" w:eastAsia="Arial" w:hAnsi="Arial"/>
                <w:sz w:val="16"/>
                <w:szCs w:val="16"/>
                <w:color w:val="3D3935"/>
              </w:rPr>
              <w:t>Years Average</w:t>
            </w:r>
          </w:p>
        </w:tc>
      </w:tr>
      <w:tr>
        <w:trPr>
          <w:trHeight w:val="216"/>
        </w:trPr>
        <w:tc>
          <w:tcPr>
            <w:tcW w:w="2240" w:type="dxa"/>
            <w:vAlign w:val="bottom"/>
            <w:shd w:val="clear" w:color="auto" w:fill="F0F3F5"/>
          </w:tcPr>
          <w:p>
            <w:pPr>
              <w:spacing w:after="0"/>
              <w:rPr>
                <w:sz w:val="18"/>
                <w:szCs w:val="18"/>
                <w:color w:val="auto"/>
              </w:rPr>
            </w:pPr>
          </w:p>
        </w:tc>
        <w:tc>
          <w:tcPr>
            <w:tcW w:w="40" w:type="dxa"/>
            <w:vAlign w:val="bottom"/>
          </w:tcPr>
          <w:p>
            <w:pPr>
              <w:spacing w:after="0"/>
              <w:rPr>
                <w:sz w:val="18"/>
                <w:szCs w:val="18"/>
                <w:color w:val="auto"/>
              </w:rPr>
            </w:pPr>
          </w:p>
        </w:tc>
        <w:tc>
          <w:tcPr>
            <w:tcW w:w="2240" w:type="dxa"/>
            <w:vAlign w:val="bottom"/>
            <w:shd w:val="clear" w:color="auto" w:fill="F0F3F5"/>
          </w:tcPr>
          <w:p>
            <w:pPr>
              <w:jc w:val="center"/>
              <w:spacing w:after="0"/>
              <w:rPr>
                <w:sz w:val="20"/>
                <w:szCs w:val="20"/>
                <w:color w:val="auto"/>
              </w:rPr>
            </w:pPr>
            <w:r>
              <w:rPr>
                <w:rFonts w:ascii="Arial" w:cs="Arial" w:eastAsia="Arial" w:hAnsi="Arial"/>
                <w:sz w:val="16"/>
                <w:szCs w:val="16"/>
                <w:color w:val="3D3935"/>
              </w:rPr>
              <w:t>Chairs of Gender or</w:t>
            </w:r>
          </w:p>
        </w:tc>
        <w:tc>
          <w:tcPr>
            <w:tcW w:w="60" w:type="dxa"/>
            <w:vAlign w:val="bottom"/>
          </w:tcPr>
          <w:p>
            <w:pPr>
              <w:spacing w:after="0"/>
              <w:rPr>
                <w:sz w:val="18"/>
                <w:szCs w:val="18"/>
                <w:color w:val="auto"/>
              </w:rPr>
            </w:pPr>
          </w:p>
        </w:tc>
        <w:tc>
          <w:tcPr>
            <w:tcW w:w="2220" w:type="dxa"/>
            <w:vAlign w:val="bottom"/>
            <w:shd w:val="clear" w:color="auto" w:fill="F0F3F5"/>
          </w:tcPr>
          <w:p>
            <w:pPr>
              <w:jc w:val="center"/>
              <w:spacing w:after="0"/>
              <w:rPr>
                <w:sz w:val="20"/>
                <w:szCs w:val="20"/>
                <w:color w:val="auto"/>
              </w:rPr>
            </w:pPr>
            <w:r>
              <w:rPr>
                <w:rFonts w:ascii="Arial" w:cs="Arial" w:eastAsia="Arial" w:hAnsi="Arial"/>
                <w:sz w:val="16"/>
                <w:szCs w:val="16"/>
                <w:color w:val="3D3935"/>
                <w:w w:val="98"/>
              </w:rPr>
              <w:t>Tenure</w:t>
            </w:r>
          </w:p>
        </w:tc>
        <w:tc>
          <w:tcPr>
            <w:tcW w:w="60" w:type="dxa"/>
            <w:vAlign w:val="bottom"/>
          </w:tcPr>
          <w:p>
            <w:pPr>
              <w:spacing w:after="0"/>
              <w:rPr>
                <w:sz w:val="18"/>
                <w:szCs w:val="18"/>
                <w:color w:val="auto"/>
              </w:rPr>
            </w:pPr>
          </w:p>
        </w:tc>
        <w:tc>
          <w:tcPr>
            <w:tcW w:w="2220" w:type="dxa"/>
            <w:vAlign w:val="bottom"/>
            <w:shd w:val="clear" w:color="auto" w:fill="F0F3F5"/>
          </w:tcPr>
          <w:p>
            <w:pPr>
              <w:jc w:val="center"/>
              <w:spacing w:after="0"/>
              <w:rPr>
                <w:sz w:val="20"/>
                <w:szCs w:val="20"/>
                <w:color w:val="auto"/>
              </w:rPr>
            </w:pPr>
            <w:r>
              <w:rPr>
                <w:rFonts w:ascii="Arial" w:cs="Arial" w:eastAsia="Arial" w:hAnsi="Arial"/>
                <w:sz w:val="16"/>
                <w:szCs w:val="16"/>
                <w:color w:val="3D3935"/>
                <w:w w:val="98"/>
              </w:rPr>
              <w:t>Age</w:t>
            </w:r>
          </w:p>
        </w:tc>
      </w:tr>
      <w:tr>
        <w:trPr>
          <w:trHeight w:val="216"/>
        </w:trPr>
        <w:tc>
          <w:tcPr>
            <w:tcW w:w="2240" w:type="dxa"/>
            <w:vAlign w:val="bottom"/>
            <w:shd w:val="clear" w:color="auto" w:fill="F0F3F5"/>
          </w:tcPr>
          <w:p>
            <w:pPr>
              <w:spacing w:after="0"/>
              <w:rPr>
                <w:sz w:val="18"/>
                <w:szCs w:val="18"/>
                <w:color w:val="auto"/>
              </w:rPr>
            </w:pPr>
          </w:p>
        </w:tc>
        <w:tc>
          <w:tcPr>
            <w:tcW w:w="40" w:type="dxa"/>
            <w:vAlign w:val="bottom"/>
          </w:tcPr>
          <w:p>
            <w:pPr>
              <w:spacing w:after="0"/>
              <w:rPr>
                <w:sz w:val="18"/>
                <w:szCs w:val="18"/>
                <w:color w:val="auto"/>
              </w:rPr>
            </w:pPr>
          </w:p>
        </w:tc>
        <w:tc>
          <w:tcPr>
            <w:tcW w:w="2240" w:type="dxa"/>
            <w:vAlign w:val="bottom"/>
            <w:shd w:val="clear" w:color="auto" w:fill="F0F3F5"/>
          </w:tcPr>
          <w:p>
            <w:pPr>
              <w:jc w:val="center"/>
              <w:spacing w:after="0"/>
              <w:rPr>
                <w:sz w:val="20"/>
                <w:szCs w:val="20"/>
                <w:color w:val="auto"/>
              </w:rPr>
            </w:pPr>
            <w:r>
              <w:rPr>
                <w:rFonts w:ascii="Arial" w:cs="Arial" w:eastAsia="Arial" w:hAnsi="Arial"/>
                <w:sz w:val="16"/>
                <w:szCs w:val="16"/>
                <w:color w:val="3D3935"/>
              </w:rPr>
              <w:t>Racial/Ethnic Diversity</w:t>
            </w:r>
          </w:p>
        </w:tc>
        <w:tc>
          <w:tcPr>
            <w:tcW w:w="60" w:type="dxa"/>
            <w:vAlign w:val="bottom"/>
          </w:tcPr>
          <w:p>
            <w:pPr>
              <w:spacing w:after="0"/>
              <w:rPr>
                <w:sz w:val="18"/>
                <w:szCs w:val="18"/>
                <w:color w:val="auto"/>
              </w:rPr>
            </w:pPr>
          </w:p>
        </w:tc>
        <w:tc>
          <w:tcPr>
            <w:tcW w:w="2220" w:type="dxa"/>
            <w:vAlign w:val="bottom"/>
            <w:shd w:val="clear" w:color="auto" w:fill="F0F3F5"/>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shd w:val="clear" w:color="auto" w:fill="F0F3F5"/>
          </w:tcPr>
          <w:p>
            <w:pPr>
              <w:spacing w:after="0"/>
              <w:rPr>
                <w:sz w:val="18"/>
                <w:szCs w:val="18"/>
                <w:color w:val="auto"/>
              </w:rPr>
            </w:pPr>
          </w:p>
        </w:tc>
      </w:tr>
      <w:tr>
        <w:trPr>
          <w:trHeight w:val="164"/>
        </w:trPr>
        <w:tc>
          <w:tcPr>
            <w:tcW w:w="2240" w:type="dxa"/>
            <w:vAlign w:val="bottom"/>
            <w:shd w:val="clear" w:color="auto" w:fill="F0F3F5"/>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shd w:val="clear" w:color="auto" w:fill="F0F3F5"/>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shd w:val="clear" w:color="auto" w:fill="F0F3F5"/>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shd w:val="clear" w:color="auto" w:fill="F0F3F5"/>
          </w:tcPr>
          <w:p>
            <w:pPr>
              <w:spacing w:after="0"/>
              <w:rPr>
                <w:sz w:val="14"/>
                <w:szCs w:val="14"/>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Nominee Skills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80"/>
        <w:spacing w:after="0"/>
        <w:tabs>
          <w:tab w:leader="none" w:pos="4240" w:val="left"/>
          <w:tab w:leader="none" w:pos="7340" w:val="left"/>
        </w:tabs>
        <w:rPr>
          <w:sz w:val="20"/>
          <w:szCs w:val="20"/>
          <w:color w:val="auto"/>
        </w:rPr>
      </w:pPr>
      <w:r>
        <w:rPr>
          <w:rFonts w:ascii="Arial" w:cs="Arial" w:eastAsia="Arial" w:hAnsi="Arial"/>
          <w:sz w:val="16"/>
          <w:szCs w:val="16"/>
          <w:color w:val="3D3935"/>
        </w:rPr>
        <w:t>Cyber</w:t>
      </w:r>
      <w:r>
        <w:rPr>
          <w:sz w:val="20"/>
          <w:szCs w:val="20"/>
          <w:color w:val="auto"/>
        </w:rPr>
        <w:tab/>
      </w:r>
      <w:r>
        <w:rPr>
          <w:rFonts w:ascii="Arial" w:cs="Arial" w:eastAsia="Arial" w:hAnsi="Arial"/>
          <w:sz w:val="16"/>
          <w:szCs w:val="16"/>
          <w:color w:val="3D3935"/>
        </w:rPr>
        <w:t>Finance</w:t>
      </w:r>
      <w:r>
        <w:rPr>
          <w:sz w:val="20"/>
          <w:szCs w:val="20"/>
          <w:color w:val="auto"/>
        </w:rPr>
        <w:tab/>
      </w:r>
      <w:r>
        <w:rPr>
          <w:rFonts w:ascii="Arial" w:cs="Arial" w:eastAsia="Arial" w:hAnsi="Arial"/>
          <w:sz w:val="15"/>
          <w:szCs w:val="15"/>
          <w:color w:val="3D3935"/>
        </w:rPr>
        <w:t>Global</w:t>
      </w:r>
    </w:p>
    <w:p>
      <w:pPr>
        <w:sectPr>
          <w:pgSz w:w="11900" w:h="16838" w:orient="portrait"/>
          <w:cols w:equalWidth="0" w:num="1">
            <w:col w:w="9080"/>
          </w:cols>
          <w:pgMar w:left="1400" w:top="299" w:right="1419" w:bottom="0" w:gutter="0" w:footer="0" w:header="0"/>
          <w:type w:val="continuous"/>
        </w:sectPr>
      </w:pPr>
    </w:p>
    <w:p>
      <w:pPr>
        <w:spacing w:after="0" w:line="31" w:lineRule="exact"/>
        <w:rPr>
          <w:sz w:val="20"/>
          <w:szCs w:val="20"/>
          <w:color w:val="auto"/>
        </w:rPr>
      </w:pPr>
    </w:p>
    <w:p>
      <w:pPr>
        <w:ind w:left="860"/>
        <w:spacing w:after="0"/>
        <w:tabs>
          <w:tab w:leader="none" w:pos="3900" w:val="left"/>
          <w:tab w:leader="none" w:pos="6900" w:val="left"/>
        </w:tabs>
        <w:rPr>
          <w:sz w:val="20"/>
          <w:szCs w:val="20"/>
          <w:color w:val="auto"/>
        </w:rPr>
      </w:pPr>
      <w:r>
        <w:rPr>
          <w:rFonts w:ascii="Arial" w:cs="Arial" w:eastAsia="Arial" w:hAnsi="Arial"/>
          <w:sz w:val="43"/>
          <w:szCs w:val="43"/>
          <w:b w:val="1"/>
          <w:bCs w:val="1"/>
          <w:color w:val="0072CE"/>
        </w:rPr>
        <w:t>4 of 11</w:t>
      </w:r>
      <w:r>
        <w:rPr>
          <w:sz w:val="20"/>
          <w:szCs w:val="20"/>
          <w:color w:val="auto"/>
        </w:rPr>
        <w:tab/>
      </w:r>
      <w:r>
        <w:rPr>
          <w:rFonts w:ascii="Arial" w:cs="Arial" w:eastAsia="Arial" w:hAnsi="Arial"/>
          <w:sz w:val="43"/>
          <w:szCs w:val="43"/>
          <w:b w:val="1"/>
          <w:bCs w:val="1"/>
          <w:color w:val="0072CE"/>
        </w:rPr>
        <w:t>9 of 11</w:t>
      </w:r>
      <w:r>
        <w:rPr>
          <w:sz w:val="20"/>
          <w:szCs w:val="20"/>
          <w:color w:val="auto"/>
        </w:rPr>
        <w:tab/>
      </w:r>
      <w:r>
        <w:rPr>
          <w:rFonts w:ascii="Arial" w:cs="Arial" w:eastAsia="Arial" w:hAnsi="Arial"/>
          <w:sz w:val="41"/>
          <w:szCs w:val="41"/>
          <w:b w:val="1"/>
          <w:bCs w:val="1"/>
          <w:color w:val="0072CE"/>
        </w:rPr>
        <w:t>11 of 11</w:t>
      </w:r>
    </w:p>
    <w:p>
      <w:pPr>
        <w:sectPr>
          <w:pgSz w:w="11900" w:h="16838" w:orient="portrait"/>
          <w:cols w:equalWidth="0" w:num="1">
            <w:col w:w="9080"/>
          </w:cols>
          <w:pgMar w:left="1400" w:top="299" w:right="1419" w:bottom="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932"/>
        </w:trPr>
        <w:tc>
          <w:tcPr>
            <w:tcW w:w="3000" w:type="dxa"/>
            <w:vAlign w:val="bottom"/>
            <w:shd w:val="clear" w:color="auto" w:fill="F0F3F5"/>
          </w:tcPr>
          <w:p>
            <w:pPr>
              <w:ind w:left="1200"/>
              <w:spacing w:after="0"/>
              <w:rPr>
                <w:sz w:val="20"/>
                <w:szCs w:val="20"/>
                <w:color w:val="auto"/>
              </w:rPr>
            </w:pPr>
            <w:r>
              <w:rPr>
                <w:rFonts w:ascii="Arial" w:cs="Arial" w:eastAsia="Arial" w:hAnsi="Arial"/>
                <w:sz w:val="16"/>
                <w:szCs w:val="16"/>
                <w:color w:val="3D3935"/>
              </w:rPr>
              <w:t>Industry</w:t>
            </w:r>
          </w:p>
        </w:tc>
        <w:tc>
          <w:tcPr>
            <w:tcW w:w="40" w:type="dxa"/>
            <w:vAlign w:val="bottom"/>
          </w:tcPr>
          <w:p>
            <w:pPr>
              <w:spacing w:after="0"/>
              <w:rPr>
                <w:sz w:val="24"/>
                <w:szCs w:val="24"/>
                <w:color w:val="auto"/>
              </w:rPr>
            </w:pPr>
          </w:p>
        </w:tc>
        <w:tc>
          <w:tcPr>
            <w:tcW w:w="3000" w:type="dxa"/>
            <w:vAlign w:val="bottom"/>
            <w:shd w:val="clear" w:color="auto" w:fill="F0F3F5"/>
          </w:tcPr>
          <w:p>
            <w:pPr>
              <w:ind w:left="980"/>
              <w:spacing w:after="0"/>
              <w:rPr>
                <w:sz w:val="20"/>
                <w:szCs w:val="20"/>
                <w:color w:val="auto"/>
              </w:rPr>
            </w:pPr>
            <w:r>
              <w:rPr>
                <w:rFonts w:ascii="Arial" w:cs="Arial" w:eastAsia="Arial" w:hAnsi="Arial"/>
                <w:sz w:val="16"/>
                <w:szCs w:val="16"/>
                <w:color w:val="3D3935"/>
              </w:rPr>
              <w:t>Manufacturing</w:t>
            </w:r>
          </w:p>
        </w:tc>
        <w:tc>
          <w:tcPr>
            <w:tcW w:w="60" w:type="dxa"/>
            <w:vAlign w:val="bottom"/>
          </w:tcPr>
          <w:p>
            <w:pPr>
              <w:spacing w:after="0"/>
              <w:rPr>
                <w:sz w:val="24"/>
                <w:szCs w:val="24"/>
                <w:color w:val="auto"/>
              </w:rPr>
            </w:pPr>
          </w:p>
        </w:tc>
        <w:tc>
          <w:tcPr>
            <w:tcW w:w="2980" w:type="dxa"/>
            <w:vAlign w:val="bottom"/>
            <w:shd w:val="clear" w:color="auto" w:fill="F0F3F5"/>
          </w:tcPr>
          <w:p>
            <w:pPr>
              <w:ind w:left="1120"/>
              <w:spacing w:after="0"/>
              <w:rPr>
                <w:sz w:val="20"/>
                <w:szCs w:val="20"/>
                <w:color w:val="auto"/>
              </w:rPr>
            </w:pPr>
            <w:r>
              <w:rPr>
                <w:rFonts w:ascii="Arial" w:cs="Arial" w:eastAsia="Arial" w:hAnsi="Arial"/>
                <w:sz w:val="16"/>
                <w:szCs w:val="16"/>
                <w:color w:val="3D3935"/>
              </w:rPr>
              <w:t>Marketing</w:t>
            </w:r>
          </w:p>
        </w:tc>
      </w:tr>
      <w:tr>
        <w:trPr>
          <w:trHeight w:val="607"/>
        </w:trPr>
        <w:tc>
          <w:tcPr>
            <w:tcW w:w="3000" w:type="dxa"/>
            <w:vAlign w:val="bottom"/>
            <w:shd w:val="clear" w:color="auto" w:fill="F0F3F5"/>
          </w:tcPr>
          <w:p>
            <w:pPr>
              <w:ind w:left="880"/>
              <w:spacing w:after="0"/>
              <w:rPr>
                <w:sz w:val="20"/>
                <w:szCs w:val="20"/>
                <w:color w:val="auto"/>
              </w:rPr>
            </w:pPr>
            <w:r>
              <w:rPr>
                <w:rFonts w:ascii="Arial" w:cs="Arial" w:eastAsia="Arial" w:hAnsi="Arial"/>
                <w:sz w:val="43"/>
                <w:szCs w:val="43"/>
                <w:b w:val="1"/>
                <w:bCs w:val="1"/>
                <w:color w:val="0072CE"/>
              </w:rPr>
              <w:t>2 of 11</w:t>
            </w:r>
          </w:p>
        </w:tc>
        <w:tc>
          <w:tcPr>
            <w:tcW w:w="40" w:type="dxa"/>
            <w:vAlign w:val="bottom"/>
          </w:tcPr>
          <w:p>
            <w:pPr>
              <w:spacing w:after="0"/>
              <w:rPr>
                <w:sz w:val="24"/>
                <w:szCs w:val="24"/>
                <w:color w:val="auto"/>
              </w:rPr>
            </w:pPr>
          </w:p>
        </w:tc>
        <w:tc>
          <w:tcPr>
            <w:tcW w:w="3000" w:type="dxa"/>
            <w:vAlign w:val="bottom"/>
            <w:shd w:val="clear" w:color="auto" w:fill="F0F3F5"/>
          </w:tcPr>
          <w:p>
            <w:pPr>
              <w:ind w:left="880"/>
              <w:spacing w:after="0"/>
              <w:rPr>
                <w:sz w:val="20"/>
                <w:szCs w:val="20"/>
                <w:color w:val="auto"/>
              </w:rPr>
            </w:pPr>
            <w:r>
              <w:rPr>
                <w:rFonts w:ascii="Arial" w:cs="Arial" w:eastAsia="Arial" w:hAnsi="Arial"/>
                <w:sz w:val="43"/>
                <w:szCs w:val="43"/>
                <w:b w:val="1"/>
                <w:bCs w:val="1"/>
                <w:color w:val="0072CE"/>
              </w:rPr>
              <w:t>6 of 11</w:t>
            </w:r>
          </w:p>
        </w:tc>
        <w:tc>
          <w:tcPr>
            <w:tcW w:w="60" w:type="dxa"/>
            <w:vAlign w:val="bottom"/>
          </w:tcPr>
          <w:p>
            <w:pPr>
              <w:spacing w:after="0"/>
              <w:rPr>
                <w:sz w:val="24"/>
                <w:szCs w:val="24"/>
                <w:color w:val="auto"/>
              </w:rPr>
            </w:pPr>
          </w:p>
        </w:tc>
        <w:tc>
          <w:tcPr>
            <w:tcW w:w="2980" w:type="dxa"/>
            <w:vAlign w:val="bottom"/>
            <w:shd w:val="clear" w:color="auto" w:fill="F0F3F5"/>
          </w:tcPr>
          <w:p>
            <w:pPr>
              <w:ind w:left="880"/>
              <w:spacing w:after="0"/>
              <w:rPr>
                <w:sz w:val="20"/>
                <w:szCs w:val="20"/>
                <w:color w:val="auto"/>
              </w:rPr>
            </w:pPr>
            <w:r>
              <w:rPr>
                <w:rFonts w:ascii="Arial" w:cs="Arial" w:eastAsia="Arial" w:hAnsi="Arial"/>
                <w:sz w:val="43"/>
                <w:szCs w:val="43"/>
                <w:b w:val="1"/>
                <w:bCs w:val="1"/>
                <w:color w:val="0072CE"/>
              </w:rPr>
              <w:t>7 of 11</w:t>
            </w:r>
          </w:p>
        </w:tc>
      </w:tr>
      <w:tr>
        <w:trPr>
          <w:trHeight w:val="68"/>
        </w:trPr>
        <w:tc>
          <w:tcPr>
            <w:tcW w:w="3000" w:type="dxa"/>
            <w:vAlign w:val="bottom"/>
            <w:shd w:val="clear" w:color="auto" w:fill="F0F3F5"/>
          </w:tcPr>
          <w:p>
            <w:pPr>
              <w:spacing w:after="0"/>
              <w:rPr>
                <w:sz w:val="5"/>
                <w:szCs w:val="5"/>
                <w:color w:val="auto"/>
              </w:rPr>
            </w:pPr>
          </w:p>
        </w:tc>
        <w:tc>
          <w:tcPr>
            <w:tcW w:w="40" w:type="dxa"/>
            <w:vAlign w:val="bottom"/>
          </w:tcPr>
          <w:p>
            <w:pPr>
              <w:spacing w:after="0"/>
              <w:rPr>
                <w:sz w:val="5"/>
                <w:szCs w:val="5"/>
                <w:color w:val="auto"/>
              </w:rPr>
            </w:pPr>
          </w:p>
        </w:tc>
        <w:tc>
          <w:tcPr>
            <w:tcW w:w="3000" w:type="dxa"/>
            <w:vAlign w:val="bottom"/>
            <w:shd w:val="clear" w:color="auto" w:fill="F0F3F5"/>
          </w:tcPr>
          <w:p>
            <w:pPr>
              <w:spacing w:after="0"/>
              <w:rPr>
                <w:sz w:val="5"/>
                <w:szCs w:val="5"/>
                <w:color w:val="auto"/>
              </w:rPr>
            </w:pPr>
          </w:p>
        </w:tc>
        <w:tc>
          <w:tcPr>
            <w:tcW w:w="60" w:type="dxa"/>
            <w:vAlign w:val="bottom"/>
          </w:tcPr>
          <w:p>
            <w:pPr>
              <w:spacing w:after="0"/>
              <w:rPr>
                <w:sz w:val="5"/>
                <w:szCs w:val="5"/>
                <w:color w:val="auto"/>
              </w:rPr>
            </w:pPr>
          </w:p>
        </w:tc>
        <w:tc>
          <w:tcPr>
            <w:tcW w:w="2980" w:type="dxa"/>
            <w:vAlign w:val="bottom"/>
            <w:shd w:val="clear" w:color="auto" w:fill="F0F3F5"/>
          </w:tcPr>
          <w:p>
            <w:pPr>
              <w:spacing w:after="0"/>
              <w:rPr>
                <w:sz w:val="5"/>
                <w:szCs w:val="5"/>
                <w:color w:val="auto"/>
              </w:rPr>
            </w:pPr>
          </w:p>
        </w:tc>
      </w:tr>
      <w:tr>
        <w:trPr>
          <w:trHeight w:val="54"/>
        </w:trPr>
        <w:tc>
          <w:tcPr>
            <w:tcW w:w="300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0" w:type="dxa"/>
            <w:vAlign w:val="bottom"/>
          </w:tcPr>
          <w:p>
            <w:pPr>
              <w:spacing w:after="0"/>
              <w:rPr>
                <w:sz w:val="4"/>
                <w:szCs w:val="4"/>
                <w:color w:val="auto"/>
              </w:rPr>
            </w:pPr>
          </w:p>
        </w:tc>
        <w:tc>
          <w:tcPr>
            <w:tcW w:w="60" w:type="dxa"/>
            <w:vAlign w:val="bottom"/>
          </w:tcPr>
          <w:p>
            <w:pPr>
              <w:spacing w:after="0"/>
              <w:rPr>
                <w:sz w:val="4"/>
                <w:szCs w:val="4"/>
                <w:color w:val="auto"/>
              </w:rPr>
            </w:pPr>
          </w:p>
        </w:tc>
        <w:tc>
          <w:tcPr>
            <w:tcW w:w="2980" w:type="dxa"/>
            <w:vAlign w:val="bottom"/>
          </w:tcPr>
          <w:p>
            <w:pPr>
              <w:spacing w:after="0"/>
              <w:rPr>
                <w:sz w:val="4"/>
                <w:szCs w:val="4"/>
                <w:color w:val="auto"/>
              </w:rPr>
            </w:pPr>
          </w:p>
        </w:tc>
      </w:tr>
      <w:tr>
        <w:trPr>
          <w:trHeight w:val="148"/>
        </w:trPr>
        <w:tc>
          <w:tcPr>
            <w:tcW w:w="3000" w:type="dxa"/>
            <w:vAlign w:val="bottom"/>
            <w:shd w:val="clear" w:color="auto" w:fill="F0F3F5"/>
          </w:tcPr>
          <w:p>
            <w:pPr>
              <w:spacing w:after="0"/>
              <w:rPr>
                <w:sz w:val="12"/>
                <w:szCs w:val="12"/>
                <w:color w:val="auto"/>
              </w:rPr>
            </w:pPr>
          </w:p>
        </w:tc>
        <w:tc>
          <w:tcPr>
            <w:tcW w:w="40" w:type="dxa"/>
            <w:vAlign w:val="bottom"/>
          </w:tcPr>
          <w:p>
            <w:pPr>
              <w:spacing w:after="0"/>
              <w:rPr>
                <w:sz w:val="12"/>
                <w:szCs w:val="12"/>
                <w:color w:val="auto"/>
              </w:rPr>
            </w:pPr>
          </w:p>
        </w:tc>
        <w:tc>
          <w:tcPr>
            <w:tcW w:w="3000" w:type="dxa"/>
            <w:vAlign w:val="bottom"/>
            <w:shd w:val="clear" w:color="auto" w:fill="F0F3F5"/>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shd w:val="clear" w:color="auto" w:fill="F0F3F5"/>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47682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10375" cy="47682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763"/>
        </w:trPr>
        <w:tc>
          <w:tcPr>
            <w:tcW w:w="180" w:type="dxa"/>
            <w:vAlign w:val="bottom"/>
          </w:tcPr>
          <w:p>
            <w:pPr>
              <w:spacing w:after="0"/>
              <w:rPr>
                <w:sz w:val="24"/>
                <w:szCs w:val="24"/>
                <w:color w:val="auto"/>
              </w:rPr>
            </w:pPr>
          </w:p>
        </w:tc>
        <w:tc>
          <w:tcPr>
            <w:tcW w:w="2820" w:type="dxa"/>
            <w:vAlign w:val="bottom"/>
            <w:shd w:val="clear" w:color="auto" w:fill="F0F3F5"/>
          </w:tcPr>
          <w:p>
            <w:pPr>
              <w:jc w:val="center"/>
              <w:ind w:right="12"/>
              <w:spacing w:after="0"/>
              <w:rPr>
                <w:sz w:val="20"/>
                <w:szCs w:val="20"/>
                <w:color w:val="auto"/>
              </w:rPr>
            </w:pPr>
            <w:r>
              <w:rPr>
                <w:rFonts w:ascii="Arial" w:cs="Arial" w:eastAsia="Arial" w:hAnsi="Arial"/>
                <w:sz w:val="16"/>
                <w:szCs w:val="16"/>
                <w:color w:val="3D3935"/>
              </w:rPr>
              <w:t>Public Company CEO</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shd w:val="clear" w:color="auto" w:fill="F0F3F5"/>
          </w:tcPr>
          <w:p>
            <w:pPr>
              <w:ind w:left="680"/>
              <w:spacing w:after="0"/>
              <w:rPr>
                <w:sz w:val="20"/>
                <w:szCs w:val="20"/>
                <w:color w:val="auto"/>
              </w:rPr>
            </w:pPr>
            <w:r>
              <w:rPr>
                <w:rFonts w:ascii="Arial" w:cs="Arial" w:eastAsia="Arial" w:hAnsi="Arial"/>
                <w:sz w:val="16"/>
                <w:szCs w:val="16"/>
                <w:color w:val="3D3935"/>
              </w:rPr>
              <w:t>Risk Management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0" w:type="dxa"/>
            <w:vAlign w:val="bottom"/>
            <w:shd w:val="clear" w:color="auto" w:fill="F0F3F5"/>
          </w:tcPr>
          <w:p>
            <w:pPr>
              <w:ind w:left="880"/>
              <w:spacing w:after="0"/>
              <w:rPr>
                <w:sz w:val="20"/>
                <w:szCs w:val="20"/>
                <w:color w:val="auto"/>
              </w:rPr>
            </w:pPr>
            <w:r>
              <w:rPr>
                <w:rFonts w:ascii="Arial" w:cs="Arial" w:eastAsia="Arial" w:hAnsi="Arial"/>
                <w:sz w:val="16"/>
                <w:szCs w:val="16"/>
                <w:color w:val="3D3935"/>
              </w:rPr>
              <w:t>Technology</w:t>
            </w:r>
          </w:p>
        </w:tc>
      </w:tr>
      <w:tr>
        <w:trPr>
          <w:trHeight w:val="608"/>
        </w:trPr>
        <w:tc>
          <w:tcPr>
            <w:tcW w:w="180" w:type="dxa"/>
            <w:vAlign w:val="bottom"/>
          </w:tcPr>
          <w:p>
            <w:pPr>
              <w:spacing w:after="0"/>
              <w:rPr>
                <w:sz w:val="24"/>
                <w:szCs w:val="24"/>
                <w:color w:val="auto"/>
              </w:rPr>
            </w:pPr>
          </w:p>
        </w:tc>
        <w:tc>
          <w:tcPr>
            <w:tcW w:w="2820" w:type="dxa"/>
            <w:vAlign w:val="bottom"/>
            <w:shd w:val="clear" w:color="auto" w:fill="F0F3F5"/>
          </w:tcPr>
          <w:p>
            <w:pPr>
              <w:jc w:val="center"/>
              <w:spacing w:after="0"/>
              <w:rPr>
                <w:sz w:val="20"/>
                <w:szCs w:val="20"/>
                <w:color w:val="auto"/>
              </w:rPr>
            </w:pPr>
            <w:r>
              <w:rPr>
                <w:rFonts w:ascii="Arial" w:cs="Arial" w:eastAsia="Arial" w:hAnsi="Arial"/>
                <w:sz w:val="43"/>
                <w:szCs w:val="43"/>
                <w:b w:val="1"/>
                <w:bCs w:val="1"/>
                <w:color w:val="0072CE"/>
                <w:w w:val="98"/>
              </w:rPr>
              <w:t>7 of 11</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shd w:val="clear" w:color="auto" w:fill="F0F3F5"/>
          </w:tcPr>
          <w:p>
            <w:pPr>
              <w:ind w:left="660"/>
              <w:spacing w:after="0"/>
              <w:rPr>
                <w:sz w:val="20"/>
                <w:szCs w:val="20"/>
                <w:color w:val="auto"/>
              </w:rPr>
            </w:pPr>
            <w:r>
              <w:rPr>
                <w:rFonts w:ascii="Arial" w:cs="Arial" w:eastAsia="Arial" w:hAnsi="Arial"/>
                <w:sz w:val="43"/>
                <w:szCs w:val="43"/>
                <w:b w:val="1"/>
                <w:bCs w:val="1"/>
                <w:color w:val="0072CE"/>
              </w:rPr>
              <w:t>11 of 11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0" w:type="dxa"/>
            <w:vAlign w:val="bottom"/>
            <w:shd w:val="clear" w:color="auto" w:fill="F0F3F5"/>
          </w:tcPr>
          <w:p>
            <w:pPr>
              <w:ind w:left="680"/>
              <w:spacing w:after="0"/>
              <w:rPr>
                <w:sz w:val="20"/>
                <w:szCs w:val="20"/>
                <w:color w:val="auto"/>
              </w:rPr>
            </w:pPr>
            <w:r>
              <w:rPr>
                <w:rFonts w:ascii="Arial" w:cs="Arial" w:eastAsia="Arial" w:hAnsi="Arial"/>
                <w:sz w:val="43"/>
                <w:szCs w:val="43"/>
                <w:b w:val="1"/>
                <w:bCs w:val="1"/>
                <w:color w:val="0072CE"/>
              </w:rPr>
              <w:t>8 of 11</w:t>
            </w:r>
          </w:p>
        </w:tc>
      </w:tr>
      <w:tr>
        <w:trPr>
          <w:trHeight w:val="68"/>
        </w:trPr>
        <w:tc>
          <w:tcPr>
            <w:tcW w:w="180" w:type="dxa"/>
            <w:vAlign w:val="bottom"/>
          </w:tcPr>
          <w:p>
            <w:pPr>
              <w:spacing w:after="0"/>
              <w:rPr>
                <w:sz w:val="5"/>
                <w:szCs w:val="5"/>
                <w:color w:val="auto"/>
              </w:rPr>
            </w:pPr>
          </w:p>
        </w:tc>
        <w:tc>
          <w:tcPr>
            <w:tcW w:w="2820" w:type="dxa"/>
            <w:vAlign w:val="bottom"/>
            <w:shd w:val="clear" w:color="auto" w:fill="F0F3F5"/>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20" w:type="dxa"/>
            <w:vAlign w:val="bottom"/>
            <w:shd w:val="clear" w:color="auto" w:fill="F0F3F5"/>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0" w:type="dxa"/>
            <w:vAlign w:val="bottom"/>
            <w:shd w:val="clear" w:color="auto" w:fill="F0F3F5"/>
          </w:tcPr>
          <w:p>
            <w:pPr>
              <w:spacing w:after="0"/>
              <w:rPr>
                <w:sz w:val="5"/>
                <w:szCs w:val="5"/>
                <w:color w:val="auto"/>
              </w:rPr>
            </w:pPr>
          </w:p>
        </w:tc>
      </w:tr>
      <w:tr>
        <w:trPr>
          <w:trHeight w:val="54"/>
        </w:trPr>
        <w:tc>
          <w:tcPr>
            <w:tcW w:w="180" w:type="dxa"/>
            <w:vAlign w:val="bottom"/>
          </w:tcPr>
          <w:p>
            <w:pPr>
              <w:spacing w:after="0"/>
              <w:rPr>
                <w:sz w:val="4"/>
                <w:szCs w:val="4"/>
                <w:color w:val="auto"/>
              </w:rPr>
            </w:pPr>
          </w:p>
        </w:tc>
        <w:tc>
          <w:tcPr>
            <w:tcW w:w="28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0" w:type="dxa"/>
            <w:vAlign w:val="bottom"/>
          </w:tcPr>
          <w:p>
            <w:pPr>
              <w:spacing w:after="0"/>
              <w:rPr>
                <w:sz w:val="4"/>
                <w:szCs w:val="4"/>
                <w:color w:val="auto"/>
              </w:rPr>
            </w:pPr>
          </w:p>
        </w:tc>
      </w:tr>
      <w:tr>
        <w:trPr>
          <w:trHeight w:val="1606"/>
        </w:trPr>
        <w:tc>
          <w:tcPr>
            <w:tcW w:w="180" w:type="dxa"/>
            <w:vAlign w:val="bottom"/>
            <w:shd w:val="clear" w:color="auto" w:fill="F0F3F5"/>
          </w:tcPr>
          <w:p>
            <w:pPr>
              <w:spacing w:after="0"/>
              <w:rPr>
                <w:sz w:val="24"/>
                <w:szCs w:val="24"/>
                <w:color w:val="auto"/>
              </w:rPr>
            </w:pPr>
          </w:p>
        </w:tc>
        <w:tc>
          <w:tcPr>
            <w:tcW w:w="2820" w:type="dxa"/>
            <w:vAlign w:val="bottom"/>
            <w:shd w:val="clear" w:color="auto" w:fill="F0F3F5"/>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shd w:val="clear" w:color="auto" w:fill="F0F3F5"/>
          </w:tcPr>
          <w:p>
            <w:pPr>
              <w:spacing w:after="0"/>
              <w:rPr>
                <w:sz w:val="24"/>
                <w:szCs w:val="24"/>
                <w:color w:val="auto"/>
              </w:rPr>
            </w:pPr>
          </w:p>
        </w:tc>
        <w:tc>
          <w:tcPr>
            <w:tcW w:w="2820" w:type="dxa"/>
            <w:vAlign w:val="bottom"/>
            <w:shd w:val="clear" w:color="auto" w:fill="F0F3F5"/>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shd w:val="clear" w:color="auto" w:fill="F0F3F5"/>
          </w:tcPr>
          <w:p>
            <w:pPr>
              <w:spacing w:after="0"/>
              <w:rPr>
                <w:sz w:val="24"/>
                <w:szCs w:val="24"/>
                <w:color w:val="auto"/>
              </w:rPr>
            </w:pPr>
          </w:p>
        </w:tc>
        <w:tc>
          <w:tcPr>
            <w:tcW w:w="2800" w:type="dxa"/>
            <w:vAlign w:val="bottom"/>
            <w:shd w:val="clear" w:color="auto" w:fill="F0F3F5"/>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56654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10375" cy="5665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1 Annual Election of Directors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Board Experience and Expertise</w:t>
      </w:r>
    </w:p>
    <w:p>
      <w:pPr>
        <w:spacing w:after="0" w:line="132" w:lineRule="exact"/>
        <w:rPr>
          <w:sz w:val="20"/>
          <w:szCs w:val="20"/>
          <w:color w:val="auto"/>
        </w:rPr>
      </w:pPr>
    </w:p>
    <w:p>
      <w:pPr>
        <w:ind w:right="300"/>
        <w:spacing w:after="0" w:line="285" w:lineRule="auto"/>
        <w:rPr>
          <w:sz w:val="20"/>
          <w:szCs w:val="20"/>
          <w:color w:val="auto"/>
        </w:rPr>
      </w:pPr>
      <w:r>
        <w:rPr>
          <w:rFonts w:ascii="Arial" w:cs="Arial" w:eastAsia="Arial" w:hAnsi="Arial"/>
          <w:sz w:val="16"/>
          <w:szCs w:val="16"/>
          <w:color w:val="3D3935"/>
        </w:rPr>
        <w:t>The skills matrix below summarizes certain skills (and qualifications) used by the Governance Committee in their evaluation of director nominees. To supplement the evaluation, the Board undertakes an annual self-evaluation to ensure that the Board possesses the requisite skills and expertise to oversee the Company’s opportunities, priorities, and risks. The Governance Committee leads this effort by asking directors to consider their expertise across key subject matter areas identified in the skills key on the next page. Upon the conclusion of the annual evaluation, the Board determined that it continues to maintain strong expertise and possesses a broad range of skills, qualifications, and attributes that will support the Company’s strategy. Results of the Board’s self-evaluation are represented on the skills matrix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680" w:type="dxa"/>
        <w:tblCellMar>
          <w:top w:w="0" w:type="dxa"/>
          <w:left w:w="0" w:type="dxa"/>
          <w:bottom w:w="0" w:type="dxa"/>
          <w:right w:w="0" w:type="dxa"/>
        </w:tblCellMar>
      </w:tblPr>
      <w:tr>
        <w:trPr>
          <w:trHeight w:val="223"/>
        </w:trPr>
        <w:tc>
          <w:tcPr>
            <w:tcW w:w="2260" w:type="dxa"/>
            <w:vAlign w:val="bottom"/>
          </w:tcPr>
          <w:p>
            <w:pPr>
              <w:spacing w:after="0"/>
              <w:rPr>
                <w:sz w:val="20"/>
                <w:szCs w:val="20"/>
                <w:color w:val="auto"/>
              </w:rPr>
            </w:pPr>
            <w:r>
              <w:rPr>
                <w:rFonts w:ascii="Arial" w:cs="Arial" w:eastAsia="Arial" w:hAnsi="Arial"/>
                <w:sz w:val="16"/>
                <w:szCs w:val="16"/>
                <w:b w:val="1"/>
                <w:bCs w:val="1"/>
                <w:color w:val="0072CE"/>
              </w:rPr>
              <w:t>Cyber</w:t>
            </w:r>
          </w:p>
        </w:tc>
        <w:tc>
          <w:tcPr>
            <w:tcW w:w="1440" w:type="dxa"/>
            <w:vAlign w:val="bottom"/>
          </w:tcPr>
          <w:p>
            <w:pPr>
              <w:spacing w:after="0"/>
              <w:rPr>
                <w:sz w:val="19"/>
                <w:szCs w:val="19"/>
                <w:color w:val="auto"/>
              </w:rPr>
            </w:pPr>
          </w:p>
        </w:tc>
        <w:tc>
          <w:tcPr>
            <w:tcW w:w="520" w:type="dxa"/>
            <w:vAlign w:val="bottom"/>
          </w:tcPr>
          <w:p>
            <w:pPr>
              <w:jc w:val="right"/>
              <w:ind w:right="141"/>
              <w:spacing w:after="0"/>
              <w:rPr>
                <w:sz w:val="20"/>
                <w:szCs w:val="20"/>
                <w:color w:val="auto"/>
              </w:rPr>
            </w:pPr>
            <w:r>
              <w:rPr>
                <w:rFonts w:ascii="Arial" w:cs="Arial" w:eastAsia="Arial" w:hAnsi="Arial"/>
                <w:sz w:val="12"/>
                <w:szCs w:val="12"/>
                <w:b w:val="1"/>
                <w:bCs w:val="1"/>
                <w:color w:val="0072CE"/>
              </w:rPr>
              <w:t>¢</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072CE"/>
              </w:rPr>
              <w:t>¢</w:t>
            </w: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072CE"/>
              </w:rPr>
              <w:t>¢</w:t>
            </w: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jc w:val="right"/>
              <w:ind w:right="81"/>
              <w:spacing w:after="0"/>
              <w:rPr>
                <w:sz w:val="20"/>
                <w:szCs w:val="20"/>
                <w:color w:val="auto"/>
              </w:rPr>
            </w:pPr>
            <w:r>
              <w:rPr>
                <w:rFonts w:ascii="Arial" w:cs="Arial" w:eastAsia="Arial" w:hAnsi="Arial"/>
                <w:sz w:val="12"/>
                <w:szCs w:val="12"/>
                <w:b w:val="1"/>
                <w:bCs w:val="1"/>
                <w:color w:val="0072CE"/>
              </w:rPr>
              <w:t>¢</w:t>
            </w:r>
          </w:p>
        </w:tc>
        <w:tc>
          <w:tcPr>
            <w:tcW w:w="300" w:type="dxa"/>
            <w:vAlign w:val="bottom"/>
          </w:tcPr>
          <w:p>
            <w:pPr>
              <w:spacing w:after="0"/>
              <w:rPr>
                <w:sz w:val="19"/>
                <w:szCs w:val="19"/>
                <w:color w:val="auto"/>
              </w:rPr>
            </w:pPr>
          </w:p>
        </w:tc>
      </w:tr>
      <w:tr>
        <w:trPr>
          <w:trHeight w:val="648"/>
        </w:trPr>
        <w:tc>
          <w:tcPr>
            <w:tcW w:w="2260" w:type="dxa"/>
            <w:vAlign w:val="bottom"/>
          </w:tcPr>
          <w:p>
            <w:pPr>
              <w:spacing w:after="0"/>
              <w:rPr>
                <w:sz w:val="20"/>
                <w:szCs w:val="20"/>
                <w:color w:val="auto"/>
              </w:rPr>
            </w:pPr>
            <w:r>
              <w:rPr>
                <w:rFonts w:ascii="Arial" w:cs="Arial" w:eastAsia="Arial" w:hAnsi="Arial"/>
                <w:sz w:val="16"/>
                <w:szCs w:val="16"/>
                <w:b w:val="1"/>
                <w:bCs w:val="1"/>
                <w:color w:val="0072CE"/>
              </w:rPr>
              <w:t>Environmental</w:t>
            </w:r>
          </w:p>
        </w:tc>
        <w:tc>
          <w:tcPr>
            <w:tcW w:w="1440" w:type="dxa"/>
            <w:vAlign w:val="bottom"/>
          </w:tcPr>
          <w:p>
            <w:pPr>
              <w:spacing w:after="0"/>
              <w:rPr>
                <w:sz w:val="24"/>
                <w:szCs w:val="24"/>
                <w:color w:val="auto"/>
              </w:rPr>
            </w:pPr>
          </w:p>
        </w:tc>
        <w:tc>
          <w:tcPr>
            <w:tcW w:w="520" w:type="dxa"/>
            <w:vAlign w:val="bottom"/>
          </w:tcPr>
          <w:p>
            <w:pPr>
              <w:jc w:val="right"/>
              <w:ind w:right="141"/>
              <w:spacing w:after="0"/>
              <w:rPr>
                <w:sz w:val="20"/>
                <w:szCs w:val="20"/>
                <w:color w:val="auto"/>
              </w:rPr>
            </w:pPr>
            <w:r>
              <w:rPr>
                <w:rFonts w:ascii="Arial" w:cs="Arial" w:eastAsia="Arial" w:hAnsi="Arial"/>
                <w:sz w:val="12"/>
                <w:szCs w:val="12"/>
                <w:b w:val="1"/>
                <w:bCs w:val="1"/>
                <w:color w:val="0072CE"/>
              </w:rPr>
              <w:t>¢</w:t>
            </w:r>
          </w:p>
        </w:tc>
        <w:tc>
          <w:tcPr>
            <w:tcW w:w="500" w:type="dxa"/>
            <w:vAlign w:val="bottom"/>
          </w:tcPr>
          <w:p>
            <w:pPr>
              <w:jc w:val="right"/>
              <w:ind w:right="101"/>
              <w:spacing w:after="0"/>
              <w:rPr>
                <w:sz w:val="20"/>
                <w:szCs w:val="20"/>
                <w:color w:val="auto"/>
              </w:rPr>
            </w:pPr>
            <w:r>
              <w:rPr>
                <w:rFonts w:ascii="Arial" w:cs="Arial" w:eastAsia="Arial" w:hAnsi="Arial"/>
                <w:sz w:val="12"/>
                <w:szCs w:val="12"/>
                <w:b w:val="1"/>
                <w:bCs w:val="1"/>
                <w:color w:val="0072CE"/>
              </w:rPr>
              <w:t>¢</w:t>
            </w:r>
          </w:p>
        </w:tc>
        <w:tc>
          <w:tcPr>
            <w:tcW w:w="460" w:type="dxa"/>
            <w:vAlign w:val="bottom"/>
          </w:tcPr>
          <w:p>
            <w:pPr>
              <w:jc w:val="right"/>
              <w:ind w:right="81"/>
              <w:spacing w:after="0"/>
              <w:rPr>
                <w:sz w:val="20"/>
                <w:szCs w:val="20"/>
                <w:color w:val="auto"/>
              </w:rPr>
            </w:pPr>
            <w:r>
              <w:rPr>
                <w:rFonts w:ascii="Arial" w:cs="Arial" w:eastAsia="Arial" w:hAnsi="Arial"/>
                <w:sz w:val="12"/>
                <w:szCs w:val="12"/>
                <w:b w:val="1"/>
                <w:bCs w:val="1"/>
                <w:color w:val="0072CE"/>
              </w:rPr>
              <w:t>¢</w:t>
            </w:r>
          </w:p>
        </w:tc>
        <w:tc>
          <w:tcPr>
            <w:tcW w:w="480" w:type="dxa"/>
            <w:vAlign w:val="bottom"/>
          </w:tcPr>
          <w:p>
            <w:pPr>
              <w:spacing w:after="0"/>
              <w:rPr>
                <w:sz w:val="24"/>
                <w:szCs w:val="24"/>
                <w:color w:val="auto"/>
              </w:rPr>
            </w:pP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072CE"/>
              </w:rPr>
              <w:t>¢</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648"/>
        </w:trPr>
        <w:tc>
          <w:tcPr>
            <w:tcW w:w="2260" w:type="dxa"/>
            <w:vAlign w:val="bottom"/>
          </w:tcPr>
          <w:p>
            <w:pPr>
              <w:spacing w:after="0"/>
              <w:rPr>
                <w:sz w:val="20"/>
                <w:szCs w:val="20"/>
                <w:color w:val="auto"/>
              </w:rPr>
            </w:pPr>
            <w:r>
              <w:rPr>
                <w:rFonts w:ascii="Arial" w:cs="Arial" w:eastAsia="Arial" w:hAnsi="Arial"/>
                <w:sz w:val="16"/>
                <w:szCs w:val="16"/>
                <w:b w:val="1"/>
                <w:bCs w:val="1"/>
                <w:color w:val="0072CE"/>
              </w:rPr>
              <w:t>Finance</w:t>
            </w:r>
          </w:p>
        </w:tc>
        <w:tc>
          <w:tcPr>
            <w:tcW w:w="1440" w:type="dxa"/>
            <w:vAlign w:val="bottom"/>
          </w:tcPr>
          <w:p>
            <w:pPr>
              <w:jc w:val="right"/>
              <w:ind w:right="101"/>
              <w:spacing w:after="0"/>
              <w:rPr>
                <w:sz w:val="20"/>
                <w:szCs w:val="20"/>
                <w:color w:val="auto"/>
              </w:rPr>
            </w:pPr>
            <w:r>
              <w:rPr>
                <w:rFonts w:ascii="Arial" w:cs="Arial" w:eastAsia="Arial" w:hAnsi="Arial"/>
                <w:sz w:val="12"/>
                <w:szCs w:val="12"/>
                <w:b w:val="1"/>
                <w:bCs w:val="1"/>
                <w:color w:val="0072CE"/>
              </w:rPr>
              <w:t>¢</w:t>
            </w:r>
          </w:p>
        </w:tc>
        <w:tc>
          <w:tcPr>
            <w:tcW w:w="520" w:type="dxa"/>
            <w:vAlign w:val="bottom"/>
          </w:tcPr>
          <w:p>
            <w:pPr>
              <w:jc w:val="right"/>
              <w:ind w:right="141"/>
              <w:spacing w:after="0"/>
              <w:rPr>
                <w:sz w:val="20"/>
                <w:szCs w:val="20"/>
                <w:color w:val="auto"/>
              </w:rPr>
            </w:pPr>
            <w:r>
              <w:rPr>
                <w:rFonts w:ascii="Arial" w:cs="Arial" w:eastAsia="Arial" w:hAnsi="Arial"/>
                <w:sz w:val="12"/>
                <w:szCs w:val="12"/>
                <w:b w:val="1"/>
                <w:bCs w:val="1"/>
                <w:color w:val="0072CE"/>
              </w:rPr>
              <w:t>¢</w:t>
            </w:r>
          </w:p>
        </w:tc>
        <w:tc>
          <w:tcPr>
            <w:tcW w:w="500" w:type="dxa"/>
            <w:vAlign w:val="bottom"/>
          </w:tcPr>
          <w:p>
            <w:pPr>
              <w:jc w:val="right"/>
              <w:ind w:right="101"/>
              <w:spacing w:after="0"/>
              <w:rPr>
                <w:sz w:val="20"/>
                <w:szCs w:val="20"/>
                <w:color w:val="auto"/>
              </w:rPr>
            </w:pPr>
            <w:r>
              <w:rPr>
                <w:rFonts w:ascii="Arial" w:cs="Arial" w:eastAsia="Arial" w:hAnsi="Arial"/>
                <w:sz w:val="12"/>
                <w:szCs w:val="12"/>
                <w:b w:val="1"/>
                <w:bCs w:val="1"/>
                <w:color w:val="0072CE"/>
              </w:rPr>
              <w:t>¢</w:t>
            </w:r>
          </w:p>
        </w:tc>
        <w:tc>
          <w:tcPr>
            <w:tcW w:w="460" w:type="dxa"/>
            <w:vAlign w:val="bottom"/>
          </w:tcPr>
          <w:p>
            <w:pPr>
              <w:jc w:val="right"/>
              <w:ind w:right="81"/>
              <w:spacing w:after="0"/>
              <w:rPr>
                <w:sz w:val="20"/>
                <w:szCs w:val="20"/>
                <w:color w:val="auto"/>
              </w:rPr>
            </w:pPr>
            <w:r>
              <w:rPr>
                <w:rFonts w:ascii="Arial" w:cs="Arial" w:eastAsia="Arial" w:hAnsi="Arial"/>
                <w:sz w:val="12"/>
                <w:szCs w:val="12"/>
                <w:b w:val="1"/>
                <w:bCs w:val="1"/>
                <w:color w:val="0072CE"/>
              </w:rPr>
              <w:t>¢</w:t>
            </w: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072CE"/>
              </w:rPr>
              <w:t>¢</w:t>
            </w: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072CE"/>
              </w:rPr>
              <w:t>¢</w:t>
            </w:r>
          </w:p>
        </w:tc>
        <w:tc>
          <w:tcPr>
            <w:tcW w:w="460" w:type="dxa"/>
            <w:vAlign w:val="bottom"/>
          </w:tcPr>
          <w:p>
            <w:pPr>
              <w:jc w:val="right"/>
              <w:ind w:right="81"/>
              <w:spacing w:after="0"/>
              <w:rPr>
                <w:sz w:val="20"/>
                <w:szCs w:val="20"/>
                <w:color w:val="auto"/>
              </w:rPr>
            </w:pPr>
            <w:r>
              <w:rPr>
                <w:rFonts w:ascii="Arial" w:cs="Arial" w:eastAsia="Arial" w:hAnsi="Arial"/>
                <w:sz w:val="12"/>
                <w:szCs w:val="12"/>
                <w:b w:val="1"/>
                <w:bCs w:val="1"/>
                <w:color w:val="0072CE"/>
              </w:rPr>
              <w:t>¢</w:t>
            </w:r>
          </w:p>
        </w:tc>
        <w:tc>
          <w:tcPr>
            <w:tcW w:w="440" w:type="dxa"/>
            <w:vAlign w:val="bottom"/>
          </w:tcPr>
          <w:p>
            <w:pPr>
              <w:jc w:val="right"/>
              <w:ind w:right="81"/>
              <w:spacing w:after="0"/>
              <w:rPr>
                <w:sz w:val="20"/>
                <w:szCs w:val="20"/>
                <w:color w:val="auto"/>
              </w:rPr>
            </w:pPr>
            <w:r>
              <w:rPr>
                <w:rFonts w:ascii="Arial" w:cs="Arial" w:eastAsia="Arial" w:hAnsi="Arial"/>
                <w:sz w:val="12"/>
                <w:szCs w:val="12"/>
                <w:b w:val="1"/>
                <w:bCs w:val="1"/>
                <w:color w:val="0072CE"/>
              </w:rPr>
              <w:t>¢</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2"/>
                <w:szCs w:val="12"/>
                <w:b w:val="1"/>
                <w:bCs w:val="1"/>
                <w:color w:val="0072CE"/>
              </w:rPr>
              <w:t>¢</w:t>
            </w:r>
          </w:p>
        </w:tc>
      </w:tr>
      <w:tr>
        <w:trPr>
          <w:trHeight w:val="648"/>
        </w:trPr>
        <w:tc>
          <w:tcPr>
            <w:tcW w:w="2260" w:type="dxa"/>
            <w:vAlign w:val="bottom"/>
          </w:tcPr>
          <w:p>
            <w:pPr>
              <w:spacing w:after="0"/>
              <w:rPr>
                <w:sz w:val="20"/>
                <w:szCs w:val="20"/>
                <w:color w:val="auto"/>
              </w:rPr>
            </w:pPr>
            <w:r>
              <w:rPr>
                <w:rFonts w:ascii="Arial" w:cs="Arial" w:eastAsia="Arial" w:hAnsi="Arial"/>
                <w:sz w:val="16"/>
                <w:szCs w:val="16"/>
                <w:b w:val="1"/>
                <w:bCs w:val="1"/>
                <w:color w:val="0072CE"/>
              </w:rPr>
              <w:t>Global</w:t>
            </w:r>
          </w:p>
        </w:tc>
        <w:tc>
          <w:tcPr>
            <w:tcW w:w="1440" w:type="dxa"/>
            <w:vAlign w:val="bottom"/>
          </w:tcPr>
          <w:p>
            <w:pPr>
              <w:jc w:val="right"/>
              <w:ind w:right="101"/>
              <w:spacing w:after="0"/>
              <w:rPr>
                <w:sz w:val="20"/>
                <w:szCs w:val="20"/>
                <w:color w:val="auto"/>
              </w:rPr>
            </w:pPr>
            <w:r>
              <w:rPr>
                <w:rFonts w:ascii="Arial" w:cs="Arial" w:eastAsia="Arial" w:hAnsi="Arial"/>
                <w:sz w:val="12"/>
                <w:szCs w:val="12"/>
                <w:b w:val="1"/>
                <w:bCs w:val="1"/>
                <w:color w:val="0072CE"/>
              </w:rPr>
              <w:t>¢</w:t>
            </w:r>
          </w:p>
        </w:tc>
        <w:tc>
          <w:tcPr>
            <w:tcW w:w="520" w:type="dxa"/>
            <w:vAlign w:val="bottom"/>
          </w:tcPr>
          <w:p>
            <w:pPr>
              <w:jc w:val="right"/>
              <w:ind w:right="141"/>
              <w:spacing w:after="0"/>
              <w:rPr>
                <w:sz w:val="20"/>
                <w:szCs w:val="20"/>
                <w:color w:val="auto"/>
              </w:rPr>
            </w:pPr>
            <w:r>
              <w:rPr>
                <w:rFonts w:ascii="Arial" w:cs="Arial" w:eastAsia="Arial" w:hAnsi="Arial"/>
                <w:sz w:val="12"/>
                <w:szCs w:val="12"/>
                <w:b w:val="1"/>
                <w:bCs w:val="1"/>
                <w:color w:val="0072CE"/>
              </w:rPr>
              <w:t>¢</w:t>
            </w:r>
          </w:p>
        </w:tc>
        <w:tc>
          <w:tcPr>
            <w:tcW w:w="500" w:type="dxa"/>
            <w:vAlign w:val="bottom"/>
          </w:tcPr>
          <w:p>
            <w:pPr>
              <w:jc w:val="right"/>
              <w:ind w:right="101"/>
              <w:spacing w:after="0"/>
              <w:rPr>
                <w:sz w:val="20"/>
                <w:szCs w:val="20"/>
                <w:color w:val="auto"/>
              </w:rPr>
            </w:pPr>
            <w:r>
              <w:rPr>
                <w:rFonts w:ascii="Arial" w:cs="Arial" w:eastAsia="Arial" w:hAnsi="Arial"/>
                <w:sz w:val="12"/>
                <w:szCs w:val="12"/>
                <w:b w:val="1"/>
                <w:bCs w:val="1"/>
                <w:color w:val="0072CE"/>
              </w:rPr>
              <w:t>¢</w:t>
            </w:r>
          </w:p>
        </w:tc>
        <w:tc>
          <w:tcPr>
            <w:tcW w:w="460" w:type="dxa"/>
            <w:vAlign w:val="bottom"/>
          </w:tcPr>
          <w:p>
            <w:pPr>
              <w:jc w:val="right"/>
              <w:ind w:right="81"/>
              <w:spacing w:after="0"/>
              <w:rPr>
                <w:sz w:val="20"/>
                <w:szCs w:val="20"/>
                <w:color w:val="auto"/>
              </w:rPr>
            </w:pPr>
            <w:r>
              <w:rPr>
                <w:rFonts w:ascii="Arial" w:cs="Arial" w:eastAsia="Arial" w:hAnsi="Arial"/>
                <w:sz w:val="12"/>
                <w:szCs w:val="12"/>
                <w:b w:val="1"/>
                <w:bCs w:val="1"/>
                <w:color w:val="0072CE"/>
              </w:rPr>
              <w:t>¢</w:t>
            </w: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072CE"/>
              </w:rPr>
              <w:t>¢</w:t>
            </w: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072CE"/>
              </w:rPr>
              <w:t>¢</w:t>
            </w:r>
          </w:p>
        </w:tc>
        <w:tc>
          <w:tcPr>
            <w:tcW w:w="460" w:type="dxa"/>
            <w:vAlign w:val="bottom"/>
          </w:tcPr>
          <w:p>
            <w:pPr>
              <w:jc w:val="right"/>
              <w:ind w:right="81"/>
              <w:spacing w:after="0"/>
              <w:rPr>
                <w:sz w:val="20"/>
                <w:szCs w:val="20"/>
                <w:color w:val="auto"/>
              </w:rPr>
            </w:pPr>
            <w:r>
              <w:rPr>
                <w:rFonts w:ascii="Arial" w:cs="Arial" w:eastAsia="Arial" w:hAnsi="Arial"/>
                <w:sz w:val="12"/>
                <w:szCs w:val="12"/>
                <w:b w:val="1"/>
                <w:bCs w:val="1"/>
                <w:color w:val="0072CE"/>
              </w:rPr>
              <w:t>¢</w:t>
            </w:r>
          </w:p>
        </w:tc>
        <w:tc>
          <w:tcPr>
            <w:tcW w:w="440" w:type="dxa"/>
            <w:vAlign w:val="bottom"/>
          </w:tcPr>
          <w:p>
            <w:pPr>
              <w:jc w:val="right"/>
              <w:ind w:right="81"/>
              <w:spacing w:after="0"/>
              <w:rPr>
                <w:sz w:val="20"/>
                <w:szCs w:val="20"/>
                <w:color w:val="auto"/>
              </w:rPr>
            </w:pPr>
            <w:r>
              <w:rPr>
                <w:rFonts w:ascii="Arial" w:cs="Arial" w:eastAsia="Arial" w:hAnsi="Arial"/>
                <w:sz w:val="12"/>
                <w:szCs w:val="12"/>
                <w:b w:val="1"/>
                <w:bCs w:val="1"/>
                <w:color w:val="0072CE"/>
              </w:rPr>
              <w:t>¢</w:t>
            </w:r>
          </w:p>
        </w:tc>
        <w:tc>
          <w:tcPr>
            <w:tcW w:w="460" w:type="dxa"/>
            <w:vAlign w:val="bottom"/>
          </w:tcPr>
          <w:p>
            <w:pPr>
              <w:jc w:val="right"/>
              <w:ind w:right="101"/>
              <w:spacing w:after="0"/>
              <w:rPr>
                <w:sz w:val="20"/>
                <w:szCs w:val="20"/>
                <w:color w:val="auto"/>
              </w:rPr>
            </w:pPr>
            <w:r>
              <w:rPr>
                <w:rFonts w:ascii="Arial" w:cs="Arial" w:eastAsia="Arial" w:hAnsi="Arial"/>
                <w:sz w:val="12"/>
                <w:szCs w:val="12"/>
                <w:b w:val="1"/>
                <w:bCs w:val="1"/>
                <w:color w:val="0072CE"/>
              </w:rPr>
              <w:t>¢</w:t>
            </w:r>
          </w:p>
        </w:tc>
        <w:tc>
          <w:tcPr>
            <w:tcW w:w="440" w:type="dxa"/>
            <w:vAlign w:val="bottom"/>
          </w:tcPr>
          <w:p>
            <w:pPr>
              <w:jc w:val="right"/>
              <w:ind w:right="81"/>
              <w:spacing w:after="0"/>
              <w:rPr>
                <w:sz w:val="20"/>
                <w:szCs w:val="20"/>
                <w:color w:val="auto"/>
              </w:rPr>
            </w:pPr>
            <w:r>
              <w:rPr>
                <w:rFonts w:ascii="Arial" w:cs="Arial" w:eastAsia="Arial" w:hAnsi="Arial"/>
                <w:sz w:val="12"/>
                <w:szCs w:val="12"/>
                <w:b w:val="1"/>
                <w:bCs w:val="1"/>
                <w:color w:val="0072CE"/>
              </w:rPr>
              <w:t>¢</w:t>
            </w:r>
          </w:p>
        </w:tc>
        <w:tc>
          <w:tcPr>
            <w:tcW w:w="300" w:type="dxa"/>
            <w:vAlign w:val="bottom"/>
          </w:tcPr>
          <w:p>
            <w:pPr>
              <w:jc w:val="right"/>
              <w:spacing w:after="0"/>
              <w:rPr>
                <w:sz w:val="20"/>
                <w:szCs w:val="20"/>
                <w:color w:val="auto"/>
              </w:rPr>
            </w:pPr>
            <w:r>
              <w:rPr>
                <w:rFonts w:ascii="Arial" w:cs="Arial" w:eastAsia="Arial" w:hAnsi="Arial"/>
                <w:sz w:val="12"/>
                <w:szCs w:val="12"/>
                <w:b w:val="1"/>
                <w:bCs w:val="1"/>
                <w:color w:val="0072CE"/>
              </w:rPr>
              <w:t>¢</w:t>
            </w:r>
          </w:p>
        </w:tc>
      </w:tr>
      <w:tr>
        <w:trPr>
          <w:trHeight w:val="648"/>
        </w:trPr>
        <w:tc>
          <w:tcPr>
            <w:tcW w:w="2260" w:type="dxa"/>
            <w:vAlign w:val="bottom"/>
          </w:tcPr>
          <w:p>
            <w:pPr>
              <w:spacing w:after="0"/>
              <w:rPr>
                <w:sz w:val="20"/>
                <w:szCs w:val="20"/>
                <w:color w:val="auto"/>
              </w:rPr>
            </w:pPr>
            <w:r>
              <w:rPr>
                <w:rFonts w:ascii="Arial" w:cs="Arial" w:eastAsia="Arial" w:hAnsi="Arial"/>
                <w:sz w:val="16"/>
                <w:szCs w:val="16"/>
                <w:b w:val="1"/>
                <w:bCs w:val="1"/>
                <w:color w:val="0072CE"/>
              </w:rPr>
              <w:t>Governance</w:t>
            </w:r>
          </w:p>
        </w:tc>
        <w:tc>
          <w:tcPr>
            <w:tcW w:w="1440" w:type="dxa"/>
            <w:vAlign w:val="bottom"/>
          </w:tcPr>
          <w:p>
            <w:pPr>
              <w:jc w:val="right"/>
              <w:ind w:right="101"/>
              <w:spacing w:after="0"/>
              <w:rPr>
                <w:sz w:val="20"/>
                <w:szCs w:val="20"/>
                <w:color w:val="auto"/>
              </w:rPr>
            </w:pPr>
            <w:r>
              <w:rPr>
                <w:rFonts w:ascii="Arial" w:cs="Arial" w:eastAsia="Arial" w:hAnsi="Arial"/>
                <w:sz w:val="12"/>
                <w:szCs w:val="12"/>
                <w:b w:val="1"/>
                <w:bCs w:val="1"/>
                <w:color w:val="0072CE"/>
              </w:rPr>
              <w:t>¢</w:t>
            </w:r>
          </w:p>
        </w:tc>
        <w:tc>
          <w:tcPr>
            <w:tcW w:w="520" w:type="dxa"/>
            <w:vAlign w:val="bottom"/>
          </w:tcPr>
          <w:p>
            <w:pPr>
              <w:jc w:val="right"/>
              <w:ind w:right="141"/>
              <w:spacing w:after="0"/>
              <w:rPr>
                <w:sz w:val="20"/>
                <w:szCs w:val="20"/>
                <w:color w:val="auto"/>
              </w:rPr>
            </w:pPr>
            <w:r>
              <w:rPr>
                <w:rFonts w:ascii="Arial" w:cs="Arial" w:eastAsia="Arial" w:hAnsi="Arial"/>
                <w:sz w:val="12"/>
                <w:szCs w:val="12"/>
                <w:b w:val="1"/>
                <w:bCs w:val="1"/>
                <w:color w:val="0072CE"/>
              </w:rPr>
              <w:t>¢</w:t>
            </w:r>
          </w:p>
        </w:tc>
        <w:tc>
          <w:tcPr>
            <w:tcW w:w="500" w:type="dxa"/>
            <w:vAlign w:val="bottom"/>
          </w:tcPr>
          <w:p>
            <w:pPr>
              <w:jc w:val="right"/>
              <w:ind w:right="101"/>
              <w:spacing w:after="0"/>
              <w:rPr>
                <w:sz w:val="20"/>
                <w:szCs w:val="20"/>
                <w:color w:val="auto"/>
              </w:rPr>
            </w:pPr>
            <w:r>
              <w:rPr>
                <w:rFonts w:ascii="Arial" w:cs="Arial" w:eastAsia="Arial" w:hAnsi="Arial"/>
                <w:sz w:val="12"/>
                <w:szCs w:val="12"/>
                <w:b w:val="1"/>
                <w:bCs w:val="1"/>
                <w:color w:val="0072CE"/>
              </w:rPr>
              <w:t>¢</w:t>
            </w:r>
          </w:p>
        </w:tc>
        <w:tc>
          <w:tcPr>
            <w:tcW w:w="460" w:type="dxa"/>
            <w:vAlign w:val="bottom"/>
          </w:tcPr>
          <w:p>
            <w:pPr>
              <w:jc w:val="right"/>
              <w:ind w:right="81"/>
              <w:spacing w:after="0"/>
              <w:rPr>
                <w:sz w:val="20"/>
                <w:szCs w:val="20"/>
                <w:color w:val="auto"/>
              </w:rPr>
            </w:pPr>
            <w:r>
              <w:rPr>
                <w:rFonts w:ascii="Arial" w:cs="Arial" w:eastAsia="Arial" w:hAnsi="Arial"/>
                <w:sz w:val="12"/>
                <w:szCs w:val="12"/>
                <w:b w:val="1"/>
                <w:bCs w:val="1"/>
                <w:color w:val="0072CE"/>
              </w:rPr>
              <w:t>¢</w:t>
            </w: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072CE"/>
              </w:rPr>
              <w:t>¢</w:t>
            </w: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072CE"/>
              </w:rPr>
              <w:t>¢</w:t>
            </w:r>
          </w:p>
        </w:tc>
        <w:tc>
          <w:tcPr>
            <w:tcW w:w="460" w:type="dxa"/>
            <w:vAlign w:val="bottom"/>
          </w:tcPr>
          <w:p>
            <w:pPr>
              <w:jc w:val="right"/>
              <w:ind w:right="81"/>
              <w:spacing w:after="0"/>
              <w:rPr>
                <w:sz w:val="20"/>
                <w:szCs w:val="20"/>
                <w:color w:val="auto"/>
              </w:rPr>
            </w:pPr>
            <w:r>
              <w:rPr>
                <w:rFonts w:ascii="Arial" w:cs="Arial" w:eastAsia="Arial" w:hAnsi="Arial"/>
                <w:sz w:val="12"/>
                <w:szCs w:val="12"/>
                <w:b w:val="1"/>
                <w:bCs w:val="1"/>
                <w:color w:val="0072CE"/>
              </w:rPr>
              <w:t>¢</w:t>
            </w:r>
          </w:p>
        </w:tc>
        <w:tc>
          <w:tcPr>
            <w:tcW w:w="440" w:type="dxa"/>
            <w:vAlign w:val="bottom"/>
          </w:tcPr>
          <w:p>
            <w:pPr>
              <w:jc w:val="right"/>
              <w:ind w:right="81"/>
              <w:spacing w:after="0"/>
              <w:rPr>
                <w:sz w:val="20"/>
                <w:szCs w:val="20"/>
                <w:color w:val="auto"/>
              </w:rPr>
            </w:pPr>
            <w:r>
              <w:rPr>
                <w:rFonts w:ascii="Arial" w:cs="Arial" w:eastAsia="Arial" w:hAnsi="Arial"/>
                <w:sz w:val="12"/>
                <w:szCs w:val="12"/>
                <w:b w:val="1"/>
                <w:bCs w:val="1"/>
                <w:color w:val="0072CE"/>
              </w:rPr>
              <w:t>¢</w:t>
            </w:r>
          </w:p>
        </w:tc>
        <w:tc>
          <w:tcPr>
            <w:tcW w:w="460" w:type="dxa"/>
            <w:vAlign w:val="bottom"/>
          </w:tcPr>
          <w:p>
            <w:pPr>
              <w:jc w:val="right"/>
              <w:ind w:right="101"/>
              <w:spacing w:after="0"/>
              <w:rPr>
                <w:sz w:val="20"/>
                <w:szCs w:val="20"/>
                <w:color w:val="auto"/>
              </w:rPr>
            </w:pPr>
            <w:r>
              <w:rPr>
                <w:rFonts w:ascii="Arial" w:cs="Arial" w:eastAsia="Arial" w:hAnsi="Arial"/>
                <w:sz w:val="12"/>
                <w:szCs w:val="12"/>
                <w:b w:val="1"/>
                <w:bCs w:val="1"/>
                <w:color w:val="0072CE"/>
              </w:rPr>
              <w:t>¢</w:t>
            </w:r>
          </w:p>
        </w:tc>
        <w:tc>
          <w:tcPr>
            <w:tcW w:w="440" w:type="dxa"/>
            <w:vAlign w:val="bottom"/>
          </w:tcPr>
          <w:p>
            <w:pPr>
              <w:jc w:val="right"/>
              <w:ind w:right="81"/>
              <w:spacing w:after="0"/>
              <w:rPr>
                <w:sz w:val="20"/>
                <w:szCs w:val="20"/>
                <w:color w:val="auto"/>
              </w:rPr>
            </w:pPr>
            <w:r>
              <w:rPr>
                <w:rFonts w:ascii="Arial" w:cs="Arial" w:eastAsia="Arial" w:hAnsi="Arial"/>
                <w:sz w:val="12"/>
                <w:szCs w:val="12"/>
                <w:b w:val="1"/>
                <w:bCs w:val="1"/>
                <w:color w:val="0072CE"/>
              </w:rPr>
              <w:t>¢</w:t>
            </w:r>
          </w:p>
        </w:tc>
        <w:tc>
          <w:tcPr>
            <w:tcW w:w="300" w:type="dxa"/>
            <w:vAlign w:val="bottom"/>
          </w:tcPr>
          <w:p>
            <w:pPr>
              <w:jc w:val="right"/>
              <w:spacing w:after="0"/>
              <w:rPr>
                <w:sz w:val="20"/>
                <w:szCs w:val="20"/>
                <w:color w:val="auto"/>
              </w:rPr>
            </w:pPr>
            <w:r>
              <w:rPr>
                <w:rFonts w:ascii="Arial" w:cs="Arial" w:eastAsia="Arial" w:hAnsi="Arial"/>
                <w:sz w:val="12"/>
                <w:szCs w:val="12"/>
                <w:b w:val="1"/>
                <w:bCs w:val="1"/>
                <w:color w:val="0072CE"/>
              </w:rPr>
              <w:t>¢</w:t>
            </w:r>
          </w:p>
        </w:tc>
      </w:tr>
      <w:tr>
        <w:trPr>
          <w:trHeight w:val="648"/>
        </w:trPr>
        <w:tc>
          <w:tcPr>
            <w:tcW w:w="2260" w:type="dxa"/>
            <w:vAlign w:val="bottom"/>
          </w:tcPr>
          <w:p>
            <w:pPr>
              <w:spacing w:after="0"/>
              <w:rPr>
                <w:sz w:val="20"/>
                <w:szCs w:val="20"/>
                <w:color w:val="auto"/>
              </w:rPr>
            </w:pPr>
            <w:r>
              <w:rPr>
                <w:rFonts w:ascii="Arial" w:cs="Arial" w:eastAsia="Arial" w:hAnsi="Arial"/>
                <w:sz w:val="16"/>
                <w:szCs w:val="16"/>
                <w:b w:val="1"/>
                <w:bCs w:val="1"/>
                <w:color w:val="0072CE"/>
              </w:rPr>
              <w:t>Industry</w:t>
            </w:r>
          </w:p>
        </w:tc>
        <w:tc>
          <w:tcPr>
            <w:tcW w:w="1440" w:type="dxa"/>
            <w:vAlign w:val="bottom"/>
          </w:tcPr>
          <w:p>
            <w:pPr>
              <w:jc w:val="right"/>
              <w:ind w:right="101"/>
              <w:spacing w:after="0"/>
              <w:rPr>
                <w:sz w:val="20"/>
                <w:szCs w:val="20"/>
                <w:color w:val="auto"/>
              </w:rPr>
            </w:pPr>
            <w:r>
              <w:rPr>
                <w:rFonts w:ascii="Arial" w:cs="Arial" w:eastAsia="Arial" w:hAnsi="Arial"/>
                <w:sz w:val="12"/>
                <w:szCs w:val="12"/>
                <w:b w:val="1"/>
                <w:bCs w:val="1"/>
                <w:color w:val="0072CE"/>
              </w:rPr>
              <w:t>¢</w:t>
            </w: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072CE"/>
              </w:rPr>
              <w:t>¢</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648"/>
        </w:trPr>
        <w:tc>
          <w:tcPr>
            <w:tcW w:w="2260" w:type="dxa"/>
            <w:vAlign w:val="bottom"/>
          </w:tcPr>
          <w:p>
            <w:pPr>
              <w:spacing w:after="0"/>
              <w:rPr>
                <w:sz w:val="20"/>
                <w:szCs w:val="20"/>
                <w:color w:val="auto"/>
              </w:rPr>
            </w:pPr>
            <w:r>
              <w:rPr>
                <w:rFonts w:ascii="Arial" w:cs="Arial" w:eastAsia="Arial" w:hAnsi="Arial"/>
                <w:sz w:val="16"/>
                <w:szCs w:val="16"/>
                <w:b w:val="1"/>
                <w:bCs w:val="1"/>
                <w:color w:val="0072CE"/>
              </w:rPr>
              <w:t>Manufacturing</w:t>
            </w:r>
          </w:p>
        </w:tc>
        <w:tc>
          <w:tcPr>
            <w:tcW w:w="1440" w:type="dxa"/>
            <w:vAlign w:val="bottom"/>
          </w:tcPr>
          <w:p>
            <w:pPr>
              <w:jc w:val="right"/>
              <w:ind w:right="101"/>
              <w:spacing w:after="0"/>
              <w:rPr>
                <w:sz w:val="20"/>
                <w:szCs w:val="20"/>
                <w:color w:val="auto"/>
              </w:rPr>
            </w:pPr>
            <w:r>
              <w:rPr>
                <w:rFonts w:ascii="Arial" w:cs="Arial" w:eastAsia="Arial" w:hAnsi="Arial"/>
                <w:sz w:val="12"/>
                <w:szCs w:val="12"/>
                <w:b w:val="1"/>
                <w:bCs w:val="1"/>
                <w:color w:val="0072CE"/>
              </w:rPr>
              <w:t>¢</w:t>
            </w:r>
          </w:p>
        </w:tc>
        <w:tc>
          <w:tcPr>
            <w:tcW w:w="520" w:type="dxa"/>
            <w:vAlign w:val="bottom"/>
          </w:tcPr>
          <w:p>
            <w:pPr>
              <w:jc w:val="right"/>
              <w:ind w:right="141"/>
              <w:spacing w:after="0"/>
              <w:rPr>
                <w:sz w:val="20"/>
                <w:szCs w:val="20"/>
                <w:color w:val="auto"/>
              </w:rPr>
            </w:pPr>
            <w:r>
              <w:rPr>
                <w:rFonts w:ascii="Arial" w:cs="Arial" w:eastAsia="Arial" w:hAnsi="Arial"/>
                <w:sz w:val="12"/>
                <w:szCs w:val="12"/>
                <w:b w:val="1"/>
                <w:bCs w:val="1"/>
                <w:color w:val="0072CE"/>
              </w:rPr>
              <w:t>¢</w:t>
            </w:r>
          </w:p>
        </w:tc>
        <w:tc>
          <w:tcPr>
            <w:tcW w:w="500" w:type="dxa"/>
            <w:vAlign w:val="bottom"/>
          </w:tcPr>
          <w:p>
            <w:pPr>
              <w:jc w:val="right"/>
              <w:ind w:right="101"/>
              <w:spacing w:after="0"/>
              <w:rPr>
                <w:sz w:val="20"/>
                <w:szCs w:val="20"/>
                <w:color w:val="auto"/>
              </w:rPr>
            </w:pPr>
            <w:r>
              <w:rPr>
                <w:rFonts w:ascii="Arial" w:cs="Arial" w:eastAsia="Arial" w:hAnsi="Arial"/>
                <w:sz w:val="12"/>
                <w:szCs w:val="12"/>
                <w:b w:val="1"/>
                <w:bCs w:val="1"/>
                <w:color w:val="0072CE"/>
              </w:rPr>
              <w:t>¢</w:t>
            </w:r>
          </w:p>
        </w:tc>
        <w:tc>
          <w:tcPr>
            <w:tcW w:w="460" w:type="dxa"/>
            <w:vAlign w:val="bottom"/>
          </w:tcPr>
          <w:p>
            <w:pPr>
              <w:jc w:val="right"/>
              <w:ind w:right="81"/>
              <w:spacing w:after="0"/>
              <w:rPr>
                <w:sz w:val="20"/>
                <w:szCs w:val="20"/>
                <w:color w:val="auto"/>
              </w:rPr>
            </w:pPr>
            <w:r>
              <w:rPr>
                <w:rFonts w:ascii="Arial" w:cs="Arial" w:eastAsia="Arial" w:hAnsi="Arial"/>
                <w:sz w:val="12"/>
                <w:szCs w:val="12"/>
                <w:b w:val="1"/>
                <w:bCs w:val="1"/>
                <w:color w:val="0072CE"/>
              </w:rPr>
              <w:t>¢</w:t>
            </w:r>
          </w:p>
        </w:tc>
        <w:tc>
          <w:tcPr>
            <w:tcW w:w="480" w:type="dxa"/>
            <w:vAlign w:val="bottom"/>
          </w:tcPr>
          <w:p>
            <w:pPr>
              <w:spacing w:after="0"/>
              <w:rPr>
                <w:sz w:val="24"/>
                <w:szCs w:val="24"/>
                <w:color w:val="auto"/>
              </w:rPr>
            </w:pP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072CE"/>
              </w:rPr>
              <w:t>¢</w:t>
            </w:r>
          </w:p>
        </w:tc>
        <w:tc>
          <w:tcPr>
            <w:tcW w:w="460" w:type="dxa"/>
            <w:vAlign w:val="bottom"/>
          </w:tcPr>
          <w:p>
            <w:pPr>
              <w:spacing w:after="0"/>
              <w:rPr>
                <w:sz w:val="24"/>
                <w:szCs w:val="24"/>
                <w:color w:val="auto"/>
              </w:rPr>
            </w:pPr>
          </w:p>
        </w:tc>
        <w:tc>
          <w:tcPr>
            <w:tcW w:w="440" w:type="dxa"/>
            <w:vAlign w:val="bottom"/>
          </w:tcPr>
          <w:p>
            <w:pPr>
              <w:jc w:val="right"/>
              <w:ind w:right="81"/>
              <w:spacing w:after="0"/>
              <w:rPr>
                <w:sz w:val="20"/>
                <w:szCs w:val="20"/>
                <w:color w:val="auto"/>
              </w:rPr>
            </w:pPr>
            <w:r>
              <w:rPr>
                <w:rFonts w:ascii="Arial" w:cs="Arial" w:eastAsia="Arial" w:hAnsi="Arial"/>
                <w:sz w:val="12"/>
                <w:szCs w:val="12"/>
                <w:b w:val="1"/>
                <w:bCs w:val="1"/>
                <w:color w:val="0072CE"/>
              </w:rPr>
              <w:t>¢</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9140"/>
          </w:cols>
          <w:pgMar w:left="1400" w:top="140" w:right="1359" w:bottom="0" w:gutter="0" w:footer="0" w:header="0"/>
        </w:sectPr>
      </w:pPr>
    </w:p>
    <w:bookmarkStart w:id="15" w:name="page16"/>
    <w:bookmarkEnd w:id="15"/>
    <w:p>
      <w:pPr>
        <w:spacing w:after="0" w:line="1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3190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10375" cy="31908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8"/>
        </w:trPr>
        <w:tc>
          <w:tcPr>
            <w:tcW w:w="3920" w:type="dxa"/>
            <w:vAlign w:val="bottom"/>
            <w:shd w:val="clear" w:color="auto" w:fill="F0F3F6"/>
          </w:tcPr>
          <w:p>
            <w:pPr>
              <w:ind w:left="680"/>
              <w:spacing w:after="0"/>
              <w:rPr>
                <w:sz w:val="20"/>
                <w:szCs w:val="20"/>
                <w:color w:val="auto"/>
              </w:rPr>
            </w:pPr>
            <w:r>
              <w:rPr>
                <w:rFonts w:ascii="Arial" w:cs="Arial" w:eastAsia="Arial" w:hAnsi="Arial"/>
                <w:sz w:val="16"/>
                <w:szCs w:val="16"/>
                <w:b w:val="1"/>
                <w:bCs w:val="1"/>
                <w:color w:val="0072CE"/>
              </w:rPr>
              <w:t>Marketing</w:t>
            </w:r>
          </w:p>
        </w:tc>
        <w:tc>
          <w:tcPr>
            <w:tcW w:w="460" w:type="dxa"/>
            <w:vAlign w:val="bottom"/>
            <w:shd w:val="clear" w:color="auto" w:fill="F0F3F6"/>
          </w:tcPr>
          <w:p>
            <w:pPr>
              <w:spacing w:after="0"/>
              <w:rPr>
                <w:sz w:val="24"/>
                <w:szCs w:val="24"/>
                <w:color w:val="auto"/>
              </w:rPr>
            </w:pPr>
          </w:p>
        </w:tc>
        <w:tc>
          <w:tcPr>
            <w:tcW w:w="520" w:type="dxa"/>
            <w:vAlign w:val="bottom"/>
            <w:shd w:val="clear" w:color="auto" w:fill="F0F3F6"/>
          </w:tcPr>
          <w:p>
            <w:pPr>
              <w:spacing w:after="0"/>
              <w:rPr>
                <w:sz w:val="24"/>
                <w:szCs w:val="24"/>
                <w:color w:val="auto"/>
              </w:rPr>
            </w:pPr>
          </w:p>
        </w:tc>
        <w:tc>
          <w:tcPr>
            <w:tcW w:w="500" w:type="dxa"/>
            <w:vAlign w:val="bottom"/>
            <w:shd w:val="clear" w:color="auto" w:fill="F0F3F6"/>
          </w:tcPr>
          <w:p>
            <w:pPr>
              <w:jc w:val="right"/>
              <w:ind w:right="101"/>
              <w:spacing w:after="0"/>
              <w:rPr>
                <w:sz w:val="20"/>
                <w:szCs w:val="20"/>
                <w:color w:val="auto"/>
              </w:rPr>
            </w:pPr>
            <w:r>
              <w:rPr>
                <w:rFonts w:ascii="Arial" w:cs="Arial" w:eastAsia="Arial" w:hAnsi="Arial"/>
                <w:sz w:val="12"/>
                <w:szCs w:val="12"/>
                <w:b w:val="1"/>
                <w:bCs w:val="1"/>
                <w:color w:val="0072CE"/>
              </w:rPr>
              <w:t>¢</w:t>
            </w:r>
          </w:p>
        </w:tc>
        <w:tc>
          <w:tcPr>
            <w:tcW w:w="460" w:type="dxa"/>
            <w:vAlign w:val="bottom"/>
            <w:shd w:val="clear" w:color="auto" w:fill="F0F3F6"/>
          </w:tcPr>
          <w:p>
            <w:pPr>
              <w:jc w:val="right"/>
              <w:ind w:right="81"/>
              <w:spacing w:after="0"/>
              <w:rPr>
                <w:sz w:val="20"/>
                <w:szCs w:val="20"/>
                <w:color w:val="auto"/>
              </w:rPr>
            </w:pPr>
            <w:r>
              <w:rPr>
                <w:rFonts w:ascii="Arial" w:cs="Arial" w:eastAsia="Arial" w:hAnsi="Arial"/>
                <w:sz w:val="12"/>
                <w:szCs w:val="12"/>
                <w:b w:val="1"/>
                <w:bCs w:val="1"/>
                <w:color w:val="0072CE"/>
              </w:rPr>
              <w:t>¢</w:t>
            </w:r>
          </w:p>
        </w:tc>
        <w:tc>
          <w:tcPr>
            <w:tcW w:w="480" w:type="dxa"/>
            <w:vAlign w:val="bottom"/>
            <w:shd w:val="clear" w:color="auto" w:fill="F0F3F6"/>
          </w:tcPr>
          <w:p>
            <w:pPr>
              <w:jc w:val="right"/>
              <w:ind w:right="121"/>
              <w:spacing w:after="0"/>
              <w:rPr>
                <w:sz w:val="20"/>
                <w:szCs w:val="20"/>
                <w:color w:val="auto"/>
              </w:rPr>
            </w:pPr>
            <w:r>
              <w:rPr>
                <w:rFonts w:ascii="Arial" w:cs="Arial" w:eastAsia="Arial" w:hAnsi="Arial"/>
                <w:sz w:val="12"/>
                <w:szCs w:val="12"/>
                <w:b w:val="1"/>
                <w:bCs w:val="1"/>
                <w:color w:val="0072CE"/>
              </w:rPr>
              <w:t>¢</w:t>
            </w:r>
          </w:p>
        </w:tc>
        <w:tc>
          <w:tcPr>
            <w:tcW w:w="480" w:type="dxa"/>
            <w:vAlign w:val="bottom"/>
            <w:shd w:val="clear" w:color="auto" w:fill="F0F3F6"/>
          </w:tcPr>
          <w:p>
            <w:pPr>
              <w:jc w:val="right"/>
              <w:ind w:right="121"/>
              <w:spacing w:after="0"/>
              <w:rPr>
                <w:sz w:val="20"/>
                <w:szCs w:val="20"/>
                <w:color w:val="auto"/>
              </w:rPr>
            </w:pPr>
            <w:r>
              <w:rPr>
                <w:rFonts w:ascii="Arial" w:cs="Arial" w:eastAsia="Arial" w:hAnsi="Arial"/>
                <w:sz w:val="12"/>
                <w:szCs w:val="12"/>
                <w:b w:val="1"/>
                <w:bCs w:val="1"/>
                <w:color w:val="0072CE"/>
              </w:rPr>
              <w:t>¢</w:t>
            </w:r>
          </w:p>
        </w:tc>
        <w:tc>
          <w:tcPr>
            <w:tcW w:w="460" w:type="dxa"/>
            <w:vAlign w:val="bottom"/>
            <w:shd w:val="clear" w:color="auto" w:fill="F0F3F6"/>
          </w:tcPr>
          <w:p>
            <w:pPr>
              <w:spacing w:after="0"/>
              <w:rPr>
                <w:sz w:val="24"/>
                <w:szCs w:val="24"/>
                <w:color w:val="auto"/>
              </w:rPr>
            </w:pPr>
          </w:p>
        </w:tc>
        <w:tc>
          <w:tcPr>
            <w:tcW w:w="440" w:type="dxa"/>
            <w:vAlign w:val="bottom"/>
            <w:shd w:val="clear" w:color="auto" w:fill="F0F3F6"/>
          </w:tcPr>
          <w:p>
            <w:pPr>
              <w:jc w:val="right"/>
              <w:ind w:right="81"/>
              <w:spacing w:after="0"/>
              <w:rPr>
                <w:sz w:val="20"/>
                <w:szCs w:val="20"/>
                <w:color w:val="auto"/>
              </w:rPr>
            </w:pPr>
            <w:r>
              <w:rPr>
                <w:rFonts w:ascii="Arial" w:cs="Arial" w:eastAsia="Arial" w:hAnsi="Arial"/>
                <w:sz w:val="12"/>
                <w:szCs w:val="12"/>
                <w:b w:val="1"/>
                <w:bCs w:val="1"/>
                <w:color w:val="0072CE"/>
              </w:rPr>
              <w:t>¢</w:t>
            </w:r>
          </w:p>
        </w:tc>
        <w:tc>
          <w:tcPr>
            <w:tcW w:w="460" w:type="dxa"/>
            <w:vAlign w:val="bottom"/>
            <w:shd w:val="clear" w:color="auto" w:fill="F0F3F6"/>
          </w:tcPr>
          <w:p>
            <w:pPr>
              <w:jc w:val="right"/>
              <w:ind w:right="101"/>
              <w:spacing w:after="0"/>
              <w:rPr>
                <w:sz w:val="20"/>
                <w:szCs w:val="20"/>
                <w:color w:val="auto"/>
              </w:rPr>
            </w:pPr>
            <w:r>
              <w:rPr>
                <w:rFonts w:ascii="Arial" w:cs="Arial" w:eastAsia="Arial" w:hAnsi="Arial"/>
                <w:sz w:val="12"/>
                <w:szCs w:val="12"/>
                <w:b w:val="1"/>
                <w:bCs w:val="1"/>
                <w:color w:val="0072CE"/>
              </w:rPr>
              <w:t>¢</w:t>
            </w:r>
          </w:p>
        </w:tc>
        <w:tc>
          <w:tcPr>
            <w:tcW w:w="440" w:type="dxa"/>
            <w:vAlign w:val="bottom"/>
            <w:shd w:val="clear" w:color="auto" w:fill="F0F3F6"/>
          </w:tcPr>
          <w:p>
            <w:pPr>
              <w:spacing w:after="0"/>
              <w:rPr>
                <w:sz w:val="24"/>
                <w:szCs w:val="24"/>
                <w:color w:val="auto"/>
              </w:rPr>
            </w:pPr>
          </w:p>
        </w:tc>
        <w:tc>
          <w:tcPr>
            <w:tcW w:w="460" w:type="dxa"/>
            <w:vAlign w:val="bottom"/>
            <w:shd w:val="clear" w:color="auto" w:fill="F0F3F6"/>
          </w:tcPr>
          <w:p>
            <w:pPr>
              <w:jc w:val="right"/>
              <w:ind w:right="101"/>
              <w:spacing w:after="0"/>
              <w:rPr>
                <w:sz w:val="20"/>
                <w:szCs w:val="20"/>
                <w:color w:val="auto"/>
              </w:rPr>
            </w:pPr>
            <w:r>
              <w:rPr>
                <w:rFonts w:ascii="Arial" w:cs="Arial" w:eastAsia="Arial" w:hAnsi="Arial"/>
                <w:sz w:val="12"/>
                <w:szCs w:val="12"/>
                <w:b w:val="1"/>
                <w:bCs w:val="1"/>
                <w:color w:val="0072CE"/>
              </w:rPr>
              <w:t>¢</w:t>
            </w:r>
          </w:p>
        </w:tc>
      </w:tr>
      <w:tr>
        <w:trPr>
          <w:trHeight w:val="642"/>
        </w:trPr>
        <w:tc>
          <w:tcPr>
            <w:tcW w:w="3920" w:type="dxa"/>
            <w:vAlign w:val="bottom"/>
            <w:tcBorders>
              <w:bottom w:val="single" w:sz="8" w:color="0071CE"/>
            </w:tcBorders>
            <w:shd w:val="clear" w:color="auto" w:fill="F0F3F6"/>
          </w:tcPr>
          <w:p>
            <w:pPr>
              <w:ind w:left="680"/>
              <w:spacing w:after="0"/>
              <w:rPr>
                <w:sz w:val="20"/>
                <w:szCs w:val="20"/>
                <w:color w:val="auto"/>
              </w:rPr>
            </w:pPr>
            <w:r>
              <w:rPr>
                <w:rFonts w:ascii="Arial" w:cs="Arial" w:eastAsia="Arial" w:hAnsi="Arial"/>
                <w:sz w:val="16"/>
                <w:szCs w:val="16"/>
                <w:b w:val="1"/>
                <w:bCs w:val="1"/>
                <w:color w:val="0072CE"/>
              </w:rPr>
              <w:t>Public Company CEO</w:t>
            </w:r>
          </w:p>
        </w:tc>
        <w:tc>
          <w:tcPr>
            <w:tcW w:w="460" w:type="dxa"/>
            <w:vAlign w:val="bottom"/>
            <w:tcBorders>
              <w:bottom w:val="single" w:sz="8" w:color="0071CE"/>
            </w:tcBorders>
            <w:shd w:val="clear" w:color="auto" w:fill="F0F3F6"/>
          </w:tcPr>
          <w:p>
            <w:pPr>
              <w:jc w:val="right"/>
              <w:ind w:right="101"/>
              <w:spacing w:after="0"/>
              <w:rPr>
                <w:sz w:val="20"/>
                <w:szCs w:val="20"/>
                <w:color w:val="auto"/>
              </w:rPr>
            </w:pPr>
            <w:r>
              <w:rPr>
                <w:rFonts w:ascii="Arial" w:cs="Arial" w:eastAsia="Arial" w:hAnsi="Arial"/>
                <w:sz w:val="12"/>
                <w:szCs w:val="12"/>
                <w:b w:val="1"/>
                <w:bCs w:val="1"/>
                <w:color w:val="0072CE"/>
              </w:rPr>
              <w:t>¢</w:t>
            </w:r>
          </w:p>
        </w:tc>
        <w:tc>
          <w:tcPr>
            <w:tcW w:w="520" w:type="dxa"/>
            <w:vAlign w:val="bottom"/>
            <w:tcBorders>
              <w:bottom w:val="single" w:sz="8" w:color="0071CE"/>
            </w:tcBorders>
            <w:shd w:val="clear" w:color="auto" w:fill="F0F3F6"/>
          </w:tcPr>
          <w:p>
            <w:pPr>
              <w:jc w:val="right"/>
              <w:ind w:right="141"/>
              <w:spacing w:after="0"/>
              <w:rPr>
                <w:sz w:val="20"/>
                <w:szCs w:val="20"/>
                <w:color w:val="auto"/>
              </w:rPr>
            </w:pPr>
            <w:r>
              <w:rPr>
                <w:rFonts w:ascii="Arial" w:cs="Arial" w:eastAsia="Arial" w:hAnsi="Arial"/>
                <w:sz w:val="12"/>
                <w:szCs w:val="12"/>
                <w:b w:val="1"/>
                <w:bCs w:val="1"/>
                <w:color w:val="0072CE"/>
              </w:rPr>
              <w:t>¢</w:t>
            </w:r>
          </w:p>
        </w:tc>
        <w:tc>
          <w:tcPr>
            <w:tcW w:w="500" w:type="dxa"/>
            <w:vAlign w:val="bottom"/>
            <w:tcBorders>
              <w:bottom w:val="single" w:sz="8" w:color="0071CE"/>
            </w:tcBorders>
            <w:shd w:val="clear" w:color="auto" w:fill="F0F3F6"/>
          </w:tcPr>
          <w:p>
            <w:pPr>
              <w:jc w:val="right"/>
              <w:ind w:right="101"/>
              <w:spacing w:after="0"/>
              <w:rPr>
                <w:sz w:val="20"/>
                <w:szCs w:val="20"/>
                <w:color w:val="auto"/>
              </w:rPr>
            </w:pPr>
            <w:r>
              <w:rPr>
                <w:rFonts w:ascii="Arial" w:cs="Arial" w:eastAsia="Arial" w:hAnsi="Arial"/>
                <w:sz w:val="12"/>
                <w:szCs w:val="12"/>
                <w:b w:val="1"/>
                <w:bCs w:val="1"/>
                <w:color w:val="0072CE"/>
              </w:rPr>
              <w:t>¢</w:t>
            </w:r>
          </w:p>
        </w:tc>
        <w:tc>
          <w:tcPr>
            <w:tcW w:w="460" w:type="dxa"/>
            <w:vAlign w:val="bottom"/>
            <w:tcBorders>
              <w:bottom w:val="single" w:sz="8" w:color="0071CE"/>
            </w:tcBorders>
            <w:shd w:val="clear" w:color="auto" w:fill="F0F3F6"/>
          </w:tcPr>
          <w:p>
            <w:pPr>
              <w:jc w:val="right"/>
              <w:ind w:right="81"/>
              <w:spacing w:after="0"/>
              <w:rPr>
                <w:sz w:val="20"/>
                <w:szCs w:val="20"/>
                <w:color w:val="auto"/>
              </w:rPr>
            </w:pPr>
            <w:r>
              <w:rPr>
                <w:rFonts w:ascii="Arial" w:cs="Arial" w:eastAsia="Arial" w:hAnsi="Arial"/>
                <w:sz w:val="12"/>
                <w:szCs w:val="12"/>
                <w:b w:val="1"/>
                <w:bCs w:val="1"/>
                <w:color w:val="0072CE"/>
              </w:rPr>
              <w:t>¢</w:t>
            </w:r>
          </w:p>
        </w:tc>
        <w:tc>
          <w:tcPr>
            <w:tcW w:w="480" w:type="dxa"/>
            <w:vAlign w:val="bottom"/>
            <w:tcBorders>
              <w:bottom w:val="single" w:sz="8" w:color="0071CE"/>
            </w:tcBorders>
            <w:shd w:val="clear" w:color="auto" w:fill="F0F3F6"/>
          </w:tcPr>
          <w:p>
            <w:pPr>
              <w:jc w:val="right"/>
              <w:ind w:right="121"/>
              <w:spacing w:after="0"/>
              <w:rPr>
                <w:sz w:val="20"/>
                <w:szCs w:val="20"/>
                <w:color w:val="auto"/>
              </w:rPr>
            </w:pPr>
            <w:r>
              <w:rPr>
                <w:rFonts w:ascii="Arial" w:cs="Arial" w:eastAsia="Arial" w:hAnsi="Arial"/>
                <w:sz w:val="12"/>
                <w:szCs w:val="12"/>
                <w:b w:val="1"/>
                <w:bCs w:val="1"/>
                <w:color w:val="0072CE"/>
              </w:rPr>
              <w:t>¢</w:t>
            </w:r>
          </w:p>
        </w:tc>
        <w:tc>
          <w:tcPr>
            <w:tcW w:w="480" w:type="dxa"/>
            <w:vAlign w:val="bottom"/>
            <w:tcBorders>
              <w:bottom w:val="single" w:sz="8" w:color="0071CE"/>
            </w:tcBorders>
            <w:shd w:val="clear" w:color="auto" w:fill="F0F3F6"/>
          </w:tcPr>
          <w:p>
            <w:pPr>
              <w:spacing w:after="0"/>
              <w:rPr>
                <w:sz w:val="24"/>
                <w:szCs w:val="24"/>
                <w:color w:val="auto"/>
              </w:rPr>
            </w:pPr>
          </w:p>
        </w:tc>
        <w:tc>
          <w:tcPr>
            <w:tcW w:w="460" w:type="dxa"/>
            <w:vAlign w:val="bottom"/>
            <w:tcBorders>
              <w:bottom w:val="single" w:sz="8" w:color="0071CE"/>
            </w:tcBorders>
            <w:shd w:val="clear" w:color="auto" w:fill="F0F3F6"/>
          </w:tcPr>
          <w:p>
            <w:pPr>
              <w:spacing w:after="0"/>
              <w:rPr>
                <w:sz w:val="24"/>
                <w:szCs w:val="24"/>
                <w:color w:val="auto"/>
              </w:rPr>
            </w:pPr>
          </w:p>
        </w:tc>
        <w:tc>
          <w:tcPr>
            <w:tcW w:w="440" w:type="dxa"/>
            <w:vAlign w:val="bottom"/>
            <w:tcBorders>
              <w:bottom w:val="single" w:sz="8" w:color="0071CE"/>
            </w:tcBorders>
            <w:shd w:val="clear" w:color="auto" w:fill="F0F3F6"/>
          </w:tcPr>
          <w:p>
            <w:pPr>
              <w:jc w:val="right"/>
              <w:ind w:right="81"/>
              <w:spacing w:after="0"/>
              <w:rPr>
                <w:sz w:val="20"/>
                <w:szCs w:val="20"/>
                <w:color w:val="auto"/>
              </w:rPr>
            </w:pPr>
            <w:r>
              <w:rPr>
                <w:rFonts w:ascii="Arial" w:cs="Arial" w:eastAsia="Arial" w:hAnsi="Arial"/>
                <w:sz w:val="12"/>
                <w:szCs w:val="12"/>
                <w:b w:val="1"/>
                <w:bCs w:val="1"/>
                <w:color w:val="0072CE"/>
              </w:rPr>
              <w:t>¢</w:t>
            </w:r>
          </w:p>
        </w:tc>
        <w:tc>
          <w:tcPr>
            <w:tcW w:w="460" w:type="dxa"/>
            <w:vAlign w:val="bottom"/>
            <w:tcBorders>
              <w:bottom w:val="single" w:sz="8" w:color="0071CE"/>
            </w:tcBorders>
            <w:shd w:val="clear" w:color="auto" w:fill="F0F3F6"/>
          </w:tcPr>
          <w:p>
            <w:pPr>
              <w:spacing w:after="0"/>
              <w:rPr>
                <w:sz w:val="24"/>
                <w:szCs w:val="24"/>
                <w:color w:val="auto"/>
              </w:rPr>
            </w:pPr>
          </w:p>
        </w:tc>
        <w:tc>
          <w:tcPr>
            <w:tcW w:w="440" w:type="dxa"/>
            <w:vAlign w:val="bottom"/>
            <w:tcBorders>
              <w:bottom w:val="single" w:sz="8" w:color="0071CE"/>
            </w:tcBorders>
            <w:shd w:val="clear" w:color="auto" w:fill="F0F3F6"/>
          </w:tcPr>
          <w:p>
            <w:pPr>
              <w:spacing w:after="0"/>
              <w:rPr>
                <w:sz w:val="24"/>
                <w:szCs w:val="24"/>
                <w:color w:val="auto"/>
              </w:rPr>
            </w:pPr>
          </w:p>
        </w:tc>
        <w:tc>
          <w:tcPr>
            <w:tcW w:w="460" w:type="dxa"/>
            <w:vAlign w:val="bottom"/>
            <w:tcBorders>
              <w:bottom w:val="single" w:sz="8" w:color="0071CE"/>
            </w:tcBorders>
            <w:shd w:val="clear" w:color="auto" w:fill="F0F3F6"/>
          </w:tcPr>
          <w:p>
            <w:pPr>
              <w:jc w:val="right"/>
              <w:ind w:right="101"/>
              <w:spacing w:after="0"/>
              <w:rPr>
                <w:sz w:val="20"/>
                <w:szCs w:val="20"/>
                <w:color w:val="auto"/>
              </w:rPr>
            </w:pPr>
            <w:r>
              <w:rPr>
                <w:rFonts w:ascii="Arial" w:cs="Arial" w:eastAsia="Arial" w:hAnsi="Arial"/>
                <w:sz w:val="12"/>
                <w:szCs w:val="12"/>
                <w:b w:val="1"/>
                <w:bCs w:val="1"/>
                <w:color w:val="0072CE"/>
              </w:rPr>
              <w:t>¢</w:t>
            </w:r>
          </w:p>
        </w:tc>
      </w:tr>
      <w:tr>
        <w:trPr>
          <w:trHeight w:val="628"/>
        </w:trPr>
        <w:tc>
          <w:tcPr>
            <w:tcW w:w="3920" w:type="dxa"/>
            <w:vAlign w:val="bottom"/>
            <w:tcBorders>
              <w:bottom w:val="single" w:sz="8" w:color="D9D9D6"/>
            </w:tcBorders>
          </w:tcPr>
          <w:p>
            <w:pPr>
              <w:ind w:left="680"/>
              <w:spacing w:after="0"/>
              <w:rPr>
                <w:sz w:val="20"/>
                <w:szCs w:val="20"/>
                <w:color w:val="auto"/>
              </w:rPr>
            </w:pPr>
            <w:r>
              <w:rPr>
                <w:rFonts w:ascii="Arial" w:cs="Arial" w:eastAsia="Arial" w:hAnsi="Arial"/>
                <w:sz w:val="16"/>
                <w:szCs w:val="16"/>
                <w:b w:val="1"/>
                <w:bCs w:val="1"/>
                <w:color w:val="0072CE"/>
              </w:rPr>
              <w:t>Risk Management</w:t>
            </w:r>
          </w:p>
        </w:tc>
        <w:tc>
          <w:tcPr>
            <w:tcW w:w="460" w:type="dxa"/>
            <w:vAlign w:val="bottom"/>
            <w:tcBorders>
              <w:bottom w:val="single" w:sz="8" w:color="D9D9D6"/>
            </w:tcBorders>
          </w:tcPr>
          <w:p>
            <w:pPr>
              <w:jc w:val="right"/>
              <w:ind w:right="101"/>
              <w:spacing w:after="0"/>
              <w:rPr>
                <w:sz w:val="20"/>
                <w:szCs w:val="20"/>
                <w:color w:val="auto"/>
              </w:rPr>
            </w:pPr>
            <w:r>
              <w:rPr>
                <w:rFonts w:ascii="Arial" w:cs="Arial" w:eastAsia="Arial" w:hAnsi="Arial"/>
                <w:sz w:val="12"/>
                <w:szCs w:val="12"/>
                <w:b w:val="1"/>
                <w:bCs w:val="1"/>
                <w:color w:val="0072CE"/>
              </w:rPr>
              <w:t>¢</w:t>
            </w:r>
          </w:p>
        </w:tc>
        <w:tc>
          <w:tcPr>
            <w:tcW w:w="520" w:type="dxa"/>
            <w:vAlign w:val="bottom"/>
            <w:tcBorders>
              <w:bottom w:val="single" w:sz="8" w:color="D9D9D6"/>
            </w:tcBorders>
          </w:tcPr>
          <w:p>
            <w:pPr>
              <w:jc w:val="right"/>
              <w:ind w:right="141"/>
              <w:spacing w:after="0"/>
              <w:rPr>
                <w:sz w:val="20"/>
                <w:szCs w:val="20"/>
                <w:color w:val="auto"/>
              </w:rPr>
            </w:pPr>
            <w:r>
              <w:rPr>
                <w:rFonts w:ascii="Arial" w:cs="Arial" w:eastAsia="Arial" w:hAnsi="Arial"/>
                <w:sz w:val="12"/>
                <w:szCs w:val="12"/>
                <w:b w:val="1"/>
                <w:bCs w:val="1"/>
                <w:color w:val="0072CE"/>
              </w:rPr>
              <w:t>¢</w:t>
            </w:r>
          </w:p>
        </w:tc>
        <w:tc>
          <w:tcPr>
            <w:tcW w:w="500" w:type="dxa"/>
            <w:vAlign w:val="bottom"/>
            <w:tcBorders>
              <w:bottom w:val="single" w:sz="8" w:color="D9D9D6"/>
            </w:tcBorders>
          </w:tcPr>
          <w:p>
            <w:pPr>
              <w:jc w:val="right"/>
              <w:ind w:right="101"/>
              <w:spacing w:after="0"/>
              <w:rPr>
                <w:sz w:val="20"/>
                <w:szCs w:val="20"/>
                <w:color w:val="auto"/>
              </w:rPr>
            </w:pPr>
            <w:r>
              <w:rPr>
                <w:rFonts w:ascii="Arial" w:cs="Arial" w:eastAsia="Arial" w:hAnsi="Arial"/>
                <w:sz w:val="12"/>
                <w:szCs w:val="12"/>
                <w:b w:val="1"/>
                <w:bCs w:val="1"/>
                <w:color w:val="0072CE"/>
              </w:rPr>
              <w:t>¢</w:t>
            </w:r>
          </w:p>
        </w:tc>
        <w:tc>
          <w:tcPr>
            <w:tcW w:w="460" w:type="dxa"/>
            <w:vAlign w:val="bottom"/>
            <w:tcBorders>
              <w:bottom w:val="single" w:sz="8" w:color="D9D9D6"/>
            </w:tcBorders>
          </w:tcPr>
          <w:p>
            <w:pPr>
              <w:jc w:val="right"/>
              <w:ind w:right="81"/>
              <w:spacing w:after="0"/>
              <w:rPr>
                <w:sz w:val="20"/>
                <w:szCs w:val="20"/>
                <w:color w:val="auto"/>
              </w:rPr>
            </w:pPr>
            <w:r>
              <w:rPr>
                <w:rFonts w:ascii="Arial" w:cs="Arial" w:eastAsia="Arial" w:hAnsi="Arial"/>
                <w:sz w:val="12"/>
                <w:szCs w:val="12"/>
                <w:b w:val="1"/>
                <w:bCs w:val="1"/>
                <w:color w:val="0072CE"/>
              </w:rPr>
              <w:t>¢</w:t>
            </w:r>
          </w:p>
        </w:tc>
        <w:tc>
          <w:tcPr>
            <w:tcW w:w="480" w:type="dxa"/>
            <w:vAlign w:val="bottom"/>
            <w:tcBorders>
              <w:bottom w:val="single" w:sz="8" w:color="D9D9D6"/>
            </w:tcBorders>
          </w:tcPr>
          <w:p>
            <w:pPr>
              <w:jc w:val="right"/>
              <w:ind w:right="121"/>
              <w:spacing w:after="0"/>
              <w:rPr>
                <w:sz w:val="20"/>
                <w:szCs w:val="20"/>
                <w:color w:val="auto"/>
              </w:rPr>
            </w:pPr>
            <w:r>
              <w:rPr>
                <w:rFonts w:ascii="Arial" w:cs="Arial" w:eastAsia="Arial" w:hAnsi="Arial"/>
                <w:sz w:val="12"/>
                <w:szCs w:val="12"/>
                <w:b w:val="1"/>
                <w:bCs w:val="1"/>
                <w:color w:val="0072CE"/>
              </w:rPr>
              <w:t>¢</w:t>
            </w:r>
          </w:p>
        </w:tc>
        <w:tc>
          <w:tcPr>
            <w:tcW w:w="480" w:type="dxa"/>
            <w:vAlign w:val="bottom"/>
            <w:tcBorders>
              <w:bottom w:val="single" w:sz="8" w:color="D9D9D6"/>
            </w:tcBorders>
          </w:tcPr>
          <w:p>
            <w:pPr>
              <w:jc w:val="right"/>
              <w:ind w:right="121"/>
              <w:spacing w:after="0"/>
              <w:rPr>
                <w:sz w:val="20"/>
                <w:szCs w:val="20"/>
                <w:color w:val="auto"/>
              </w:rPr>
            </w:pPr>
            <w:r>
              <w:rPr>
                <w:rFonts w:ascii="Arial" w:cs="Arial" w:eastAsia="Arial" w:hAnsi="Arial"/>
                <w:sz w:val="12"/>
                <w:szCs w:val="12"/>
                <w:b w:val="1"/>
                <w:bCs w:val="1"/>
                <w:color w:val="0072CE"/>
              </w:rPr>
              <w:t>¢</w:t>
            </w:r>
          </w:p>
        </w:tc>
        <w:tc>
          <w:tcPr>
            <w:tcW w:w="460" w:type="dxa"/>
            <w:vAlign w:val="bottom"/>
            <w:tcBorders>
              <w:bottom w:val="single" w:sz="8" w:color="D9D9D6"/>
            </w:tcBorders>
          </w:tcPr>
          <w:p>
            <w:pPr>
              <w:jc w:val="right"/>
              <w:ind w:right="81"/>
              <w:spacing w:after="0"/>
              <w:rPr>
                <w:sz w:val="20"/>
                <w:szCs w:val="20"/>
                <w:color w:val="auto"/>
              </w:rPr>
            </w:pPr>
            <w:r>
              <w:rPr>
                <w:rFonts w:ascii="Arial" w:cs="Arial" w:eastAsia="Arial" w:hAnsi="Arial"/>
                <w:sz w:val="12"/>
                <w:szCs w:val="12"/>
                <w:b w:val="1"/>
                <w:bCs w:val="1"/>
                <w:color w:val="0072CE"/>
              </w:rPr>
              <w:t>¢</w:t>
            </w:r>
          </w:p>
        </w:tc>
        <w:tc>
          <w:tcPr>
            <w:tcW w:w="440" w:type="dxa"/>
            <w:vAlign w:val="bottom"/>
            <w:tcBorders>
              <w:bottom w:val="single" w:sz="8" w:color="D9D9D6"/>
            </w:tcBorders>
          </w:tcPr>
          <w:p>
            <w:pPr>
              <w:jc w:val="right"/>
              <w:ind w:right="81"/>
              <w:spacing w:after="0"/>
              <w:rPr>
                <w:sz w:val="20"/>
                <w:szCs w:val="20"/>
                <w:color w:val="auto"/>
              </w:rPr>
            </w:pPr>
            <w:r>
              <w:rPr>
                <w:rFonts w:ascii="Arial" w:cs="Arial" w:eastAsia="Arial" w:hAnsi="Arial"/>
                <w:sz w:val="12"/>
                <w:szCs w:val="12"/>
                <w:b w:val="1"/>
                <w:bCs w:val="1"/>
                <w:color w:val="0072CE"/>
              </w:rPr>
              <w:t>¢</w:t>
            </w:r>
          </w:p>
        </w:tc>
        <w:tc>
          <w:tcPr>
            <w:tcW w:w="460" w:type="dxa"/>
            <w:vAlign w:val="bottom"/>
            <w:tcBorders>
              <w:bottom w:val="single" w:sz="8" w:color="D9D9D6"/>
            </w:tcBorders>
          </w:tcPr>
          <w:p>
            <w:pPr>
              <w:jc w:val="right"/>
              <w:ind w:right="101"/>
              <w:spacing w:after="0"/>
              <w:rPr>
                <w:sz w:val="20"/>
                <w:szCs w:val="20"/>
                <w:color w:val="auto"/>
              </w:rPr>
            </w:pPr>
            <w:r>
              <w:rPr>
                <w:rFonts w:ascii="Arial" w:cs="Arial" w:eastAsia="Arial" w:hAnsi="Arial"/>
                <w:sz w:val="12"/>
                <w:szCs w:val="12"/>
                <w:b w:val="1"/>
                <w:bCs w:val="1"/>
                <w:color w:val="0072CE"/>
              </w:rPr>
              <w:t>¢</w:t>
            </w:r>
          </w:p>
        </w:tc>
        <w:tc>
          <w:tcPr>
            <w:tcW w:w="440" w:type="dxa"/>
            <w:vAlign w:val="bottom"/>
            <w:tcBorders>
              <w:bottom w:val="single" w:sz="8" w:color="D9D9D6"/>
            </w:tcBorders>
          </w:tcPr>
          <w:p>
            <w:pPr>
              <w:jc w:val="right"/>
              <w:ind w:right="81"/>
              <w:spacing w:after="0"/>
              <w:rPr>
                <w:sz w:val="20"/>
                <w:szCs w:val="20"/>
                <w:color w:val="auto"/>
              </w:rPr>
            </w:pPr>
            <w:r>
              <w:rPr>
                <w:rFonts w:ascii="Arial" w:cs="Arial" w:eastAsia="Arial" w:hAnsi="Arial"/>
                <w:sz w:val="12"/>
                <w:szCs w:val="12"/>
                <w:b w:val="1"/>
                <w:bCs w:val="1"/>
                <w:color w:val="0072CE"/>
              </w:rPr>
              <w:t>¢</w:t>
            </w:r>
          </w:p>
        </w:tc>
        <w:tc>
          <w:tcPr>
            <w:tcW w:w="460" w:type="dxa"/>
            <w:vAlign w:val="bottom"/>
            <w:tcBorders>
              <w:bottom w:val="single" w:sz="8" w:color="D9D9D6"/>
            </w:tcBorders>
          </w:tcPr>
          <w:p>
            <w:pPr>
              <w:jc w:val="right"/>
              <w:ind w:right="101"/>
              <w:spacing w:after="0"/>
              <w:rPr>
                <w:sz w:val="20"/>
                <w:szCs w:val="20"/>
                <w:color w:val="auto"/>
              </w:rPr>
            </w:pPr>
            <w:r>
              <w:rPr>
                <w:rFonts w:ascii="Arial" w:cs="Arial" w:eastAsia="Arial" w:hAnsi="Arial"/>
                <w:sz w:val="12"/>
                <w:szCs w:val="12"/>
                <w:b w:val="1"/>
                <w:bCs w:val="1"/>
                <w:color w:val="0072CE"/>
              </w:rPr>
              <w:t>¢</w:t>
            </w:r>
          </w:p>
        </w:tc>
      </w:tr>
      <w:tr>
        <w:trPr>
          <w:trHeight w:val="628"/>
        </w:trPr>
        <w:tc>
          <w:tcPr>
            <w:tcW w:w="3920" w:type="dxa"/>
            <w:vAlign w:val="bottom"/>
            <w:tcBorders>
              <w:bottom w:val="single" w:sz="8" w:color="D9D9D6"/>
            </w:tcBorders>
          </w:tcPr>
          <w:p>
            <w:pPr>
              <w:ind w:left="680"/>
              <w:spacing w:after="0"/>
              <w:rPr>
                <w:sz w:val="20"/>
                <w:szCs w:val="20"/>
                <w:color w:val="auto"/>
              </w:rPr>
            </w:pPr>
            <w:r>
              <w:rPr>
                <w:rFonts w:ascii="Arial" w:cs="Arial" w:eastAsia="Arial" w:hAnsi="Arial"/>
                <w:sz w:val="16"/>
                <w:szCs w:val="16"/>
                <w:b w:val="1"/>
                <w:bCs w:val="1"/>
                <w:color w:val="0072CE"/>
              </w:rPr>
              <w:t>Social</w:t>
            </w:r>
          </w:p>
        </w:tc>
        <w:tc>
          <w:tcPr>
            <w:tcW w:w="460" w:type="dxa"/>
            <w:vAlign w:val="bottom"/>
            <w:tcBorders>
              <w:bottom w:val="single" w:sz="8" w:color="D9D9D6"/>
            </w:tcBorders>
          </w:tcPr>
          <w:p>
            <w:pPr>
              <w:jc w:val="right"/>
              <w:ind w:right="101"/>
              <w:spacing w:after="0"/>
              <w:rPr>
                <w:sz w:val="20"/>
                <w:szCs w:val="20"/>
                <w:color w:val="auto"/>
              </w:rPr>
            </w:pPr>
            <w:r>
              <w:rPr>
                <w:rFonts w:ascii="Arial" w:cs="Arial" w:eastAsia="Arial" w:hAnsi="Arial"/>
                <w:sz w:val="12"/>
                <w:szCs w:val="12"/>
                <w:b w:val="1"/>
                <w:bCs w:val="1"/>
                <w:color w:val="0072CE"/>
              </w:rPr>
              <w:t>¢</w:t>
            </w:r>
          </w:p>
        </w:tc>
        <w:tc>
          <w:tcPr>
            <w:tcW w:w="520" w:type="dxa"/>
            <w:vAlign w:val="bottom"/>
            <w:tcBorders>
              <w:bottom w:val="single" w:sz="8" w:color="D9D9D6"/>
            </w:tcBorders>
          </w:tcPr>
          <w:p>
            <w:pPr>
              <w:jc w:val="right"/>
              <w:ind w:right="141"/>
              <w:spacing w:after="0"/>
              <w:rPr>
                <w:sz w:val="20"/>
                <w:szCs w:val="20"/>
                <w:color w:val="auto"/>
              </w:rPr>
            </w:pPr>
            <w:r>
              <w:rPr>
                <w:rFonts w:ascii="Arial" w:cs="Arial" w:eastAsia="Arial" w:hAnsi="Arial"/>
                <w:sz w:val="12"/>
                <w:szCs w:val="12"/>
                <w:b w:val="1"/>
                <w:bCs w:val="1"/>
                <w:color w:val="0072CE"/>
              </w:rPr>
              <w:t>¢</w:t>
            </w:r>
          </w:p>
        </w:tc>
        <w:tc>
          <w:tcPr>
            <w:tcW w:w="500" w:type="dxa"/>
            <w:vAlign w:val="bottom"/>
            <w:tcBorders>
              <w:bottom w:val="single" w:sz="8" w:color="D9D9D6"/>
            </w:tcBorders>
          </w:tcPr>
          <w:p>
            <w:pPr>
              <w:jc w:val="right"/>
              <w:ind w:right="101"/>
              <w:spacing w:after="0"/>
              <w:rPr>
                <w:sz w:val="20"/>
                <w:szCs w:val="20"/>
                <w:color w:val="auto"/>
              </w:rPr>
            </w:pPr>
            <w:r>
              <w:rPr>
                <w:rFonts w:ascii="Arial" w:cs="Arial" w:eastAsia="Arial" w:hAnsi="Arial"/>
                <w:sz w:val="12"/>
                <w:szCs w:val="12"/>
                <w:b w:val="1"/>
                <w:bCs w:val="1"/>
                <w:color w:val="0072CE"/>
              </w:rPr>
              <w:t>¢</w:t>
            </w:r>
          </w:p>
        </w:tc>
        <w:tc>
          <w:tcPr>
            <w:tcW w:w="460" w:type="dxa"/>
            <w:vAlign w:val="bottom"/>
            <w:tcBorders>
              <w:bottom w:val="single" w:sz="8" w:color="D9D9D6"/>
            </w:tcBorders>
          </w:tcPr>
          <w:p>
            <w:pPr>
              <w:spacing w:after="0"/>
              <w:rPr>
                <w:sz w:val="24"/>
                <w:szCs w:val="24"/>
                <w:color w:val="auto"/>
              </w:rPr>
            </w:pPr>
          </w:p>
        </w:tc>
        <w:tc>
          <w:tcPr>
            <w:tcW w:w="480" w:type="dxa"/>
            <w:vAlign w:val="bottom"/>
            <w:tcBorders>
              <w:bottom w:val="single" w:sz="8" w:color="D9D9D6"/>
            </w:tcBorders>
          </w:tcPr>
          <w:p>
            <w:pPr>
              <w:jc w:val="right"/>
              <w:ind w:right="121"/>
              <w:spacing w:after="0"/>
              <w:rPr>
                <w:sz w:val="20"/>
                <w:szCs w:val="20"/>
                <w:color w:val="auto"/>
              </w:rPr>
            </w:pPr>
            <w:r>
              <w:rPr>
                <w:rFonts w:ascii="Arial" w:cs="Arial" w:eastAsia="Arial" w:hAnsi="Arial"/>
                <w:sz w:val="12"/>
                <w:szCs w:val="12"/>
                <w:b w:val="1"/>
                <w:bCs w:val="1"/>
                <w:color w:val="0072CE"/>
              </w:rPr>
              <w:t>¢</w:t>
            </w:r>
          </w:p>
        </w:tc>
        <w:tc>
          <w:tcPr>
            <w:tcW w:w="480" w:type="dxa"/>
            <w:vAlign w:val="bottom"/>
            <w:tcBorders>
              <w:bottom w:val="single" w:sz="8" w:color="D9D9D6"/>
            </w:tcBorders>
          </w:tcPr>
          <w:p>
            <w:pPr>
              <w:jc w:val="right"/>
              <w:ind w:right="121"/>
              <w:spacing w:after="0"/>
              <w:rPr>
                <w:sz w:val="20"/>
                <w:szCs w:val="20"/>
                <w:color w:val="auto"/>
              </w:rPr>
            </w:pPr>
            <w:r>
              <w:rPr>
                <w:rFonts w:ascii="Arial" w:cs="Arial" w:eastAsia="Arial" w:hAnsi="Arial"/>
                <w:sz w:val="12"/>
                <w:szCs w:val="12"/>
                <w:b w:val="1"/>
                <w:bCs w:val="1"/>
                <w:color w:val="0072CE"/>
              </w:rPr>
              <w:t>¢</w:t>
            </w:r>
          </w:p>
        </w:tc>
        <w:tc>
          <w:tcPr>
            <w:tcW w:w="460" w:type="dxa"/>
            <w:vAlign w:val="bottom"/>
            <w:tcBorders>
              <w:bottom w:val="single" w:sz="8" w:color="D9D9D6"/>
            </w:tcBorders>
          </w:tcPr>
          <w:p>
            <w:pPr>
              <w:jc w:val="right"/>
              <w:ind w:right="81"/>
              <w:spacing w:after="0"/>
              <w:rPr>
                <w:sz w:val="20"/>
                <w:szCs w:val="20"/>
                <w:color w:val="auto"/>
              </w:rPr>
            </w:pPr>
            <w:r>
              <w:rPr>
                <w:rFonts w:ascii="Arial" w:cs="Arial" w:eastAsia="Arial" w:hAnsi="Arial"/>
                <w:sz w:val="12"/>
                <w:szCs w:val="12"/>
                <w:b w:val="1"/>
                <w:bCs w:val="1"/>
                <w:color w:val="0072CE"/>
              </w:rPr>
              <w:t>¢</w:t>
            </w:r>
          </w:p>
        </w:tc>
        <w:tc>
          <w:tcPr>
            <w:tcW w:w="440" w:type="dxa"/>
            <w:vAlign w:val="bottom"/>
            <w:tcBorders>
              <w:bottom w:val="single" w:sz="8" w:color="D9D9D6"/>
            </w:tcBorders>
          </w:tcPr>
          <w:p>
            <w:pPr>
              <w:jc w:val="right"/>
              <w:ind w:right="81"/>
              <w:spacing w:after="0"/>
              <w:rPr>
                <w:sz w:val="20"/>
                <w:szCs w:val="20"/>
                <w:color w:val="auto"/>
              </w:rPr>
            </w:pPr>
            <w:r>
              <w:rPr>
                <w:rFonts w:ascii="Arial" w:cs="Arial" w:eastAsia="Arial" w:hAnsi="Arial"/>
                <w:sz w:val="12"/>
                <w:szCs w:val="12"/>
                <w:b w:val="1"/>
                <w:bCs w:val="1"/>
                <w:color w:val="0072CE"/>
              </w:rPr>
              <w:t>¢</w:t>
            </w:r>
          </w:p>
        </w:tc>
        <w:tc>
          <w:tcPr>
            <w:tcW w:w="460" w:type="dxa"/>
            <w:vAlign w:val="bottom"/>
            <w:tcBorders>
              <w:bottom w:val="single" w:sz="8" w:color="D9D9D6"/>
            </w:tcBorders>
          </w:tcPr>
          <w:p>
            <w:pPr>
              <w:jc w:val="right"/>
              <w:ind w:right="101"/>
              <w:spacing w:after="0"/>
              <w:rPr>
                <w:sz w:val="20"/>
                <w:szCs w:val="20"/>
                <w:color w:val="auto"/>
              </w:rPr>
            </w:pPr>
            <w:r>
              <w:rPr>
                <w:rFonts w:ascii="Arial" w:cs="Arial" w:eastAsia="Arial" w:hAnsi="Arial"/>
                <w:sz w:val="12"/>
                <w:szCs w:val="12"/>
                <w:b w:val="1"/>
                <w:bCs w:val="1"/>
                <w:color w:val="0072CE"/>
              </w:rPr>
              <w:t>¢</w:t>
            </w:r>
          </w:p>
        </w:tc>
        <w:tc>
          <w:tcPr>
            <w:tcW w:w="440" w:type="dxa"/>
            <w:vAlign w:val="bottom"/>
            <w:tcBorders>
              <w:bottom w:val="single" w:sz="8" w:color="D9D9D6"/>
            </w:tcBorders>
          </w:tcPr>
          <w:p>
            <w:pPr>
              <w:jc w:val="right"/>
              <w:ind w:right="81"/>
              <w:spacing w:after="0"/>
              <w:rPr>
                <w:sz w:val="20"/>
                <w:szCs w:val="20"/>
                <w:color w:val="auto"/>
              </w:rPr>
            </w:pPr>
            <w:r>
              <w:rPr>
                <w:rFonts w:ascii="Arial" w:cs="Arial" w:eastAsia="Arial" w:hAnsi="Arial"/>
                <w:sz w:val="12"/>
                <w:szCs w:val="12"/>
                <w:b w:val="1"/>
                <w:bCs w:val="1"/>
                <w:color w:val="0072CE"/>
              </w:rPr>
              <w:t>¢</w:t>
            </w:r>
          </w:p>
        </w:tc>
        <w:tc>
          <w:tcPr>
            <w:tcW w:w="460" w:type="dxa"/>
            <w:vAlign w:val="bottom"/>
            <w:tcBorders>
              <w:bottom w:val="single" w:sz="8" w:color="D9D9D6"/>
            </w:tcBorders>
          </w:tcPr>
          <w:p>
            <w:pPr>
              <w:jc w:val="right"/>
              <w:ind w:right="101"/>
              <w:spacing w:after="0"/>
              <w:rPr>
                <w:sz w:val="20"/>
                <w:szCs w:val="20"/>
                <w:color w:val="auto"/>
              </w:rPr>
            </w:pPr>
            <w:r>
              <w:rPr>
                <w:rFonts w:ascii="Arial" w:cs="Arial" w:eastAsia="Arial" w:hAnsi="Arial"/>
                <w:sz w:val="12"/>
                <w:szCs w:val="12"/>
                <w:b w:val="1"/>
                <w:bCs w:val="1"/>
                <w:color w:val="0072CE"/>
              </w:rPr>
              <w:t>¢</w:t>
            </w:r>
          </w:p>
        </w:tc>
      </w:tr>
      <w:tr>
        <w:trPr>
          <w:trHeight w:val="628"/>
        </w:trPr>
        <w:tc>
          <w:tcPr>
            <w:tcW w:w="3920" w:type="dxa"/>
            <w:vAlign w:val="bottom"/>
            <w:tcBorders>
              <w:bottom w:val="single" w:sz="8" w:color="D9D9D6"/>
            </w:tcBorders>
          </w:tcPr>
          <w:p>
            <w:pPr>
              <w:ind w:left="680"/>
              <w:spacing w:after="0"/>
              <w:rPr>
                <w:sz w:val="20"/>
                <w:szCs w:val="20"/>
                <w:color w:val="auto"/>
              </w:rPr>
            </w:pPr>
            <w:r>
              <w:rPr>
                <w:rFonts w:ascii="Arial" w:cs="Arial" w:eastAsia="Arial" w:hAnsi="Arial"/>
                <w:sz w:val="16"/>
                <w:szCs w:val="16"/>
                <w:b w:val="1"/>
                <w:bCs w:val="1"/>
                <w:color w:val="0072CE"/>
              </w:rPr>
              <w:t>Technology</w:t>
            </w:r>
          </w:p>
        </w:tc>
        <w:tc>
          <w:tcPr>
            <w:tcW w:w="460" w:type="dxa"/>
            <w:vAlign w:val="bottom"/>
            <w:tcBorders>
              <w:bottom w:val="single" w:sz="8" w:color="D9D9D6"/>
            </w:tcBorders>
          </w:tcPr>
          <w:p>
            <w:pPr>
              <w:jc w:val="right"/>
              <w:ind w:right="101"/>
              <w:spacing w:after="0"/>
              <w:rPr>
                <w:sz w:val="20"/>
                <w:szCs w:val="20"/>
                <w:color w:val="auto"/>
              </w:rPr>
            </w:pPr>
            <w:r>
              <w:rPr>
                <w:rFonts w:ascii="Arial" w:cs="Arial" w:eastAsia="Arial" w:hAnsi="Arial"/>
                <w:sz w:val="12"/>
                <w:szCs w:val="12"/>
                <w:b w:val="1"/>
                <w:bCs w:val="1"/>
                <w:color w:val="0072CE"/>
              </w:rPr>
              <w:t>¢</w:t>
            </w:r>
          </w:p>
        </w:tc>
        <w:tc>
          <w:tcPr>
            <w:tcW w:w="520" w:type="dxa"/>
            <w:vAlign w:val="bottom"/>
            <w:tcBorders>
              <w:bottom w:val="single" w:sz="8" w:color="D9D9D6"/>
            </w:tcBorders>
          </w:tcPr>
          <w:p>
            <w:pPr>
              <w:jc w:val="right"/>
              <w:ind w:right="141"/>
              <w:spacing w:after="0"/>
              <w:rPr>
                <w:sz w:val="20"/>
                <w:szCs w:val="20"/>
                <w:color w:val="auto"/>
              </w:rPr>
            </w:pPr>
            <w:r>
              <w:rPr>
                <w:rFonts w:ascii="Arial" w:cs="Arial" w:eastAsia="Arial" w:hAnsi="Arial"/>
                <w:sz w:val="12"/>
                <w:szCs w:val="12"/>
                <w:b w:val="1"/>
                <w:bCs w:val="1"/>
                <w:color w:val="0072CE"/>
              </w:rPr>
              <w:t>¢</w:t>
            </w:r>
          </w:p>
        </w:tc>
        <w:tc>
          <w:tcPr>
            <w:tcW w:w="500" w:type="dxa"/>
            <w:vAlign w:val="bottom"/>
            <w:tcBorders>
              <w:bottom w:val="single" w:sz="8" w:color="D9D9D6"/>
            </w:tcBorders>
          </w:tcPr>
          <w:p>
            <w:pPr>
              <w:spacing w:after="0"/>
              <w:rPr>
                <w:sz w:val="24"/>
                <w:szCs w:val="24"/>
                <w:color w:val="auto"/>
              </w:rPr>
            </w:pPr>
          </w:p>
        </w:tc>
        <w:tc>
          <w:tcPr>
            <w:tcW w:w="460" w:type="dxa"/>
            <w:vAlign w:val="bottom"/>
            <w:tcBorders>
              <w:bottom w:val="single" w:sz="8" w:color="D9D9D6"/>
            </w:tcBorders>
          </w:tcPr>
          <w:p>
            <w:pPr>
              <w:spacing w:after="0"/>
              <w:rPr>
                <w:sz w:val="24"/>
                <w:szCs w:val="24"/>
                <w:color w:val="auto"/>
              </w:rPr>
            </w:pPr>
          </w:p>
        </w:tc>
        <w:tc>
          <w:tcPr>
            <w:tcW w:w="480" w:type="dxa"/>
            <w:vAlign w:val="bottom"/>
            <w:tcBorders>
              <w:bottom w:val="single" w:sz="8" w:color="D9D9D6"/>
            </w:tcBorders>
          </w:tcPr>
          <w:p>
            <w:pPr>
              <w:jc w:val="right"/>
              <w:ind w:right="121"/>
              <w:spacing w:after="0"/>
              <w:rPr>
                <w:sz w:val="20"/>
                <w:szCs w:val="20"/>
                <w:color w:val="auto"/>
              </w:rPr>
            </w:pPr>
            <w:r>
              <w:rPr>
                <w:rFonts w:ascii="Arial" w:cs="Arial" w:eastAsia="Arial" w:hAnsi="Arial"/>
                <w:sz w:val="12"/>
                <w:szCs w:val="12"/>
                <w:b w:val="1"/>
                <w:bCs w:val="1"/>
                <w:color w:val="0072CE"/>
              </w:rPr>
              <w:t>¢</w:t>
            </w:r>
          </w:p>
        </w:tc>
        <w:tc>
          <w:tcPr>
            <w:tcW w:w="480" w:type="dxa"/>
            <w:vAlign w:val="bottom"/>
            <w:tcBorders>
              <w:bottom w:val="single" w:sz="8" w:color="D9D9D6"/>
            </w:tcBorders>
          </w:tcPr>
          <w:p>
            <w:pPr>
              <w:jc w:val="right"/>
              <w:ind w:right="121"/>
              <w:spacing w:after="0"/>
              <w:rPr>
                <w:sz w:val="20"/>
                <w:szCs w:val="20"/>
                <w:color w:val="auto"/>
              </w:rPr>
            </w:pPr>
            <w:r>
              <w:rPr>
                <w:rFonts w:ascii="Arial" w:cs="Arial" w:eastAsia="Arial" w:hAnsi="Arial"/>
                <w:sz w:val="12"/>
                <w:szCs w:val="12"/>
                <w:b w:val="1"/>
                <w:bCs w:val="1"/>
                <w:color w:val="0072CE"/>
              </w:rPr>
              <w:t>¢</w:t>
            </w:r>
          </w:p>
        </w:tc>
        <w:tc>
          <w:tcPr>
            <w:tcW w:w="460" w:type="dxa"/>
            <w:vAlign w:val="bottom"/>
            <w:tcBorders>
              <w:bottom w:val="single" w:sz="8" w:color="D9D9D6"/>
            </w:tcBorders>
          </w:tcPr>
          <w:p>
            <w:pPr>
              <w:jc w:val="right"/>
              <w:ind w:right="81"/>
              <w:spacing w:after="0"/>
              <w:rPr>
                <w:sz w:val="20"/>
                <w:szCs w:val="20"/>
                <w:color w:val="auto"/>
              </w:rPr>
            </w:pPr>
            <w:r>
              <w:rPr>
                <w:rFonts w:ascii="Arial" w:cs="Arial" w:eastAsia="Arial" w:hAnsi="Arial"/>
                <w:sz w:val="12"/>
                <w:szCs w:val="12"/>
                <w:b w:val="1"/>
                <w:bCs w:val="1"/>
                <w:color w:val="0072CE"/>
              </w:rPr>
              <w:t>¢</w:t>
            </w:r>
          </w:p>
        </w:tc>
        <w:tc>
          <w:tcPr>
            <w:tcW w:w="440" w:type="dxa"/>
            <w:vAlign w:val="bottom"/>
            <w:tcBorders>
              <w:bottom w:val="single" w:sz="8" w:color="D9D9D6"/>
            </w:tcBorders>
          </w:tcPr>
          <w:p>
            <w:pPr>
              <w:jc w:val="right"/>
              <w:ind w:right="81"/>
              <w:spacing w:after="0"/>
              <w:rPr>
                <w:sz w:val="20"/>
                <w:szCs w:val="20"/>
                <w:color w:val="auto"/>
              </w:rPr>
            </w:pPr>
            <w:r>
              <w:rPr>
                <w:rFonts w:ascii="Arial" w:cs="Arial" w:eastAsia="Arial" w:hAnsi="Arial"/>
                <w:sz w:val="12"/>
                <w:szCs w:val="12"/>
                <w:b w:val="1"/>
                <w:bCs w:val="1"/>
                <w:color w:val="0072CE"/>
              </w:rPr>
              <w:t>¢</w:t>
            </w:r>
          </w:p>
        </w:tc>
        <w:tc>
          <w:tcPr>
            <w:tcW w:w="460" w:type="dxa"/>
            <w:vAlign w:val="bottom"/>
            <w:tcBorders>
              <w:bottom w:val="single" w:sz="8" w:color="D9D9D6"/>
            </w:tcBorders>
          </w:tcPr>
          <w:p>
            <w:pPr>
              <w:spacing w:after="0"/>
              <w:rPr>
                <w:sz w:val="24"/>
                <w:szCs w:val="24"/>
                <w:color w:val="auto"/>
              </w:rPr>
            </w:pPr>
          </w:p>
        </w:tc>
        <w:tc>
          <w:tcPr>
            <w:tcW w:w="440" w:type="dxa"/>
            <w:vAlign w:val="bottom"/>
            <w:tcBorders>
              <w:bottom w:val="single" w:sz="8" w:color="D9D9D6"/>
            </w:tcBorders>
          </w:tcPr>
          <w:p>
            <w:pPr>
              <w:jc w:val="right"/>
              <w:ind w:right="81"/>
              <w:spacing w:after="0"/>
              <w:rPr>
                <w:sz w:val="20"/>
                <w:szCs w:val="20"/>
                <w:color w:val="auto"/>
              </w:rPr>
            </w:pPr>
            <w:r>
              <w:rPr>
                <w:rFonts w:ascii="Arial" w:cs="Arial" w:eastAsia="Arial" w:hAnsi="Arial"/>
                <w:sz w:val="12"/>
                <w:szCs w:val="12"/>
                <w:b w:val="1"/>
                <w:bCs w:val="1"/>
                <w:color w:val="0072CE"/>
              </w:rPr>
              <w:t>¢</w:t>
            </w:r>
          </w:p>
        </w:tc>
        <w:tc>
          <w:tcPr>
            <w:tcW w:w="460" w:type="dxa"/>
            <w:vAlign w:val="bottom"/>
            <w:tcBorders>
              <w:bottom w:val="single" w:sz="8" w:color="D9D9D6"/>
            </w:tcBorders>
          </w:tcPr>
          <w:p>
            <w:pPr>
              <w:jc w:val="right"/>
              <w:ind w:right="101"/>
              <w:spacing w:after="0"/>
              <w:rPr>
                <w:sz w:val="20"/>
                <w:szCs w:val="20"/>
                <w:color w:val="auto"/>
              </w:rPr>
            </w:pPr>
            <w:r>
              <w:rPr>
                <w:rFonts w:ascii="Arial" w:cs="Arial" w:eastAsia="Arial" w:hAnsi="Arial"/>
                <w:sz w:val="12"/>
                <w:szCs w:val="12"/>
                <w:b w:val="1"/>
                <w:bCs w:val="1"/>
                <w:color w:val="0072CE"/>
              </w:rPr>
              <w:t>¢</w:t>
            </w:r>
          </w:p>
        </w:tc>
      </w:tr>
      <w:tr>
        <w:trPr>
          <w:trHeight w:val="628"/>
        </w:trPr>
        <w:tc>
          <w:tcPr>
            <w:tcW w:w="3920" w:type="dxa"/>
            <w:vAlign w:val="bottom"/>
            <w:tcBorders>
              <w:bottom w:val="single" w:sz="8" w:color="D9D9D6"/>
            </w:tcBorders>
          </w:tcPr>
          <w:p>
            <w:pPr>
              <w:spacing w:after="0"/>
              <w:rPr>
                <w:sz w:val="24"/>
                <w:szCs w:val="24"/>
                <w:color w:val="auto"/>
              </w:rPr>
            </w:pPr>
          </w:p>
        </w:tc>
        <w:tc>
          <w:tcPr>
            <w:tcW w:w="460" w:type="dxa"/>
            <w:vAlign w:val="bottom"/>
            <w:tcBorders>
              <w:bottom w:val="single" w:sz="8" w:color="D9D9D6"/>
            </w:tcBorders>
          </w:tcPr>
          <w:p>
            <w:pPr>
              <w:spacing w:after="0"/>
              <w:rPr>
                <w:sz w:val="24"/>
                <w:szCs w:val="24"/>
                <w:color w:val="auto"/>
              </w:rPr>
            </w:pPr>
          </w:p>
        </w:tc>
        <w:tc>
          <w:tcPr>
            <w:tcW w:w="520" w:type="dxa"/>
            <w:vAlign w:val="bottom"/>
            <w:tcBorders>
              <w:bottom w:val="single" w:sz="8" w:color="D9D9D6"/>
            </w:tcBorders>
          </w:tcPr>
          <w:p>
            <w:pPr>
              <w:spacing w:after="0"/>
              <w:rPr>
                <w:sz w:val="24"/>
                <w:szCs w:val="24"/>
                <w:color w:val="auto"/>
              </w:rPr>
            </w:pPr>
          </w:p>
        </w:tc>
        <w:tc>
          <w:tcPr>
            <w:tcW w:w="500" w:type="dxa"/>
            <w:vAlign w:val="bottom"/>
            <w:tcBorders>
              <w:bottom w:val="single" w:sz="8" w:color="D9D9D6"/>
            </w:tcBorders>
          </w:tcPr>
          <w:p>
            <w:pPr>
              <w:spacing w:after="0"/>
              <w:rPr>
                <w:sz w:val="24"/>
                <w:szCs w:val="24"/>
                <w:color w:val="auto"/>
              </w:rPr>
            </w:pPr>
          </w:p>
        </w:tc>
        <w:tc>
          <w:tcPr>
            <w:tcW w:w="460" w:type="dxa"/>
            <w:vAlign w:val="bottom"/>
            <w:tcBorders>
              <w:bottom w:val="single" w:sz="8" w:color="D9D9D6"/>
            </w:tcBorders>
          </w:tcPr>
          <w:p>
            <w:pPr>
              <w:spacing w:after="0"/>
              <w:rPr>
                <w:sz w:val="24"/>
                <w:szCs w:val="24"/>
                <w:color w:val="auto"/>
              </w:rPr>
            </w:pPr>
          </w:p>
        </w:tc>
        <w:tc>
          <w:tcPr>
            <w:tcW w:w="480" w:type="dxa"/>
            <w:vAlign w:val="bottom"/>
            <w:tcBorders>
              <w:bottom w:val="single" w:sz="8" w:color="D9D9D6"/>
            </w:tcBorders>
          </w:tcPr>
          <w:p>
            <w:pPr>
              <w:spacing w:after="0"/>
              <w:rPr>
                <w:sz w:val="24"/>
                <w:szCs w:val="24"/>
                <w:color w:val="auto"/>
              </w:rPr>
            </w:pPr>
          </w:p>
        </w:tc>
        <w:tc>
          <w:tcPr>
            <w:tcW w:w="480" w:type="dxa"/>
            <w:vAlign w:val="bottom"/>
            <w:tcBorders>
              <w:bottom w:val="single" w:sz="8" w:color="D9D9D6"/>
            </w:tcBorders>
          </w:tcPr>
          <w:p>
            <w:pPr>
              <w:spacing w:after="0"/>
              <w:rPr>
                <w:sz w:val="24"/>
                <w:szCs w:val="24"/>
                <w:color w:val="auto"/>
              </w:rPr>
            </w:pPr>
          </w:p>
        </w:tc>
        <w:tc>
          <w:tcPr>
            <w:tcW w:w="460" w:type="dxa"/>
            <w:vAlign w:val="bottom"/>
            <w:tcBorders>
              <w:bottom w:val="single" w:sz="8" w:color="D9D9D6"/>
            </w:tcBorders>
          </w:tcPr>
          <w:p>
            <w:pPr>
              <w:spacing w:after="0"/>
              <w:rPr>
                <w:sz w:val="24"/>
                <w:szCs w:val="24"/>
                <w:color w:val="auto"/>
              </w:rPr>
            </w:pPr>
          </w:p>
        </w:tc>
        <w:tc>
          <w:tcPr>
            <w:tcW w:w="440" w:type="dxa"/>
            <w:vAlign w:val="bottom"/>
            <w:tcBorders>
              <w:bottom w:val="single" w:sz="8" w:color="D9D9D6"/>
            </w:tcBorders>
          </w:tcPr>
          <w:p>
            <w:pPr>
              <w:spacing w:after="0"/>
              <w:rPr>
                <w:sz w:val="24"/>
                <w:szCs w:val="24"/>
                <w:color w:val="auto"/>
              </w:rPr>
            </w:pPr>
          </w:p>
        </w:tc>
        <w:tc>
          <w:tcPr>
            <w:tcW w:w="460" w:type="dxa"/>
            <w:vAlign w:val="bottom"/>
            <w:tcBorders>
              <w:bottom w:val="single" w:sz="8" w:color="D9D9D6"/>
            </w:tcBorders>
          </w:tcPr>
          <w:p>
            <w:pPr>
              <w:spacing w:after="0"/>
              <w:rPr>
                <w:sz w:val="24"/>
                <w:szCs w:val="24"/>
                <w:color w:val="auto"/>
              </w:rPr>
            </w:pPr>
          </w:p>
        </w:tc>
        <w:tc>
          <w:tcPr>
            <w:tcW w:w="440" w:type="dxa"/>
            <w:vAlign w:val="bottom"/>
            <w:tcBorders>
              <w:bottom w:val="single" w:sz="8" w:color="D9D9D6"/>
            </w:tcBorders>
          </w:tcPr>
          <w:p>
            <w:pPr>
              <w:spacing w:after="0"/>
              <w:rPr>
                <w:sz w:val="24"/>
                <w:szCs w:val="24"/>
                <w:color w:val="auto"/>
              </w:rPr>
            </w:pPr>
          </w:p>
        </w:tc>
        <w:tc>
          <w:tcPr>
            <w:tcW w:w="460" w:type="dxa"/>
            <w:vAlign w:val="bottom"/>
            <w:tcBorders>
              <w:bottom w:val="single" w:sz="8" w:color="D9D9D6"/>
            </w:tcBorders>
          </w:tcPr>
          <w:p>
            <w:pPr>
              <w:spacing w:after="0"/>
              <w:rPr>
                <w:sz w:val="24"/>
                <w:szCs w:val="24"/>
                <w:color w:val="auto"/>
              </w:rPr>
            </w:pPr>
          </w:p>
        </w:tc>
      </w:tr>
      <w:tr>
        <w:trPr>
          <w:trHeight w:val="628"/>
        </w:trPr>
        <w:tc>
          <w:tcPr>
            <w:tcW w:w="3920" w:type="dxa"/>
            <w:vAlign w:val="bottom"/>
            <w:tcBorders>
              <w:bottom w:val="single" w:sz="8" w:color="D9D9D6"/>
            </w:tcBorders>
          </w:tcPr>
          <w:p>
            <w:pPr>
              <w:spacing w:after="0"/>
              <w:rPr>
                <w:sz w:val="24"/>
                <w:szCs w:val="24"/>
                <w:color w:val="auto"/>
              </w:rPr>
            </w:pPr>
          </w:p>
        </w:tc>
        <w:tc>
          <w:tcPr>
            <w:tcW w:w="460" w:type="dxa"/>
            <w:vAlign w:val="bottom"/>
            <w:tcBorders>
              <w:bottom w:val="single" w:sz="8" w:color="D9D9D6"/>
            </w:tcBorders>
          </w:tcPr>
          <w:p>
            <w:pPr>
              <w:spacing w:after="0"/>
              <w:rPr>
                <w:sz w:val="24"/>
                <w:szCs w:val="24"/>
                <w:color w:val="auto"/>
              </w:rPr>
            </w:pPr>
          </w:p>
        </w:tc>
        <w:tc>
          <w:tcPr>
            <w:tcW w:w="520" w:type="dxa"/>
            <w:vAlign w:val="bottom"/>
            <w:tcBorders>
              <w:bottom w:val="single" w:sz="8" w:color="D9D9D6"/>
            </w:tcBorders>
          </w:tcPr>
          <w:p>
            <w:pPr>
              <w:spacing w:after="0"/>
              <w:rPr>
                <w:sz w:val="24"/>
                <w:szCs w:val="24"/>
                <w:color w:val="auto"/>
              </w:rPr>
            </w:pPr>
          </w:p>
        </w:tc>
        <w:tc>
          <w:tcPr>
            <w:tcW w:w="500" w:type="dxa"/>
            <w:vAlign w:val="bottom"/>
            <w:tcBorders>
              <w:bottom w:val="single" w:sz="8" w:color="D9D9D6"/>
            </w:tcBorders>
          </w:tcPr>
          <w:p>
            <w:pPr>
              <w:spacing w:after="0"/>
              <w:rPr>
                <w:sz w:val="24"/>
                <w:szCs w:val="24"/>
                <w:color w:val="auto"/>
              </w:rPr>
            </w:pPr>
          </w:p>
        </w:tc>
        <w:tc>
          <w:tcPr>
            <w:tcW w:w="460" w:type="dxa"/>
            <w:vAlign w:val="bottom"/>
            <w:tcBorders>
              <w:bottom w:val="single" w:sz="8" w:color="D9D9D6"/>
            </w:tcBorders>
          </w:tcPr>
          <w:p>
            <w:pPr>
              <w:spacing w:after="0"/>
              <w:rPr>
                <w:sz w:val="24"/>
                <w:szCs w:val="24"/>
                <w:color w:val="auto"/>
              </w:rPr>
            </w:pPr>
          </w:p>
        </w:tc>
        <w:tc>
          <w:tcPr>
            <w:tcW w:w="480" w:type="dxa"/>
            <w:vAlign w:val="bottom"/>
            <w:tcBorders>
              <w:bottom w:val="single" w:sz="8" w:color="D9D9D6"/>
            </w:tcBorders>
          </w:tcPr>
          <w:p>
            <w:pPr>
              <w:spacing w:after="0"/>
              <w:rPr>
                <w:sz w:val="24"/>
                <w:szCs w:val="24"/>
                <w:color w:val="auto"/>
              </w:rPr>
            </w:pPr>
          </w:p>
        </w:tc>
        <w:tc>
          <w:tcPr>
            <w:tcW w:w="480" w:type="dxa"/>
            <w:vAlign w:val="bottom"/>
            <w:tcBorders>
              <w:bottom w:val="single" w:sz="8" w:color="D9D9D6"/>
            </w:tcBorders>
          </w:tcPr>
          <w:p>
            <w:pPr>
              <w:spacing w:after="0"/>
              <w:rPr>
                <w:sz w:val="24"/>
                <w:szCs w:val="24"/>
                <w:color w:val="auto"/>
              </w:rPr>
            </w:pPr>
          </w:p>
        </w:tc>
        <w:tc>
          <w:tcPr>
            <w:tcW w:w="460" w:type="dxa"/>
            <w:vAlign w:val="bottom"/>
            <w:tcBorders>
              <w:bottom w:val="single" w:sz="8" w:color="D9D9D6"/>
            </w:tcBorders>
          </w:tcPr>
          <w:p>
            <w:pPr>
              <w:spacing w:after="0"/>
              <w:rPr>
                <w:sz w:val="24"/>
                <w:szCs w:val="24"/>
                <w:color w:val="auto"/>
              </w:rPr>
            </w:pPr>
          </w:p>
        </w:tc>
        <w:tc>
          <w:tcPr>
            <w:tcW w:w="440" w:type="dxa"/>
            <w:vAlign w:val="bottom"/>
            <w:tcBorders>
              <w:bottom w:val="single" w:sz="8" w:color="D9D9D6"/>
            </w:tcBorders>
          </w:tcPr>
          <w:p>
            <w:pPr>
              <w:spacing w:after="0"/>
              <w:rPr>
                <w:sz w:val="24"/>
                <w:szCs w:val="24"/>
                <w:color w:val="auto"/>
              </w:rPr>
            </w:pPr>
          </w:p>
        </w:tc>
        <w:tc>
          <w:tcPr>
            <w:tcW w:w="460" w:type="dxa"/>
            <w:vAlign w:val="bottom"/>
            <w:tcBorders>
              <w:bottom w:val="single" w:sz="8" w:color="D9D9D6"/>
            </w:tcBorders>
          </w:tcPr>
          <w:p>
            <w:pPr>
              <w:spacing w:after="0"/>
              <w:rPr>
                <w:sz w:val="24"/>
                <w:szCs w:val="24"/>
                <w:color w:val="auto"/>
              </w:rPr>
            </w:pPr>
          </w:p>
        </w:tc>
        <w:tc>
          <w:tcPr>
            <w:tcW w:w="440" w:type="dxa"/>
            <w:vAlign w:val="bottom"/>
            <w:tcBorders>
              <w:bottom w:val="single" w:sz="8" w:color="D9D9D6"/>
            </w:tcBorders>
          </w:tcPr>
          <w:p>
            <w:pPr>
              <w:spacing w:after="0"/>
              <w:rPr>
                <w:sz w:val="24"/>
                <w:szCs w:val="24"/>
                <w:color w:val="auto"/>
              </w:rPr>
            </w:pPr>
          </w:p>
        </w:tc>
        <w:tc>
          <w:tcPr>
            <w:tcW w:w="460" w:type="dxa"/>
            <w:vAlign w:val="bottom"/>
            <w:tcBorders>
              <w:bottom w:val="single" w:sz="8" w:color="D9D9D6"/>
            </w:tcBorders>
          </w:tcPr>
          <w:p>
            <w:pPr>
              <w:spacing w:after="0"/>
              <w:rPr>
                <w:sz w:val="24"/>
                <w:szCs w:val="24"/>
                <w:color w:val="auto"/>
              </w:rPr>
            </w:pPr>
          </w:p>
        </w:tc>
      </w:tr>
    </w:tbl>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00" w:type="dxa"/>
            <w:vAlign w:val="bottom"/>
          </w:tcPr>
          <w:p>
            <w:pPr>
              <w:ind w:left="7000"/>
              <w:spacing w:after="0"/>
              <w:rPr>
                <w:sz w:val="20"/>
                <w:szCs w:val="20"/>
                <w:color w:val="auto"/>
              </w:rPr>
            </w:pPr>
            <w:r>
              <w:rPr>
                <w:rFonts w:ascii="Arial" w:cs="Arial" w:eastAsia="Arial" w:hAnsi="Arial"/>
                <w:sz w:val="14"/>
                <w:szCs w:val="14"/>
                <w:b w:val="1"/>
                <w:bCs w:val="1"/>
                <w:color w:val="0072CE"/>
              </w:rPr>
              <w:t>2025 Proxy Statement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3D3935"/>
              </w:rPr>
              <w:t>11</w:t>
            </w:r>
          </w:p>
        </w:tc>
      </w:tr>
      <w:tr>
        <w:trPr>
          <w:trHeight w:val="299"/>
        </w:trPr>
        <w:tc>
          <w:tcPr>
            <w:tcW w:w="8700" w:type="dxa"/>
            <w:vAlign w:val="bottom"/>
            <w:tcBorders>
              <w:bottom w:val="single" w:sz="8" w:color="D9D9D6"/>
            </w:tcBorders>
          </w:tcPr>
          <w:p>
            <w:pPr>
              <w:spacing w:after="0"/>
              <w:rPr>
                <w:sz w:val="24"/>
                <w:szCs w:val="24"/>
                <w:color w:val="auto"/>
              </w:rPr>
            </w:pPr>
          </w:p>
        </w:tc>
        <w:tc>
          <w:tcPr>
            <w:tcW w:w="380" w:type="dxa"/>
            <w:vAlign w:val="bottom"/>
            <w:tcBorders>
              <w:bottom w:val="single" w:sz="8" w:color="D9D9D6"/>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109220</wp:posOffset>
            </wp:positionV>
            <wp:extent cx="6810375" cy="72428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10375" cy="724281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ITEM 1 Annual Election of Directors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Skills Key</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ind w:left="60"/>
              <w:spacing w:after="0"/>
              <w:rPr>
                <w:sz w:val="20"/>
                <w:szCs w:val="20"/>
                <w:color w:val="auto"/>
              </w:rPr>
            </w:pPr>
            <w:r>
              <w:rPr>
                <w:rFonts w:ascii="Arial" w:cs="Arial" w:eastAsia="Arial" w:hAnsi="Arial"/>
                <w:sz w:val="16"/>
                <w:szCs w:val="16"/>
                <w:b w:val="1"/>
                <w:bCs w:val="1"/>
                <w:color w:val="0072CE"/>
              </w:rPr>
              <w:t>Cyber</w:t>
            </w:r>
          </w:p>
        </w:tc>
        <w:tc>
          <w:tcPr>
            <w:tcW w:w="7220" w:type="dxa"/>
            <w:vAlign w:val="bottom"/>
          </w:tcPr>
          <w:p>
            <w:pPr>
              <w:ind w:left="160"/>
              <w:spacing w:after="0"/>
              <w:rPr>
                <w:sz w:val="20"/>
                <w:szCs w:val="20"/>
                <w:color w:val="auto"/>
              </w:rPr>
            </w:pPr>
            <w:r>
              <w:rPr>
                <w:rFonts w:ascii="Arial" w:cs="Arial" w:eastAsia="Arial" w:hAnsi="Arial"/>
                <w:sz w:val="16"/>
                <w:szCs w:val="16"/>
                <w:color w:val="3D3935"/>
              </w:rPr>
              <w:t>Experience managing cybersecurity security risks or understanding the cybersecurity</w:t>
            </w:r>
          </w:p>
        </w:tc>
      </w:tr>
      <w:tr>
        <w:trPr>
          <w:trHeight w:val="215"/>
        </w:trPr>
        <w:tc>
          <w:tcPr>
            <w:tcW w:w="186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6"/>
                <w:szCs w:val="16"/>
                <w:color w:val="3D3935"/>
              </w:rPr>
              <w:t>threat landscape.</w:t>
            </w:r>
          </w:p>
        </w:tc>
      </w:tr>
      <w:tr>
        <w:trPr>
          <w:trHeight w:val="97"/>
        </w:trPr>
        <w:tc>
          <w:tcPr>
            <w:tcW w:w="1860" w:type="dxa"/>
            <w:vAlign w:val="bottom"/>
            <w:tcBorders>
              <w:bottom w:val="single" w:sz="8" w:color="D9D9D6"/>
            </w:tcBorders>
          </w:tcPr>
          <w:p>
            <w:pPr>
              <w:spacing w:after="0"/>
              <w:rPr>
                <w:sz w:val="8"/>
                <w:szCs w:val="8"/>
                <w:color w:val="auto"/>
              </w:rPr>
            </w:pPr>
          </w:p>
        </w:tc>
        <w:tc>
          <w:tcPr>
            <w:tcW w:w="7220" w:type="dxa"/>
            <w:vAlign w:val="bottom"/>
            <w:tcBorders>
              <w:bottom w:val="single" w:sz="8" w:color="D9D9D6"/>
            </w:tcBorders>
          </w:tcPr>
          <w:p>
            <w:pPr>
              <w:spacing w:after="0"/>
              <w:rPr>
                <w:sz w:val="8"/>
                <w:szCs w:val="8"/>
                <w:color w:val="auto"/>
              </w:rPr>
            </w:pPr>
          </w:p>
        </w:tc>
      </w:tr>
      <w:tr>
        <w:trPr>
          <w:trHeight w:val="330"/>
        </w:trPr>
        <w:tc>
          <w:tcPr>
            <w:tcW w:w="1860" w:type="dxa"/>
            <w:vAlign w:val="bottom"/>
          </w:tcPr>
          <w:p>
            <w:pPr>
              <w:ind w:left="60"/>
              <w:spacing w:after="0"/>
              <w:rPr>
                <w:sz w:val="20"/>
                <w:szCs w:val="20"/>
                <w:color w:val="auto"/>
              </w:rPr>
            </w:pPr>
            <w:r>
              <w:rPr>
                <w:rFonts w:ascii="Arial" w:cs="Arial" w:eastAsia="Arial" w:hAnsi="Arial"/>
                <w:sz w:val="16"/>
                <w:szCs w:val="16"/>
                <w:b w:val="1"/>
                <w:bCs w:val="1"/>
                <w:color w:val="0072CE"/>
              </w:rPr>
              <w:t>Environmental</w:t>
            </w:r>
          </w:p>
        </w:tc>
        <w:tc>
          <w:tcPr>
            <w:tcW w:w="7220" w:type="dxa"/>
            <w:vAlign w:val="bottom"/>
          </w:tcPr>
          <w:p>
            <w:pPr>
              <w:ind w:left="160"/>
              <w:spacing w:after="0"/>
              <w:rPr>
                <w:sz w:val="20"/>
                <w:szCs w:val="20"/>
                <w:color w:val="auto"/>
              </w:rPr>
            </w:pPr>
            <w:r>
              <w:rPr>
                <w:rFonts w:ascii="Arial" w:cs="Arial" w:eastAsia="Arial" w:hAnsi="Arial"/>
                <w:sz w:val="16"/>
                <w:szCs w:val="16"/>
                <w:color w:val="3D3935"/>
              </w:rPr>
              <w:t>Expertise with environmental matters, including greenhouse gas (“GHG”) emissions; raw</w:t>
            </w:r>
          </w:p>
        </w:tc>
      </w:tr>
      <w:tr>
        <w:trPr>
          <w:trHeight w:val="215"/>
        </w:trPr>
        <w:tc>
          <w:tcPr>
            <w:tcW w:w="186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6"/>
                <w:szCs w:val="16"/>
                <w:color w:val="3D3935"/>
              </w:rPr>
              <w:t>material sources; waste and hazardous materials management; product design and lifecycle</w:t>
            </w:r>
          </w:p>
        </w:tc>
      </w:tr>
      <w:tr>
        <w:trPr>
          <w:trHeight w:val="216"/>
        </w:trPr>
        <w:tc>
          <w:tcPr>
            <w:tcW w:w="186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6"/>
                <w:szCs w:val="16"/>
                <w:color w:val="3D3935"/>
              </w:rPr>
              <w:t>management; water and wastewater management; and/or energy efficiency management.</w:t>
            </w:r>
          </w:p>
        </w:tc>
      </w:tr>
      <w:tr>
        <w:trPr>
          <w:trHeight w:val="97"/>
        </w:trPr>
        <w:tc>
          <w:tcPr>
            <w:tcW w:w="1860" w:type="dxa"/>
            <w:vAlign w:val="bottom"/>
            <w:tcBorders>
              <w:bottom w:val="single" w:sz="8" w:color="D9D9D6"/>
            </w:tcBorders>
          </w:tcPr>
          <w:p>
            <w:pPr>
              <w:spacing w:after="0"/>
              <w:rPr>
                <w:sz w:val="8"/>
                <w:szCs w:val="8"/>
                <w:color w:val="auto"/>
              </w:rPr>
            </w:pPr>
          </w:p>
        </w:tc>
        <w:tc>
          <w:tcPr>
            <w:tcW w:w="7220" w:type="dxa"/>
            <w:vAlign w:val="bottom"/>
            <w:tcBorders>
              <w:bottom w:val="single" w:sz="8" w:color="D9D9D6"/>
            </w:tcBorders>
          </w:tcPr>
          <w:p>
            <w:pPr>
              <w:spacing w:after="0"/>
              <w:rPr>
                <w:sz w:val="8"/>
                <w:szCs w:val="8"/>
                <w:color w:val="auto"/>
              </w:rPr>
            </w:pPr>
          </w:p>
        </w:tc>
      </w:tr>
      <w:tr>
        <w:trPr>
          <w:trHeight w:val="330"/>
        </w:trPr>
        <w:tc>
          <w:tcPr>
            <w:tcW w:w="1860" w:type="dxa"/>
            <w:vAlign w:val="bottom"/>
          </w:tcPr>
          <w:p>
            <w:pPr>
              <w:ind w:left="60"/>
              <w:spacing w:after="0"/>
              <w:rPr>
                <w:sz w:val="20"/>
                <w:szCs w:val="20"/>
                <w:color w:val="auto"/>
              </w:rPr>
            </w:pPr>
            <w:r>
              <w:rPr>
                <w:rFonts w:ascii="Arial" w:cs="Arial" w:eastAsia="Arial" w:hAnsi="Arial"/>
                <w:sz w:val="16"/>
                <w:szCs w:val="16"/>
                <w:b w:val="1"/>
                <w:bCs w:val="1"/>
                <w:color w:val="0072CE"/>
              </w:rPr>
              <w:t>Finance</w:t>
            </w:r>
          </w:p>
        </w:tc>
        <w:tc>
          <w:tcPr>
            <w:tcW w:w="7220" w:type="dxa"/>
            <w:vAlign w:val="bottom"/>
          </w:tcPr>
          <w:p>
            <w:pPr>
              <w:ind w:left="160"/>
              <w:spacing w:after="0"/>
              <w:rPr>
                <w:sz w:val="20"/>
                <w:szCs w:val="20"/>
                <w:color w:val="auto"/>
              </w:rPr>
            </w:pPr>
            <w:r>
              <w:rPr>
                <w:rFonts w:ascii="Arial" w:cs="Arial" w:eastAsia="Arial" w:hAnsi="Arial"/>
                <w:sz w:val="16"/>
                <w:szCs w:val="16"/>
                <w:color w:val="3D3935"/>
              </w:rPr>
              <w:t>Expertise in complex financial and/or accounting matters to evaluate financial statements,</w:t>
            </w:r>
          </w:p>
        </w:tc>
      </w:tr>
      <w:tr>
        <w:trPr>
          <w:trHeight w:val="215"/>
        </w:trPr>
        <w:tc>
          <w:tcPr>
            <w:tcW w:w="186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6"/>
                <w:szCs w:val="16"/>
                <w:color w:val="3D3935"/>
              </w:rPr>
              <w:t>capital structure and allocation, and business plans.</w:t>
            </w:r>
          </w:p>
        </w:tc>
      </w:tr>
      <w:tr>
        <w:trPr>
          <w:trHeight w:val="96"/>
        </w:trPr>
        <w:tc>
          <w:tcPr>
            <w:tcW w:w="1860" w:type="dxa"/>
            <w:vAlign w:val="bottom"/>
            <w:tcBorders>
              <w:bottom w:val="single" w:sz="8" w:color="D9D9D6"/>
            </w:tcBorders>
          </w:tcPr>
          <w:p>
            <w:pPr>
              <w:spacing w:after="0"/>
              <w:rPr>
                <w:sz w:val="8"/>
                <w:szCs w:val="8"/>
                <w:color w:val="auto"/>
              </w:rPr>
            </w:pPr>
          </w:p>
        </w:tc>
        <w:tc>
          <w:tcPr>
            <w:tcW w:w="7220" w:type="dxa"/>
            <w:vAlign w:val="bottom"/>
            <w:tcBorders>
              <w:bottom w:val="single" w:sz="8" w:color="D9D9D6"/>
            </w:tcBorders>
          </w:tcPr>
          <w:p>
            <w:pPr>
              <w:spacing w:after="0"/>
              <w:rPr>
                <w:sz w:val="8"/>
                <w:szCs w:val="8"/>
                <w:color w:val="auto"/>
              </w:rPr>
            </w:pPr>
          </w:p>
        </w:tc>
      </w:tr>
      <w:tr>
        <w:trPr>
          <w:trHeight w:val="337"/>
        </w:trPr>
        <w:tc>
          <w:tcPr>
            <w:tcW w:w="1860" w:type="dxa"/>
            <w:vAlign w:val="bottom"/>
          </w:tcPr>
          <w:p>
            <w:pPr>
              <w:ind w:left="60"/>
              <w:spacing w:after="0"/>
              <w:rPr>
                <w:sz w:val="20"/>
                <w:szCs w:val="20"/>
                <w:color w:val="auto"/>
              </w:rPr>
            </w:pPr>
            <w:r>
              <w:rPr>
                <w:rFonts w:ascii="Arial" w:cs="Arial" w:eastAsia="Arial" w:hAnsi="Arial"/>
                <w:sz w:val="16"/>
                <w:szCs w:val="16"/>
                <w:b w:val="1"/>
                <w:bCs w:val="1"/>
                <w:color w:val="0072CE"/>
              </w:rPr>
              <w:t>Global</w:t>
            </w:r>
          </w:p>
        </w:tc>
        <w:tc>
          <w:tcPr>
            <w:tcW w:w="7220" w:type="dxa"/>
            <w:vAlign w:val="bottom"/>
          </w:tcPr>
          <w:p>
            <w:pPr>
              <w:ind w:left="160"/>
              <w:spacing w:after="0"/>
              <w:rPr>
                <w:sz w:val="20"/>
                <w:szCs w:val="20"/>
                <w:color w:val="auto"/>
              </w:rPr>
            </w:pPr>
            <w:r>
              <w:rPr>
                <w:rFonts w:ascii="Arial" w:cs="Arial" w:eastAsia="Arial" w:hAnsi="Arial"/>
                <w:sz w:val="16"/>
                <w:szCs w:val="16"/>
                <w:color w:val="3D3935"/>
              </w:rPr>
              <w:t>Relevant experience with business and cultural perspectives.</w:t>
            </w:r>
          </w:p>
        </w:tc>
      </w:tr>
      <w:tr>
        <w:trPr>
          <w:trHeight w:val="88"/>
        </w:trPr>
        <w:tc>
          <w:tcPr>
            <w:tcW w:w="1860" w:type="dxa"/>
            <w:vAlign w:val="bottom"/>
            <w:tcBorders>
              <w:bottom w:val="single" w:sz="8" w:color="D9D9D6"/>
            </w:tcBorders>
          </w:tcPr>
          <w:p>
            <w:pPr>
              <w:spacing w:after="0"/>
              <w:rPr>
                <w:sz w:val="7"/>
                <w:szCs w:val="7"/>
                <w:color w:val="auto"/>
              </w:rPr>
            </w:pPr>
          </w:p>
        </w:tc>
        <w:tc>
          <w:tcPr>
            <w:tcW w:w="7220" w:type="dxa"/>
            <w:vAlign w:val="bottom"/>
            <w:tcBorders>
              <w:bottom w:val="single" w:sz="8" w:color="D9D9D6"/>
            </w:tcBorders>
          </w:tcPr>
          <w:p>
            <w:pPr>
              <w:spacing w:after="0"/>
              <w:rPr>
                <w:sz w:val="7"/>
                <w:szCs w:val="7"/>
                <w:color w:val="auto"/>
              </w:rPr>
            </w:pPr>
          </w:p>
        </w:tc>
      </w:tr>
      <w:tr>
        <w:trPr>
          <w:trHeight w:val="330"/>
        </w:trPr>
        <w:tc>
          <w:tcPr>
            <w:tcW w:w="1860" w:type="dxa"/>
            <w:vAlign w:val="bottom"/>
          </w:tcPr>
          <w:p>
            <w:pPr>
              <w:ind w:left="60"/>
              <w:spacing w:after="0"/>
              <w:rPr>
                <w:sz w:val="20"/>
                <w:szCs w:val="20"/>
                <w:color w:val="auto"/>
              </w:rPr>
            </w:pPr>
            <w:r>
              <w:rPr>
                <w:rFonts w:ascii="Arial" w:cs="Arial" w:eastAsia="Arial" w:hAnsi="Arial"/>
                <w:sz w:val="16"/>
                <w:szCs w:val="16"/>
                <w:b w:val="1"/>
                <w:bCs w:val="1"/>
                <w:color w:val="0072CE"/>
              </w:rPr>
              <w:t>Governance</w:t>
            </w:r>
          </w:p>
        </w:tc>
        <w:tc>
          <w:tcPr>
            <w:tcW w:w="7220" w:type="dxa"/>
            <w:vAlign w:val="bottom"/>
          </w:tcPr>
          <w:p>
            <w:pPr>
              <w:ind w:left="160"/>
              <w:spacing w:after="0"/>
              <w:rPr>
                <w:sz w:val="20"/>
                <w:szCs w:val="20"/>
                <w:color w:val="auto"/>
              </w:rPr>
            </w:pPr>
            <w:r>
              <w:rPr>
                <w:rFonts w:ascii="Arial" w:cs="Arial" w:eastAsia="Arial" w:hAnsi="Arial"/>
                <w:sz w:val="16"/>
                <w:szCs w:val="16"/>
                <w:color w:val="3D3935"/>
              </w:rPr>
              <w:t>Experience with public company board governance; legal and regulatory matters; executive</w:t>
            </w:r>
          </w:p>
        </w:tc>
      </w:tr>
      <w:tr>
        <w:trPr>
          <w:trHeight w:val="215"/>
        </w:trPr>
        <w:tc>
          <w:tcPr>
            <w:tcW w:w="186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6"/>
                <w:szCs w:val="16"/>
                <w:color w:val="3D3935"/>
              </w:rPr>
              <w:t>compensation; compliance and business ethics; anti-competitive practices; risk management;</w:t>
            </w:r>
          </w:p>
        </w:tc>
      </w:tr>
      <w:tr>
        <w:trPr>
          <w:trHeight w:val="216"/>
        </w:trPr>
        <w:tc>
          <w:tcPr>
            <w:tcW w:w="186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6"/>
                <w:szCs w:val="16"/>
                <w:color w:val="3D3935"/>
              </w:rPr>
              <w:t>and/or reporting principles and frameworks.</w:t>
            </w:r>
          </w:p>
        </w:tc>
      </w:tr>
      <w:tr>
        <w:trPr>
          <w:trHeight w:val="96"/>
        </w:trPr>
        <w:tc>
          <w:tcPr>
            <w:tcW w:w="1860" w:type="dxa"/>
            <w:vAlign w:val="bottom"/>
            <w:tcBorders>
              <w:bottom w:val="single" w:sz="8" w:color="D9D9D6"/>
            </w:tcBorders>
          </w:tcPr>
          <w:p>
            <w:pPr>
              <w:spacing w:after="0"/>
              <w:rPr>
                <w:sz w:val="8"/>
                <w:szCs w:val="8"/>
                <w:color w:val="auto"/>
              </w:rPr>
            </w:pPr>
          </w:p>
        </w:tc>
        <w:tc>
          <w:tcPr>
            <w:tcW w:w="7220" w:type="dxa"/>
            <w:vAlign w:val="bottom"/>
            <w:tcBorders>
              <w:bottom w:val="single" w:sz="8" w:color="D9D9D6"/>
            </w:tcBorders>
          </w:tcPr>
          <w:p>
            <w:pPr>
              <w:spacing w:after="0"/>
              <w:rPr>
                <w:sz w:val="8"/>
                <w:szCs w:val="8"/>
                <w:color w:val="auto"/>
              </w:rPr>
            </w:pPr>
          </w:p>
        </w:tc>
      </w:tr>
      <w:tr>
        <w:trPr>
          <w:trHeight w:val="330"/>
        </w:trPr>
        <w:tc>
          <w:tcPr>
            <w:tcW w:w="1860" w:type="dxa"/>
            <w:vAlign w:val="bottom"/>
          </w:tcPr>
          <w:p>
            <w:pPr>
              <w:ind w:left="60"/>
              <w:spacing w:after="0"/>
              <w:rPr>
                <w:sz w:val="20"/>
                <w:szCs w:val="20"/>
                <w:color w:val="auto"/>
              </w:rPr>
            </w:pPr>
            <w:r>
              <w:rPr>
                <w:rFonts w:ascii="Arial" w:cs="Arial" w:eastAsia="Arial" w:hAnsi="Arial"/>
                <w:sz w:val="16"/>
                <w:szCs w:val="16"/>
                <w:b w:val="1"/>
                <w:bCs w:val="1"/>
                <w:color w:val="0072CE"/>
              </w:rPr>
              <w:t>Industry</w:t>
            </w:r>
          </w:p>
        </w:tc>
        <w:tc>
          <w:tcPr>
            <w:tcW w:w="7220" w:type="dxa"/>
            <w:vAlign w:val="bottom"/>
          </w:tcPr>
          <w:p>
            <w:pPr>
              <w:ind w:left="160"/>
              <w:spacing w:after="0"/>
              <w:rPr>
                <w:sz w:val="20"/>
                <w:szCs w:val="20"/>
                <w:color w:val="auto"/>
              </w:rPr>
            </w:pPr>
            <w:r>
              <w:rPr>
                <w:rFonts w:ascii="Arial" w:cs="Arial" w:eastAsia="Arial" w:hAnsi="Arial"/>
                <w:sz w:val="16"/>
                <w:szCs w:val="16"/>
                <w:color w:val="3D3935"/>
              </w:rPr>
              <w:t>Expertise in key businesses and proven knowledge of key customers and risks associated with</w:t>
            </w:r>
          </w:p>
        </w:tc>
      </w:tr>
      <w:tr>
        <w:trPr>
          <w:trHeight w:val="215"/>
        </w:trPr>
        <w:tc>
          <w:tcPr>
            <w:tcW w:w="186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6"/>
                <w:szCs w:val="16"/>
                <w:color w:val="3D3935"/>
              </w:rPr>
              <w:t>the automotive industry.</w:t>
            </w:r>
          </w:p>
        </w:tc>
      </w:tr>
      <w:tr>
        <w:trPr>
          <w:trHeight w:val="96"/>
        </w:trPr>
        <w:tc>
          <w:tcPr>
            <w:tcW w:w="1860" w:type="dxa"/>
            <w:vAlign w:val="bottom"/>
            <w:tcBorders>
              <w:bottom w:val="single" w:sz="8" w:color="D9D9D6"/>
            </w:tcBorders>
          </w:tcPr>
          <w:p>
            <w:pPr>
              <w:spacing w:after="0"/>
              <w:rPr>
                <w:sz w:val="8"/>
                <w:szCs w:val="8"/>
                <w:color w:val="auto"/>
              </w:rPr>
            </w:pPr>
          </w:p>
        </w:tc>
        <w:tc>
          <w:tcPr>
            <w:tcW w:w="7220" w:type="dxa"/>
            <w:vAlign w:val="bottom"/>
            <w:tcBorders>
              <w:bottom w:val="single" w:sz="8" w:color="D9D9D6"/>
            </w:tcBorders>
          </w:tcPr>
          <w:p>
            <w:pPr>
              <w:spacing w:after="0"/>
              <w:rPr>
                <w:sz w:val="8"/>
                <w:szCs w:val="8"/>
                <w:color w:val="auto"/>
              </w:rPr>
            </w:pPr>
          </w:p>
        </w:tc>
      </w:tr>
      <w:tr>
        <w:trPr>
          <w:trHeight w:val="330"/>
        </w:trPr>
        <w:tc>
          <w:tcPr>
            <w:tcW w:w="1860" w:type="dxa"/>
            <w:vAlign w:val="bottom"/>
          </w:tcPr>
          <w:p>
            <w:pPr>
              <w:ind w:left="60"/>
              <w:spacing w:after="0"/>
              <w:rPr>
                <w:sz w:val="20"/>
                <w:szCs w:val="20"/>
                <w:color w:val="auto"/>
              </w:rPr>
            </w:pPr>
            <w:r>
              <w:rPr>
                <w:rFonts w:ascii="Arial" w:cs="Arial" w:eastAsia="Arial" w:hAnsi="Arial"/>
                <w:sz w:val="16"/>
                <w:szCs w:val="16"/>
                <w:b w:val="1"/>
                <w:bCs w:val="1"/>
                <w:color w:val="0072CE"/>
              </w:rPr>
              <w:t>Manufacturing</w:t>
            </w:r>
          </w:p>
        </w:tc>
        <w:tc>
          <w:tcPr>
            <w:tcW w:w="7220" w:type="dxa"/>
            <w:vAlign w:val="bottom"/>
          </w:tcPr>
          <w:p>
            <w:pPr>
              <w:ind w:left="160"/>
              <w:spacing w:after="0"/>
              <w:rPr>
                <w:sz w:val="20"/>
                <w:szCs w:val="20"/>
                <w:color w:val="auto"/>
              </w:rPr>
            </w:pPr>
            <w:r>
              <w:rPr>
                <w:rFonts w:ascii="Arial" w:cs="Arial" w:eastAsia="Arial" w:hAnsi="Arial"/>
                <w:sz w:val="16"/>
                <w:szCs w:val="16"/>
                <w:color w:val="3D3935"/>
              </w:rPr>
              <w:t>Experience in, or experience in a senior management position responsible for, significant</w:t>
            </w:r>
          </w:p>
        </w:tc>
      </w:tr>
      <w:tr>
        <w:trPr>
          <w:trHeight w:val="215"/>
        </w:trPr>
        <w:tc>
          <w:tcPr>
            <w:tcW w:w="186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6"/>
                <w:szCs w:val="16"/>
                <w:color w:val="3D3935"/>
              </w:rPr>
              <w:t>manufacturing operations.</w:t>
            </w:r>
          </w:p>
        </w:tc>
      </w:tr>
      <w:tr>
        <w:trPr>
          <w:trHeight w:val="96"/>
        </w:trPr>
        <w:tc>
          <w:tcPr>
            <w:tcW w:w="1860" w:type="dxa"/>
            <w:vAlign w:val="bottom"/>
            <w:tcBorders>
              <w:bottom w:val="single" w:sz="8" w:color="D9D9D6"/>
            </w:tcBorders>
          </w:tcPr>
          <w:p>
            <w:pPr>
              <w:spacing w:after="0"/>
              <w:rPr>
                <w:sz w:val="8"/>
                <w:szCs w:val="8"/>
                <w:color w:val="auto"/>
              </w:rPr>
            </w:pPr>
          </w:p>
        </w:tc>
        <w:tc>
          <w:tcPr>
            <w:tcW w:w="7220" w:type="dxa"/>
            <w:vAlign w:val="bottom"/>
            <w:tcBorders>
              <w:bottom w:val="single" w:sz="8" w:color="D9D9D6"/>
            </w:tcBorders>
          </w:tcPr>
          <w:p>
            <w:pPr>
              <w:spacing w:after="0"/>
              <w:rPr>
                <w:sz w:val="8"/>
                <w:szCs w:val="8"/>
                <w:color w:val="auto"/>
              </w:rPr>
            </w:pPr>
          </w:p>
        </w:tc>
      </w:tr>
      <w:tr>
        <w:trPr>
          <w:trHeight w:val="330"/>
        </w:trPr>
        <w:tc>
          <w:tcPr>
            <w:tcW w:w="1860" w:type="dxa"/>
            <w:vAlign w:val="bottom"/>
          </w:tcPr>
          <w:p>
            <w:pPr>
              <w:ind w:left="60"/>
              <w:spacing w:after="0"/>
              <w:rPr>
                <w:sz w:val="20"/>
                <w:szCs w:val="20"/>
                <w:color w:val="auto"/>
              </w:rPr>
            </w:pPr>
            <w:r>
              <w:rPr>
                <w:rFonts w:ascii="Arial" w:cs="Arial" w:eastAsia="Arial" w:hAnsi="Arial"/>
                <w:sz w:val="16"/>
                <w:szCs w:val="16"/>
                <w:b w:val="1"/>
                <w:bCs w:val="1"/>
                <w:color w:val="0072CE"/>
              </w:rPr>
              <w:t>Marketing</w:t>
            </w:r>
          </w:p>
        </w:tc>
        <w:tc>
          <w:tcPr>
            <w:tcW w:w="7220" w:type="dxa"/>
            <w:vAlign w:val="bottom"/>
          </w:tcPr>
          <w:p>
            <w:pPr>
              <w:ind w:left="160"/>
              <w:spacing w:after="0"/>
              <w:rPr>
                <w:sz w:val="20"/>
                <w:szCs w:val="20"/>
                <w:color w:val="auto"/>
              </w:rPr>
            </w:pPr>
            <w:r>
              <w:rPr>
                <w:rFonts w:ascii="Arial" w:cs="Arial" w:eastAsia="Arial" w:hAnsi="Arial"/>
                <w:sz w:val="16"/>
                <w:szCs w:val="16"/>
                <w:color w:val="3D3935"/>
              </w:rPr>
              <w:t>Expertise regarding brand maintenance and expansion, product awareness, customer</w:t>
            </w:r>
          </w:p>
        </w:tc>
      </w:tr>
      <w:tr>
        <w:trPr>
          <w:trHeight w:val="215"/>
        </w:trPr>
        <w:tc>
          <w:tcPr>
            <w:tcW w:w="186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6"/>
                <w:szCs w:val="16"/>
                <w:color w:val="3D3935"/>
              </w:rPr>
              <w:t>engagement, digital marketing, and/or social media experience.</w:t>
            </w:r>
          </w:p>
        </w:tc>
      </w:tr>
      <w:tr>
        <w:trPr>
          <w:trHeight w:val="96"/>
        </w:trPr>
        <w:tc>
          <w:tcPr>
            <w:tcW w:w="1860" w:type="dxa"/>
            <w:vAlign w:val="bottom"/>
            <w:tcBorders>
              <w:bottom w:val="single" w:sz="8" w:color="D9D9D6"/>
            </w:tcBorders>
          </w:tcPr>
          <w:p>
            <w:pPr>
              <w:spacing w:after="0"/>
              <w:rPr>
                <w:sz w:val="8"/>
                <w:szCs w:val="8"/>
                <w:color w:val="auto"/>
              </w:rPr>
            </w:pPr>
          </w:p>
        </w:tc>
        <w:tc>
          <w:tcPr>
            <w:tcW w:w="7220" w:type="dxa"/>
            <w:vAlign w:val="bottom"/>
            <w:tcBorders>
              <w:bottom w:val="single" w:sz="8" w:color="D9D9D6"/>
            </w:tcBorders>
          </w:tcPr>
          <w:p>
            <w:pPr>
              <w:spacing w:after="0"/>
              <w:rPr>
                <w:sz w:val="8"/>
                <w:szCs w:val="8"/>
                <w:color w:val="auto"/>
              </w:rPr>
            </w:pPr>
          </w:p>
        </w:tc>
      </w:tr>
      <w:tr>
        <w:trPr>
          <w:trHeight w:val="330"/>
        </w:trPr>
        <w:tc>
          <w:tcPr>
            <w:tcW w:w="1860" w:type="dxa"/>
            <w:vAlign w:val="bottom"/>
          </w:tcPr>
          <w:p>
            <w:pPr>
              <w:ind w:left="60"/>
              <w:spacing w:after="0"/>
              <w:rPr>
                <w:sz w:val="20"/>
                <w:szCs w:val="20"/>
                <w:color w:val="auto"/>
              </w:rPr>
            </w:pPr>
            <w:r>
              <w:rPr>
                <w:rFonts w:ascii="Arial" w:cs="Arial" w:eastAsia="Arial" w:hAnsi="Arial"/>
                <w:sz w:val="16"/>
                <w:szCs w:val="16"/>
                <w:b w:val="1"/>
                <w:bCs w:val="1"/>
                <w:color w:val="0072CE"/>
              </w:rPr>
              <w:t>Public Company CEO</w:t>
            </w:r>
          </w:p>
        </w:tc>
        <w:tc>
          <w:tcPr>
            <w:tcW w:w="7220" w:type="dxa"/>
            <w:vAlign w:val="bottom"/>
          </w:tcPr>
          <w:p>
            <w:pPr>
              <w:ind w:left="160"/>
              <w:spacing w:after="0"/>
              <w:rPr>
                <w:sz w:val="20"/>
                <w:szCs w:val="20"/>
                <w:color w:val="auto"/>
              </w:rPr>
            </w:pPr>
            <w:r>
              <w:rPr>
                <w:rFonts w:ascii="Arial" w:cs="Arial" w:eastAsia="Arial" w:hAnsi="Arial"/>
                <w:sz w:val="16"/>
                <w:szCs w:val="16"/>
                <w:color w:val="3D3935"/>
              </w:rPr>
              <w:t>Experience over an extended period, especially as CEO; extraordinary leadership qualities; and</w:t>
            </w:r>
          </w:p>
        </w:tc>
      </w:tr>
      <w:tr>
        <w:trPr>
          <w:trHeight w:val="215"/>
        </w:trPr>
        <w:tc>
          <w:tcPr>
            <w:tcW w:w="186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6"/>
                <w:szCs w:val="16"/>
                <w:color w:val="3D3935"/>
              </w:rPr>
              <w:t>the ability to identify and develop those qualities in others.</w:t>
            </w:r>
          </w:p>
        </w:tc>
      </w:tr>
      <w:tr>
        <w:trPr>
          <w:trHeight w:val="96"/>
        </w:trPr>
        <w:tc>
          <w:tcPr>
            <w:tcW w:w="1860" w:type="dxa"/>
            <w:vAlign w:val="bottom"/>
            <w:tcBorders>
              <w:bottom w:val="single" w:sz="8" w:color="D9D9D6"/>
            </w:tcBorders>
          </w:tcPr>
          <w:p>
            <w:pPr>
              <w:spacing w:after="0"/>
              <w:rPr>
                <w:sz w:val="8"/>
                <w:szCs w:val="8"/>
                <w:color w:val="auto"/>
              </w:rPr>
            </w:pPr>
          </w:p>
        </w:tc>
        <w:tc>
          <w:tcPr>
            <w:tcW w:w="7220" w:type="dxa"/>
            <w:vAlign w:val="bottom"/>
            <w:tcBorders>
              <w:bottom w:val="single" w:sz="8" w:color="D9D9D6"/>
            </w:tcBorders>
          </w:tcPr>
          <w:p>
            <w:pPr>
              <w:spacing w:after="0"/>
              <w:rPr>
                <w:sz w:val="8"/>
                <w:szCs w:val="8"/>
                <w:color w:val="auto"/>
              </w:rPr>
            </w:pPr>
          </w:p>
        </w:tc>
      </w:tr>
      <w:tr>
        <w:trPr>
          <w:trHeight w:val="337"/>
        </w:trPr>
        <w:tc>
          <w:tcPr>
            <w:tcW w:w="1860" w:type="dxa"/>
            <w:vAlign w:val="bottom"/>
          </w:tcPr>
          <w:p>
            <w:pPr>
              <w:ind w:left="60"/>
              <w:spacing w:after="0"/>
              <w:rPr>
                <w:sz w:val="20"/>
                <w:szCs w:val="20"/>
                <w:color w:val="auto"/>
              </w:rPr>
            </w:pPr>
            <w:r>
              <w:rPr>
                <w:rFonts w:ascii="Arial" w:cs="Arial" w:eastAsia="Arial" w:hAnsi="Arial"/>
                <w:sz w:val="16"/>
                <w:szCs w:val="16"/>
                <w:b w:val="1"/>
                <w:bCs w:val="1"/>
                <w:color w:val="0072CE"/>
              </w:rPr>
              <w:t>Risk Management</w:t>
            </w:r>
          </w:p>
        </w:tc>
        <w:tc>
          <w:tcPr>
            <w:tcW w:w="7220" w:type="dxa"/>
            <w:vAlign w:val="bottom"/>
          </w:tcPr>
          <w:p>
            <w:pPr>
              <w:ind w:left="160"/>
              <w:spacing w:after="0"/>
              <w:rPr>
                <w:sz w:val="20"/>
                <w:szCs w:val="20"/>
                <w:color w:val="auto"/>
              </w:rPr>
            </w:pPr>
            <w:r>
              <w:rPr>
                <w:rFonts w:ascii="Arial" w:cs="Arial" w:eastAsia="Arial" w:hAnsi="Arial"/>
                <w:sz w:val="16"/>
                <w:szCs w:val="16"/>
                <w:color w:val="3D3935"/>
              </w:rPr>
              <w:t>Relevant experience in risk management and oversight.</w:t>
            </w:r>
          </w:p>
        </w:tc>
      </w:tr>
      <w:tr>
        <w:trPr>
          <w:trHeight w:val="102"/>
        </w:trPr>
        <w:tc>
          <w:tcPr>
            <w:tcW w:w="1860" w:type="dxa"/>
            <w:vAlign w:val="bottom"/>
            <w:tcBorders>
              <w:bottom w:val="single" w:sz="8" w:color="D9D9D6"/>
            </w:tcBorders>
          </w:tcPr>
          <w:p>
            <w:pPr>
              <w:spacing w:after="0"/>
              <w:rPr>
                <w:sz w:val="8"/>
                <w:szCs w:val="8"/>
                <w:color w:val="auto"/>
              </w:rPr>
            </w:pPr>
          </w:p>
        </w:tc>
        <w:tc>
          <w:tcPr>
            <w:tcW w:w="7220" w:type="dxa"/>
            <w:vAlign w:val="bottom"/>
            <w:tcBorders>
              <w:bottom w:val="single" w:sz="8" w:color="D9D9D6"/>
            </w:tcBorders>
          </w:tcPr>
          <w:p>
            <w:pPr>
              <w:spacing w:after="0"/>
              <w:rPr>
                <w:sz w:val="8"/>
                <w:szCs w:val="8"/>
                <w:color w:val="auto"/>
              </w:rPr>
            </w:pPr>
          </w:p>
        </w:tc>
      </w:tr>
      <w:tr>
        <w:trPr>
          <w:trHeight w:val="330"/>
        </w:trPr>
        <w:tc>
          <w:tcPr>
            <w:tcW w:w="1860" w:type="dxa"/>
            <w:vAlign w:val="bottom"/>
          </w:tcPr>
          <w:p>
            <w:pPr>
              <w:ind w:left="60"/>
              <w:spacing w:after="0"/>
              <w:rPr>
                <w:sz w:val="20"/>
                <w:szCs w:val="20"/>
                <w:color w:val="auto"/>
              </w:rPr>
            </w:pPr>
            <w:r>
              <w:rPr>
                <w:rFonts w:ascii="Arial" w:cs="Arial" w:eastAsia="Arial" w:hAnsi="Arial"/>
                <w:sz w:val="16"/>
                <w:szCs w:val="16"/>
                <w:b w:val="1"/>
                <w:bCs w:val="1"/>
                <w:color w:val="0072CE"/>
              </w:rPr>
              <w:t>Social</w:t>
            </w:r>
          </w:p>
        </w:tc>
        <w:tc>
          <w:tcPr>
            <w:tcW w:w="7220" w:type="dxa"/>
            <w:vAlign w:val="bottom"/>
          </w:tcPr>
          <w:p>
            <w:pPr>
              <w:ind w:left="160"/>
              <w:spacing w:after="0"/>
              <w:rPr>
                <w:sz w:val="20"/>
                <w:szCs w:val="20"/>
                <w:color w:val="auto"/>
              </w:rPr>
            </w:pPr>
            <w:r>
              <w:rPr>
                <w:rFonts w:ascii="Arial" w:cs="Arial" w:eastAsia="Arial" w:hAnsi="Arial"/>
                <w:sz w:val="16"/>
                <w:szCs w:val="16"/>
                <w:color w:val="3D3935"/>
              </w:rPr>
              <w:t>Expertise with data privacy; human rights; community relations; workplace health and safety;</w:t>
            </w:r>
          </w:p>
        </w:tc>
      </w:tr>
      <w:tr>
        <w:trPr>
          <w:trHeight w:val="215"/>
        </w:trPr>
        <w:tc>
          <w:tcPr>
            <w:tcW w:w="186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6"/>
                <w:szCs w:val="16"/>
                <w:color w:val="3D3935"/>
              </w:rPr>
              <w:t>supply chain management; human capital management; consumer privacy; product quality and</w:t>
            </w:r>
          </w:p>
        </w:tc>
      </w:tr>
      <w:tr>
        <w:trPr>
          <w:trHeight w:val="216"/>
        </w:trPr>
        <w:tc>
          <w:tcPr>
            <w:tcW w:w="186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6"/>
                <w:szCs w:val="16"/>
                <w:color w:val="3D3935"/>
              </w:rPr>
              <w:t>safety; and/or labor practices.</w:t>
            </w:r>
          </w:p>
        </w:tc>
      </w:tr>
      <w:tr>
        <w:trPr>
          <w:trHeight w:val="96"/>
        </w:trPr>
        <w:tc>
          <w:tcPr>
            <w:tcW w:w="1860" w:type="dxa"/>
            <w:vAlign w:val="bottom"/>
            <w:tcBorders>
              <w:bottom w:val="single" w:sz="8" w:color="D9D9D6"/>
            </w:tcBorders>
          </w:tcPr>
          <w:p>
            <w:pPr>
              <w:spacing w:after="0"/>
              <w:rPr>
                <w:sz w:val="8"/>
                <w:szCs w:val="8"/>
                <w:color w:val="auto"/>
              </w:rPr>
            </w:pPr>
          </w:p>
        </w:tc>
        <w:tc>
          <w:tcPr>
            <w:tcW w:w="7220" w:type="dxa"/>
            <w:vAlign w:val="bottom"/>
            <w:tcBorders>
              <w:bottom w:val="single" w:sz="8" w:color="D9D9D6"/>
            </w:tcBorders>
          </w:tcPr>
          <w:p>
            <w:pPr>
              <w:spacing w:after="0"/>
              <w:rPr>
                <w:sz w:val="8"/>
                <w:szCs w:val="8"/>
                <w:color w:val="auto"/>
              </w:rPr>
            </w:pPr>
          </w:p>
        </w:tc>
      </w:tr>
      <w:tr>
        <w:trPr>
          <w:trHeight w:val="330"/>
        </w:trPr>
        <w:tc>
          <w:tcPr>
            <w:tcW w:w="1860" w:type="dxa"/>
            <w:vAlign w:val="bottom"/>
          </w:tcPr>
          <w:p>
            <w:pPr>
              <w:ind w:left="60"/>
              <w:spacing w:after="0"/>
              <w:rPr>
                <w:sz w:val="20"/>
                <w:szCs w:val="20"/>
                <w:color w:val="auto"/>
              </w:rPr>
            </w:pPr>
            <w:r>
              <w:rPr>
                <w:rFonts w:ascii="Arial" w:cs="Arial" w:eastAsia="Arial" w:hAnsi="Arial"/>
                <w:sz w:val="16"/>
                <w:szCs w:val="16"/>
                <w:b w:val="1"/>
                <w:bCs w:val="1"/>
                <w:color w:val="0072CE"/>
              </w:rPr>
              <w:t>Technology</w:t>
            </w:r>
          </w:p>
        </w:tc>
        <w:tc>
          <w:tcPr>
            <w:tcW w:w="7220" w:type="dxa"/>
            <w:vAlign w:val="bottom"/>
          </w:tcPr>
          <w:p>
            <w:pPr>
              <w:ind w:left="160"/>
              <w:spacing w:after="0"/>
              <w:rPr>
                <w:sz w:val="20"/>
                <w:szCs w:val="20"/>
                <w:color w:val="auto"/>
              </w:rPr>
            </w:pPr>
            <w:r>
              <w:rPr>
                <w:rFonts w:ascii="Arial" w:cs="Arial" w:eastAsia="Arial" w:hAnsi="Arial"/>
                <w:sz w:val="16"/>
                <w:szCs w:val="16"/>
                <w:color w:val="3D3935"/>
              </w:rPr>
              <w:t>Expertise in, or understanding of, technology and innovation gained either through academia or</w:t>
            </w:r>
          </w:p>
        </w:tc>
      </w:tr>
      <w:tr>
        <w:trPr>
          <w:trHeight w:val="215"/>
        </w:trPr>
        <w:tc>
          <w:tcPr>
            <w:tcW w:w="186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6"/>
                <w:szCs w:val="16"/>
                <w:color w:val="3D3935"/>
              </w:rPr>
              <w:t>industry experience.</w:t>
            </w:r>
          </w:p>
        </w:tc>
      </w:tr>
      <w:tr>
        <w:trPr>
          <w:trHeight w:val="96"/>
        </w:trPr>
        <w:tc>
          <w:tcPr>
            <w:tcW w:w="1860" w:type="dxa"/>
            <w:vAlign w:val="bottom"/>
            <w:tcBorders>
              <w:bottom w:val="single" w:sz="8" w:color="0072CE"/>
            </w:tcBorders>
          </w:tcPr>
          <w:p>
            <w:pPr>
              <w:spacing w:after="0"/>
              <w:rPr>
                <w:sz w:val="8"/>
                <w:szCs w:val="8"/>
                <w:color w:val="auto"/>
              </w:rPr>
            </w:pPr>
          </w:p>
        </w:tc>
        <w:tc>
          <w:tcPr>
            <w:tcW w:w="7220" w:type="dxa"/>
            <w:vAlign w:val="bottom"/>
            <w:tcBorders>
              <w:bottom w:val="single" w:sz="8" w:color="0072CE"/>
            </w:tcBorders>
          </w:tcPr>
          <w:p>
            <w:pPr>
              <w:spacing w:after="0"/>
              <w:rPr>
                <w:sz w:val="8"/>
                <w:szCs w:val="8"/>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Board Diversity</w:t>
      </w:r>
    </w:p>
    <w:p>
      <w:pPr>
        <w:spacing w:after="0" w:line="132"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3D3935"/>
        </w:rPr>
        <w:t>The Company’s Corporate Governance Guidelines identify the Board’s commitment to seeking highly qualified candidates that reflect the backgrounds of GM’s global workforce and customer base. Our Board recognizes the value of inclusivity and considers members’ and candidates’ opinions, perspectives, and individual skills, expertise and experience that complement or expand that of the current directors and enhance the diversity (geographic, gender, age, and ethnicity) and effectiveness</w:t>
      </w:r>
    </w:p>
    <w:p>
      <w:pPr>
        <w:sectPr>
          <w:pgSz w:w="11900" w:h="16985" w:orient="portrait"/>
          <w:cols w:equalWidth="0" w:num="1">
            <w:col w:w="9080"/>
          </w:cols>
          <w:pgMar w:left="1400" w:top="140" w:right="1419" w:bottom="0" w:gutter="0" w:footer="0" w:header="0"/>
        </w:sectPr>
      </w:pPr>
    </w:p>
    <w:bookmarkStart w:id="16" w:name="page17"/>
    <w:bookmarkEnd w:id="16"/>
    <w:p>
      <w:pPr>
        <w:ind w:right="380"/>
        <w:spacing w:after="0" w:line="301" w:lineRule="auto"/>
        <w:rPr>
          <w:sz w:val="20"/>
          <w:szCs w:val="20"/>
          <w:color w:val="auto"/>
        </w:rPr>
      </w:pPr>
      <w:r>
        <w:rPr>
          <w:rFonts w:ascii="Arial" w:cs="Arial" w:eastAsia="Arial" w:hAnsi="Arial"/>
          <w:sz w:val="16"/>
          <w:szCs w:val="16"/>
          <w:color w:val="3D3935"/>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16135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10375" cy="1613535"/>
                    </a:xfrm>
                    <a:prstGeom prst="rect">
                      <a:avLst/>
                    </a:prstGeom>
                    <a:noFill/>
                  </pic:spPr>
                </pic:pic>
              </a:graphicData>
            </a:graphic>
          </wp:anchor>
        </w:drawing>
        <w:t>of the Board as a whole. We believe the judgment and perspectives offered by an inclusive Board improves the quality of decision-making, enhances the Company’s business performance, and can help the Board respond more effectively to the needs of customers, shareholders, employees, suppliers, and other stakeholders.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88201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10375" cy="882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1 Annual Election of Directors</w:t>
      </w:r>
    </w:p>
    <w:p>
      <w:pPr>
        <w:spacing w:after="0" w:line="200" w:lineRule="exact"/>
        <w:rPr>
          <w:sz w:val="20"/>
          <w:szCs w:val="20"/>
          <w:color w:val="auto"/>
        </w:rPr>
      </w:pPr>
    </w:p>
    <w:p>
      <w:pPr>
        <w:spacing w:after="0" w:line="343" w:lineRule="exact"/>
        <w:rPr>
          <w:sz w:val="20"/>
          <w:szCs w:val="20"/>
          <w:color w:val="auto"/>
        </w:rPr>
      </w:pPr>
    </w:p>
    <w:p>
      <w:pPr>
        <w:jc w:val="center"/>
        <w:ind w:right="3440"/>
        <w:spacing w:after="0"/>
        <w:rPr>
          <w:sz w:val="20"/>
          <w:szCs w:val="20"/>
          <w:color w:val="auto"/>
        </w:rPr>
      </w:pPr>
      <w:r>
        <w:rPr>
          <w:rFonts w:ascii="Arial" w:cs="Arial" w:eastAsia="Arial" w:hAnsi="Arial"/>
          <w:sz w:val="39"/>
          <w:szCs w:val="39"/>
          <w:b w:val="1"/>
          <w:bCs w:val="1"/>
          <w:color w:val="0072CE"/>
        </w:rPr>
        <w:t>Director Nominee Biographies</w:t>
      </w:r>
    </w:p>
    <w:p>
      <w:pPr>
        <w:spacing w:after="0" w:line="209" w:lineRule="exact"/>
        <w:rPr>
          <w:sz w:val="20"/>
          <w:szCs w:val="20"/>
          <w:color w:val="auto"/>
        </w:rPr>
      </w:pPr>
    </w:p>
    <w:p>
      <w:pPr>
        <w:ind w:left="1900"/>
        <w:spacing w:after="0"/>
        <w:rPr>
          <w:sz w:val="20"/>
          <w:szCs w:val="20"/>
          <w:color w:val="auto"/>
        </w:rPr>
      </w:pPr>
      <w:r>
        <w:rPr>
          <w:rFonts w:ascii="Arial" w:cs="Arial" w:eastAsia="Arial" w:hAnsi="Arial"/>
          <w:sz w:val="25"/>
          <w:szCs w:val="25"/>
          <w:b w:val="1"/>
          <w:bCs w:val="1"/>
          <w:color w:val="0072CE"/>
        </w:rPr>
        <w:t xml:space="preserve">Mary T. Barra </w:t>
      </w:r>
      <w:r>
        <w:rPr>
          <w:rFonts w:ascii="Arial" w:cs="Arial" w:eastAsia="Arial" w:hAnsi="Arial"/>
          <w:sz w:val="17"/>
          <w:szCs w:val="17"/>
          <w:b w:val="1"/>
          <w:bCs w:val="1"/>
          <w:color w:val="3D3935"/>
        </w:rPr>
        <w:t>|</w:t>
      </w:r>
      <w:r>
        <w:rPr>
          <w:rFonts w:ascii="Arial" w:cs="Arial" w:eastAsia="Arial" w:hAnsi="Arial"/>
          <w:sz w:val="25"/>
          <w:szCs w:val="25"/>
          <w:b w:val="1"/>
          <w:bCs w:val="1"/>
          <w:color w:val="0072CE"/>
        </w:rPr>
        <w:t xml:space="preserve"> </w:t>
      </w:r>
      <w:r>
        <w:rPr>
          <w:rFonts w:ascii="Arial" w:cs="Arial" w:eastAsia="Arial" w:hAnsi="Arial"/>
          <w:sz w:val="25"/>
          <w:szCs w:val="25"/>
          <w:b w:val="1"/>
          <w:bCs w:val="1"/>
          <w:color w:val="3D3935"/>
        </w:rPr>
        <w:t>63</w:t>
      </w:r>
    </w:p>
    <w:p>
      <w:pPr>
        <w:spacing w:after="0" w:line="61"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3D3935"/>
        </w:rPr>
        <w:t>Chair and CEO, General Motors Company</w:t>
      </w:r>
    </w:p>
    <w:p>
      <w:pPr>
        <w:sectPr>
          <w:pgSz w:w="11900" w:h="16838" w:orient="portrait"/>
          <w:cols w:equalWidth="0" w:num="1">
            <w:col w:w="9140"/>
          </w:cols>
          <w:pgMar w:left="1400" w:top="166" w:right="1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 xml:space="preserve">Gender: </w:t>
      </w:r>
      <w:r>
        <w:rPr>
          <w:rFonts w:ascii="Arial" w:cs="Arial" w:eastAsia="Arial" w:hAnsi="Arial"/>
          <w:sz w:val="14"/>
          <w:szCs w:val="14"/>
          <w:color w:val="3D3935"/>
        </w:rPr>
        <w:t>Female</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 xml:space="preserve">Director since: </w:t>
      </w:r>
      <w:r>
        <w:rPr>
          <w:rFonts w:ascii="Arial" w:cs="Arial" w:eastAsia="Arial" w:hAnsi="Arial"/>
          <w:sz w:val="14"/>
          <w:szCs w:val="14"/>
          <w:color w:val="3D3935"/>
        </w:rPr>
        <w:t>2014</w:t>
      </w:r>
    </w:p>
    <w:p>
      <w:pPr>
        <w:ind w:left="60"/>
        <w:spacing w:after="0" w:line="241" w:lineRule="auto"/>
        <w:rPr>
          <w:sz w:val="20"/>
          <w:szCs w:val="20"/>
          <w:color w:val="auto"/>
        </w:rPr>
      </w:pPr>
      <w:r>
        <w:rPr>
          <w:rFonts w:ascii="Arial" w:cs="Arial" w:eastAsia="Arial" w:hAnsi="Arial"/>
          <w:sz w:val="14"/>
          <w:szCs w:val="14"/>
          <w:b w:val="1"/>
          <w:bCs w:val="1"/>
          <w:color w:val="0072CE"/>
        </w:rPr>
        <w:t xml:space="preserve">Race/Ethnicity: </w:t>
      </w:r>
      <w:r>
        <w:rPr>
          <w:rFonts w:ascii="Arial" w:cs="Arial" w:eastAsia="Arial" w:hAnsi="Arial"/>
          <w:sz w:val="14"/>
          <w:szCs w:val="14"/>
          <w:color w:val="3D3935"/>
        </w:rPr>
        <w:t>White</w:t>
      </w:r>
      <w:r>
        <w:rPr>
          <w:rFonts w:ascii="Arial" w:cs="Arial" w:eastAsia="Arial" w:hAnsi="Arial"/>
          <w:sz w:val="14"/>
          <w:szCs w:val="14"/>
          <w:b w:val="1"/>
          <w:bCs w:val="1"/>
          <w:color w:val="0072CE"/>
        </w:rPr>
        <w:t xml:space="preserve"> Committees: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Executive (Chair)</w:t>
      </w: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Current GM Model:</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Chevrolet Blazer EV</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Skillset:</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Finance</w:t>
      </w:r>
    </w:p>
    <w:p>
      <w:pPr>
        <w:ind w:left="60"/>
        <w:spacing w:after="0" w:line="222" w:lineRule="auto"/>
        <w:rPr>
          <w:sz w:val="20"/>
          <w:szCs w:val="20"/>
          <w:color w:val="auto"/>
        </w:rPr>
      </w:pPr>
      <w:r>
        <w:rPr>
          <w:rFonts w:ascii="Arial" w:cs="Arial" w:eastAsia="Arial" w:hAnsi="Arial"/>
          <w:sz w:val="14"/>
          <w:szCs w:val="14"/>
          <w:color w:val="3D3935"/>
        </w:rPr>
        <w:t>Governance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Industry</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Manufacturing</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Public Company CEO</w:t>
      </w:r>
    </w:p>
    <w:p>
      <w:pPr>
        <w:ind w:left="60"/>
        <w:spacing w:after="0" w:line="222" w:lineRule="auto"/>
        <w:rPr>
          <w:sz w:val="20"/>
          <w:szCs w:val="20"/>
          <w:color w:val="auto"/>
        </w:rPr>
      </w:pPr>
      <w:r>
        <w:rPr>
          <w:rFonts w:ascii="Arial" w:cs="Arial" w:eastAsia="Arial" w:hAnsi="Arial"/>
          <w:sz w:val="14"/>
          <w:szCs w:val="14"/>
          <w:color w:val="3D3935"/>
        </w:rPr>
        <w:t>Risk Management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Social</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Technology</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ind w:right="160"/>
        <w:spacing w:after="0" w:line="217" w:lineRule="auto"/>
        <w:rPr>
          <w:sz w:val="20"/>
          <w:szCs w:val="20"/>
          <w:color w:val="auto"/>
        </w:rPr>
      </w:pPr>
      <w:r>
        <w:rPr>
          <w:rFonts w:ascii="Arial" w:cs="Arial" w:eastAsia="Arial" w:hAnsi="Arial"/>
          <w:sz w:val="16"/>
          <w:szCs w:val="16"/>
          <w:b w:val="1"/>
          <w:bCs w:val="1"/>
          <w:color w:val="0072CE"/>
        </w:rPr>
        <w:t xml:space="preserve">Experience: </w:t>
      </w:r>
      <w:r>
        <w:rPr>
          <w:rFonts w:ascii="Arial" w:cs="Arial" w:eastAsia="Arial" w:hAnsi="Arial"/>
          <w:sz w:val="16"/>
          <w:szCs w:val="16"/>
          <w:color w:val="3D3935"/>
        </w:rPr>
        <w:t>Ms. Barra is Chair and CEO of General</w:t>
      </w:r>
      <w:r>
        <w:rPr>
          <w:rFonts w:ascii="Arial" w:cs="Arial" w:eastAsia="Arial" w:hAnsi="Arial"/>
          <w:sz w:val="16"/>
          <w:szCs w:val="16"/>
          <w:b w:val="1"/>
          <w:bCs w:val="1"/>
          <w:color w:val="0072CE"/>
        </w:rPr>
        <w:t xml:space="preserve"> </w:t>
      </w:r>
      <w:r>
        <w:rPr>
          <w:rFonts w:ascii="Arial" w:cs="Arial" w:eastAsia="Arial" w:hAnsi="Arial"/>
          <w:sz w:val="16"/>
          <w:szCs w:val="16"/>
          <w:color w:val="3D3935"/>
        </w:rPr>
        <w:t>Motors. She has served as Chair of the Board of Directors since January 2016 and has served as CEO since January 2014. Prior to becoming CEO, Ms. Barra served as GM’s Executive Vice President, Global Product Development, Purchasing and Supply Chain from 2013 to 2014; Senior Vice President, Global Product Development from 2011 to 2013; Vice President, Global Human Resources from 2009 to 2011; and Vice President, Global Manufacturing Engineering from 2008 to 2009.</w:t>
      </w:r>
    </w:p>
    <w:p>
      <w:pPr>
        <w:spacing w:after="0" w:line="47" w:lineRule="exact"/>
        <w:rPr>
          <w:sz w:val="20"/>
          <w:szCs w:val="20"/>
          <w:color w:val="auto"/>
        </w:rPr>
      </w:pPr>
    </w:p>
    <w:p>
      <w:pPr>
        <w:ind w:right="300"/>
        <w:spacing w:after="0" w:line="218" w:lineRule="auto"/>
        <w:rPr>
          <w:sz w:val="20"/>
          <w:szCs w:val="20"/>
          <w:color w:val="auto"/>
        </w:rPr>
      </w:pPr>
      <w:r>
        <w:rPr>
          <w:rFonts w:ascii="Arial" w:cs="Arial" w:eastAsia="Arial" w:hAnsi="Arial"/>
          <w:sz w:val="16"/>
          <w:szCs w:val="16"/>
          <w:b w:val="1"/>
          <w:bCs w:val="1"/>
          <w:color w:val="0072CE"/>
        </w:rPr>
        <w:t xml:space="preserve">Reasons for Nomination: </w:t>
      </w:r>
      <w:r>
        <w:rPr>
          <w:rFonts w:ascii="Arial" w:cs="Arial" w:eastAsia="Arial" w:hAnsi="Arial"/>
          <w:sz w:val="16"/>
          <w:szCs w:val="16"/>
          <w:color w:val="3D3935"/>
        </w:rPr>
        <w:t>Ms. Barra has in-depth</w:t>
      </w:r>
      <w:r>
        <w:rPr>
          <w:rFonts w:ascii="Arial" w:cs="Arial" w:eastAsia="Arial" w:hAnsi="Arial"/>
          <w:sz w:val="16"/>
          <w:szCs w:val="16"/>
          <w:b w:val="1"/>
          <w:bCs w:val="1"/>
          <w:color w:val="0072CE"/>
        </w:rPr>
        <w:t xml:space="preserve"> </w:t>
      </w:r>
      <w:r>
        <w:rPr>
          <w:rFonts w:ascii="Arial" w:cs="Arial" w:eastAsia="Arial" w:hAnsi="Arial"/>
          <w:sz w:val="16"/>
          <w:szCs w:val="16"/>
          <w:color w:val="3D3935"/>
        </w:rPr>
        <w:t>knowledge of the Company and the global automotive industry; extensive senior leadership, strategic planning, operational, and business experience; and a strong engineering background with experience in global product development. She has spearheaded many initiatives to align the Company’s culture with its transformation efforts and holds herself and the leadership team accountable for driving a culture of safety for customers, employees, and communities.</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b w:val="1"/>
          <w:bCs w:val="1"/>
          <w:color w:val="0072CE"/>
        </w:rPr>
        <w:t xml:space="preserve">Other Public Company Directorships: </w:t>
      </w:r>
      <w:r>
        <w:rPr>
          <w:rFonts w:ascii="Arial" w:cs="Arial" w:eastAsia="Arial" w:hAnsi="Arial"/>
          <w:sz w:val="16"/>
          <w:szCs w:val="16"/>
          <w:color w:val="3D3935"/>
        </w:rPr>
        <w:t>The Walt Disney</w:t>
      </w:r>
    </w:p>
    <w:p>
      <w:pPr>
        <w:spacing w:after="0"/>
        <w:rPr>
          <w:sz w:val="20"/>
          <w:szCs w:val="20"/>
          <w:color w:val="auto"/>
        </w:rPr>
      </w:pPr>
      <w:r>
        <w:rPr>
          <w:rFonts w:ascii="Arial" w:cs="Arial" w:eastAsia="Arial" w:hAnsi="Arial"/>
          <w:sz w:val="16"/>
          <w:szCs w:val="16"/>
          <w:color w:val="3D3935"/>
        </w:rPr>
        <w:t>Company</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0072CE"/>
        </w:rPr>
        <w:t>Prior Public Company Directorships (Past Five Years):</w:t>
      </w:r>
    </w:p>
    <w:p>
      <w:pPr>
        <w:spacing w:after="0"/>
        <w:rPr>
          <w:sz w:val="20"/>
          <w:szCs w:val="20"/>
          <w:color w:val="auto"/>
        </w:rPr>
      </w:pPr>
      <w:r>
        <w:rPr>
          <w:rFonts w:ascii="Arial" w:cs="Arial" w:eastAsia="Arial" w:hAnsi="Arial"/>
          <w:sz w:val="16"/>
          <w:szCs w:val="16"/>
          <w:color w:val="3D3935"/>
        </w:rPr>
        <w:t>None</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ind w:left="334" w:right="560" w:hanging="334"/>
        <w:spacing w:after="0" w:line="195" w:lineRule="auto"/>
        <w:tabs>
          <w:tab w:leader="none" w:pos="334" w:val="left"/>
        </w:tabs>
        <w:numPr>
          <w:ilvl w:val="0"/>
          <w:numId w:val="24"/>
        </w:numPr>
        <w:rPr>
          <w:rFonts w:ascii="Arial" w:cs="Arial" w:eastAsia="Arial" w:hAnsi="Arial"/>
          <w:sz w:val="36"/>
          <w:szCs w:val="36"/>
          <w:b w:val="1"/>
          <w:bCs w:val="1"/>
          <w:color w:val="FFFFFF"/>
          <w:vertAlign w:val="subscript"/>
        </w:rPr>
      </w:pPr>
      <w:r>
        <w:rPr>
          <w:rFonts w:ascii="Arial" w:cs="Arial" w:eastAsia="Arial" w:hAnsi="Arial"/>
          <w:sz w:val="16"/>
          <w:szCs w:val="16"/>
          <w:b w:val="1"/>
          <w:bCs w:val="1"/>
          <w:color w:val="3D3935"/>
        </w:rPr>
        <w:t>What does the Company need to do to further increase shareholder value after its strong 2024 performance?</w:t>
      </w:r>
    </w:p>
    <w:p>
      <w:pPr>
        <w:spacing w:after="0" w:line="146" w:lineRule="exact"/>
        <w:rPr>
          <w:sz w:val="20"/>
          <w:szCs w:val="20"/>
          <w:color w:val="auto"/>
        </w:rPr>
      </w:pPr>
    </w:p>
    <w:p>
      <w:pPr>
        <w:ind w:left="334" w:right="300" w:hanging="333"/>
        <w:spacing w:after="0" w:line="209" w:lineRule="auto"/>
        <w:tabs>
          <w:tab w:leader="none" w:pos="334" w:val="left"/>
        </w:tabs>
        <w:numPr>
          <w:ilvl w:val="0"/>
          <w:numId w:val="25"/>
        </w:numPr>
        <w:rPr>
          <w:rFonts w:ascii="Arial" w:cs="Arial" w:eastAsia="Arial" w:hAnsi="Arial"/>
          <w:sz w:val="36"/>
          <w:szCs w:val="36"/>
          <w:b w:val="1"/>
          <w:bCs w:val="1"/>
          <w:color w:val="FFFFFF"/>
          <w:vertAlign w:val="subscript"/>
        </w:rPr>
      </w:pPr>
      <w:r>
        <w:rPr>
          <w:rFonts w:ascii="Arial" w:cs="Arial" w:eastAsia="Arial" w:hAnsi="Arial"/>
          <w:sz w:val="16"/>
          <w:szCs w:val="16"/>
          <w:color w:val="3D3935"/>
        </w:rPr>
        <w:t>I said last year that 2024 needed to be a year dedicated to our four strategic pillars that are laid out in the Board’s letter to shareholders at the beginning of this Proxy Statement. Credit to the team for remaining focused and making significant progress on each of those pillars. As a result, our financial results and long-term shareholder value closely aligned last year. It is critical that we maintain that momentum this year as this is a multi-year strategy designed to keep GM leading the future</w:t>
      </w:r>
    </w:p>
    <w:p>
      <w:pPr>
        <w:spacing w:after="0" w:line="9" w:lineRule="exact"/>
        <w:rPr>
          <w:rFonts w:ascii="Arial" w:cs="Arial" w:eastAsia="Arial" w:hAnsi="Arial"/>
          <w:sz w:val="36"/>
          <w:szCs w:val="36"/>
          <w:b w:val="1"/>
          <w:bCs w:val="1"/>
          <w:color w:val="FFFFFF"/>
          <w:vertAlign w:val="subscript"/>
        </w:rPr>
      </w:pPr>
    </w:p>
    <w:p>
      <w:pPr>
        <w:ind w:left="334"/>
        <w:spacing w:after="0"/>
        <w:rPr>
          <w:rFonts w:ascii="Arial" w:cs="Arial" w:eastAsia="Arial" w:hAnsi="Arial"/>
          <w:sz w:val="36"/>
          <w:szCs w:val="36"/>
          <w:b w:val="1"/>
          <w:bCs w:val="1"/>
          <w:color w:val="FFFFFF"/>
          <w:vertAlign w:val="subscript"/>
        </w:rPr>
      </w:pPr>
      <w:r>
        <w:rPr>
          <w:rFonts w:ascii="Arial" w:cs="Arial" w:eastAsia="Arial" w:hAnsi="Arial"/>
          <w:sz w:val="16"/>
          <w:szCs w:val="16"/>
          <w:color w:val="3D3935"/>
        </w:rPr>
        <w:t>of transportation.</w:t>
      </w:r>
    </w:p>
    <w:p>
      <w:pPr>
        <w:spacing w:after="0" w:line="200" w:lineRule="exact"/>
        <w:rPr>
          <w:sz w:val="20"/>
          <w:szCs w:val="20"/>
          <w:color w:val="auto"/>
        </w:rPr>
      </w:pPr>
    </w:p>
    <w:p>
      <w:pPr>
        <w:sectPr>
          <w:pgSz w:w="11900" w:h="16838" w:orient="portrait"/>
          <w:cols w:equalWidth="0" w:num="3">
            <w:col w:w="1540" w:space="360"/>
            <w:col w:w="4180" w:space="286"/>
            <w:col w:w="2774"/>
          </w:cols>
          <w:pgMar w:left="1400" w:top="166" w:right="1359" w:bottom="0" w:gutter="0" w:footer="0" w:header="0"/>
          <w:type w:val="continuous"/>
        </w:sectPr>
      </w:pPr>
    </w:p>
    <w:p>
      <w:pPr>
        <w:spacing w:after="0" w:line="49" w:lineRule="exact"/>
        <w:rPr>
          <w:sz w:val="20"/>
          <w:szCs w:val="20"/>
          <w:color w:val="auto"/>
        </w:rPr>
      </w:pPr>
    </w:p>
    <w:p>
      <w:pPr>
        <w:ind w:left="1900"/>
        <w:spacing w:after="0"/>
        <w:rPr>
          <w:sz w:val="20"/>
          <w:szCs w:val="20"/>
          <w:color w:val="auto"/>
        </w:rPr>
      </w:pPr>
      <w:r>
        <w:rPr>
          <w:rFonts w:ascii="Arial" w:cs="Arial" w:eastAsia="Arial" w:hAnsi="Arial"/>
          <w:sz w:val="24"/>
          <w:szCs w:val="24"/>
          <w:b w:val="1"/>
          <w:bCs w:val="1"/>
          <w:color w:val="0072CE"/>
        </w:rPr>
        <w:t xml:space="preserve">Patricia F. Russo </w:t>
      </w:r>
      <w:r>
        <w:rPr>
          <w:rFonts w:ascii="Arial" w:cs="Arial" w:eastAsia="Arial" w:hAnsi="Arial"/>
          <w:sz w:val="16"/>
          <w:szCs w:val="16"/>
          <w:b w:val="1"/>
          <w:bCs w:val="1"/>
          <w:color w:val="3D3935"/>
        </w:rPr>
        <w:t>|</w:t>
      </w:r>
      <w:r>
        <w:rPr>
          <w:rFonts w:ascii="Arial" w:cs="Arial" w:eastAsia="Arial" w:hAnsi="Arial"/>
          <w:sz w:val="24"/>
          <w:szCs w:val="24"/>
          <w:b w:val="1"/>
          <w:bCs w:val="1"/>
          <w:color w:val="0072CE"/>
        </w:rPr>
        <w:t xml:space="preserve"> </w:t>
      </w:r>
      <w:r>
        <w:rPr>
          <w:rFonts w:ascii="Arial" w:cs="Arial" w:eastAsia="Arial" w:hAnsi="Arial"/>
          <w:sz w:val="24"/>
          <w:szCs w:val="24"/>
          <w:b w:val="1"/>
          <w:bCs w:val="1"/>
          <w:color w:val="3D3935"/>
        </w:rPr>
        <w:t xml:space="preserve">72 </w:t>
      </w:r>
      <w:r>
        <w:rPr>
          <w:sz w:val="1"/>
          <w:szCs w:val="1"/>
          <w:color w:val="auto"/>
        </w:rPr>
        <w:drawing>
          <wp:inline distT="0" distB="0" distL="0" distR="0">
            <wp:extent cx="1062990" cy="10287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62990" cy="102870"/>
                    </a:xfrm>
                    <a:prstGeom prst="rect">
                      <a:avLst/>
                    </a:prstGeom>
                    <a:noFill/>
                    <a:ln>
                      <a:noFill/>
                    </a:ln>
                  </pic:spPr>
                </pic:pic>
              </a:graphicData>
            </a:graphic>
          </wp:inline>
        </w:drawing>
      </w:r>
    </w:p>
    <w:p>
      <w:pPr>
        <w:spacing w:after="0" w:line="50"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3D3935"/>
        </w:rPr>
        <w:t>Chair, Hewlett Packard Enterprise Company</w:t>
      </w:r>
    </w:p>
    <w:p>
      <w:pPr>
        <w:sectPr>
          <w:pgSz w:w="11900" w:h="16838" w:orient="portrait"/>
          <w:cols w:equalWidth="0" w:num="1">
            <w:col w:w="9140"/>
          </w:cols>
          <w:pgMar w:left="1400" w:top="166" w:right="13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 xml:space="preserve">Gender: </w:t>
      </w:r>
      <w:r>
        <w:rPr>
          <w:rFonts w:ascii="Arial" w:cs="Arial" w:eastAsia="Arial" w:hAnsi="Arial"/>
          <w:sz w:val="14"/>
          <w:szCs w:val="14"/>
          <w:color w:val="3D3935"/>
        </w:rPr>
        <w:t>Female</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 xml:space="preserve">Director since: </w:t>
      </w:r>
      <w:r>
        <w:rPr>
          <w:rFonts w:ascii="Arial" w:cs="Arial" w:eastAsia="Arial" w:hAnsi="Arial"/>
          <w:sz w:val="14"/>
          <w:szCs w:val="14"/>
          <w:color w:val="3D3935"/>
        </w:rPr>
        <w:t>2009</w:t>
      </w:r>
    </w:p>
    <w:p>
      <w:pPr>
        <w:ind w:left="60"/>
        <w:spacing w:after="0" w:line="241" w:lineRule="auto"/>
        <w:rPr>
          <w:sz w:val="20"/>
          <w:szCs w:val="20"/>
          <w:color w:val="auto"/>
        </w:rPr>
      </w:pPr>
      <w:r>
        <w:rPr>
          <w:rFonts w:ascii="Arial" w:cs="Arial" w:eastAsia="Arial" w:hAnsi="Arial"/>
          <w:sz w:val="14"/>
          <w:szCs w:val="14"/>
          <w:b w:val="1"/>
          <w:bCs w:val="1"/>
          <w:color w:val="0072CE"/>
        </w:rPr>
        <w:t xml:space="preserve">Race/Ethnicity: </w:t>
      </w:r>
      <w:r>
        <w:rPr>
          <w:rFonts w:ascii="Arial" w:cs="Arial" w:eastAsia="Arial" w:hAnsi="Arial"/>
          <w:sz w:val="14"/>
          <w:szCs w:val="14"/>
          <w:color w:val="3D3935"/>
        </w:rPr>
        <w:t>White</w:t>
      </w:r>
      <w:r>
        <w:rPr>
          <w:rFonts w:ascii="Arial" w:cs="Arial" w:eastAsia="Arial" w:hAnsi="Arial"/>
          <w:sz w:val="14"/>
          <w:szCs w:val="14"/>
          <w:b w:val="1"/>
          <w:bCs w:val="1"/>
          <w:color w:val="0072CE"/>
        </w:rPr>
        <w:t xml:space="preserve"> Committees: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Compensation</w:t>
      </w:r>
    </w:p>
    <w:p>
      <w:pPr>
        <w:ind w:left="60"/>
        <w:spacing w:after="0" w:line="222" w:lineRule="auto"/>
        <w:rPr>
          <w:sz w:val="20"/>
          <w:szCs w:val="20"/>
          <w:color w:val="auto"/>
        </w:rPr>
      </w:pPr>
      <w:r>
        <w:rPr>
          <w:rFonts w:ascii="Arial" w:cs="Arial" w:eastAsia="Arial" w:hAnsi="Arial"/>
          <w:sz w:val="14"/>
          <w:szCs w:val="14"/>
          <w:color w:val="3D3935"/>
        </w:rPr>
        <w:t>Executive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Finance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Governance (Chair)</w:t>
      </w:r>
    </w:p>
    <w:p>
      <w:pPr>
        <w:spacing w:after="0" w:line="200" w:lineRule="exact"/>
        <w:rPr>
          <w:sz w:val="20"/>
          <w:szCs w:val="20"/>
          <w:color w:val="auto"/>
        </w:rPr>
      </w:pPr>
    </w:p>
    <w:p>
      <w:pPr>
        <w:spacing w:after="0" w:line="39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Current GM Model:</w:t>
      </w:r>
    </w:p>
    <w:p>
      <w:pPr>
        <w:spacing w:after="0" w:line="29"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Cadillac LYRIQ</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Skillset:</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Finance</w:t>
      </w:r>
    </w:p>
    <w:p>
      <w:pPr>
        <w:ind w:left="60"/>
        <w:spacing w:after="0" w:line="222" w:lineRule="auto"/>
        <w:rPr>
          <w:sz w:val="20"/>
          <w:szCs w:val="20"/>
          <w:color w:val="auto"/>
        </w:rPr>
      </w:pPr>
      <w:r>
        <w:rPr>
          <w:rFonts w:ascii="Arial" w:cs="Arial" w:eastAsia="Arial" w:hAnsi="Arial"/>
          <w:sz w:val="14"/>
          <w:szCs w:val="14"/>
          <w:color w:val="3D3935"/>
        </w:rPr>
        <w:t>Governance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Manufacturing</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Marketing</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Public Company CEO</w:t>
      </w:r>
    </w:p>
    <w:p>
      <w:pPr>
        <w:ind w:left="60"/>
        <w:spacing w:after="0" w:line="222" w:lineRule="auto"/>
        <w:rPr>
          <w:sz w:val="20"/>
          <w:szCs w:val="20"/>
          <w:color w:val="auto"/>
        </w:rPr>
      </w:pPr>
      <w:r>
        <w:rPr>
          <w:rFonts w:ascii="Arial" w:cs="Arial" w:eastAsia="Arial" w:hAnsi="Arial"/>
          <w:sz w:val="14"/>
          <w:szCs w:val="14"/>
          <w:color w:val="3D3935"/>
        </w:rPr>
        <w:t>Risk Management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Social</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Technology</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right="240"/>
        <w:spacing w:after="0" w:line="236" w:lineRule="auto"/>
        <w:rPr>
          <w:sz w:val="20"/>
          <w:szCs w:val="20"/>
          <w:color w:val="auto"/>
        </w:rPr>
      </w:pPr>
      <w:r>
        <w:rPr>
          <w:rFonts w:ascii="Arial" w:cs="Arial" w:eastAsia="Arial" w:hAnsi="Arial"/>
          <w:sz w:val="16"/>
          <w:szCs w:val="16"/>
          <w:b w:val="1"/>
          <w:bCs w:val="1"/>
          <w:color w:val="0072CE"/>
        </w:rPr>
        <w:t xml:space="preserve">Experience: </w:t>
      </w:r>
      <w:r>
        <w:rPr>
          <w:rFonts w:ascii="Arial" w:cs="Arial" w:eastAsia="Arial" w:hAnsi="Arial"/>
          <w:sz w:val="16"/>
          <w:szCs w:val="16"/>
          <w:color w:val="3D3935"/>
        </w:rPr>
        <w:t>Ms. Russo has served as the Chair of the</w:t>
      </w:r>
      <w:r>
        <w:rPr>
          <w:rFonts w:ascii="Arial" w:cs="Arial" w:eastAsia="Arial" w:hAnsi="Arial"/>
          <w:sz w:val="16"/>
          <w:szCs w:val="16"/>
          <w:b w:val="1"/>
          <w:bCs w:val="1"/>
          <w:color w:val="0072CE"/>
        </w:rPr>
        <w:t xml:space="preserve"> </w:t>
      </w:r>
      <w:r>
        <w:rPr>
          <w:rFonts w:ascii="Arial" w:cs="Arial" w:eastAsia="Arial" w:hAnsi="Arial"/>
          <w:sz w:val="16"/>
          <w:szCs w:val="16"/>
          <w:color w:val="3D3935"/>
        </w:rPr>
        <w:t>Hewlett-Packard Enterprise Company’s (“HPE”) board of directors since her appointment in 2015. She also served as Lead Director of HPE from 2014 to 2015. Ms. Russo was GM’s Independent Lead Director from March 2010 to January 2014, and in 2021 she was re-appointed to that role. Ms. Russo served as CEO of Alcatel-Lucent S.A. from 2006 to 2008; Chairman and CEO of Lucent Technologies, Inc. from 2003 to 2006; and President and CEO of Lucent Technologies from 2002 to 2006.</w:t>
      </w:r>
    </w:p>
    <w:p>
      <w:pPr>
        <w:spacing w:after="0" w:line="48" w:lineRule="exact"/>
        <w:rPr>
          <w:sz w:val="20"/>
          <w:szCs w:val="20"/>
          <w:color w:val="auto"/>
        </w:rPr>
      </w:pPr>
    </w:p>
    <w:p>
      <w:pPr>
        <w:ind w:right="240"/>
        <w:spacing w:after="0" w:line="236" w:lineRule="auto"/>
        <w:rPr>
          <w:sz w:val="20"/>
          <w:szCs w:val="20"/>
          <w:color w:val="auto"/>
        </w:rPr>
      </w:pPr>
      <w:r>
        <w:rPr>
          <w:rFonts w:ascii="Arial" w:cs="Arial" w:eastAsia="Arial" w:hAnsi="Arial"/>
          <w:sz w:val="16"/>
          <w:szCs w:val="16"/>
          <w:b w:val="1"/>
          <w:bCs w:val="1"/>
          <w:color w:val="0072CE"/>
        </w:rPr>
        <w:t xml:space="preserve">Reasons for Nomination: </w:t>
      </w:r>
      <w:r>
        <w:rPr>
          <w:rFonts w:ascii="Arial" w:cs="Arial" w:eastAsia="Arial" w:hAnsi="Arial"/>
          <w:sz w:val="16"/>
          <w:szCs w:val="16"/>
          <w:color w:val="3D3935"/>
        </w:rPr>
        <w:t>Ms. Russo has extensive</w:t>
      </w:r>
      <w:r>
        <w:rPr>
          <w:rFonts w:ascii="Arial" w:cs="Arial" w:eastAsia="Arial" w:hAnsi="Arial"/>
          <w:sz w:val="16"/>
          <w:szCs w:val="16"/>
          <w:b w:val="1"/>
          <w:bCs w:val="1"/>
          <w:color w:val="0072CE"/>
        </w:rPr>
        <w:t xml:space="preserve"> </w:t>
      </w:r>
      <w:r>
        <w:rPr>
          <w:rFonts w:ascii="Arial" w:cs="Arial" w:eastAsia="Arial" w:hAnsi="Arial"/>
          <w:sz w:val="16"/>
          <w:szCs w:val="16"/>
          <w:color w:val="3D3935"/>
        </w:rPr>
        <w:t>senior leadership experience in corporate strategy, finance, sales and marketing, technology, and leadership development, as well as experience managing business-critical technology disruptions. Through her deep governance expertise – in particular, board governance – she works with management to develop enhanced disclosures and incorporate shareholder feedback.</w:t>
      </w:r>
    </w:p>
    <w:p>
      <w:pPr>
        <w:spacing w:after="0" w:line="46"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b w:val="1"/>
          <w:bCs w:val="1"/>
          <w:color w:val="0072CE"/>
        </w:rPr>
        <w:t>Other Public Company Directorships:</w:t>
      </w:r>
      <w:r>
        <w:rPr>
          <w:rFonts w:ascii="Arial" w:cs="Arial" w:eastAsia="Arial" w:hAnsi="Arial"/>
          <w:sz w:val="16"/>
          <w:szCs w:val="16"/>
          <w:color w:val="3D3935"/>
        </w:rPr>
        <w:t>Hewlett Packard</w:t>
      </w:r>
      <w:r>
        <w:rPr>
          <w:rFonts w:ascii="Arial" w:cs="Arial" w:eastAsia="Arial" w:hAnsi="Arial"/>
          <w:sz w:val="16"/>
          <w:szCs w:val="16"/>
          <w:b w:val="1"/>
          <w:bCs w:val="1"/>
          <w:color w:val="0072CE"/>
        </w:rPr>
        <w:t xml:space="preserve"> </w:t>
      </w:r>
      <w:r>
        <w:rPr>
          <w:rFonts w:ascii="Arial" w:cs="Arial" w:eastAsia="Arial" w:hAnsi="Arial"/>
          <w:sz w:val="16"/>
          <w:szCs w:val="16"/>
          <w:color w:val="3D3935"/>
        </w:rPr>
        <w:t>Enterprise Company (Chair), KKR &amp; Co. Inc., and Merck &amp; Co., Inc.</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0072CE"/>
        </w:rPr>
        <w:t>Prior Public Company Directorships (Past Five Years):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3D3935"/>
        </w:rPr>
        <w:t>None</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jc w:val="both"/>
        <w:ind w:left="334" w:right="460" w:hanging="334"/>
        <w:spacing w:after="0" w:line="180" w:lineRule="auto"/>
        <w:tabs>
          <w:tab w:leader="none" w:pos="334" w:val="left"/>
        </w:tabs>
        <w:numPr>
          <w:ilvl w:val="0"/>
          <w:numId w:val="26"/>
        </w:numPr>
        <w:rPr>
          <w:rFonts w:ascii="Arial" w:cs="Arial" w:eastAsia="Arial" w:hAnsi="Arial"/>
          <w:sz w:val="34"/>
          <w:szCs w:val="34"/>
          <w:b w:val="1"/>
          <w:bCs w:val="1"/>
          <w:color w:val="FFFFFF"/>
          <w:vertAlign w:val="subscript"/>
        </w:rPr>
      </w:pPr>
      <w:r>
        <w:rPr>
          <w:rFonts w:ascii="Arial" w:cs="Arial" w:eastAsia="Arial" w:hAnsi="Arial"/>
          <w:sz w:val="16"/>
          <w:szCs w:val="16"/>
          <w:b w:val="1"/>
          <w:bCs w:val="1"/>
          <w:color w:val="3D3935"/>
        </w:rPr>
        <w:t>As the Independent Lead Director, how do you help ensure the Board reviews the most critical topics?</w:t>
      </w:r>
    </w:p>
    <w:p>
      <w:pPr>
        <w:spacing w:after="0" w:line="130" w:lineRule="exact"/>
        <w:rPr>
          <w:sz w:val="20"/>
          <w:szCs w:val="20"/>
          <w:color w:val="auto"/>
        </w:rPr>
      </w:pPr>
    </w:p>
    <w:p>
      <w:pPr>
        <w:ind w:left="334" w:right="300" w:hanging="333"/>
        <w:spacing w:after="0" w:line="212" w:lineRule="auto"/>
        <w:tabs>
          <w:tab w:leader="none" w:pos="334" w:val="left"/>
        </w:tabs>
        <w:numPr>
          <w:ilvl w:val="0"/>
          <w:numId w:val="27"/>
        </w:numPr>
        <w:rPr>
          <w:rFonts w:ascii="Arial" w:cs="Arial" w:eastAsia="Arial" w:hAnsi="Arial"/>
          <w:sz w:val="36"/>
          <w:szCs w:val="36"/>
          <w:b w:val="1"/>
          <w:bCs w:val="1"/>
          <w:color w:val="FFFFFF"/>
          <w:vertAlign w:val="subscript"/>
        </w:rPr>
      </w:pPr>
      <w:r>
        <w:rPr>
          <w:rFonts w:ascii="Arial" w:cs="Arial" w:eastAsia="Arial" w:hAnsi="Arial"/>
          <w:sz w:val="16"/>
          <w:szCs w:val="16"/>
          <w:color w:val="3D3935"/>
        </w:rPr>
        <w:t>I have regular 1:1s with Mary and frequently seek input from each Board member to make sure everyone has a voice into which topics get time at our Board meetings. I also meet regularly with shareholders, which helps the Board assess topics that are top of mind with them. We also conclude each Board meeting with an extended executive session, where each Board member provides their observations on the meeting and suggestions for future topics. The key is to be flexible while maintaining focus on those topics that directly impact the Company’s long-term strategic pillars.</w:t>
      </w:r>
    </w:p>
    <w:p>
      <w:pPr>
        <w:spacing w:after="0" w:line="516" w:lineRule="exact"/>
        <w:rPr>
          <w:sz w:val="20"/>
          <w:szCs w:val="20"/>
          <w:color w:val="auto"/>
        </w:rPr>
      </w:pPr>
    </w:p>
    <w:p>
      <w:pPr>
        <w:sectPr>
          <w:pgSz w:w="11900" w:h="16838" w:orient="portrait"/>
          <w:cols w:equalWidth="0" w:num="3">
            <w:col w:w="1540" w:space="360"/>
            <w:col w:w="4180" w:space="286"/>
            <w:col w:w="2774"/>
          </w:cols>
          <w:pgMar w:left="1400" w:top="166" w:right="1359" w:bottom="0" w:gutter="0" w:footer="0" w:header="0"/>
          <w:type w:val="continuous"/>
        </w:sectPr>
      </w:pPr>
    </w:p>
    <w:p>
      <w:pPr>
        <w:spacing w:after="0" w:line="200" w:lineRule="exact"/>
        <w:rPr>
          <w:sz w:val="20"/>
          <w:szCs w:val="20"/>
          <w:color w:val="auto"/>
        </w:rPr>
      </w:pPr>
    </w:p>
    <w:p>
      <w:pPr>
        <w:spacing w:after="0" w:line="357" w:lineRule="exact"/>
        <w:rPr>
          <w:sz w:val="20"/>
          <w:szCs w:val="20"/>
          <w:color w:val="auto"/>
        </w:rPr>
      </w:pPr>
    </w:p>
    <w:p>
      <w:pPr>
        <w:ind w:left="7000"/>
        <w:spacing w:after="0"/>
        <w:tabs>
          <w:tab w:leader="none" w:pos="8860" w:val="left"/>
        </w:tabs>
        <w:rPr>
          <w:sz w:val="20"/>
          <w:szCs w:val="20"/>
          <w:color w:val="auto"/>
        </w:rPr>
      </w:pPr>
      <w:r>
        <w:rPr>
          <w:rFonts w:ascii="Arial" w:cs="Arial" w:eastAsia="Arial" w:hAnsi="Arial"/>
          <w:sz w:val="14"/>
          <w:szCs w:val="14"/>
          <w:b w:val="1"/>
          <w:bCs w:val="1"/>
          <w:color w:val="0072CE"/>
        </w:rPr>
        <w:t>2025 Proxy Statement</w:t>
      </w:r>
      <w:r>
        <w:rPr>
          <w:sz w:val="20"/>
          <w:szCs w:val="20"/>
          <w:color w:val="auto"/>
        </w:rPr>
        <w:tab/>
      </w:r>
      <w:r>
        <w:rPr>
          <w:rFonts w:ascii="Arial" w:cs="Arial" w:eastAsia="Arial" w:hAnsi="Arial"/>
          <w:sz w:val="14"/>
          <w:szCs w:val="14"/>
          <w:b w:val="1"/>
          <w:bCs w:val="1"/>
          <w:color w:val="3D3935"/>
        </w:rPr>
        <w:t>13</w:t>
      </w:r>
    </w:p>
    <w:p>
      <w:pPr>
        <w:sectPr>
          <w:pgSz w:w="11900" w:h="16838" w:orient="portrait"/>
          <w:cols w:equalWidth="0" w:num="1">
            <w:col w:w="9140"/>
          </w:cols>
          <w:pgMar w:left="1400" w:top="166" w:right="1359" w:bottom="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b w:val="1"/>
          <w:bCs w:val="1"/>
          <w:color w:val="0072CE"/>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89858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10375" cy="8985885"/>
                    </a:xfrm>
                    <a:prstGeom prst="rect">
                      <a:avLst/>
                    </a:prstGeom>
                    <a:noFill/>
                  </pic:spPr>
                </pic:pic>
              </a:graphicData>
            </a:graphic>
          </wp:anchor>
        </w:drawing>
        <w:t>ITEM 1 Annual Election of Directors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900"/>
        <w:spacing w:after="0"/>
        <w:rPr>
          <w:sz w:val="20"/>
          <w:szCs w:val="20"/>
          <w:color w:val="auto"/>
        </w:rPr>
      </w:pPr>
      <w:r>
        <w:rPr>
          <w:rFonts w:ascii="Arial" w:cs="Arial" w:eastAsia="Arial" w:hAnsi="Arial"/>
          <w:sz w:val="25"/>
          <w:szCs w:val="25"/>
          <w:b w:val="1"/>
          <w:bCs w:val="1"/>
          <w:color w:val="0072CE"/>
        </w:rPr>
        <w:t>Wesley G. Bush</w:t>
      </w:r>
      <w:r>
        <w:rPr>
          <w:rFonts w:ascii="Arial" w:cs="Arial" w:eastAsia="Arial" w:hAnsi="Arial"/>
          <w:sz w:val="17"/>
          <w:szCs w:val="17"/>
          <w:b w:val="1"/>
          <w:bCs w:val="1"/>
          <w:color w:val="3D3935"/>
        </w:rPr>
        <w:t>|</w:t>
      </w:r>
      <w:r>
        <w:rPr>
          <w:rFonts w:ascii="Arial" w:cs="Arial" w:eastAsia="Arial" w:hAnsi="Arial"/>
          <w:sz w:val="25"/>
          <w:szCs w:val="25"/>
          <w:b w:val="1"/>
          <w:bCs w:val="1"/>
          <w:color w:val="0072CE"/>
        </w:rPr>
        <w:t xml:space="preserve"> </w:t>
      </w:r>
      <w:r>
        <w:rPr>
          <w:rFonts w:ascii="Arial" w:cs="Arial" w:eastAsia="Arial" w:hAnsi="Arial"/>
          <w:sz w:val="25"/>
          <w:szCs w:val="25"/>
          <w:b w:val="1"/>
          <w:bCs w:val="1"/>
          <w:color w:val="3D3935"/>
        </w:rPr>
        <w:t>64</w:t>
      </w:r>
    </w:p>
    <w:p>
      <w:pPr>
        <w:spacing w:after="0" w:line="39" w:lineRule="exact"/>
        <w:rPr>
          <w:sz w:val="20"/>
          <w:szCs w:val="20"/>
          <w:color w:val="auto"/>
        </w:rPr>
      </w:pPr>
    </w:p>
    <w:p>
      <w:pPr>
        <w:jc w:val="right"/>
        <w:ind w:right="3120"/>
        <w:spacing w:after="0"/>
        <w:rPr>
          <w:sz w:val="20"/>
          <w:szCs w:val="20"/>
          <w:color w:val="auto"/>
        </w:rPr>
      </w:pPr>
      <w:r>
        <w:rPr>
          <w:rFonts w:ascii="Arial" w:cs="Arial" w:eastAsia="Arial" w:hAnsi="Arial"/>
          <w:sz w:val="14"/>
          <w:szCs w:val="14"/>
          <w:b w:val="1"/>
          <w:bCs w:val="1"/>
          <w:color w:val="3D3935"/>
        </w:rPr>
        <w:t>Retired Chairman and CEO, Northrop Grumman Corporation</w:t>
      </w:r>
    </w:p>
    <w:p>
      <w:pPr>
        <w:sectPr>
          <w:pgSz w:w="11900" w:h="16838" w:orient="portrait"/>
          <w:cols w:equalWidth="0" w:num="1">
            <w:col w:w="9140"/>
          </w:cols>
          <w:pgMar w:left="1400" w:top="711" w:right="1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 xml:space="preserve">Gender: </w:t>
      </w:r>
      <w:r>
        <w:rPr>
          <w:rFonts w:ascii="Arial" w:cs="Arial" w:eastAsia="Arial" w:hAnsi="Arial"/>
          <w:sz w:val="14"/>
          <w:szCs w:val="14"/>
          <w:color w:val="3D3935"/>
        </w:rPr>
        <w:t>Male</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 xml:space="preserve">Director since: </w:t>
      </w:r>
      <w:r>
        <w:rPr>
          <w:rFonts w:ascii="Arial" w:cs="Arial" w:eastAsia="Arial" w:hAnsi="Arial"/>
          <w:sz w:val="14"/>
          <w:szCs w:val="14"/>
          <w:color w:val="3D3935"/>
        </w:rPr>
        <w:t>2019</w:t>
      </w:r>
    </w:p>
    <w:p>
      <w:pPr>
        <w:ind w:left="60"/>
        <w:spacing w:after="0" w:line="241" w:lineRule="auto"/>
        <w:rPr>
          <w:sz w:val="20"/>
          <w:szCs w:val="20"/>
          <w:color w:val="auto"/>
        </w:rPr>
      </w:pPr>
      <w:r>
        <w:rPr>
          <w:rFonts w:ascii="Arial" w:cs="Arial" w:eastAsia="Arial" w:hAnsi="Arial"/>
          <w:sz w:val="14"/>
          <w:szCs w:val="14"/>
          <w:b w:val="1"/>
          <w:bCs w:val="1"/>
          <w:color w:val="0072CE"/>
        </w:rPr>
        <w:t xml:space="preserve">Race/Ethnicity: </w:t>
      </w:r>
      <w:r>
        <w:rPr>
          <w:rFonts w:ascii="Arial" w:cs="Arial" w:eastAsia="Arial" w:hAnsi="Arial"/>
          <w:sz w:val="14"/>
          <w:szCs w:val="14"/>
          <w:color w:val="3D3935"/>
        </w:rPr>
        <w:t>White</w:t>
      </w:r>
      <w:r>
        <w:rPr>
          <w:rFonts w:ascii="Arial" w:cs="Arial" w:eastAsia="Arial" w:hAnsi="Arial"/>
          <w:sz w:val="14"/>
          <w:szCs w:val="14"/>
          <w:b w:val="1"/>
          <w:bCs w:val="1"/>
          <w:color w:val="0072CE"/>
        </w:rPr>
        <w:t xml:space="preserve"> Committees:</w:t>
      </w:r>
    </w:p>
    <w:p>
      <w:pPr>
        <w:ind w:left="60"/>
        <w:spacing w:after="0" w:line="222" w:lineRule="auto"/>
        <w:rPr>
          <w:sz w:val="20"/>
          <w:szCs w:val="20"/>
          <w:color w:val="auto"/>
        </w:rPr>
      </w:pPr>
      <w:r>
        <w:rPr>
          <w:rFonts w:ascii="Arial" w:cs="Arial" w:eastAsia="Arial" w:hAnsi="Arial"/>
          <w:sz w:val="14"/>
          <w:szCs w:val="14"/>
          <w:color w:val="3D3935"/>
        </w:rPr>
        <w:t>Audit</w:t>
      </w:r>
    </w:p>
    <w:p>
      <w:pPr>
        <w:ind w:left="60"/>
        <w:spacing w:after="0"/>
        <w:rPr>
          <w:sz w:val="20"/>
          <w:szCs w:val="20"/>
          <w:color w:val="auto"/>
        </w:rPr>
      </w:pPr>
      <w:r>
        <w:rPr>
          <w:rFonts w:ascii="Arial" w:cs="Arial" w:eastAsia="Arial" w:hAnsi="Arial"/>
          <w:sz w:val="14"/>
          <w:szCs w:val="14"/>
          <w:color w:val="3D3935"/>
        </w:rPr>
        <w:t>Compensation (Chair)</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Executive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Finance</w:t>
      </w:r>
    </w:p>
    <w:p>
      <w:pPr>
        <w:spacing w:after="0" w:line="200" w:lineRule="exact"/>
        <w:rPr>
          <w:sz w:val="20"/>
          <w:szCs w:val="20"/>
          <w:color w:val="auto"/>
        </w:rPr>
      </w:pPr>
    </w:p>
    <w:p>
      <w:pPr>
        <w:spacing w:after="0" w:line="36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Current GM Model:</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GMC Yukon</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Skillset:</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Cyber</w:t>
      </w:r>
    </w:p>
    <w:p>
      <w:pPr>
        <w:ind w:left="60"/>
        <w:spacing w:after="0"/>
        <w:rPr>
          <w:sz w:val="20"/>
          <w:szCs w:val="20"/>
          <w:color w:val="auto"/>
        </w:rPr>
      </w:pPr>
      <w:r>
        <w:rPr>
          <w:rFonts w:ascii="Arial" w:cs="Arial" w:eastAsia="Arial" w:hAnsi="Arial"/>
          <w:sz w:val="14"/>
          <w:szCs w:val="14"/>
          <w:color w:val="3D3935"/>
        </w:rPr>
        <w:t>Environmental</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Finance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Governance</w:t>
      </w:r>
    </w:p>
    <w:p>
      <w:pPr>
        <w:ind w:left="60"/>
        <w:spacing w:after="0" w:line="222" w:lineRule="auto"/>
        <w:rPr>
          <w:sz w:val="20"/>
          <w:szCs w:val="20"/>
          <w:color w:val="auto"/>
        </w:rPr>
      </w:pPr>
      <w:r>
        <w:rPr>
          <w:rFonts w:ascii="Arial" w:cs="Arial" w:eastAsia="Arial" w:hAnsi="Arial"/>
          <w:sz w:val="14"/>
          <w:szCs w:val="14"/>
          <w:color w:val="3D3935"/>
        </w:rPr>
        <w:t>Manufacturing</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Public Company CEO</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Risk Management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Social</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Technology</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right="220"/>
        <w:spacing w:after="0" w:line="238" w:lineRule="auto"/>
        <w:rPr>
          <w:sz w:val="20"/>
          <w:szCs w:val="20"/>
          <w:color w:val="auto"/>
        </w:rPr>
      </w:pPr>
      <w:r>
        <w:rPr>
          <w:rFonts w:ascii="Arial" w:cs="Arial" w:eastAsia="Arial" w:hAnsi="Arial"/>
          <w:sz w:val="16"/>
          <w:szCs w:val="16"/>
          <w:b w:val="1"/>
          <w:bCs w:val="1"/>
          <w:color w:val="0072CE"/>
        </w:rPr>
        <w:t xml:space="preserve">Experience: </w:t>
      </w:r>
      <w:r>
        <w:rPr>
          <w:rFonts w:ascii="Arial" w:cs="Arial" w:eastAsia="Arial" w:hAnsi="Arial"/>
          <w:sz w:val="16"/>
          <w:szCs w:val="16"/>
          <w:color w:val="3D3935"/>
        </w:rPr>
        <w:t>Mr. Bush served as Chairman of Northrop</w:t>
      </w:r>
      <w:r>
        <w:rPr>
          <w:rFonts w:ascii="Arial" w:cs="Arial" w:eastAsia="Arial" w:hAnsi="Arial"/>
          <w:sz w:val="16"/>
          <w:szCs w:val="16"/>
          <w:b w:val="1"/>
          <w:bCs w:val="1"/>
          <w:color w:val="0072CE"/>
        </w:rPr>
        <w:t xml:space="preserve"> </w:t>
      </w:r>
      <w:r>
        <w:rPr>
          <w:rFonts w:ascii="Arial" w:cs="Arial" w:eastAsia="Arial" w:hAnsi="Arial"/>
          <w:sz w:val="16"/>
          <w:szCs w:val="16"/>
          <w:color w:val="3D3935"/>
        </w:rPr>
        <w:t>Grumman’s board of directors from 2011 to 2019. He also served as the CEO of Northrop Grumman from 2010 to 2018. Prior to that, Mr. Bush served in numerous leadership roles at Northrop Grumman, including President and Chief Operating Officer, CFO, and President of the Space Technology sector. He also served in a variety of leadership positions at TRW, Inc. before it was acquired by Northrop Grumman in 2002.</w:t>
      </w:r>
    </w:p>
    <w:p>
      <w:pPr>
        <w:spacing w:after="0" w:line="72" w:lineRule="exact"/>
        <w:rPr>
          <w:sz w:val="20"/>
          <w:szCs w:val="20"/>
          <w:color w:val="auto"/>
        </w:rPr>
      </w:pPr>
    </w:p>
    <w:p>
      <w:pPr>
        <w:ind w:right="120"/>
        <w:spacing w:after="0" w:line="236" w:lineRule="auto"/>
        <w:rPr>
          <w:sz w:val="20"/>
          <w:szCs w:val="20"/>
          <w:color w:val="auto"/>
        </w:rPr>
      </w:pPr>
      <w:r>
        <w:rPr>
          <w:rFonts w:ascii="Arial" w:cs="Arial" w:eastAsia="Arial" w:hAnsi="Arial"/>
          <w:sz w:val="16"/>
          <w:szCs w:val="16"/>
          <w:b w:val="1"/>
          <w:bCs w:val="1"/>
          <w:color w:val="0072CE"/>
        </w:rPr>
        <w:t xml:space="preserve">Reasons for Nomination: </w:t>
      </w:r>
      <w:r>
        <w:rPr>
          <w:rFonts w:ascii="Arial" w:cs="Arial" w:eastAsia="Arial" w:hAnsi="Arial"/>
          <w:sz w:val="16"/>
          <w:szCs w:val="16"/>
          <w:color w:val="3D3935"/>
        </w:rPr>
        <w:t>Mr. Bush has valuable</w:t>
      </w:r>
      <w:r>
        <w:rPr>
          <w:rFonts w:ascii="Arial" w:cs="Arial" w:eastAsia="Arial" w:hAnsi="Arial"/>
          <w:sz w:val="16"/>
          <w:szCs w:val="16"/>
          <w:b w:val="1"/>
          <w:bCs w:val="1"/>
          <w:color w:val="0072CE"/>
        </w:rPr>
        <w:t xml:space="preserve"> </w:t>
      </w:r>
      <w:r>
        <w:rPr>
          <w:rFonts w:ascii="Arial" w:cs="Arial" w:eastAsia="Arial" w:hAnsi="Arial"/>
          <w:sz w:val="16"/>
          <w:szCs w:val="16"/>
          <w:color w:val="3D3935"/>
        </w:rPr>
        <w:t>experience in leading a manufacturing enterprise known for its advanced engineering and technology. He also has strong financial acumen gained through his finance leadership roles and has knowledge of key governance issues, including risk management and executive compensation plan design. Mr. Bush has also developed environmental experience as a member of the board of Conservation International.</w:t>
      </w:r>
    </w:p>
    <w:p>
      <w:pPr>
        <w:spacing w:after="0" w:line="86" w:lineRule="exact"/>
        <w:rPr>
          <w:sz w:val="20"/>
          <w:szCs w:val="20"/>
          <w:color w:val="auto"/>
        </w:rPr>
      </w:pPr>
    </w:p>
    <w:p>
      <w:pPr>
        <w:spacing w:after="0"/>
        <w:tabs>
          <w:tab w:leader="none" w:pos="3060" w:val="left"/>
        </w:tabs>
        <w:rPr>
          <w:sz w:val="20"/>
          <w:szCs w:val="20"/>
          <w:color w:val="auto"/>
        </w:rPr>
      </w:pPr>
      <w:r>
        <w:rPr>
          <w:rFonts w:ascii="Arial" w:cs="Arial" w:eastAsia="Arial" w:hAnsi="Arial"/>
          <w:sz w:val="16"/>
          <w:szCs w:val="16"/>
          <w:b w:val="1"/>
          <w:bCs w:val="1"/>
          <w:color w:val="0072CE"/>
        </w:rPr>
        <w:t>Other Public Company Directorships:</w:t>
      </w:r>
      <w:r>
        <w:rPr>
          <w:sz w:val="20"/>
          <w:szCs w:val="20"/>
          <w:color w:val="auto"/>
        </w:rPr>
        <w:tab/>
      </w:r>
      <w:r>
        <w:rPr>
          <w:rFonts w:ascii="Arial" w:cs="Arial" w:eastAsia="Arial" w:hAnsi="Arial"/>
          <w:sz w:val="16"/>
          <w:szCs w:val="16"/>
          <w:color w:val="3D3935"/>
        </w:rPr>
        <w:t>Dow Inc. and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3D3935"/>
        </w:rPr>
        <w:t>Cisco Systems, Inc.</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0072CE"/>
        </w:rPr>
        <w:t>Prior Public Company Directorships (Past Five Years):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3D3935"/>
        </w:rPr>
        <w:t>None</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334" w:right="220" w:hanging="334"/>
        <w:spacing w:after="0" w:line="182" w:lineRule="auto"/>
        <w:tabs>
          <w:tab w:leader="none" w:pos="334" w:val="left"/>
        </w:tabs>
        <w:numPr>
          <w:ilvl w:val="0"/>
          <w:numId w:val="28"/>
        </w:numPr>
        <w:rPr>
          <w:rFonts w:ascii="Arial" w:cs="Arial" w:eastAsia="Arial" w:hAnsi="Arial"/>
          <w:sz w:val="28"/>
          <w:szCs w:val="28"/>
          <w:b w:val="1"/>
          <w:bCs w:val="1"/>
          <w:color w:val="FFFFFF"/>
          <w:vertAlign w:val="subscript"/>
        </w:rPr>
      </w:pPr>
      <w:r>
        <w:rPr>
          <w:rFonts w:ascii="Arial" w:cs="Arial" w:eastAsia="Arial" w:hAnsi="Arial"/>
          <w:sz w:val="14"/>
          <w:szCs w:val="14"/>
          <w:b w:val="1"/>
          <w:bCs w:val="1"/>
          <w:color w:val="3D3935"/>
        </w:rPr>
        <w:t>How does the Board help the Company recruit from the</w:t>
      </w:r>
    </w:p>
    <w:p>
      <w:pPr>
        <w:spacing w:after="0" w:line="1" w:lineRule="exact"/>
        <w:rPr>
          <w:sz w:val="20"/>
          <w:szCs w:val="20"/>
          <w:color w:val="auto"/>
        </w:rPr>
      </w:pPr>
    </w:p>
    <w:p>
      <w:pPr>
        <w:ind w:left="334"/>
        <w:spacing w:after="0"/>
        <w:rPr>
          <w:sz w:val="20"/>
          <w:szCs w:val="20"/>
          <w:color w:val="auto"/>
        </w:rPr>
      </w:pPr>
      <w:r>
        <w:rPr>
          <w:rFonts w:ascii="Arial" w:cs="Arial" w:eastAsia="Arial" w:hAnsi="Arial"/>
          <w:sz w:val="16"/>
          <w:szCs w:val="16"/>
          <w:b w:val="1"/>
          <w:bCs w:val="1"/>
          <w:color w:val="3D3935"/>
        </w:rPr>
        <w:t>technology industry?</w:t>
      </w:r>
    </w:p>
    <w:p>
      <w:pPr>
        <w:spacing w:after="0" w:line="178" w:lineRule="exact"/>
        <w:rPr>
          <w:sz w:val="20"/>
          <w:szCs w:val="20"/>
          <w:color w:val="auto"/>
        </w:rPr>
      </w:pPr>
    </w:p>
    <w:p>
      <w:pPr>
        <w:ind w:left="334" w:right="300" w:hanging="333"/>
        <w:spacing w:after="0" w:line="259" w:lineRule="auto"/>
        <w:tabs>
          <w:tab w:leader="none" w:pos="334" w:val="left"/>
        </w:tabs>
        <w:numPr>
          <w:ilvl w:val="0"/>
          <w:numId w:val="29"/>
        </w:numPr>
        <w:rPr>
          <w:rFonts w:ascii="Arial" w:cs="Arial" w:eastAsia="Arial" w:hAnsi="Arial"/>
          <w:sz w:val="36"/>
          <w:szCs w:val="36"/>
          <w:b w:val="1"/>
          <w:bCs w:val="1"/>
          <w:color w:val="FFFFFF"/>
          <w:vertAlign w:val="subscript"/>
        </w:rPr>
      </w:pPr>
      <w:r>
        <w:rPr>
          <w:rFonts w:ascii="Arial" w:cs="Arial" w:eastAsia="Arial" w:hAnsi="Arial"/>
          <w:sz w:val="16"/>
          <w:szCs w:val="16"/>
          <w:color w:val="3D3935"/>
        </w:rPr>
        <w:t>Technology is a critical driver of every part of our business and underpins each pillar of our transformation strategy, so management needs to hire the right talent, often from premier technology companies. To make the Company an employer of choice, the Board is focused on creating a compensation structure that helps attract this critical talent. You can read more about our strategy on page 46 of this</w:t>
      </w:r>
    </w:p>
    <w:p>
      <w:pPr>
        <w:ind w:left="334"/>
        <w:spacing w:after="0"/>
        <w:rPr>
          <w:rFonts w:ascii="Arial" w:cs="Arial" w:eastAsia="Arial" w:hAnsi="Arial"/>
          <w:sz w:val="36"/>
          <w:szCs w:val="36"/>
          <w:b w:val="1"/>
          <w:bCs w:val="1"/>
          <w:color w:val="FFFFFF"/>
          <w:vertAlign w:val="subscript"/>
        </w:rPr>
      </w:pPr>
      <w:r>
        <w:rPr>
          <w:rFonts w:ascii="Arial" w:cs="Arial" w:eastAsia="Arial" w:hAnsi="Arial"/>
          <w:sz w:val="16"/>
          <w:szCs w:val="16"/>
          <w:color w:val="3D3935"/>
        </w:rPr>
        <w:t>Proxy Statement.</w:t>
      </w:r>
    </w:p>
    <w:p>
      <w:pPr>
        <w:spacing w:after="0" w:line="965" w:lineRule="exact"/>
        <w:rPr>
          <w:sz w:val="20"/>
          <w:szCs w:val="20"/>
          <w:color w:val="auto"/>
        </w:rPr>
      </w:pPr>
    </w:p>
    <w:p>
      <w:pPr>
        <w:sectPr>
          <w:pgSz w:w="11900" w:h="16838" w:orient="portrait"/>
          <w:cols w:equalWidth="0" w:num="3">
            <w:col w:w="1540" w:space="360"/>
            <w:col w:w="4180" w:space="286"/>
            <w:col w:w="2774"/>
          </w:cols>
          <w:pgMar w:left="1400" w:top="711" w:right="1359" w:bottom="0" w:gutter="0" w:footer="0" w:header="0"/>
          <w:type w:val="continuous"/>
        </w:sectPr>
      </w:pPr>
    </w:p>
    <w:p>
      <w:pPr>
        <w:spacing w:after="0" w:line="163" w:lineRule="exact"/>
        <w:rPr>
          <w:sz w:val="20"/>
          <w:szCs w:val="20"/>
          <w:color w:val="auto"/>
        </w:rPr>
      </w:pPr>
    </w:p>
    <w:p>
      <w:pPr>
        <w:ind w:left="1900"/>
        <w:spacing w:after="0"/>
        <w:rPr>
          <w:sz w:val="20"/>
          <w:szCs w:val="20"/>
          <w:color w:val="auto"/>
        </w:rPr>
      </w:pPr>
      <w:r>
        <w:rPr>
          <w:rFonts w:ascii="Arial" w:cs="Arial" w:eastAsia="Arial" w:hAnsi="Arial"/>
          <w:sz w:val="25"/>
          <w:szCs w:val="25"/>
          <w:b w:val="1"/>
          <w:bCs w:val="1"/>
          <w:color w:val="0072CE"/>
        </w:rPr>
        <w:t>Joanne C. Crevoiserat</w:t>
      </w:r>
      <w:r>
        <w:rPr>
          <w:rFonts w:ascii="Arial" w:cs="Arial" w:eastAsia="Arial" w:hAnsi="Arial"/>
          <w:sz w:val="17"/>
          <w:szCs w:val="17"/>
          <w:b w:val="1"/>
          <w:bCs w:val="1"/>
          <w:color w:val="3D3935"/>
        </w:rPr>
        <w:t>|</w:t>
      </w:r>
      <w:r>
        <w:rPr>
          <w:rFonts w:ascii="Arial" w:cs="Arial" w:eastAsia="Arial" w:hAnsi="Arial"/>
          <w:sz w:val="25"/>
          <w:szCs w:val="25"/>
          <w:b w:val="1"/>
          <w:bCs w:val="1"/>
          <w:color w:val="0072CE"/>
        </w:rPr>
        <w:t xml:space="preserve"> </w:t>
      </w:r>
      <w:r>
        <w:rPr>
          <w:rFonts w:ascii="Arial" w:cs="Arial" w:eastAsia="Arial" w:hAnsi="Arial"/>
          <w:sz w:val="25"/>
          <w:szCs w:val="25"/>
          <w:b w:val="1"/>
          <w:bCs w:val="1"/>
          <w:color w:val="3D3935"/>
        </w:rPr>
        <w:t xml:space="preserve">61 </w:t>
      </w:r>
      <w:r>
        <w:rPr>
          <w:sz w:val="1"/>
          <w:szCs w:val="1"/>
          <w:color w:val="auto"/>
        </w:rPr>
        <w:drawing>
          <wp:inline distT="0" distB="0" distL="0" distR="0">
            <wp:extent cx="557530" cy="11112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7530" cy="111125"/>
                    </a:xfrm>
                    <a:prstGeom prst="rect">
                      <a:avLst/>
                    </a:prstGeom>
                    <a:noFill/>
                    <a:ln>
                      <a:noFill/>
                    </a:ln>
                  </pic:spPr>
                </pic:pic>
              </a:graphicData>
            </a:graphic>
          </wp:inline>
        </w:drawing>
      </w:r>
    </w:p>
    <w:p>
      <w:pPr>
        <w:spacing w:after="0" w:line="25"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3D3935"/>
        </w:rPr>
        <w:t>CEO, Tapestry, Inc</w:t>
      </w:r>
    </w:p>
    <w:p>
      <w:pPr>
        <w:sectPr>
          <w:pgSz w:w="11900" w:h="16838" w:orient="portrait"/>
          <w:cols w:equalWidth="0" w:num="1">
            <w:col w:w="9140"/>
          </w:cols>
          <w:pgMar w:left="1400" w:top="711" w:right="13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 xml:space="preserve">Gender: </w:t>
      </w:r>
      <w:r>
        <w:rPr>
          <w:rFonts w:ascii="Arial" w:cs="Arial" w:eastAsia="Arial" w:hAnsi="Arial"/>
          <w:sz w:val="14"/>
          <w:szCs w:val="14"/>
          <w:color w:val="3D3935"/>
        </w:rPr>
        <w:t>Female</w:t>
      </w:r>
    </w:p>
    <w:p>
      <w:pPr>
        <w:spacing w:after="0" w:line="2" w:lineRule="exact"/>
        <w:rPr>
          <w:sz w:val="20"/>
          <w:szCs w:val="20"/>
          <w:color w:val="auto"/>
        </w:rPr>
      </w:pPr>
    </w:p>
    <w:p>
      <w:pPr>
        <w:ind w:left="60"/>
        <w:spacing w:after="0" w:line="241" w:lineRule="auto"/>
        <w:rPr>
          <w:sz w:val="20"/>
          <w:szCs w:val="20"/>
          <w:color w:val="auto"/>
        </w:rPr>
      </w:pPr>
      <w:r>
        <w:rPr>
          <w:rFonts w:ascii="Arial" w:cs="Arial" w:eastAsia="Arial" w:hAnsi="Arial"/>
          <w:sz w:val="14"/>
          <w:szCs w:val="14"/>
          <w:b w:val="1"/>
          <w:bCs w:val="1"/>
          <w:color w:val="0072CE"/>
        </w:rPr>
        <w:t xml:space="preserve">Director since: </w:t>
      </w:r>
      <w:r>
        <w:rPr>
          <w:rFonts w:ascii="Arial" w:cs="Arial" w:eastAsia="Arial" w:hAnsi="Arial"/>
          <w:sz w:val="14"/>
          <w:szCs w:val="14"/>
          <w:color w:val="3D3935"/>
        </w:rPr>
        <w:t>2022</w:t>
      </w:r>
      <w:r>
        <w:rPr>
          <w:rFonts w:ascii="Arial" w:cs="Arial" w:eastAsia="Arial" w:hAnsi="Arial"/>
          <w:sz w:val="14"/>
          <w:szCs w:val="14"/>
          <w:b w:val="1"/>
          <w:bCs w:val="1"/>
          <w:color w:val="0072CE"/>
        </w:rPr>
        <w:t xml:space="preserve"> Race/Ethnicity: </w:t>
      </w:r>
      <w:r>
        <w:rPr>
          <w:rFonts w:ascii="Arial" w:cs="Arial" w:eastAsia="Arial" w:hAnsi="Arial"/>
          <w:sz w:val="14"/>
          <w:szCs w:val="14"/>
          <w:color w:val="3D3935"/>
        </w:rPr>
        <w:t>White</w:t>
      </w:r>
      <w:r>
        <w:rPr>
          <w:rFonts w:ascii="Arial" w:cs="Arial" w:eastAsia="Arial" w:hAnsi="Arial"/>
          <w:sz w:val="14"/>
          <w:szCs w:val="14"/>
          <w:b w:val="1"/>
          <w:bCs w:val="1"/>
          <w:color w:val="0072CE"/>
        </w:rPr>
        <w:t xml:space="preserve"> Committees:</w:t>
      </w:r>
    </w:p>
    <w:p>
      <w:pPr>
        <w:ind w:left="60"/>
        <w:spacing w:after="0" w:line="222" w:lineRule="auto"/>
        <w:rPr>
          <w:sz w:val="20"/>
          <w:szCs w:val="20"/>
          <w:color w:val="auto"/>
        </w:rPr>
      </w:pPr>
      <w:r>
        <w:rPr>
          <w:rFonts w:ascii="Arial" w:cs="Arial" w:eastAsia="Arial" w:hAnsi="Arial"/>
          <w:sz w:val="14"/>
          <w:szCs w:val="14"/>
          <w:color w:val="3D3935"/>
        </w:rPr>
        <w:t>Audit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Finance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Governance</w:t>
      </w: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Current GM Model:</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Cadillac LYRIQ</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Skillset:</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Environmental</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Finance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Governance</w:t>
      </w:r>
    </w:p>
    <w:p>
      <w:pPr>
        <w:ind w:left="60"/>
        <w:spacing w:after="0" w:line="222" w:lineRule="auto"/>
        <w:rPr>
          <w:sz w:val="20"/>
          <w:szCs w:val="20"/>
          <w:color w:val="auto"/>
        </w:rPr>
      </w:pPr>
      <w:r>
        <w:rPr>
          <w:rFonts w:ascii="Arial" w:cs="Arial" w:eastAsia="Arial" w:hAnsi="Arial"/>
          <w:sz w:val="14"/>
          <w:szCs w:val="14"/>
          <w:color w:val="3D3935"/>
        </w:rPr>
        <w:t>Manufacturing</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Marketing</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Public Company CEO</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Risk Management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Social</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right="240"/>
        <w:spacing w:after="0"/>
        <w:rPr>
          <w:sz w:val="20"/>
          <w:szCs w:val="20"/>
          <w:color w:val="auto"/>
        </w:rPr>
      </w:pPr>
      <w:r>
        <w:rPr>
          <w:rFonts w:ascii="Arial" w:cs="Arial" w:eastAsia="Arial" w:hAnsi="Arial"/>
          <w:sz w:val="16"/>
          <w:szCs w:val="16"/>
          <w:b w:val="1"/>
          <w:bCs w:val="1"/>
          <w:color w:val="0072CE"/>
        </w:rPr>
        <w:t xml:space="preserve">Experience: </w:t>
      </w:r>
      <w:r>
        <w:rPr>
          <w:rFonts w:ascii="Arial" w:cs="Arial" w:eastAsia="Arial" w:hAnsi="Arial"/>
          <w:sz w:val="16"/>
          <w:szCs w:val="16"/>
          <w:color w:val="3D3935"/>
        </w:rPr>
        <w:t>Since October 2020, Ms. Crevoiserat has</w:t>
      </w:r>
      <w:r>
        <w:rPr>
          <w:rFonts w:ascii="Arial" w:cs="Arial" w:eastAsia="Arial" w:hAnsi="Arial"/>
          <w:sz w:val="16"/>
          <w:szCs w:val="16"/>
          <w:b w:val="1"/>
          <w:bCs w:val="1"/>
          <w:color w:val="0072CE"/>
        </w:rPr>
        <w:t xml:space="preserve"> </w:t>
      </w:r>
      <w:r>
        <w:rPr>
          <w:rFonts w:ascii="Arial" w:cs="Arial" w:eastAsia="Arial" w:hAnsi="Arial"/>
          <w:sz w:val="16"/>
          <w:szCs w:val="16"/>
          <w:color w:val="3D3935"/>
        </w:rPr>
        <w:t>been CEO and a member of the board of Tapestry, Inc. Prior to her appointment as interim CEO in July 2020, she served as the CFO. She also previously served in senior roles at Abercrombie &amp; Fitch Co., Kohl’s Inc., Wal-Mart Stores, Inc., and May Department Stores.</w:t>
      </w:r>
    </w:p>
    <w:p>
      <w:pPr>
        <w:spacing w:after="0" w:line="71" w:lineRule="exact"/>
        <w:rPr>
          <w:sz w:val="20"/>
          <w:szCs w:val="20"/>
          <w:color w:val="auto"/>
        </w:rPr>
      </w:pPr>
    </w:p>
    <w:p>
      <w:pPr>
        <w:ind w:right="100"/>
        <w:spacing w:after="0" w:line="236" w:lineRule="auto"/>
        <w:rPr>
          <w:sz w:val="20"/>
          <w:szCs w:val="20"/>
          <w:color w:val="auto"/>
        </w:rPr>
      </w:pPr>
      <w:r>
        <w:rPr>
          <w:rFonts w:ascii="Arial" w:cs="Arial" w:eastAsia="Arial" w:hAnsi="Arial"/>
          <w:sz w:val="16"/>
          <w:szCs w:val="16"/>
          <w:b w:val="1"/>
          <w:bCs w:val="1"/>
          <w:color w:val="0072CE"/>
        </w:rPr>
        <w:t>Reasons for Nomination:</w:t>
      </w:r>
      <w:r>
        <w:rPr>
          <w:rFonts w:ascii="Arial" w:cs="Arial" w:eastAsia="Arial" w:hAnsi="Arial"/>
          <w:sz w:val="16"/>
          <w:szCs w:val="16"/>
          <w:color w:val="3D3935"/>
        </w:rPr>
        <w:t>Ms. Crevoiserat has cultivated</w:t>
      </w:r>
      <w:r>
        <w:rPr>
          <w:rFonts w:ascii="Arial" w:cs="Arial" w:eastAsia="Arial" w:hAnsi="Arial"/>
          <w:sz w:val="16"/>
          <w:szCs w:val="16"/>
          <w:b w:val="1"/>
          <w:bCs w:val="1"/>
          <w:color w:val="0072CE"/>
        </w:rPr>
        <w:t xml:space="preserve"> </w:t>
      </w:r>
      <w:r>
        <w:rPr>
          <w:rFonts w:ascii="Arial" w:cs="Arial" w:eastAsia="Arial" w:hAnsi="Arial"/>
          <w:sz w:val="16"/>
          <w:szCs w:val="16"/>
          <w:color w:val="3D3935"/>
        </w:rPr>
        <w:t>an extensive background in financial expertise and brand development. Her leadership capabilities, demonstrated through her various senior leadership retail positions, help the Company as it grows its global consumer brands through consumer-centric, digital, and data-driven initiatives. Ms. Crevoiserat also has social and environmental proficiency which she has gained through her experience in the retail industry and which allows her to provide unique oversight of supply chain governance and sustainable material sourcing.</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072CE"/>
        </w:rPr>
        <w:t>Other Public Company Directorships:</w:t>
      </w:r>
      <w:r>
        <w:rPr>
          <w:rFonts w:ascii="Arial" w:cs="Arial" w:eastAsia="Arial" w:hAnsi="Arial"/>
          <w:sz w:val="16"/>
          <w:szCs w:val="16"/>
          <w:color w:val="3D3935"/>
        </w:rPr>
        <w:t>Tapestry, Inc.</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0072CE"/>
        </w:rPr>
        <w:t>Prior Public Company Directorships (Past Five Years):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3D3935"/>
        </w:rPr>
        <w:t>At Home Group Inc.</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334" w:right="220" w:hanging="334"/>
        <w:spacing w:after="0" w:line="182" w:lineRule="auto"/>
        <w:tabs>
          <w:tab w:leader="none" w:pos="334" w:val="left"/>
        </w:tabs>
        <w:numPr>
          <w:ilvl w:val="0"/>
          <w:numId w:val="30"/>
        </w:numPr>
        <w:rPr>
          <w:rFonts w:ascii="Arial" w:cs="Arial" w:eastAsia="Arial" w:hAnsi="Arial"/>
          <w:sz w:val="28"/>
          <w:szCs w:val="28"/>
          <w:b w:val="1"/>
          <w:bCs w:val="1"/>
          <w:color w:val="FFFFFF"/>
          <w:vertAlign w:val="subscript"/>
        </w:rPr>
      </w:pPr>
      <w:r>
        <w:rPr>
          <w:rFonts w:ascii="Arial" w:cs="Arial" w:eastAsia="Arial" w:hAnsi="Arial"/>
          <w:sz w:val="14"/>
          <w:szCs w:val="14"/>
          <w:b w:val="1"/>
          <w:bCs w:val="1"/>
          <w:color w:val="3D3935"/>
        </w:rPr>
        <w:t>How does the Board monitor culture to align with the</w:t>
      </w:r>
    </w:p>
    <w:p>
      <w:pPr>
        <w:spacing w:after="0" w:line="1" w:lineRule="exact"/>
        <w:rPr>
          <w:sz w:val="20"/>
          <w:szCs w:val="20"/>
          <w:color w:val="auto"/>
        </w:rPr>
      </w:pPr>
    </w:p>
    <w:p>
      <w:pPr>
        <w:ind w:left="334"/>
        <w:spacing w:after="0"/>
        <w:rPr>
          <w:sz w:val="20"/>
          <w:szCs w:val="20"/>
          <w:color w:val="auto"/>
        </w:rPr>
      </w:pPr>
      <w:r>
        <w:rPr>
          <w:rFonts w:ascii="Arial" w:cs="Arial" w:eastAsia="Arial" w:hAnsi="Arial"/>
          <w:sz w:val="16"/>
          <w:szCs w:val="16"/>
          <w:b w:val="1"/>
          <w:bCs w:val="1"/>
          <w:color w:val="3D3935"/>
        </w:rPr>
        <w:t>Company’s values?</w:t>
      </w:r>
    </w:p>
    <w:p>
      <w:pPr>
        <w:spacing w:after="0" w:line="178" w:lineRule="exact"/>
        <w:rPr>
          <w:sz w:val="20"/>
          <w:szCs w:val="20"/>
          <w:color w:val="auto"/>
        </w:rPr>
      </w:pPr>
    </w:p>
    <w:p>
      <w:pPr>
        <w:ind w:left="334" w:right="300" w:hanging="333"/>
        <w:spacing w:after="0" w:line="227" w:lineRule="auto"/>
        <w:tabs>
          <w:tab w:leader="none" w:pos="334" w:val="left"/>
        </w:tabs>
        <w:numPr>
          <w:ilvl w:val="0"/>
          <w:numId w:val="31"/>
        </w:numPr>
        <w:rPr>
          <w:rFonts w:ascii="Arial" w:cs="Arial" w:eastAsia="Arial" w:hAnsi="Arial"/>
          <w:sz w:val="36"/>
          <w:szCs w:val="36"/>
          <w:b w:val="1"/>
          <w:bCs w:val="1"/>
          <w:color w:val="FFFFFF"/>
          <w:vertAlign w:val="subscript"/>
        </w:rPr>
      </w:pPr>
      <w:r>
        <w:rPr>
          <w:rFonts w:ascii="Arial" w:cs="Arial" w:eastAsia="Arial" w:hAnsi="Arial"/>
          <w:sz w:val="16"/>
          <w:szCs w:val="16"/>
          <w:color w:val="3D3935"/>
        </w:rPr>
        <w:t>There are several ways that the Board oversees Company culture, including by regularly meeting with the Chief People Officer (who attends every Board meeting). We also receive regular updates from the Chief Compliance Officer during Audit Committee meetings and review certain metrics that show workplace trends. We prioritize transparent communication and have robust governance mechanisms in place to monitor the rigor of the Company’s cultural health, including starting our annual strategy review each year with a review of the culture values, which helps drive our performance.</w:t>
      </w:r>
    </w:p>
    <w:p>
      <w:pPr>
        <w:spacing w:after="0" w:line="200" w:lineRule="exact"/>
        <w:rPr>
          <w:sz w:val="20"/>
          <w:szCs w:val="20"/>
          <w:color w:val="auto"/>
        </w:rPr>
      </w:pPr>
    </w:p>
    <w:p>
      <w:pPr>
        <w:sectPr>
          <w:pgSz w:w="11900" w:h="16838" w:orient="portrait"/>
          <w:cols w:equalWidth="0" w:num="3">
            <w:col w:w="1540" w:space="360"/>
            <w:col w:w="4180" w:space="286"/>
            <w:col w:w="2774"/>
          </w:cols>
          <w:pgMar w:left="1400" w:top="711" w:right="1359" w:bottom="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1447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10375" cy="1447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1 Annual Election of Directors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900"/>
        <w:spacing w:after="0"/>
        <w:rPr>
          <w:sz w:val="20"/>
          <w:szCs w:val="20"/>
          <w:color w:val="auto"/>
        </w:rPr>
      </w:pPr>
      <w:r>
        <w:rPr>
          <w:rFonts w:ascii="Arial" w:cs="Arial" w:eastAsia="Arial" w:hAnsi="Arial"/>
          <w:sz w:val="25"/>
          <w:szCs w:val="25"/>
          <w:b w:val="1"/>
          <w:bCs w:val="1"/>
          <w:color w:val="0072CE"/>
        </w:rPr>
        <w:t xml:space="preserve">Joseph Jimenez </w:t>
      </w:r>
      <w:r>
        <w:rPr>
          <w:rFonts w:ascii="Arial" w:cs="Arial" w:eastAsia="Arial" w:hAnsi="Arial"/>
          <w:sz w:val="17"/>
          <w:szCs w:val="17"/>
          <w:b w:val="1"/>
          <w:bCs w:val="1"/>
          <w:color w:val="3D3935"/>
        </w:rPr>
        <w:t>|</w:t>
      </w:r>
      <w:r>
        <w:rPr>
          <w:rFonts w:ascii="Arial" w:cs="Arial" w:eastAsia="Arial" w:hAnsi="Arial"/>
          <w:sz w:val="25"/>
          <w:szCs w:val="25"/>
          <w:b w:val="1"/>
          <w:bCs w:val="1"/>
          <w:color w:val="0072CE"/>
        </w:rPr>
        <w:t xml:space="preserve"> </w:t>
      </w:r>
      <w:r>
        <w:rPr>
          <w:rFonts w:ascii="Arial" w:cs="Arial" w:eastAsia="Arial" w:hAnsi="Arial"/>
          <w:sz w:val="25"/>
          <w:szCs w:val="25"/>
          <w:b w:val="1"/>
          <w:bCs w:val="1"/>
          <w:color w:val="3D3935"/>
        </w:rPr>
        <w:t>65</w:t>
      </w:r>
    </w:p>
    <w:p>
      <w:pPr>
        <w:spacing w:after="0" w:line="25"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3D3935"/>
        </w:rPr>
        <w:t>Co-Founder and Managing Director, Aditum Bio</w:t>
      </w:r>
    </w:p>
    <w:p>
      <w:pPr>
        <w:sectPr>
          <w:pgSz w:w="11900" w:h="16838" w:orient="portrait"/>
          <w:cols w:equalWidth="0" w:num="1">
            <w:col w:w="9140"/>
          </w:cols>
          <w:pgMar w:left="1400" w:top="711" w:right="1359" w:bottom="0" w:gutter="0" w:footer="0" w:header="0"/>
          <w:type w:val="continuous"/>
        </w:sectPr>
      </w:pPr>
    </w:p>
    <w:p>
      <w:pPr>
        <w:spacing w:after="0" w:line="111" w:lineRule="exact"/>
        <w:rPr>
          <w:sz w:val="20"/>
          <w:szCs w:val="20"/>
          <w:color w:val="auto"/>
        </w:rPr>
      </w:pPr>
    </w:p>
    <w:p>
      <w:pPr>
        <w:ind w:left="1900"/>
        <w:spacing w:after="0"/>
        <w:tabs>
          <w:tab w:leader="none" w:pos="6340" w:val="left"/>
          <w:tab w:leader="none" w:pos="6680" w:val="left"/>
        </w:tabs>
        <w:rPr>
          <w:sz w:val="20"/>
          <w:szCs w:val="20"/>
          <w:color w:val="auto"/>
        </w:rPr>
      </w:pPr>
      <w:r>
        <w:rPr>
          <w:rFonts w:ascii="Arial" w:cs="Arial" w:eastAsia="Arial" w:hAnsi="Arial"/>
          <w:sz w:val="16"/>
          <w:szCs w:val="16"/>
          <w:b w:val="1"/>
          <w:bCs w:val="1"/>
          <w:color w:val="0072CE"/>
        </w:rPr>
        <w:t xml:space="preserve">Experience: </w:t>
      </w:r>
      <w:r>
        <w:rPr>
          <w:rFonts w:ascii="Arial" w:cs="Arial" w:eastAsia="Arial" w:hAnsi="Arial"/>
          <w:sz w:val="16"/>
          <w:szCs w:val="16"/>
          <w:color w:val="3D3935"/>
        </w:rPr>
        <w:t>Since 2019, Mr. Jimenez has served as</w:t>
      </w:r>
      <w:r>
        <w:rPr>
          <w:sz w:val="20"/>
          <w:szCs w:val="20"/>
          <w:color w:val="auto"/>
        </w:rPr>
        <w:tab/>
      </w:r>
      <w:r>
        <w:rPr>
          <w:rFonts w:ascii="Arial" w:cs="Arial" w:eastAsia="Arial" w:hAnsi="Arial"/>
          <w:sz w:val="36"/>
          <w:szCs w:val="36"/>
          <w:b w:val="1"/>
          <w:bCs w:val="1"/>
          <w:color w:val="FFFFFF"/>
          <w:vertAlign w:val="subscript"/>
        </w:rPr>
        <w:t>Q</w:t>
      </w:r>
      <w:r>
        <w:rPr>
          <w:sz w:val="20"/>
          <w:szCs w:val="20"/>
          <w:color w:val="auto"/>
        </w:rPr>
        <w:tab/>
      </w:r>
      <w:r>
        <w:rPr>
          <w:rFonts w:ascii="Arial" w:cs="Arial" w:eastAsia="Arial" w:hAnsi="Arial"/>
          <w:sz w:val="16"/>
          <w:szCs w:val="16"/>
          <w:b w:val="1"/>
          <w:bCs w:val="1"/>
          <w:color w:val="3D3935"/>
        </w:rPr>
        <w:t>How does the Finance</w:t>
      </w:r>
    </w:p>
    <w:p>
      <w:pPr>
        <w:sectPr>
          <w:pgSz w:w="11900" w:h="16838" w:orient="portrait"/>
          <w:cols w:equalWidth="0" w:num="1">
            <w:col w:w="9140"/>
          </w:cols>
          <w:pgMar w:left="1400" w:top="711" w:right="1359" w:bottom="0" w:gutter="0" w:footer="0" w:header="0"/>
          <w:type w:val="continuous"/>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 xml:space="preserve">Gender: </w:t>
      </w:r>
      <w:r>
        <w:rPr>
          <w:rFonts w:ascii="Arial" w:cs="Arial" w:eastAsia="Arial" w:hAnsi="Arial"/>
          <w:sz w:val="14"/>
          <w:szCs w:val="14"/>
          <w:color w:val="3D3935"/>
        </w:rPr>
        <w:t>Male</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 xml:space="preserve">Director since: </w:t>
      </w:r>
      <w:r>
        <w:rPr>
          <w:rFonts w:ascii="Arial" w:cs="Arial" w:eastAsia="Arial" w:hAnsi="Arial"/>
          <w:sz w:val="14"/>
          <w:szCs w:val="14"/>
          <w:color w:val="3D3935"/>
        </w:rPr>
        <w:t>2015</w:t>
      </w:r>
    </w:p>
    <w:p>
      <w:pPr>
        <w:ind w:left="60"/>
        <w:spacing w:after="0"/>
        <w:rPr>
          <w:sz w:val="20"/>
          <w:szCs w:val="20"/>
          <w:color w:val="auto"/>
        </w:rPr>
      </w:pPr>
      <w:r>
        <w:rPr>
          <w:rFonts w:ascii="Arial" w:cs="Arial" w:eastAsia="Arial" w:hAnsi="Arial"/>
          <w:sz w:val="14"/>
          <w:szCs w:val="14"/>
          <w:b w:val="1"/>
          <w:bCs w:val="1"/>
          <w:color w:val="0072CE"/>
        </w:rPr>
        <w:t>Race/Ethnicity:</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Hispanic</w:t>
      </w:r>
    </w:p>
    <w:p>
      <w:pPr>
        <w:ind w:left="60"/>
        <w:spacing w:after="0" w:line="222" w:lineRule="auto"/>
        <w:rPr>
          <w:sz w:val="20"/>
          <w:szCs w:val="20"/>
          <w:color w:val="auto"/>
        </w:rPr>
      </w:pPr>
      <w:r>
        <w:rPr>
          <w:rFonts w:ascii="Arial" w:cs="Arial" w:eastAsia="Arial" w:hAnsi="Arial"/>
          <w:sz w:val="14"/>
          <w:szCs w:val="14"/>
          <w:b w:val="1"/>
          <w:bCs w:val="1"/>
          <w:color w:val="0072CE"/>
        </w:rPr>
        <w:t>Committees: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Compensation</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Executive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Finance (Chair)</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Risk and Cybersecurity</w:t>
      </w:r>
    </w:p>
    <w:p>
      <w:pPr>
        <w:spacing w:after="0" w:line="200" w:lineRule="exact"/>
        <w:rPr>
          <w:sz w:val="20"/>
          <w:szCs w:val="20"/>
          <w:color w:val="auto"/>
        </w:rPr>
      </w:pPr>
    </w:p>
    <w:p>
      <w:pPr>
        <w:spacing w:after="0" w:line="36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Current GM Model:</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Chevrolet Colorado</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Skillset:</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Environmental</w:t>
      </w:r>
    </w:p>
    <w:p>
      <w:pPr>
        <w:ind w:left="60"/>
        <w:spacing w:after="0"/>
        <w:rPr>
          <w:sz w:val="20"/>
          <w:szCs w:val="20"/>
          <w:color w:val="auto"/>
        </w:rPr>
      </w:pPr>
      <w:r>
        <w:rPr>
          <w:rFonts w:ascii="Arial" w:cs="Arial" w:eastAsia="Arial" w:hAnsi="Arial"/>
          <w:sz w:val="14"/>
          <w:szCs w:val="14"/>
          <w:color w:val="3D3935"/>
        </w:rPr>
        <w:t>Finance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Governance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Manufacturing</w:t>
      </w:r>
    </w:p>
    <w:p>
      <w:pPr>
        <w:ind w:left="60"/>
        <w:spacing w:after="0" w:line="222" w:lineRule="auto"/>
        <w:rPr>
          <w:sz w:val="20"/>
          <w:szCs w:val="20"/>
          <w:color w:val="auto"/>
        </w:rPr>
      </w:pPr>
      <w:r>
        <w:rPr>
          <w:rFonts w:ascii="Arial" w:cs="Arial" w:eastAsia="Arial" w:hAnsi="Arial"/>
          <w:sz w:val="14"/>
          <w:szCs w:val="14"/>
          <w:color w:val="3D3935"/>
        </w:rPr>
        <w:t>Marketing</w:t>
      </w:r>
    </w:p>
    <w:p>
      <w:pPr>
        <w:spacing w:after="0" w:line="1" w:lineRule="exact"/>
        <w:rPr>
          <w:sz w:val="20"/>
          <w:szCs w:val="20"/>
          <w:color w:val="auto"/>
        </w:rPr>
      </w:pPr>
    </w:p>
    <w:p>
      <w:pPr>
        <w:ind w:left="60" w:right="80"/>
        <w:spacing w:after="0" w:line="252" w:lineRule="auto"/>
        <w:rPr>
          <w:sz w:val="20"/>
          <w:szCs w:val="20"/>
          <w:color w:val="auto"/>
        </w:rPr>
      </w:pPr>
      <w:r>
        <w:rPr>
          <w:rFonts w:ascii="Arial" w:cs="Arial" w:eastAsia="Arial" w:hAnsi="Arial"/>
          <w:sz w:val="14"/>
          <w:szCs w:val="14"/>
          <w:color w:val="3D3935"/>
        </w:rPr>
        <w:t>Public Company CEO Risk Management Technology</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420" w:type="dxa"/>
            <w:vAlign w:val="bottom"/>
          </w:tcPr>
          <w:p>
            <w:pPr>
              <w:ind w:left="40"/>
              <w:spacing w:after="0"/>
              <w:rPr>
                <w:sz w:val="20"/>
                <w:szCs w:val="20"/>
                <w:color w:val="auto"/>
              </w:rPr>
            </w:pPr>
            <w:r>
              <w:rPr>
                <w:rFonts w:ascii="Arial" w:cs="Arial" w:eastAsia="Arial" w:hAnsi="Arial"/>
                <w:sz w:val="16"/>
                <w:szCs w:val="16"/>
                <w:color w:val="3D3935"/>
              </w:rPr>
              <w:t>Co-Founder and Managing Partner of Aditum Bio, a</w:t>
            </w: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40" w:type="dxa"/>
            <w:vAlign w:val="bottom"/>
            <w:gridSpan w:val="2"/>
          </w:tcPr>
          <w:p>
            <w:pPr>
              <w:ind w:left="60"/>
              <w:spacing w:after="0"/>
              <w:rPr>
                <w:sz w:val="20"/>
                <w:szCs w:val="20"/>
                <w:color w:val="auto"/>
              </w:rPr>
            </w:pPr>
            <w:r>
              <w:rPr>
                <w:rFonts w:ascii="Arial" w:cs="Arial" w:eastAsia="Arial" w:hAnsi="Arial"/>
                <w:sz w:val="16"/>
                <w:szCs w:val="16"/>
                <w:b w:val="1"/>
                <w:bCs w:val="1"/>
                <w:color w:val="3D3935"/>
              </w:rPr>
              <w:t>Committee help oversee</w:t>
            </w:r>
          </w:p>
        </w:tc>
        <w:tc>
          <w:tcPr>
            <w:tcW w:w="0" w:type="dxa"/>
            <w:vAlign w:val="bottom"/>
          </w:tcPr>
          <w:p>
            <w:pPr>
              <w:spacing w:after="0"/>
              <w:rPr>
                <w:sz w:val="1"/>
                <w:szCs w:val="1"/>
                <w:color w:val="auto"/>
              </w:rPr>
            </w:pPr>
          </w:p>
        </w:tc>
      </w:tr>
      <w:tr>
        <w:trPr>
          <w:trHeight w:val="53"/>
        </w:trPr>
        <w:tc>
          <w:tcPr>
            <w:tcW w:w="4420" w:type="dxa"/>
            <w:vAlign w:val="bottom"/>
          </w:tcPr>
          <w:p>
            <w:pPr>
              <w:ind w:left="40"/>
              <w:spacing w:after="0" w:line="54" w:lineRule="exact"/>
              <w:rPr>
                <w:sz w:val="20"/>
                <w:szCs w:val="20"/>
                <w:color w:val="auto"/>
              </w:rPr>
            </w:pPr>
            <w:r>
              <w:rPr>
                <w:rFonts w:ascii="Arial" w:cs="Arial" w:eastAsia="Arial" w:hAnsi="Arial"/>
                <w:sz w:val="6"/>
                <w:szCs w:val="6"/>
                <w:color w:val="3D3935"/>
              </w:rPr>
              <w:t>biotechnology-focused venture capital firm. Prior to</w:t>
            </w: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4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3D3935"/>
              </w:rPr>
              <w:t>evolving regulations to</w:t>
            </w:r>
          </w:p>
        </w:tc>
        <w:tc>
          <w:tcPr>
            <w:tcW w:w="0" w:type="dxa"/>
            <w:vAlign w:val="bottom"/>
          </w:tcPr>
          <w:p>
            <w:pPr>
              <w:spacing w:after="0"/>
              <w:rPr>
                <w:sz w:val="1"/>
                <w:szCs w:val="1"/>
                <w:color w:val="auto"/>
              </w:rPr>
            </w:pPr>
          </w:p>
        </w:tc>
      </w:tr>
      <w:tr>
        <w:trPr>
          <w:trHeight w:val="176"/>
        </w:trPr>
        <w:tc>
          <w:tcPr>
            <w:tcW w:w="4420" w:type="dxa"/>
            <w:vAlign w:val="bottom"/>
          </w:tcPr>
          <w:p>
            <w:pPr>
              <w:ind w:left="40"/>
              <w:spacing w:after="0" w:line="175" w:lineRule="exact"/>
              <w:rPr>
                <w:sz w:val="20"/>
                <w:szCs w:val="20"/>
                <w:color w:val="auto"/>
              </w:rPr>
            </w:pPr>
            <w:r>
              <w:rPr>
                <w:rFonts w:ascii="Arial" w:cs="Arial" w:eastAsia="Arial" w:hAnsi="Arial"/>
                <w:sz w:val="16"/>
                <w:szCs w:val="16"/>
                <w:color w:val="3D3935"/>
              </w:rPr>
              <w:t>that, he served as CEO of Novartis AG from 2010 until</w:t>
            </w: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40" w:type="dxa"/>
            <w:vAlign w:val="bottom"/>
            <w:gridSpan w:val="2"/>
          </w:tcPr>
          <w:p>
            <w:pPr>
              <w:ind w:left="60"/>
              <w:spacing w:after="0" w:line="175" w:lineRule="exact"/>
              <w:rPr>
                <w:sz w:val="20"/>
                <w:szCs w:val="20"/>
                <w:color w:val="auto"/>
              </w:rPr>
            </w:pPr>
            <w:r>
              <w:rPr>
                <w:rFonts w:ascii="Arial" w:cs="Arial" w:eastAsia="Arial" w:hAnsi="Arial"/>
                <w:sz w:val="16"/>
                <w:szCs w:val="16"/>
                <w:b w:val="1"/>
                <w:bCs w:val="1"/>
                <w:color w:val="3D3935"/>
              </w:rPr>
              <w:t>ensure a profitable</w:t>
            </w:r>
          </w:p>
        </w:tc>
        <w:tc>
          <w:tcPr>
            <w:tcW w:w="0" w:type="dxa"/>
            <w:vAlign w:val="bottom"/>
          </w:tcPr>
          <w:p>
            <w:pPr>
              <w:spacing w:after="0"/>
              <w:rPr>
                <w:sz w:val="1"/>
                <w:szCs w:val="1"/>
                <w:color w:val="auto"/>
              </w:rPr>
            </w:pPr>
          </w:p>
        </w:tc>
      </w:tr>
      <w:tr>
        <w:trPr>
          <w:trHeight w:val="175"/>
        </w:trPr>
        <w:tc>
          <w:tcPr>
            <w:tcW w:w="4420" w:type="dxa"/>
            <w:vAlign w:val="bottom"/>
          </w:tcPr>
          <w:p>
            <w:pPr>
              <w:ind w:left="40"/>
              <w:spacing w:after="0" w:line="175" w:lineRule="exact"/>
              <w:rPr>
                <w:sz w:val="20"/>
                <w:szCs w:val="20"/>
                <w:color w:val="auto"/>
              </w:rPr>
            </w:pPr>
            <w:r>
              <w:rPr>
                <w:rFonts w:ascii="Arial" w:cs="Arial" w:eastAsia="Arial" w:hAnsi="Arial"/>
                <w:sz w:val="16"/>
                <w:szCs w:val="16"/>
                <w:color w:val="3D3935"/>
              </w:rPr>
              <w:t>his retirement in 2018. Mr. Jimenez led Novartis’</w:t>
            </w: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40" w:type="dxa"/>
            <w:vAlign w:val="bottom"/>
            <w:gridSpan w:val="2"/>
          </w:tcPr>
          <w:p>
            <w:pPr>
              <w:ind w:left="60"/>
              <w:spacing w:after="0" w:line="175" w:lineRule="exact"/>
              <w:rPr>
                <w:sz w:val="20"/>
                <w:szCs w:val="20"/>
                <w:color w:val="auto"/>
              </w:rPr>
            </w:pPr>
            <w:r>
              <w:rPr>
                <w:rFonts w:ascii="Arial" w:cs="Arial" w:eastAsia="Arial" w:hAnsi="Arial"/>
                <w:sz w:val="16"/>
                <w:szCs w:val="16"/>
                <w:b w:val="1"/>
                <w:bCs w:val="1"/>
                <w:color w:val="3D3935"/>
              </w:rPr>
              <w:t>portfolio?</w:t>
            </w:r>
          </w:p>
        </w:tc>
        <w:tc>
          <w:tcPr>
            <w:tcW w:w="0" w:type="dxa"/>
            <w:vAlign w:val="bottom"/>
          </w:tcPr>
          <w:p>
            <w:pPr>
              <w:spacing w:after="0"/>
              <w:rPr>
                <w:sz w:val="1"/>
                <w:szCs w:val="1"/>
                <w:color w:val="auto"/>
              </w:rPr>
            </w:pPr>
          </w:p>
        </w:tc>
      </w:tr>
      <w:tr>
        <w:trPr>
          <w:trHeight w:val="251"/>
        </w:trPr>
        <w:tc>
          <w:tcPr>
            <w:tcW w:w="4420" w:type="dxa"/>
            <w:vAlign w:val="bottom"/>
          </w:tcPr>
          <w:p>
            <w:pPr>
              <w:ind w:left="40"/>
              <w:spacing w:after="0" w:line="175" w:lineRule="exact"/>
              <w:rPr>
                <w:sz w:val="20"/>
                <w:szCs w:val="20"/>
                <w:color w:val="auto"/>
              </w:rPr>
            </w:pPr>
            <w:r>
              <w:rPr>
                <w:rFonts w:ascii="Arial" w:cs="Arial" w:eastAsia="Arial" w:hAnsi="Arial"/>
                <w:sz w:val="16"/>
                <w:szCs w:val="16"/>
                <w:color w:val="3D3935"/>
              </w:rPr>
              <w:t>Pharmaceuticals Division from October 2007 to 2010</w:t>
            </w:r>
          </w:p>
        </w:tc>
        <w:tc>
          <w:tcPr>
            <w:tcW w:w="320" w:type="dxa"/>
            <w:vAlign w:val="bottom"/>
            <w:tcBorders>
              <w:bottom w:val="single" w:sz="8" w:color="F0F3F5"/>
            </w:tcBorders>
          </w:tcPr>
          <w:p>
            <w:pPr>
              <w:spacing w:after="0"/>
              <w:rPr>
                <w:sz w:val="21"/>
                <w:szCs w:val="21"/>
                <w:color w:val="auto"/>
              </w:rPr>
            </w:pPr>
          </w:p>
        </w:tc>
        <w:tc>
          <w:tcPr>
            <w:tcW w:w="40" w:type="dxa"/>
            <w:vAlign w:val="bottom"/>
            <w:tcBorders>
              <w:bottom w:val="single" w:sz="8" w:color="F0F3F5"/>
            </w:tcBorders>
          </w:tcPr>
          <w:p>
            <w:pPr>
              <w:spacing w:after="0"/>
              <w:rPr>
                <w:sz w:val="21"/>
                <w:szCs w:val="21"/>
                <w:color w:val="auto"/>
              </w:rPr>
            </w:pPr>
          </w:p>
        </w:tc>
        <w:tc>
          <w:tcPr>
            <w:tcW w:w="2300" w:type="dxa"/>
            <w:vAlign w:val="bottom"/>
            <w:tcBorders>
              <w:bottom w:val="single" w:sz="8" w:color="F0F3F5"/>
            </w:tcBorders>
          </w:tcPr>
          <w:p>
            <w:pPr>
              <w:spacing w:after="0"/>
              <w:rPr>
                <w:sz w:val="21"/>
                <w:szCs w:val="21"/>
                <w:color w:val="auto"/>
              </w:rPr>
            </w:pPr>
          </w:p>
        </w:tc>
        <w:tc>
          <w:tcPr>
            <w:tcW w:w="140" w:type="dxa"/>
            <w:vAlign w:val="bottom"/>
            <w:tcBorders>
              <w:bottom w:val="single" w:sz="8" w:color="F0F3F5"/>
            </w:tcBorders>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4420" w:type="dxa"/>
            <w:vAlign w:val="bottom"/>
          </w:tcPr>
          <w:p>
            <w:pPr>
              <w:ind w:left="40"/>
              <w:spacing w:after="0" w:line="81" w:lineRule="exact"/>
              <w:rPr>
                <w:sz w:val="20"/>
                <w:szCs w:val="20"/>
                <w:color w:val="auto"/>
              </w:rPr>
            </w:pPr>
            <w:r>
              <w:rPr>
                <w:rFonts w:ascii="Arial" w:cs="Arial" w:eastAsia="Arial" w:hAnsi="Arial"/>
                <w:sz w:val="9"/>
                <w:szCs w:val="9"/>
                <w:color w:val="3D3935"/>
              </w:rPr>
              <w:t>and its Consumer Health Division in 2007. From 2006 to</w:t>
            </w:r>
          </w:p>
        </w:tc>
        <w:tc>
          <w:tcPr>
            <w:tcW w:w="320" w:type="dxa"/>
            <w:vAlign w:val="bottom"/>
            <w:tcBorders>
              <w:top w:val="single" w:sz="8" w:color="F0F3F5"/>
            </w:tcBorders>
            <w:vMerge w:val="restart"/>
            <w:shd w:val="clear" w:color="auto" w:fill="0072CE"/>
          </w:tcPr>
          <w:p>
            <w:pPr>
              <w:ind w:left="80"/>
              <w:spacing w:after="0"/>
              <w:rPr>
                <w:sz w:val="20"/>
                <w:szCs w:val="20"/>
                <w:color w:val="auto"/>
              </w:rPr>
            </w:pPr>
            <w:r>
              <w:rPr>
                <w:rFonts w:ascii="Arial" w:cs="Arial" w:eastAsia="Arial" w:hAnsi="Arial"/>
                <w:sz w:val="18"/>
                <w:szCs w:val="18"/>
                <w:b w:val="1"/>
                <w:bCs w:val="1"/>
                <w:color w:val="FFFFFF"/>
              </w:rPr>
              <w:t>A</w:t>
            </w:r>
          </w:p>
        </w:tc>
        <w:tc>
          <w:tcPr>
            <w:tcW w:w="40" w:type="dxa"/>
            <w:vAlign w:val="bottom"/>
            <w:tcBorders>
              <w:top w:val="single" w:sz="8" w:color="F0F3F5"/>
            </w:tcBorders>
          </w:tcPr>
          <w:p>
            <w:pPr>
              <w:spacing w:after="0"/>
              <w:rPr>
                <w:sz w:val="7"/>
                <w:szCs w:val="7"/>
                <w:color w:val="auto"/>
              </w:rPr>
            </w:pPr>
          </w:p>
        </w:tc>
        <w:tc>
          <w:tcPr>
            <w:tcW w:w="2440" w:type="dxa"/>
            <w:vAlign w:val="bottom"/>
            <w:gridSpan w:val="2"/>
          </w:tcPr>
          <w:p>
            <w:pPr>
              <w:ind w:left="60"/>
              <w:spacing w:after="0" w:line="81" w:lineRule="exact"/>
              <w:rPr>
                <w:sz w:val="20"/>
                <w:szCs w:val="20"/>
                <w:color w:val="auto"/>
              </w:rPr>
            </w:pPr>
            <w:r>
              <w:rPr>
                <w:rFonts w:ascii="Arial" w:cs="Arial" w:eastAsia="Arial" w:hAnsi="Arial"/>
                <w:sz w:val="9"/>
                <w:szCs w:val="9"/>
                <w:color w:val="3D3935"/>
              </w:rPr>
              <w:t>The Finance Committee</w:t>
            </w:r>
          </w:p>
        </w:tc>
        <w:tc>
          <w:tcPr>
            <w:tcW w:w="0" w:type="dxa"/>
            <w:vAlign w:val="bottom"/>
          </w:tcPr>
          <w:p>
            <w:pPr>
              <w:spacing w:after="0"/>
              <w:rPr>
                <w:sz w:val="1"/>
                <w:szCs w:val="1"/>
                <w:color w:val="auto"/>
              </w:rPr>
            </w:pPr>
          </w:p>
        </w:tc>
      </w:tr>
      <w:tr>
        <w:trPr>
          <w:trHeight w:val="228"/>
        </w:trPr>
        <w:tc>
          <w:tcPr>
            <w:tcW w:w="4420" w:type="dxa"/>
            <w:vAlign w:val="bottom"/>
          </w:tcPr>
          <w:p>
            <w:pPr>
              <w:ind w:left="40"/>
              <w:spacing w:after="0"/>
              <w:rPr>
                <w:sz w:val="20"/>
                <w:szCs w:val="20"/>
                <w:color w:val="auto"/>
              </w:rPr>
            </w:pPr>
            <w:r>
              <w:rPr>
                <w:rFonts w:ascii="Arial" w:cs="Arial" w:eastAsia="Arial" w:hAnsi="Arial"/>
                <w:sz w:val="16"/>
                <w:szCs w:val="16"/>
                <w:color w:val="3D3935"/>
              </w:rPr>
              <w:t>2007, he served as Advisor to the Blackstone Group L.P.</w:t>
            </w:r>
          </w:p>
        </w:tc>
        <w:tc>
          <w:tcPr>
            <w:tcW w:w="320" w:type="dxa"/>
            <w:vAlign w:val="bottom"/>
            <w:tcBorders>
              <w:bottom w:val="single" w:sz="8" w:color="0072CE"/>
            </w:tcBorders>
            <w:vMerge w:val="continue"/>
            <w:shd w:val="clear" w:color="auto" w:fill="0072CE"/>
          </w:tcPr>
          <w:p>
            <w:pPr>
              <w:spacing w:after="0"/>
              <w:rPr>
                <w:sz w:val="19"/>
                <w:szCs w:val="19"/>
                <w:color w:val="auto"/>
              </w:rPr>
            </w:pPr>
          </w:p>
        </w:tc>
        <w:tc>
          <w:tcPr>
            <w:tcW w:w="40" w:type="dxa"/>
            <w:vAlign w:val="bottom"/>
          </w:tcPr>
          <w:p>
            <w:pPr>
              <w:spacing w:after="0"/>
              <w:rPr>
                <w:sz w:val="19"/>
                <w:szCs w:val="19"/>
                <w:color w:val="auto"/>
              </w:rPr>
            </w:pPr>
          </w:p>
        </w:tc>
        <w:tc>
          <w:tcPr>
            <w:tcW w:w="2440" w:type="dxa"/>
            <w:vAlign w:val="bottom"/>
            <w:gridSpan w:val="2"/>
          </w:tcPr>
          <w:p>
            <w:pPr>
              <w:ind w:left="60"/>
              <w:spacing w:after="0"/>
              <w:rPr>
                <w:sz w:val="20"/>
                <w:szCs w:val="20"/>
                <w:color w:val="auto"/>
              </w:rPr>
            </w:pPr>
            <w:r>
              <w:rPr>
                <w:rFonts w:ascii="Arial" w:cs="Arial" w:eastAsia="Arial" w:hAnsi="Arial"/>
                <w:sz w:val="16"/>
                <w:szCs w:val="16"/>
                <w:color w:val="3D3935"/>
              </w:rPr>
              <w:t>previews every vehicle</w:t>
            </w:r>
          </w:p>
        </w:tc>
        <w:tc>
          <w:tcPr>
            <w:tcW w:w="0" w:type="dxa"/>
            <w:vAlign w:val="bottom"/>
          </w:tcPr>
          <w:p>
            <w:pPr>
              <w:spacing w:after="0"/>
              <w:rPr>
                <w:sz w:val="1"/>
                <w:szCs w:val="1"/>
                <w:color w:val="auto"/>
              </w:rPr>
            </w:pPr>
          </w:p>
        </w:tc>
      </w:tr>
      <w:tr>
        <w:trPr>
          <w:trHeight w:val="121"/>
        </w:trPr>
        <w:tc>
          <w:tcPr>
            <w:tcW w:w="4420" w:type="dxa"/>
            <w:vAlign w:val="bottom"/>
          </w:tcPr>
          <w:p>
            <w:pPr>
              <w:ind w:left="40"/>
              <w:spacing w:after="0" w:line="121" w:lineRule="exact"/>
              <w:rPr>
                <w:sz w:val="20"/>
                <w:szCs w:val="20"/>
                <w:color w:val="auto"/>
              </w:rPr>
            </w:pPr>
            <w:r>
              <w:rPr>
                <w:rFonts w:ascii="Arial" w:cs="Arial" w:eastAsia="Arial" w:hAnsi="Arial"/>
                <w:sz w:val="14"/>
                <w:szCs w:val="14"/>
                <w:color w:val="3D3935"/>
              </w:rPr>
              <w:t>Mr. Jimenez was also Executive Vice President,</w:t>
            </w:r>
          </w:p>
        </w:tc>
        <w:tc>
          <w:tcPr>
            <w:tcW w:w="320" w:type="dxa"/>
            <w:vAlign w:val="bottom"/>
            <w:shd w:val="clear" w:color="auto" w:fill="F0F3F5"/>
          </w:tcPr>
          <w:p>
            <w:pPr>
              <w:spacing w:after="0"/>
              <w:rPr>
                <w:sz w:val="10"/>
                <w:szCs w:val="10"/>
                <w:color w:val="auto"/>
              </w:rPr>
            </w:pPr>
          </w:p>
        </w:tc>
        <w:tc>
          <w:tcPr>
            <w:tcW w:w="40" w:type="dxa"/>
            <w:vAlign w:val="bottom"/>
          </w:tcPr>
          <w:p>
            <w:pPr>
              <w:spacing w:after="0"/>
              <w:rPr>
                <w:sz w:val="10"/>
                <w:szCs w:val="10"/>
                <w:color w:val="auto"/>
              </w:rPr>
            </w:pPr>
          </w:p>
        </w:tc>
        <w:tc>
          <w:tcPr>
            <w:tcW w:w="2440" w:type="dxa"/>
            <w:vAlign w:val="bottom"/>
            <w:gridSpan w:val="2"/>
          </w:tcPr>
          <w:p>
            <w:pPr>
              <w:ind w:left="60"/>
              <w:spacing w:after="0" w:line="121" w:lineRule="exact"/>
              <w:rPr>
                <w:sz w:val="20"/>
                <w:szCs w:val="20"/>
                <w:color w:val="auto"/>
              </w:rPr>
            </w:pPr>
            <w:r>
              <w:rPr>
                <w:rFonts w:ascii="Arial" w:cs="Arial" w:eastAsia="Arial" w:hAnsi="Arial"/>
                <w:sz w:val="14"/>
                <w:szCs w:val="14"/>
                <w:color w:val="3D3935"/>
              </w:rPr>
              <w:t>program expenditure that</w:t>
            </w:r>
          </w:p>
        </w:tc>
        <w:tc>
          <w:tcPr>
            <w:tcW w:w="0" w:type="dxa"/>
            <w:vAlign w:val="bottom"/>
          </w:tcPr>
          <w:p>
            <w:pPr>
              <w:spacing w:after="0"/>
              <w:rPr>
                <w:sz w:val="1"/>
                <w:szCs w:val="1"/>
                <w:color w:val="auto"/>
              </w:rPr>
            </w:pPr>
          </w:p>
        </w:tc>
      </w:tr>
      <w:tr>
        <w:trPr>
          <w:trHeight w:val="176"/>
        </w:trPr>
        <w:tc>
          <w:tcPr>
            <w:tcW w:w="4420" w:type="dxa"/>
            <w:vAlign w:val="bottom"/>
          </w:tcPr>
          <w:p>
            <w:pPr>
              <w:ind w:left="40"/>
              <w:spacing w:after="0" w:line="176" w:lineRule="exact"/>
              <w:rPr>
                <w:sz w:val="20"/>
                <w:szCs w:val="20"/>
                <w:color w:val="auto"/>
              </w:rPr>
            </w:pPr>
            <w:r>
              <w:rPr>
                <w:rFonts w:ascii="Arial" w:cs="Arial" w:eastAsia="Arial" w:hAnsi="Arial"/>
                <w:sz w:val="16"/>
                <w:szCs w:val="16"/>
                <w:color w:val="3D3935"/>
              </w:rPr>
              <w:t>President, and CEO of Heinz Europe from 2002 to</w:t>
            </w:r>
          </w:p>
        </w:tc>
        <w:tc>
          <w:tcPr>
            <w:tcW w:w="320" w:type="dxa"/>
            <w:vAlign w:val="bottom"/>
            <w:shd w:val="clear" w:color="auto" w:fill="F0F3F5"/>
          </w:tcPr>
          <w:p>
            <w:pPr>
              <w:spacing w:after="0"/>
              <w:rPr>
                <w:sz w:val="15"/>
                <w:szCs w:val="15"/>
                <w:color w:val="auto"/>
              </w:rPr>
            </w:pPr>
          </w:p>
        </w:tc>
        <w:tc>
          <w:tcPr>
            <w:tcW w:w="40" w:type="dxa"/>
            <w:vAlign w:val="bottom"/>
          </w:tcPr>
          <w:p>
            <w:pPr>
              <w:spacing w:after="0"/>
              <w:rPr>
                <w:sz w:val="15"/>
                <w:szCs w:val="15"/>
                <w:color w:val="auto"/>
              </w:rPr>
            </w:pPr>
          </w:p>
        </w:tc>
        <w:tc>
          <w:tcPr>
            <w:tcW w:w="2440" w:type="dxa"/>
            <w:vAlign w:val="bottom"/>
            <w:gridSpan w:val="2"/>
          </w:tcPr>
          <w:p>
            <w:pPr>
              <w:ind w:left="60"/>
              <w:spacing w:after="0" w:line="176" w:lineRule="exact"/>
              <w:rPr>
                <w:sz w:val="20"/>
                <w:szCs w:val="20"/>
                <w:color w:val="auto"/>
              </w:rPr>
            </w:pPr>
            <w:r>
              <w:rPr>
                <w:rFonts w:ascii="Arial" w:cs="Arial" w:eastAsia="Arial" w:hAnsi="Arial"/>
                <w:sz w:val="16"/>
                <w:szCs w:val="16"/>
                <w:color w:val="3D3935"/>
              </w:rPr>
              <w:t>requires Board approval and</w:t>
            </w:r>
          </w:p>
        </w:tc>
        <w:tc>
          <w:tcPr>
            <w:tcW w:w="0" w:type="dxa"/>
            <w:vAlign w:val="bottom"/>
          </w:tcPr>
          <w:p>
            <w:pPr>
              <w:spacing w:after="0"/>
              <w:rPr>
                <w:sz w:val="1"/>
                <w:szCs w:val="1"/>
                <w:color w:val="auto"/>
              </w:rPr>
            </w:pPr>
          </w:p>
        </w:tc>
      </w:tr>
      <w:tr>
        <w:trPr>
          <w:trHeight w:val="176"/>
        </w:trPr>
        <w:tc>
          <w:tcPr>
            <w:tcW w:w="4420" w:type="dxa"/>
            <w:vAlign w:val="bottom"/>
          </w:tcPr>
          <w:p>
            <w:pPr>
              <w:ind w:left="40"/>
              <w:spacing w:after="0" w:line="175" w:lineRule="exact"/>
              <w:rPr>
                <w:sz w:val="20"/>
                <w:szCs w:val="20"/>
                <w:color w:val="auto"/>
              </w:rPr>
            </w:pPr>
            <w:r>
              <w:rPr>
                <w:rFonts w:ascii="Arial" w:cs="Arial" w:eastAsia="Arial" w:hAnsi="Arial"/>
                <w:sz w:val="16"/>
                <w:szCs w:val="16"/>
                <w:color w:val="3D3935"/>
              </w:rPr>
              <w:t>2006; and President and CEO of H.J. Heinz Company</w:t>
            </w:r>
          </w:p>
        </w:tc>
        <w:tc>
          <w:tcPr>
            <w:tcW w:w="320" w:type="dxa"/>
            <w:vAlign w:val="bottom"/>
            <w:shd w:val="clear" w:color="auto" w:fill="F0F3F5"/>
          </w:tcPr>
          <w:p>
            <w:pPr>
              <w:spacing w:after="0"/>
              <w:rPr>
                <w:sz w:val="15"/>
                <w:szCs w:val="15"/>
                <w:color w:val="auto"/>
              </w:rPr>
            </w:pPr>
          </w:p>
        </w:tc>
        <w:tc>
          <w:tcPr>
            <w:tcW w:w="40" w:type="dxa"/>
            <w:vAlign w:val="bottom"/>
          </w:tcPr>
          <w:p>
            <w:pPr>
              <w:spacing w:after="0"/>
              <w:rPr>
                <w:sz w:val="15"/>
                <w:szCs w:val="15"/>
                <w:color w:val="auto"/>
              </w:rPr>
            </w:pPr>
          </w:p>
        </w:tc>
        <w:tc>
          <w:tcPr>
            <w:tcW w:w="2440" w:type="dxa"/>
            <w:vAlign w:val="bottom"/>
            <w:gridSpan w:val="2"/>
          </w:tcPr>
          <w:p>
            <w:pPr>
              <w:ind w:left="60"/>
              <w:spacing w:after="0" w:line="175" w:lineRule="exact"/>
              <w:rPr>
                <w:sz w:val="20"/>
                <w:szCs w:val="20"/>
                <w:color w:val="auto"/>
              </w:rPr>
            </w:pPr>
            <w:r>
              <w:rPr>
                <w:rFonts w:ascii="Arial" w:cs="Arial" w:eastAsia="Arial" w:hAnsi="Arial"/>
                <w:sz w:val="16"/>
                <w:szCs w:val="16"/>
                <w:color w:val="3D3935"/>
              </w:rPr>
              <w:t>during those reviews we</w:t>
            </w:r>
          </w:p>
        </w:tc>
        <w:tc>
          <w:tcPr>
            <w:tcW w:w="0" w:type="dxa"/>
            <w:vAlign w:val="bottom"/>
          </w:tcPr>
          <w:p>
            <w:pPr>
              <w:spacing w:after="0"/>
              <w:rPr>
                <w:sz w:val="1"/>
                <w:szCs w:val="1"/>
                <w:color w:val="auto"/>
              </w:rPr>
            </w:pPr>
          </w:p>
        </w:tc>
      </w:tr>
      <w:tr>
        <w:trPr>
          <w:trHeight w:val="175"/>
        </w:trPr>
        <w:tc>
          <w:tcPr>
            <w:tcW w:w="4420" w:type="dxa"/>
            <w:vAlign w:val="bottom"/>
          </w:tcPr>
          <w:p>
            <w:pPr>
              <w:ind w:left="40"/>
              <w:spacing w:after="0" w:line="155" w:lineRule="exact"/>
              <w:rPr>
                <w:sz w:val="20"/>
                <w:szCs w:val="20"/>
                <w:color w:val="auto"/>
              </w:rPr>
            </w:pPr>
            <w:r>
              <w:rPr>
                <w:rFonts w:ascii="Arial" w:cs="Arial" w:eastAsia="Arial" w:hAnsi="Arial"/>
                <w:sz w:val="16"/>
                <w:szCs w:val="16"/>
                <w:color w:val="3D3935"/>
              </w:rPr>
              <w:t>North America from 1999 to 2002.</w:t>
            </w:r>
          </w:p>
        </w:tc>
        <w:tc>
          <w:tcPr>
            <w:tcW w:w="320" w:type="dxa"/>
            <w:vAlign w:val="bottom"/>
            <w:tcBorders>
              <w:bottom w:val="single" w:sz="8" w:color="F0F3F5"/>
            </w:tcBorders>
            <w:shd w:val="clear" w:color="auto" w:fill="F0F3F5"/>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tcBorders>
              <w:bottom w:val="single" w:sz="8" w:color="0072CE"/>
            </w:tcBorders>
          </w:tcPr>
          <w:p>
            <w:pPr>
              <w:ind w:left="60"/>
              <w:spacing w:after="0" w:line="155" w:lineRule="exact"/>
              <w:rPr>
                <w:sz w:val="20"/>
                <w:szCs w:val="20"/>
                <w:color w:val="auto"/>
              </w:rPr>
            </w:pPr>
            <w:r>
              <w:rPr>
                <w:rFonts w:ascii="Arial" w:cs="Arial" w:eastAsia="Arial" w:hAnsi="Arial"/>
                <w:sz w:val="16"/>
                <w:szCs w:val="16"/>
                <w:color w:val="3D3935"/>
              </w:rPr>
              <w:t>scrutinize costs, capital</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4420" w:type="dxa"/>
            <w:vAlign w:val="bottom"/>
            <w:vMerge w:val="restart"/>
          </w:tcPr>
          <w:p>
            <w:pPr>
              <w:ind w:left="40"/>
              <w:spacing w:after="0"/>
              <w:rPr>
                <w:sz w:val="20"/>
                <w:szCs w:val="20"/>
                <w:color w:val="auto"/>
              </w:rPr>
            </w:pPr>
            <w:r>
              <w:rPr>
                <w:rFonts w:ascii="Arial" w:cs="Arial" w:eastAsia="Arial" w:hAnsi="Arial"/>
                <w:sz w:val="16"/>
                <w:szCs w:val="16"/>
                <w:b w:val="1"/>
                <w:bCs w:val="1"/>
                <w:color w:val="0072CE"/>
              </w:rPr>
              <w:t>Reasons for Nomination:</w:t>
            </w:r>
            <w:r>
              <w:rPr>
                <w:rFonts w:ascii="Arial" w:cs="Arial" w:eastAsia="Arial" w:hAnsi="Arial"/>
                <w:sz w:val="16"/>
                <w:szCs w:val="16"/>
                <w:color w:val="3D3935"/>
              </w:rPr>
              <w:t>Mr. Jimenez has served as the</w:t>
            </w:r>
          </w:p>
        </w:tc>
        <w:tc>
          <w:tcPr>
            <w:tcW w:w="320" w:type="dxa"/>
            <w:vAlign w:val="bottom"/>
            <w:shd w:val="clear" w:color="auto" w:fill="F0F3F5"/>
          </w:tcPr>
          <w:p>
            <w:pPr>
              <w:spacing w:after="0"/>
              <w:rPr>
                <w:sz w:val="7"/>
                <w:szCs w:val="7"/>
                <w:color w:val="auto"/>
              </w:rPr>
            </w:pPr>
          </w:p>
        </w:tc>
        <w:tc>
          <w:tcPr>
            <w:tcW w:w="40" w:type="dxa"/>
            <w:vAlign w:val="bottom"/>
          </w:tcPr>
          <w:p>
            <w:pPr>
              <w:spacing w:after="0"/>
              <w:rPr>
                <w:sz w:val="7"/>
                <w:szCs w:val="7"/>
                <w:color w:val="auto"/>
              </w:rPr>
            </w:pPr>
          </w:p>
        </w:tc>
        <w:tc>
          <w:tcPr>
            <w:tcW w:w="2300" w:type="dxa"/>
            <w:vAlign w:val="bottom"/>
            <w:vMerge w:val="restart"/>
          </w:tcPr>
          <w:p>
            <w:pPr>
              <w:ind w:left="60"/>
              <w:spacing w:after="0" w:line="168" w:lineRule="exact"/>
              <w:rPr>
                <w:sz w:val="20"/>
                <w:szCs w:val="20"/>
                <w:color w:val="auto"/>
              </w:rPr>
            </w:pPr>
            <w:r>
              <w:rPr>
                <w:rFonts w:ascii="Arial" w:cs="Arial" w:eastAsia="Arial" w:hAnsi="Arial"/>
                <w:sz w:val="16"/>
                <w:szCs w:val="16"/>
                <w:color w:val="3D3935"/>
              </w:rPr>
              <w:t>requirements, and the key</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4420" w:type="dxa"/>
            <w:vAlign w:val="bottom"/>
            <w:vMerge w:val="continue"/>
          </w:tcPr>
          <w:p>
            <w:pPr>
              <w:spacing w:after="0"/>
              <w:rPr>
                <w:sz w:val="6"/>
                <w:szCs w:val="6"/>
                <w:color w:val="auto"/>
              </w:rPr>
            </w:pPr>
          </w:p>
        </w:tc>
        <w:tc>
          <w:tcPr>
            <w:tcW w:w="320" w:type="dxa"/>
            <w:vAlign w:val="bottom"/>
            <w:shd w:val="clear" w:color="auto" w:fill="05C3DD"/>
          </w:tcPr>
          <w:p>
            <w:pPr>
              <w:spacing w:after="0"/>
              <w:rPr>
                <w:sz w:val="6"/>
                <w:szCs w:val="6"/>
                <w:color w:val="auto"/>
              </w:rPr>
            </w:pPr>
          </w:p>
        </w:tc>
        <w:tc>
          <w:tcPr>
            <w:tcW w:w="40" w:type="dxa"/>
            <w:vAlign w:val="bottom"/>
          </w:tcPr>
          <w:p>
            <w:pPr>
              <w:spacing w:after="0"/>
              <w:rPr>
                <w:sz w:val="6"/>
                <w:szCs w:val="6"/>
                <w:color w:val="auto"/>
              </w:rPr>
            </w:pPr>
          </w:p>
        </w:tc>
        <w:tc>
          <w:tcPr>
            <w:tcW w:w="23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4420" w:type="dxa"/>
            <w:vAlign w:val="bottom"/>
            <w:vMerge w:val="continue"/>
          </w:tcPr>
          <w:p>
            <w:pPr>
              <w:spacing w:after="0"/>
              <w:rPr>
                <w:sz w:val="9"/>
                <w:szCs w:val="9"/>
                <w:color w:val="auto"/>
              </w:rPr>
            </w:pPr>
          </w:p>
        </w:tc>
        <w:tc>
          <w:tcPr>
            <w:tcW w:w="320" w:type="dxa"/>
            <w:vAlign w:val="bottom"/>
            <w:shd w:val="clear" w:color="auto" w:fill="05C3DD"/>
          </w:tcPr>
          <w:p>
            <w:pPr>
              <w:spacing w:after="0"/>
              <w:rPr>
                <w:sz w:val="9"/>
                <w:szCs w:val="9"/>
                <w:color w:val="auto"/>
              </w:rPr>
            </w:pPr>
          </w:p>
        </w:tc>
        <w:tc>
          <w:tcPr>
            <w:tcW w:w="40" w:type="dxa"/>
            <w:vAlign w:val="bottom"/>
          </w:tcPr>
          <w:p>
            <w:pPr>
              <w:spacing w:after="0"/>
              <w:rPr>
                <w:sz w:val="9"/>
                <w:szCs w:val="9"/>
                <w:color w:val="auto"/>
              </w:rPr>
            </w:pPr>
          </w:p>
        </w:tc>
        <w:tc>
          <w:tcPr>
            <w:tcW w:w="2440" w:type="dxa"/>
            <w:vAlign w:val="bottom"/>
            <w:gridSpan w:val="2"/>
            <w:vMerge w:val="restart"/>
          </w:tcPr>
          <w:p>
            <w:pPr>
              <w:ind w:left="60"/>
              <w:spacing w:after="0"/>
              <w:rPr>
                <w:sz w:val="20"/>
                <w:szCs w:val="20"/>
                <w:color w:val="auto"/>
              </w:rPr>
            </w:pPr>
            <w:r>
              <w:rPr>
                <w:rFonts w:ascii="Arial" w:cs="Arial" w:eastAsia="Arial" w:hAnsi="Arial"/>
                <w:sz w:val="16"/>
                <w:szCs w:val="16"/>
                <w:color w:val="3D3935"/>
              </w:rPr>
              <w:t>assumptions underlying</w:t>
            </w:r>
          </w:p>
        </w:tc>
        <w:tc>
          <w:tcPr>
            <w:tcW w:w="0" w:type="dxa"/>
            <w:vAlign w:val="bottom"/>
          </w:tcPr>
          <w:p>
            <w:pPr>
              <w:spacing w:after="0"/>
              <w:rPr>
                <w:sz w:val="1"/>
                <w:szCs w:val="1"/>
                <w:color w:val="auto"/>
              </w:rPr>
            </w:pPr>
          </w:p>
        </w:tc>
      </w:tr>
      <w:tr>
        <w:trPr>
          <w:trHeight w:val="116"/>
        </w:trPr>
        <w:tc>
          <w:tcPr>
            <w:tcW w:w="4420" w:type="dxa"/>
            <w:vAlign w:val="bottom"/>
            <w:vMerge w:val="restart"/>
          </w:tcPr>
          <w:p>
            <w:pPr>
              <w:ind w:left="40"/>
              <w:spacing w:after="0" w:line="175" w:lineRule="exact"/>
              <w:rPr>
                <w:sz w:val="20"/>
                <w:szCs w:val="20"/>
                <w:color w:val="auto"/>
              </w:rPr>
            </w:pPr>
            <w:r>
              <w:rPr>
                <w:rFonts w:ascii="Arial" w:cs="Arial" w:eastAsia="Arial" w:hAnsi="Arial"/>
                <w:sz w:val="16"/>
                <w:szCs w:val="16"/>
                <w:color w:val="3D3935"/>
              </w:rPr>
              <w:t>CEO of a global company with significant research and</w:t>
            </w:r>
          </w:p>
        </w:tc>
        <w:tc>
          <w:tcPr>
            <w:tcW w:w="320" w:type="dxa"/>
            <w:vAlign w:val="bottom"/>
            <w:tcBorders>
              <w:bottom w:val="single" w:sz="8" w:color="05C3DD"/>
            </w:tcBorders>
            <w:shd w:val="clear" w:color="auto" w:fill="05C3DD"/>
          </w:tcPr>
          <w:p>
            <w:pPr>
              <w:spacing w:after="0"/>
              <w:rPr>
                <w:sz w:val="10"/>
                <w:szCs w:val="10"/>
                <w:color w:val="auto"/>
              </w:rPr>
            </w:pPr>
          </w:p>
        </w:tc>
        <w:tc>
          <w:tcPr>
            <w:tcW w:w="40" w:type="dxa"/>
            <w:vAlign w:val="bottom"/>
          </w:tcPr>
          <w:p>
            <w:pPr>
              <w:spacing w:after="0"/>
              <w:rPr>
                <w:sz w:val="10"/>
                <w:szCs w:val="10"/>
                <w:color w:val="auto"/>
              </w:rPr>
            </w:pPr>
          </w:p>
        </w:tc>
        <w:tc>
          <w:tcPr>
            <w:tcW w:w="24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442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40" w:type="dxa"/>
            <w:vAlign w:val="bottom"/>
            <w:gridSpan w:val="2"/>
            <w:vMerge w:val="restart"/>
          </w:tcPr>
          <w:p>
            <w:pPr>
              <w:ind w:left="60"/>
              <w:spacing w:after="0" w:line="121" w:lineRule="exact"/>
              <w:rPr>
                <w:sz w:val="20"/>
                <w:szCs w:val="20"/>
                <w:color w:val="auto"/>
              </w:rPr>
            </w:pPr>
            <w:r>
              <w:rPr>
                <w:rFonts w:ascii="Arial" w:cs="Arial" w:eastAsia="Arial" w:hAnsi="Arial"/>
                <w:sz w:val="14"/>
                <w:szCs w:val="14"/>
                <w:color w:val="3D3935"/>
              </w:rPr>
              <w:t>the business case for the</w:t>
            </w:r>
          </w:p>
        </w:tc>
        <w:tc>
          <w:tcPr>
            <w:tcW w:w="0" w:type="dxa"/>
            <w:vAlign w:val="bottom"/>
          </w:tcPr>
          <w:p>
            <w:pPr>
              <w:spacing w:after="0" w:line="20" w:lineRule="exact"/>
              <w:rPr>
                <w:sz w:val="1"/>
                <w:szCs w:val="1"/>
                <w:color w:val="auto"/>
              </w:rPr>
            </w:pPr>
          </w:p>
        </w:tc>
      </w:tr>
      <w:tr>
        <w:trPr>
          <w:trHeight w:val="81"/>
        </w:trPr>
        <w:tc>
          <w:tcPr>
            <w:tcW w:w="4420" w:type="dxa"/>
            <w:vAlign w:val="bottom"/>
            <w:vMerge w:val="restart"/>
          </w:tcPr>
          <w:p>
            <w:pPr>
              <w:ind w:left="40"/>
              <w:spacing w:after="0" w:line="175" w:lineRule="exact"/>
              <w:rPr>
                <w:sz w:val="20"/>
                <w:szCs w:val="20"/>
                <w:color w:val="auto"/>
              </w:rPr>
            </w:pPr>
            <w:r>
              <w:rPr>
                <w:rFonts w:ascii="Arial" w:cs="Arial" w:eastAsia="Arial" w:hAnsi="Arial"/>
                <w:sz w:val="16"/>
                <w:szCs w:val="16"/>
                <w:color w:val="3D3935"/>
              </w:rPr>
              <w:t>development and capital spending in a highly regulated</w:t>
            </w: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442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40" w:type="dxa"/>
            <w:vAlign w:val="bottom"/>
            <w:gridSpan w:val="2"/>
            <w:vMerge w:val="restart"/>
          </w:tcPr>
          <w:p>
            <w:pPr>
              <w:ind w:left="60"/>
              <w:spacing w:after="0" w:line="175" w:lineRule="exact"/>
              <w:rPr>
                <w:sz w:val="20"/>
                <w:szCs w:val="20"/>
                <w:color w:val="auto"/>
              </w:rPr>
            </w:pPr>
            <w:r>
              <w:rPr>
                <w:rFonts w:ascii="Arial" w:cs="Arial" w:eastAsia="Arial" w:hAnsi="Arial"/>
                <w:sz w:val="16"/>
                <w:szCs w:val="16"/>
                <w:color w:val="3D3935"/>
              </w:rPr>
              <w:t>programs. This helps ensure</w:t>
            </w:r>
          </w:p>
        </w:tc>
        <w:tc>
          <w:tcPr>
            <w:tcW w:w="0" w:type="dxa"/>
            <w:vAlign w:val="bottom"/>
          </w:tcPr>
          <w:p>
            <w:pPr>
              <w:spacing w:after="0"/>
              <w:rPr>
                <w:sz w:val="1"/>
                <w:szCs w:val="1"/>
                <w:color w:val="auto"/>
              </w:rPr>
            </w:pPr>
          </w:p>
        </w:tc>
      </w:tr>
      <w:tr>
        <w:trPr>
          <w:trHeight w:val="81"/>
        </w:trPr>
        <w:tc>
          <w:tcPr>
            <w:tcW w:w="4420" w:type="dxa"/>
            <w:vAlign w:val="bottom"/>
            <w:vMerge w:val="restart"/>
          </w:tcPr>
          <w:p>
            <w:pPr>
              <w:ind w:left="40"/>
              <w:spacing w:after="0" w:line="175" w:lineRule="exact"/>
              <w:rPr>
                <w:sz w:val="20"/>
                <w:szCs w:val="20"/>
                <w:color w:val="auto"/>
              </w:rPr>
            </w:pPr>
            <w:r>
              <w:rPr>
                <w:rFonts w:ascii="Arial" w:cs="Arial" w:eastAsia="Arial" w:hAnsi="Arial"/>
                <w:sz w:val="16"/>
                <w:szCs w:val="16"/>
                <w:color w:val="3D3935"/>
              </w:rPr>
              <w:t>environment. He also has significant experience in</w:t>
            </w: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442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40" w:type="dxa"/>
            <w:vAlign w:val="bottom"/>
            <w:gridSpan w:val="2"/>
            <w:vMerge w:val="restart"/>
          </w:tcPr>
          <w:p>
            <w:pPr>
              <w:ind w:left="60"/>
              <w:spacing w:after="0" w:line="175" w:lineRule="exact"/>
              <w:rPr>
                <w:sz w:val="20"/>
                <w:szCs w:val="20"/>
                <w:color w:val="auto"/>
              </w:rPr>
            </w:pPr>
            <w:r>
              <w:rPr>
                <w:rFonts w:ascii="Arial" w:cs="Arial" w:eastAsia="Arial" w:hAnsi="Arial"/>
                <w:sz w:val="16"/>
                <w:szCs w:val="16"/>
                <w:color w:val="3D3935"/>
              </w:rPr>
              <w:t>we remain committed to</w:t>
            </w:r>
          </w:p>
        </w:tc>
        <w:tc>
          <w:tcPr>
            <w:tcW w:w="0" w:type="dxa"/>
            <w:vAlign w:val="bottom"/>
          </w:tcPr>
          <w:p>
            <w:pPr>
              <w:spacing w:after="0"/>
              <w:rPr>
                <w:sz w:val="1"/>
                <w:szCs w:val="1"/>
                <w:color w:val="auto"/>
              </w:rPr>
            </w:pPr>
          </w:p>
        </w:tc>
      </w:tr>
      <w:tr>
        <w:trPr>
          <w:trHeight w:val="81"/>
        </w:trPr>
        <w:tc>
          <w:tcPr>
            <w:tcW w:w="4420" w:type="dxa"/>
            <w:vAlign w:val="bottom"/>
            <w:vMerge w:val="restart"/>
          </w:tcPr>
          <w:p>
            <w:pPr>
              <w:ind w:left="40"/>
              <w:spacing w:after="0" w:line="175" w:lineRule="exact"/>
              <w:rPr>
                <w:sz w:val="20"/>
                <w:szCs w:val="20"/>
                <w:color w:val="auto"/>
              </w:rPr>
            </w:pPr>
            <w:r>
              <w:rPr>
                <w:rFonts w:ascii="Arial" w:cs="Arial" w:eastAsia="Arial" w:hAnsi="Arial"/>
                <w:sz w:val="16"/>
                <w:szCs w:val="16"/>
                <w:color w:val="3D3935"/>
              </w:rPr>
              <w:t>finance, strategic planning, and consumer branding</w:t>
            </w: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442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40" w:type="dxa"/>
            <w:vAlign w:val="bottom"/>
            <w:gridSpan w:val="2"/>
            <w:vMerge w:val="restart"/>
          </w:tcPr>
          <w:p>
            <w:pPr>
              <w:ind w:left="60"/>
              <w:spacing w:after="0" w:line="175" w:lineRule="exact"/>
              <w:rPr>
                <w:sz w:val="20"/>
                <w:szCs w:val="20"/>
                <w:color w:val="auto"/>
              </w:rPr>
            </w:pPr>
            <w:r>
              <w:rPr>
                <w:rFonts w:ascii="Arial" w:cs="Arial" w:eastAsia="Arial" w:hAnsi="Arial"/>
                <w:sz w:val="16"/>
                <w:szCs w:val="16"/>
                <w:color w:val="3D3935"/>
              </w:rPr>
              <w:t>our ICE and EV strategic</w:t>
            </w:r>
          </w:p>
        </w:tc>
        <w:tc>
          <w:tcPr>
            <w:tcW w:w="0" w:type="dxa"/>
            <w:vAlign w:val="bottom"/>
          </w:tcPr>
          <w:p>
            <w:pPr>
              <w:spacing w:after="0"/>
              <w:rPr>
                <w:sz w:val="1"/>
                <w:szCs w:val="1"/>
                <w:color w:val="auto"/>
              </w:rPr>
            </w:pPr>
          </w:p>
        </w:tc>
      </w:tr>
      <w:tr>
        <w:trPr>
          <w:trHeight w:val="81"/>
        </w:trPr>
        <w:tc>
          <w:tcPr>
            <w:tcW w:w="4420" w:type="dxa"/>
            <w:vAlign w:val="bottom"/>
            <w:vMerge w:val="restart"/>
          </w:tcPr>
          <w:p>
            <w:pPr>
              <w:ind w:left="40"/>
              <w:spacing w:after="0"/>
              <w:rPr>
                <w:sz w:val="20"/>
                <w:szCs w:val="20"/>
                <w:color w:val="auto"/>
              </w:rPr>
            </w:pPr>
            <w:r>
              <w:rPr>
                <w:rFonts w:ascii="Arial" w:cs="Arial" w:eastAsia="Arial" w:hAnsi="Arial"/>
                <w:sz w:val="16"/>
                <w:szCs w:val="16"/>
                <w:color w:val="3D3935"/>
              </w:rPr>
              <w:t>and marketing.</w:t>
            </w: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44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40" w:type="dxa"/>
            <w:vAlign w:val="bottom"/>
            <w:gridSpan w:val="2"/>
            <w:vMerge w:val="restart"/>
          </w:tcPr>
          <w:p>
            <w:pPr>
              <w:ind w:left="60"/>
              <w:spacing w:after="0"/>
              <w:rPr>
                <w:sz w:val="20"/>
                <w:szCs w:val="20"/>
                <w:color w:val="auto"/>
              </w:rPr>
            </w:pPr>
            <w:r>
              <w:rPr>
                <w:rFonts w:ascii="Arial" w:cs="Arial" w:eastAsia="Arial" w:hAnsi="Arial"/>
                <w:sz w:val="16"/>
                <w:szCs w:val="16"/>
                <w:color w:val="3D3935"/>
              </w:rPr>
              <w:t>pillars and reach our</w:t>
            </w:r>
          </w:p>
        </w:tc>
        <w:tc>
          <w:tcPr>
            <w:tcW w:w="0" w:type="dxa"/>
            <w:vAlign w:val="bottom"/>
          </w:tcPr>
          <w:p>
            <w:pPr>
              <w:spacing w:after="0"/>
              <w:rPr>
                <w:sz w:val="1"/>
                <w:szCs w:val="1"/>
                <w:color w:val="auto"/>
              </w:rPr>
            </w:pPr>
          </w:p>
        </w:tc>
      </w:tr>
      <w:tr>
        <w:trPr>
          <w:trHeight w:val="55"/>
        </w:trPr>
        <w:tc>
          <w:tcPr>
            <w:tcW w:w="4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40"/>
              <w:spacing w:after="0"/>
              <w:rPr>
                <w:sz w:val="20"/>
                <w:szCs w:val="20"/>
                <w:color w:val="auto"/>
              </w:rPr>
            </w:pPr>
            <w:r>
              <w:rPr>
                <w:rFonts w:ascii="Arial" w:cs="Arial" w:eastAsia="Arial" w:hAnsi="Arial"/>
                <w:sz w:val="16"/>
                <w:szCs w:val="16"/>
                <w:b w:val="1"/>
                <w:bCs w:val="1"/>
                <w:color w:val="0072CE"/>
              </w:rPr>
              <w:t xml:space="preserve">Other Public Company Directorships: </w:t>
            </w:r>
            <w:r>
              <w:rPr>
                <w:rFonts w:ascii="Arial" w:cs="Arial" w:eastAsia="Arial" w:hAnsi="Arial"/>
                <w:sz w:val="16"/>
                <w:szCs w:val="16"/>
                <w:color w:val="3D3935"/>
              </w:rPr>
              <w:t>The Procter &amp;</w:t>
            </w: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40" w:type="dxa"/>
            <w:vAlign w:val="bottom"/>
            <w:gridSpan w:val="2"/>
          </w:tcPr>
          <w:p>
            <w:pPr>
              <w:ind w:left="60"/>
              <w:spacing w:after="0"/>
              <w:rPr>
                <w:sz w:val="20"/>
                <w:szCs w:val="20"/>
                <w:color w:val="auto"/>
              </w:rPr>
            </w:pPr>
            <w:r>
              <w:rPr>
                <w:rFonts w:ascii="Arial" w:cs="Arial" w:eastAsia="Arial" w:hAnsi="Arial"/>
                <w:sz w:val="16"/>
                <w:szCs w:val="16"/>
                <w:color w:val="3D3935"/>
              </w:rPr>
              <w:t>profitability targets.</w:t>
            </w:r>
          </w:p>
        </w:tc>
        <w:tc>
          <w:tcPr>
            <w:tcW w:w="0" w:type="dxa"/>
            <w:vAlign w:val="bottom"/>
          </w:tcPr>
          <w:p>
            <w:pPr>
              <w:spacing w:after="0"/>
              <w:rPr>
                <w:sz w:val="1"/>
                <w:szCs w:val="1"/>
                <w:color w:val="auto"/>
              </w:rPr>
            </w:pPr>
          </w:p>
        </w:tc>
      </w:tr>
      <w:tr>
        <w:trPr>
          <w:trHeight w:val="215"/>
        </w:trPr>
        <w:tc>
          <w:tcPr>
            <w:tcW w:w="4420" w:type="dxa"/>
            <w:vAlign w:val="bottom"/>
          </w:tcPr>
          <w:p>
            <w:pPr>
              <w:ind w:left="40"/>
              <w:spacing w:after="0"/>
              <w:rPr>
                <w:sz w:val="20"/>
                <w:szCs w:val="20"/>
                <w:color w:val="auto"/>
              </w:rPr>
            </w:pPr>
            <w:r>
              <w:rPr>
                <w:rFonts w:ascii="Arial" w:cs="Arial" w:eastAsia="Arial" w:hAnsi="Arial"/>
                <w:sz w:val="16"/>
                <w:szCs w:val="16"/>
                <w:color w:val="3D3935"/>
              </w:rPr>
              <w:t>Gamble Company and Century Therapeutics, Inc.</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420" w:type="dxa"/>
            <w:vAlign w:val="bottom"/>
          </w:tcPr>
          <w:p>
            <w:pPr>
              <w:ind w:left="40"/>
              <w:spacing w:after="0"/>
              <w:rPr>
                <w:sz w:val="20"/>
                <w:szCs w:val="20"/>
                <w:color w:val="auto"/>
              </w:rPr>
            </w:pPr>
            <w:r>
              <w:rPr>
                <w:rFonts w:ascii="Arial" w:cs="Arial" w:eastAsia="Arial" w:hAnsi="Arial"/>
                <w:sz w:val="16"/>
                <w:szCs w:val="16"/>
                <w:b w:val="1"/>
                <w:bCs w:val="1"/>
                <w:color w:val="0072CE"/>
              </w:rPr>
              <w:t>Prior Public Company Directorships (Past Five Years):</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420" w:type="dxa"/>
            <w:vAlign w:val="bottom"/>
          </w:tcPr>
          <w:p>
            <w:pPr>
              <w:ind w:left="40"/>
              <w:spacing w:after="0"/>
              <w:rPr>
                <w:sz w:val="20"/>
                <w:szCs w:val="20"/>
                <w:color w:val="auto"/>
              </w:rPr>
            </w:pPr>
            <w:r>
              <w:rPr>
                <w:rFonts w:ascii="Arial" w:cs="Arial" w:eastAsia="Arial" w:hAnsi="Arial"/>
                <w:sz w:val="16"/>
                <w:szCs w:val="16"/>
                <w:color w:val="3D3935"/>
              </w:rPr>
              <w:t>Graphite Bio</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-1700530</wp:posOffset>
            </wp:positionH>
            <wp:positionV relativeFrom="paragraph">
              <wp:posOffset>-2492375</wp:posOffset>
            </wp:positionV>
            <wp:extent cx="6810375" cy="7408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10375" cy="7408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0072CE"/>
        </w:rPr>
        <w:t xml:space="preserve">Alfred F. Kelly, Jr. </w:t>
      </w:r>
      <w:r>
        <w:rPr>
          <w:rFonts w:ascii="Arial" w:cs="Arial" w:eastAsia="Arial" w:hAnsi="Arial"/>
          <w:sz w:val="17"/>
          <w:szCs w:val="17"/>
          <w:b w:val="1"/>
          <w:bCs w:val="1"/>
          <w:color w:val="3D3935"/>
        </w:rPr>
        <w:t>|</w:t>
      </w:r>
      <w:r>
        <w:rPr>
          <w:rFonts w:ascii="Arial" w:cs="Arial" w:eastAsia="Arial" w:hAnsi="Arial"/>
          <w:sz w:val="25"/>
          <w:szCs w:val="25"/>
          <w:b w:val="1"/>
          <w:bCs w:val="1"/>
          <w:color w:val="0072CE"/>
        </w:rPr>
        <w:t xml:space="preserve"> </w:t>
      </w:r>
      <w:r>
        <w:rPr>
          <w:rFonts w:ascii="Arial" w:cs="Arial" w:eastAsia="Arial" w:hAnsi="Arial"/>
          <w:sz w:val="25"/>
          <w:szCs w:val="25"/>
          <w:b w:val="1"/>
          <w:bCs w:val="1"/>
          <w:color w:val="3D3935"/>
        </w:rPr>
        <w:t>66</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3D3935"/>
        </w:rPr>
        <w:t>Advisory Director, Berkshire Partners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3D3935"/>
        </w:rPr>
        <w:t>Retired CEO and Chairman, Visa Inc.</w:t>
      </w:r>
    </w:p>
    <w:p>
      <w:pPr>
        <w:spacing w:after="0" w:line="200" w:lineRule="exact"/>
        <w:rPr>
          <w:sz w:val="20"/>
          <w:szCs w:val="20"/>
          <w:color w:val="auto"/>
        </w:rPr>
      </w:pPr>
    </w:p>
    <w:p>
      <w:pPr>
        <w:sectPr>
          <w:pgSz w:w="11900" w:h="16901" w:orient="portrait"/>
          <w:cols w:equalWidth="0" w:num="2">
            <w:col w:w="1540" w:space="320"/>
            <w:col w:w="7220"/>
          </w:cols>
          <w:pgMar w:left="1400" w:top="91"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line="241" w:lineRule="auto"/>
        <w:rPr>
          <w:sz w:val="20"/>
          <w:szCs w:val="20"/>
          <w:color w:val="auto"/>
        </w:rPr>
      </w:pPr>
      <w:r>
        <w:rPr>
          <w:rFonts w:ascii="Arial" w:cs="Arial" w:eastAsia="Arial" w:hAnsi="Arial"/>
          <w:sz w:val="14"/>
          <w:szCs w:val="14"/>
          <w:b w:val="1"/>
          <w:bCs w:val="1"/>
          <w:color w:val="0072CE"/>
        </w:rPr>
        <w:t xml:space="preserve">Gender: </w:t>
      </w:r>
      <w:r>
        <w:rPr>
          <w:rFonts w:ascii="Arial" w:cs="Arial" w:eastAsia="Arial" w:hAnsi="Arial"/>
          <w:sz w:val="14"/>
          <w:szCs w:val="14"/>
          <w:color w:val="3D3935"/>
        </w:rPr>
        <w:t>Male</w:t>
      </w:r>
      <w:r>
        <w:rPr>
          <w:rFonts w:ascii="Arial" w:cs="Arial" w:eastAsia="Arial" w:hAnsi="Arial"/>
          <w:sz w:val="14"/>
          <w:szCs w:val="14"/>
          <w:b w:val="1"/>
          <w:bCs w:val="1"/>
          <w:color w:val="0072CE"/>
        </w:rPr>
        <w:t xml:space="preserve"> Director since: </w:t>
      </w:r>
      <w:r>
        <w:rPr>
          <w:rFonts w:ascii="Arial" w:cs="Arial" w:eastAsia="Arial" w:hAnsi="Arial"/>
          <w:sz w:val="14"/>
          <w:szCs w:val="14"/>
          <w:color w:val="3D3935"/>
        </w:rPr>
        <w:t>2024</w:t>
      </w:r>
      <w:r>
        <w:rPr>
          <w:rFonts w:ascii="Arial" w:cs="Arial" w:eastAsia="Arial" w:hAnsi="Arial"/>
          <w:sz w:val="14"/>
          <w:szCs w:val="14"/>
          <w:b w:val="1"/>
          <w:bCs w:val="1"/>
          <w:color w:val="0072CE"/>
        </w:rPr>
        <w:t xml:space="preserve"> Race/Ethnicity: </w:t>
      </w:r>
      <w:r>
        <w:rPr>
          <w:rFonts w:ascii="Arial" w:cs="Arial" w:eastAsia="Arial" w:hAnsi="Arial"/>
          <w:sz w:val="14"/>
          <w:szCs w:val="14"/>
          <w:color w:val="3D3935"/>
        </w:rPr>
        <w:t>White</w:t>
      </w:r>
      <w:r>
        <w:rPr>
          <w:rFonts w:ascii="Arial" w:cs="Arial" w:eastAsia="Arial" w:hAnsi="Arial"/>
          <w:sz w:val="14"/>
          <w:szCs w:val="14"/>
          <w:b w:val="1"/>
          <w:bCs w:val="1"/>
          <w:color w:val="0072CE"/>
        </w:rPr>
        <w:t xml:space="preserve"> Committees:</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Audit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Risk and Cybersecurity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Current GM Model:</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Cadillac XT6</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Skillset:</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Cyber</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Finance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Governance</w:t>
      </w:r>
    </w:p>
    <w:p>
      <w:pPr>
        <w:ind w:left="60"/>
        <w:spacing w:after="0" w:line="222" w:lineRule="auto"/>
        <w:rPr>
          <w:sz w:val="20"/>
          <w:szCs w:val="20"/>
          <w:color w:val="auto"/>
        </w:rPr>
      </w:pPr>
      <w:r>
        <w:rPr>
          <w:rFonts w:ascii="Arial" w:cs="Arial" w:eastAsia="Arial" w:hAnsi="Arial"/>
          <w:sz w:val="14"/>
          <w:szCs w:val="14"/>
          <w:color w:val="3D3935"/>
        </w:rPr>
        <w:t>Marketing</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Public Company CEO</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Risk Management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Social</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Technology</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100"/>
        <w:spacing w:after="0" w:line="238" w:lineRule="auto"/>
        <w:rPr>
          <w:sz w:val="20"/>
          <w:szCs w:val="20"/>
          <w:color w:val="auto"/>
        </w:rPr>
      </w:pPr>
      <w:r>
        <w:rPr>
          <w:rFonts w:ascii="Arial" w:cs="Arial" w:eastAsia="Arial" w:hAnsi="Arial"/>
          <w:sz w:val="16"/>
          <w:szCs w:val="16"/>
          <w:b w:val="1"/>
          <w:bCs w:val="1"/>
          <w:color w:val="0072CE"/>
        </w:rPr>
        <w:t xml:space="preserve">Experience: </w:t>
      </w:r>
      <w:r>
        <w:rPr>
          <w:rFonts w:ascii="Arial" w:cs="Arial" w:eastAsia="Arial" w:hAnsi="Arial"/>
          <w:sz w:val="16"/>
          <w:szCs w:val="16"/>
          <w:color w:val="3D3935"/>
        </w:rPr>
        <w:t>Mr. Kelly served as the CEO of Visa Inc.</w:t>
      </w:r>
      <w:r>
        <w:rPr>
          <w:rFonts w:ascii="Arial" w:cs="Arial" w:eastAsia="Arial" w:hAnsi="Arial"/>
          <w:sz w:val="16"/>
          <w:szCs w:val="16"/>
          <w:b w:val="1"/>
          <w:bCs w:val="1"/>
          <w:color w:val="0072CE"/>
        </w:rPr>
        <w:t xml:space="preserve"> </w:t>
      </w:r>
      <w:r>
        <w:rPr>
          <w:rFonts w:ascii="Arial" w:cs="Arial" w:eastAsia="Arial" w:hAnsi="Arial"/>
          <w:sz w:val="16"/>
          <w:szCs w:val="16"/>
          <w:color w:val="3D3935"/>
        </w:rPr>
        <w:t>from 2016 to 2023 and was Chairman of the Board from 2019 to 2024. Prior to Visa, he served in numerous leadership roles, including at American Express, where he was President when he left in 2010, and with the New York-New Jersey Super Bowl Host Committee where he was President and CEO.</w:t>
      </w:r>
    </w:p>
    <w:p>
      <w:pPr>
        <w:spacing w:after="0" w:line="73" w:lineRule="exact"/>
        <w:rPr>
          <w:sz w:val="20"/>
          <w:szCs w:val="20"/>
          <w:color w:val="auto"/>
        </w:rPr>
      </w:pPr>
    </w:p>
    <w:p>
      <w:pPr>
        <w:ind w:right="220"/>
        <w:spacing w:after="0" w:line="238" w:lineRule="auto"/>
        <w:rPr>
          <w:sz w:val="20"/>
          <w:szCs w:val="20"/>
          <w:color w:val="auto"/>
        </w:rPr>
      </w:pPr>
      <w:r>
        <w:rPr>
          <w:rFonts w:ascii="Arial" w:cs="Arial" w:eastAsia="Arial" w:hAnsi="Arial"/>
          <w:sz w:val="16"/>
          <w:szCs w:val="16"/>
          <w:b w:val="1"/>
          <w:bCs w:val="1"/>
          <w:color w:val="0072CE"/>
        </w:rPr>
        <w:t xml:space="preserve">Reasons for Nomination: </w:t>
      </w:r>
      <w:r>
        <w:rPr>
          <w:rFonts w:ascii="Arial" w:cs="Arial" w:eastAsia="Arial" w:hAnsi="Arial"/>
          <w:sz w:val="16"/>
          <w:szCs w:val="16"/>
          <w:color w:val="3D3935"/>
        </w:rPr>
        <w:t>Mr. Kelly has extensive</w:t>
      </w:r>
      <w:r>
        <w:rPr>
          <w:rFonts w:ascii="Arial" w:cs="Arial" w:eastAsia="Arial" w:hAnsi="Arial"/>
          <w:sz w:val="16"/>
          <w:szCs w:val="16"/>
          <w:b w:val="1"/>
          <w:bCs w:val="1"/>
          <w:color w:val="0072CE"/>
        </w:rPr>
        <w:t xml:space="preserve"> </w:t>
      </w:r>
      <w:r>
        <w:rPr>
          <w:rFonts w:ascii="Arial" w:cs="Arial" w:eastAsia="Arial" w:hAnsi="Arial"/>
          <w:sz w:val="16"/>
          <w:szCs w:val="16"/>
          <w:color w:val="3D3935"/>
        </w:rPr>
        <w:t>expertise in industry disruption, which has been instrumental in driving innovation and competitive advantage. His strong financial acumen ensures robust fiscal oversight and strategic financial planning. Additionally, Mr. Kelly’s global leadership experience provides valuable insights into international markets and enhances the Board’s ability to navigate complex global challenges.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0072CE"/>
        </w:rPr>
        <w:t>Other Public Company Directorships:</w:t>
      </w:r>
      <w:r>
        <w:rPr>
          <w:rFonts w:ascii="Arial" w:cs="Arial" w:eastAsia="Arial" w:hAnsi="Arial"/>
          <w:sz w:val="16"/>
          <w:szCs w:val="16"/>
          <w:color w:val="3D3935"/>
        </w:rPr>
        <w:t>None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0072CE"/>
        </w:rPr>
        <w:t>Prior Public Company Directorships (Past Five Years):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3D3935"/>
        </w:rPr>
        <w:t>Visa Inc.</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both"/>
        <w:ind w:left="334" w:right="580" w:hanging="334"/>
        <w:spacing w:after="0" w:line="182" w:lineRule="auto"/>
        <w:tabs>
          <w:tab w:leader="none" w:pos="334" w:val="left"/>
        </w:tabs>
        <w:numPr>
          <w:ilvl w:val="0"/>
          <w:numId w:val="32"/>
        </w:numPr>
        <w:rPr>
          <w:rFonts w:ascii="Arial" w:cs="Arial" w:eastAsia="Arial" w:hAnsi="Arial"/>
          <w:sz w:val="28"/>
          <w:szCs w:val="28"/>
          <w:b w:val="1"/>
          <w:bCs w:val="1"/>
          <w:color w:val="FFFFFF"/>
          <w:vertAlign w:val="subscript"/>
        </w:rPr>
      </w:pPr>
      <w:r>
        <w:rPr>
          <w:rFonts w:ascii="Arial" w:cs="Arial" w:eastAsia="Arial" w:hAnsi="Arial"/>
          <w:sz w:val="14"/>
          <w:szCs w:val="14"/>
          <w:b w:val="1"/>
          <w:bCs w:val="1"/>
          <w:color w:val="3D3935"/>
        </w:rPr>
        <w:t>What have you learned about the auto industry</w:t>
      </w:r>
    </w:p>
    <w:p>
      <w:pPr>
        <w:spacing w:after="0" w:line="1" w:lineRule="exact"/>
        <w:rPr>
          <w:sz w:val="20"/>
          <w:szCs w:val="20"/>
          <w:color w:val="auto"/>
        </w:rPr>
      </w:pPr>
    </w:p>
    <w:p>
      <w:pPr>
        <w:ind w:left="334"/>
        <w:spacing w:after="0"/>
        <w:rPr>
          <w:sz w:val="20"/>
          <w:szCs w:val="20"/>
          <w:color w:val="auto"/>
        </w:rPr>
      </w:pPr>
      <w:r>
        <w:rPr>
          <w:rFonts w:ascii="Arial" w:cs="Arial" w:eastAsia="Arial" w:hAnsi="Arial"/>
          <w:sz w:val="16"/>
          <w:szCs w:val="16"/>
          <w:b w:val="1"/>
          <w:bCs w:val="1"/>
          <w:color w:val="3D3935"/>
        </w:rPr>
        <w:t>since joining the Board?</w:t>
      </w:r>
    </w:p>
    <w:p>
      <w:pPr>
        <w:spacing w:after="0" w:line="192" w:lineRule="exact"/>
        <w:rPr>
          <w:sz w:val="20"/>
          <w:szCs w:val="20"/>
          <w:color w:val="auto"/>
        </w:rPr>
      </w:pPr>
    </w:p>
    <w:p>
      <w:pPr>
        <w:ind w:left="334" w:right="300" w:hanging="333"/>
        <w:spacing w:after="0" w:line="217" w:lineRule="auto"/>
        <w:tabs>
          <w:tab w:leader="none" w:pos="334" w:val="left"/>
        </w:tabs>
        <w:numPr>
          <w:ilvl w:val="0"/>
          <w:numId w:val="33"/>
        </w:numPr>
        <w:rPr>
          <w:rFonts w:ascii="Arial" w:cs="Arial" w:eastAsia="Arial" w:hAnsi="Arial"/>
          <w:sz w:val="36"/>
          <w:szCs w:val="36"/>
          <w:b w:val="1"/>
          <w:bCs w:val="1"/>
          <w:color w:val="FFFFFF"/>
          <w:vertAlign w:val="subscript"/>
        </w:rPr>
      </w:pPr>
      <w:r>
        <w:rPr>
          <w:rFonts w:ascii="Arial" w:cs="Arial" w:eastAsia="Arial" w:hAnsi="Arial"/>
          <w:sz w:val="16"/>
          <w:szCs w:val="16"/>
          <w:color w:val="3D3935"/>
        </w:rPr>
        <w:t>I found that there are many similarities between the automotive industry and the disruption from new market entrants that I experienced while in the financial services sector, where I spent most of my career. I’ve enjoyed the opportunity to be part of this Board because we are leveraging technology to innovate and deliver new experiences to our customers. Our software and services strategy pillar is critical to effectively creating new revenue streams and differentiating us from</w:t>
      </w:r>
    </w:p>
    <w:p>
      <w:pPr>
        <w:spacing w:after="0" w:line="13" w:lineRule="exact"/>
        <w:rPr>
          <w:rFonts w:ascii="Arial" w:cs="Arial" w:eastAsia="Arial" w:hAnsi="Arial"/>
          <w:sz w:val="36"/>
          <w:szCs w:val="36"/>
          <w:b w:val="1"/>
          <w:bCs w:val="1"/>
          <w:color w:val="FFFFFF"/>
          <w:vertAlign w:val="subscript"/>
        </w:rPr>
      </w:pPr>
    </w:p>
    <w:p>
      <w:pPr>
        <w:ind w:left="334"/>
        <w:spacing w:after="0"/>
        <w:rPr>
          <w:rFonts w:ascii="Arial" w:cs="Arial" w:eastAsia="Arial" w:hAnsi="Arial"/>
          <w:sz w:val="36"/>
          <w:szCs w:val="36"/>
          <w:b w:val="1"/>
          <w:bCs w:val="1"/>
          <w:color w:val="FFFFFF"/>
          <w:vertAlign w:val="subscript"/>
        </w:rPr>
      </w:pPr>
      <w:r>
        <w:rPr>
          <w:rFonts w:ascii="Arial" w:cs="Arial" w:eastAsia="Arial" w:hAnsi="Arial"/>
          <w:sz w:val="16"/>
          <w:szCs w:val="16"/>
          <w:color w:val="3D3935"/>
        </w:rPr>
        <w:t>our competitors.</w:t>
      </w:r>
    </w:p>
    <w:p>
      <w:pPr>
        <w:spacing w:after="0" w:line="328" w:lineRule="exact"/>
        <w:rPr>
          <w:sz w:val="20"/>
          <w:szCs w:val="20"/>
          <w:color w:val="auto"/>
        </w:rPr>
      </w:pPr>
    </w:p>
    <w:p>
      <w:pPr>
        <w:sectPr>
          <w:pgSz w:w="11900" w:h="16901" w:orient="portrait"/>
          <w:cols w:equalWidth="0" w:num="3">
            <w:col w:w="1540" w:space="360"/>
            <w:col w:w="4180" w:space="286"/>
            <w:col w:w="2714"/>
          </w:cols>
          <w:pgMar w:left="1400" w:top="91" w:right="14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3D3935"/>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30251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10375" cy="3025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ITEM 1 Annual Election of Directors</w:t>
      </w:r>
    </w:p>
    <w:p>
      <w:pPr>
        <w:sectPr>
          <w:pgSz w:w="11900" w:h="16901" w:orient="portrait"/>
          <w:cols w:equalWidth="0" w:num="1">
            <w:col w:w="9080"/>
          </w:cols>
          <w:pgMar w:left="1400" w:top="91" w:right="14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 xml:space="preserve">Gender: </w:t>
      </w:r>
      <w:r>
        <w:rPr>
          <w:rFonts w:ascii="Arial" w:cs="Arial" w:eastAsia="Arial" w:hAnsi="Arial"/>
          <w:sz w:val="14"/>
          <w:szCs w:val="14"/>
          <w:color w:val="3D3935"/>
        </w:rPr>
        <w:t>Male</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 xml:space="preserve">Director since: </w:t>
      </w:r>
      <w:r>
        <w:rPr>
          <w:rFonts w:ascii="Arial" w:cs="Arial" w:eastAsia="Arial" w:hAnsi="Arial"/>
          <w:sz w:val="14"/>
          <w:szCs w:val="14"/>
          <w:color w:val="3D3935"/>
        </w:rPr>
        <w:t>2022</w:t>
      </w:r>
    </w:p>
    <w:p>
      <w:pPr>
        <w:ind w:left="60"/>
        <w:spacing w:after="0" w:line="241" w:lineRule="auto"/>
        <w:rPr>
          <w:sz w:val="20"/>
          <w:szCs w:val="20"/>
          <w:color w:val="auto"/>
        </w:rPr>
      </w:pPr>
      <w:r>
        <w:rPr>
          <w:rFonts w:ascii="Arial" w:cs="Arial" w:eastAsia="Arial" w:hAnsi="Arial"/>
          <w:sz w:val="14"/>
          <w:szCs w:val="14"/>
          <w:b w:val="1"/>
          <w:bCs w:val="1"/>
          <w:color w:val="0072CE"/>
        </w:rPr>
        <w:t xml:space="preserve">Race/Ethnicity: </w:t>
      </w:r>
      <w:r>
        <w:rPr>
          <w:rFonts w:ascii="Arial" w:cs="Arial" w:eastAsia="Arial" w:hAnsi="Arial"/>
          <w:sz w:val="14"/>
          <w:szCs w:val="14"/>
          <w:color w:val="3D3935"/>
        </w:rPr>
        <w:t>White</w:t>
      </w:r>
      <w:r>
        <w:rPr>
          <w:rFonts w:ascii="Arial" w:cs="Arial" w:eastAsia="Arial" w:hAnsi="Arial"/>
          <w:sz w:val="14"/>
          <w:szCs w:val="14"/>
          <w:b w:val="1"/>
          <w:bCs w:val="1"/>
          <w:color w:val="0072CE"/>
        </w:rPr>
        <w:t xml:space="preserve"> Committees:</w:t>
      </w:r>
    </w:p>
    <w:p>
      <w:pPr>
        <w:ind w:left="60"/>
        <w:spacing w:after="0" w:line="222" w:lineRule="auto"/>
        <w:rPr>
          <w:sz w:val="20"/>
          <w:szCs w:val="20"/>
          <w:color w:val="auto"/>
        </w:rPr>
      </w:pPr>
      <w:r>
        <w:rPr>
          <w:rFonts w:ascii="Arial" w:cs="Arial" w:eastAsia="Arial" w:hAnsi="Arial"/>
          <w:sz w:val="14"/>
          <w:szCs w:val="14"/>
          <w:color w:val="3D3935"/>
        </w:rPr>
        <w:t>Governance</w:t>
      </w:r>
    </w:p>
    <w:p>
      <w:pPr>
        <w:ind w:left="60"/>
        <w:spacing w:after="0"/>
        <w:rPr>
          <w:sz w:val="20"/>
          <w:szCs w:val="20"/>
          <w:color w:val="auto"/>
        </w:rPr>
      </w:pPr>
      <w:r>
        <w:rPr>
          <w:rFonts w:ascii="Arial" w:cs="Arial" w:eastAsia="Arial" w:hAnsi="Arial"/>
          <w:sz w:val="14"/>
          <w:szCs w:val="14"/>
          <w:color w:val="3D3935"/>
        </w:rPr>
        <w:t>Risk and Cybersecurity</w:t>
      </w: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Current GM Model:</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Chevrolet Silverado EV</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 xml:space="preserve">Jonathan McNeill </w:t>
      </w:r>
      <w:r>
        <w:rPr>
          <w:rFonts w:ascii="Arial" w:cs="Arial" w:eastAsia="Arial" w:hAnsi="Arial"/>
          <w:sz w:val="17"/>
          <w:szCs w:val="17"/>
          <w:b w:val="1"/>
          <w:bCs w:val="1"/>
          <w:color w:val="3D3935"/>
        </w:rPr>
        <w:t>|</w:t>
      </w:r>
      <w:r>
        <w:rPr>
          <w:rFonts w:ascii="Arial" w:cs="Arial" w:eastAsia="Arial" w:hAnsi="Arial"/>
          <w:sz w:val="25"/>
          <w:szCs w:val="25"/>
          <w:b w:val="1"/>
          <w:bCs w:val="1"/>
          <w:color w:val="0072CE"/>
        </w:rPr>
        <w:t xml:space="preserve"> </w:t>
      </w:r>
      <w:r>
        <w:rPr>
          <w:rFonts w:ascii="Arial" w:cs="Arial" w:eastAsia="Arial" w:hAnsi="Arial"/>
          <w:sz w:val="25"/>
          <w:szCs w:val="25"/>
          <w:b w:val="1"/>
          <w:bCs w:val="1"/>
          <w:color w:val="3D3935"/>
        </w:rPr>
        <w:t xml:space="preserve">57 </w:t>
      </w:r>
      <w:r>
        <w:rPr>
          <w:sz w:val="1"/>
          <w:szCs w:val="1"/>
          <w:color w:val="auto"/>
        </w:rPr>
        <w:drawing>
          <wp:inline distT="0" distB="0" distL="0" distR="0">
            <wp:extent cx="557530" cy="10287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7530" cy="102870"/>
                    </a:xfrm>
                    <a:prstGeom prst="rect">
                      <a:avLst/>
                    </a:prstGeom>
                    <a:noFill/>
                    <a:ln>
                      <a:noFill/>
                    </a:ln>
                  </pic:spPr>
                </pic:pic>
              </a:graphicData>
            </a:graphic>
          </wp:inline>
        </w:drawing>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3D3935"/>
        </w:rPr>
        <w:t>Co-Founder and CEO, DVx Ventures</w:t>
      </w:r>
    </w:p>
    <w:p>
      <w:pPr>
        <w:spacing w:after="0" w:line="279" w:lineRule="exact"/>
        <w:rPr>
          <w:sz w:val="20"/>
          <w:szCs w:val="20"/>
          <w:color w:val="auto"/>
        </w:rPr>
      </w:pPr>
    </w:p>
    <w:p>
      <w:pPr>
        <w:spacing w:after="0" w:line="234" w:lineRule="auto"/>
        <w:rPr>
          <w:sz w:val="20"/>
          <w:szCs w:val="20"/>
          <w:color w:val="auto"/>
        </w:rPr>
      </w:pPr>
      <w:r>
        <w:rPr>
          <w:rFonts w:ascii="Arial" w:cs="Arial" w:eastAsia="Arial" w:hAnsi="Arial"/>
          <w:sz w:val="16"/>
          <w:szCs w:val="16"/>
          <w:b w:val="1"/>
          <w:bCs w:val="1"/>
          <w:color w:val="0072CE"/>
        </w:rPr>
        <w:t xml:space="preserve">Experience: </w:t>
      </w:r>
      <w:r>
        <w:rPr>
          <w:rFonts w:ascii="Arial" w:cs="Arial" w:eastAsia="Arial" w:hAnsi="Arial"/>
          <w:sz w:val="16"/>
          <w:szCs w:val="16"/>
          <w:color w:val="3D3935"/>
        </w:rPr>
        <w:t>Since 2020, Mr. McNeill has served as CEO</w:t>
      </w:r>
      <w:r>
        <w:rPr>
          <w:rFonts w:ascii="Arial" w:cs="Arial" w:eastAsia="Arial" w:hAnsi="Arial"/>
          <w:sz w:val="16"/>
          <w:szCs w:val="16"/>
          <w:b w:val="1"/>
          <w:bCs w:val="1"/>
          <w:color w:val="0072CE"/>
        </w:rPr>
        <w:t xml:space="preserve"> </w:t>
      </w:r>
      <w:r>
        <w:rPr>
          <w:rFonts w:ascii="Arial" w:cs="Arial" w:eastAsia="Arial" w:hAnsi="Arial"/>
          <w:sz w:val="16"/>
          <w:szCs w:val="16"/>
          <w:color w:val="3D3935"/>
        </w:rPr>
        <w:t>of DVx Ventures, a venture company focused on early-stage startups. Prior to founding DVx Ventures, he served as Chief Operating Officer of Lyft, Inc. from 2018 to 2019. From 2015 to 2018, he also served as President, global sales, delivery and service of Tesla, Inc., where he led the team to grow revenue from</w:t>
      </w:r>
    </w:p>
    <w:p>
      <w:pPr>
        <w:spacing w:after="0" w:line="2" w:lineRule="exact"/>
        <w:rPr>
          <w:sz w:val="20"/>
          <w:szCs w:val="20"/>
          <w:color w:val="auto"/>
        </w:rPr>
      </w:pPr>
    </w:p>
    <w:p>
      <w:pPr>
        <w:ind w:right="980"/>
        <w:spacing w:after="0" w:line="265" w:lineRule="auto"/>
        <w:rPr>
          <w:sz w:val="20"/>
          <w:szCs w:val="20"/>
          <w:color w:val="auto"/>
        </w:rPr>
      </w:pPr>
      <w:r>
        <w:rPr>
          <w:rFonts w:ascii="Arial" w:cs="Arial" w:eastAsia="Arial" w:hAnsi="Arial"/>
          <w:sz w:val="16"/>
          <w:szCs w:val="16"/>
          <w:color w:val="3D3935"/>
        </w:rPr>
        <w:t>$2 billion to over $20 billion annually across 33 countries.</w:t>
      </w:r>
    </w:p>
    <w:p>
      <w:pPr>
        <w:spacing w:after="0" w:line="50" w:lineRule="exact"/>
        <w:rPr>
          <w:sz w:val="20"/>
          <w:szCs w:val="20"/>
          <w:color w:val="auto"/>
        </w:rPr>
      </w:pPr>
    </w:p>
    <w:p>
      <w:pPr>
        <w:ind w:right="40"/>
        <w:spacing w:after="0"/>
        <w:rPr>
          <w:sz w:val="20"/>
          <w:szCs w:val="20"/>
          <w:color w:val="auto"/>
        </w:rPr>
      </w:pPr>
      <w:r>
        <w:rPr>
          <w:rFonts w:ascii="Arial" w:cs="Arial" w:eastAsia="Arial" w:hAnsi="Arial"/>
          <w:sz w:val="16"/>
          <w:szCs w:val="16"/>
          <w:b w:val="1"/>
          <w:bCs w:val="1"/>
          <w:color w:val="0072CE"/>
        </w:rPr>
        <w:t xml:space="preserve">Reasons for Nomination: </w:t>
      </w:r>
      <w:r>
        <w:rPr>
          <w:rFonts w:ascii="Arial" w:cs="Arial" w:eastAsia="Arial" w:hAnsi="Arial"/>
          <w:sz w:val="16"/>
          <w:szCs w:val="16"/>
          <w:color w:val="3D3935"/>
        </w:rPr>
        <w:t>Mr. McNeill has deep</w:t>
      </w:r>
      <w:r>
        <w:rPr>
          <w:rFonts w:ascii="Arial" w:cs="Arial" w:eastAsia="Arial" w:hAnsi="Arial"/>
          <w:sz w:val="16"/>
          <w:szCs w:val="16"/>
          <w:b w:val="1"/>
          <w:bCs w:val="1"/>
          <w:color w:val="0072CE"/>
        </w:rPr>
        <w:t xml:space="preserve"> </w:t>
      </w:r>
      <w:r>
        <w:rPr>
          <w:rFonts w:ascii="Arial" w:cs="Arial" w:eastAsia="Arial" w:hAnsi="Arial"/>
          <w:sz w:val="16"/>
          <w:szCs w:val="16"/>
          <w:color w:val="3D3935"/>
        </w:rPr>
        <w:t>experience as both an entrepreneur and as an executive at companies of significant scale. He is a demonstrated leader in the EV space with expertise in business models, software architecture, and cyber. Through his experience in positions of senior leadership, he has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34" w:right="440" w:hanging="334"/>
        <w:spacing w:after="0" w:line="189" w:lineRule="auto"/>
        <w:tabs>
          <w:tab w:leader="none" w:pos="334" w:val="left"/>
        </w:tabs>
        <w:numPr>
          <w:ilvl w:val="0"/>
          <w:numId w:val="34"/>
        </w:numPr>
        <w:rPr>
          <w:rFonts w:ascii="Arial" w:cs="Arial" w:eastAsia="Arial" w:hAnsi="Arial"/>
          <w:sz w:val="36"/>
          <w:szCs w:val="36"/>
          <w:b w:val="1"/>
          <w:bCs w:val="1"/>
          <w:color w:val="FFFFFF"/>
          <w:vertAlign w:val="subscript"/>
        </w:rPr>
      </w:pPr>
      <w:r>
        <w:rPr>
          <w:rFonts w:ascii="Arial" w:cs="Arial" w:eastAsia="Arial" w:hAnsi="Arial"/>
          <w:sz w:val="16"/>
          <w:szCs w:val="16"/>
          <w:b w:val="1"/>
          <w:bCs w:val="1"/>
          <w:color w:val="3D3935"/>
        </w:rPr>
        <w:t>How is the Board helping shape the Company’s autonomous vehicle strategy?</w:t>
      </w:r>
    </w:p>
    <w:p>
      <w:pPr>
        <w:spacing w:after="0" w:line="171" w:lineRule="exact"/>
        <w:rPr>
          <w:sz w:val="20"/>
          <w:szCs w:val="20"/>
          <w:color w:val="auto"/>
        </w:rPr>
      </w:pPr>
    </w:p>
    <w:p>
      <w:pPr>
        <w:ind w:left="334" w:right="300" w:hanging="333"/>
        <w:spacing w:after="0" w:line="211" w:lineRule="auto"/>
        <w:tabs>
          <w:tab w:leader="none" w:pos="334" w:val="left"/>
        </w:tabs>
        <w:numPr>
          <w:ilvl w:val="0"/>
          <w:numId w:val="35"/>
        </w:numPr>
        <w:rPr>
          <w:rFonts w:ascii="Arial" w:cs="Arial" w:eastAsia="Arial" w:hAnsi="Arial"/>
          <w:sz w:val="36"/>
          <w:szCs w:val="36"/>
          <w:b w:val="1"/>
          <w:bCs w:val="1"/>
          <w:color w:val="FFFFFF"/>
          <w:vertAlign w:val="subscript"/>
        </w:rPr>
      </w:pPr>
      <w:r>
        <w:rPr>
          <w:rFonts w:ascii="Arial" w:cs="Arial" w:eastAsia="Arial" w:hAnsi="Arial"/>
          <w:sz w:val="16"/>
          <w:szCs w:val="16"/>
          <w:color w:val="3D3935"/>
        </w:rPr>
        <w:t>The Board continues to believe that GM is positioned to lead in autonomous and software-defined vehicles. We are closely monitoring how management is integrating the Cruise and GM technical teams into a single effort. We believe GM will achieve its autonomous</w:t>
      </w:r>
    </w:p>
    <w:p>
      <w:pPr>
        <w:sectPr>
          <w:pgSz w:w="11900" w:h="16901" w:orient="portrait"/>
          <w:cols w:equalWidth="0" w:num="3">
            <w:col w:w="1540" w:space="360"/>
            <w:col w:w="4100" w:space="366"/>
            <w:col w:w="2714"/>
          </w:cols>
          <w:pgMar w:left="1400" w:top="91" w:right="1419" w:bottom="0" w:gutter="0" w:footer="0" w:header="0"/>
          <w:type w:val="continuous"/>
        </w:sectPr>
      </w:pPr>
    </w:p>
    <w:bookmarkStart w:id="19" w:name="page20"/>
    <w:bookmarkEnd w:id="19"/>
    <w:p>
      <w:pPr>
        <w:spacing w:after="0" w:line="20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72CE"/>
        </w:rPr>
        <w:t>Skillset:</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4"/>
          <w:szCs w:val="14"/>
          <w:color w:val="3D3935"/>
        </w:rPr>
        <w:t>Cyber</w:t>
      </w:r>
    </w:p>
    <w:p>
      <w:pPr>
        <w:ind w:left="20"/>
        <w:spacing w:after="0"/>
        <w:rPr>
          <w:sz w:val="20"/>
          <w:szCs w:val="20"/>
          <w:color w:val="auto"/>
        </w:rPr>
      </w:pPr>
      <w:r>
        <w:rPr>
          <w:rFonts w:ascii="Arial" w:cs="Arial" w:eastAsia="Arial" w:hAnsi="Arial"/>
          <w:sz w:val="14"/>
          <w:szCs w:val="14"/>
          <w:color w:val="3D3935"/>
        </w:rPr>
        <w:t>Environmental</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3D3935"/>
        </w:rPr>
        <w:t>Finance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3D3935"/>
        </w:rPr>
        <w:t>Governance</w:t>
      </w:r>
    </w:p>
    <w:p>
      <w:pPr>
        <w:ind w:left="20"/>
        <w:spacing w:after="0" w:line="222" w:lineRule="auto"/>
        <w:rPr>
          <w:sz w:val="20"/>
          <w:szCs w:val="20"/>
          <w:color w:val="auto"/>
        </w:rPr>
      </w:pPr>
      <w:r>
        <w:rPr>
          <w:rFonts w:ascii="Arial" w:cs="Arial" w:eastAsia="Arial" w:hAnsi="Arial"/>
          <w:sz w:val="14"/>
          <w:szCs w:val="14"/>
          <w:color w:val="3D3935"/>
        </w:rPr>
        <w:t>Industry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3D3935"/>
        </w:rPr>
        <w:t>Manufacturing</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3D3935"/>
        </w:rPr>
        <w:t>Marketing</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3D3935"/>
        </w:rPr>
        <w:t>Risk Management</w:t>
      </w:r>
    </w:p>
    <w:p>
      <w:pPr>
        <w:ind w:left="20"/>
        <w:spacing w:after="0" w:line="222" w:lineRule="auto"/>
        <w:rPr>
          <w:sz w:val="20"/>
          <w:szCs w:val="20"/>
          <w:color w:val="auto"/>
        </w:rPr>
      </w:pPr>
      <w:r>
        <w:rPr>
          <w:rFonts w:ascii="Arial" w:cs="Arial" w:eastAsia="Arial" w:hAnsi="Arial"/>
          <w:sz w:val="14"/>
          <w:szCs w:val="14"/>
          <w:color w:val="3D3935"/>
        </w:rPr>
        <w:t>Social</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3D3935"/>
        </w:rPr>
        <w:t>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72CE"/>
        </w:rPr>
        <w:t xml:space="preserve">Gender: </w:t>
      </w:r>
      <w:r>
        <w:rPr>
          <w:rFonts w:ascii="Arial" w:cs="Arial" w:eastAsia="Arial" w:hAnsi="Arial"/>
          <w:sz w:val="14"/>
          <w:szCs w:val="14"/>
          <w:color w:val="3D3935"/>
        </w:rPr>
        <w:t>Female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72CE"/>
        </w:rPr>
        <w:t xml:space="preserve">Director since: </w:t>
      </w:r>
      <w:r>
        <w:rPr>
          <w:rFonts w:ascii="Arial" w:cs="Arial" w:eastAsia="Arial" w:hAnsi="Arial"/>
          <w:sz w:val="14"/>
          <w:szCs w:val="14"/>
          <w:color w:val="3D3935"/>
        </w:rPr>
        <w:t>2018</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72CE"/>
        </w:rPr>
        <w:t xml:space="preserve">Race/Ethnicity: </w:t>
      </w:r>
      <w:r>
        <w:rPr>
          <w:rFonts w:ascii="Arial" w:cs="Arial" w:eastAsia="Arial" w:hAnsi="Arial"/>
          <w:sz w:val="14"/>
          <w:szCs w:val="14"/>
          <w:color w:val="3D3935"/>
        </w:rPr>
        <w:t>White</w:t>
      </w:r>
    </w:p>
    <w:p>
      <w:pPr>
        <w:spacing w:after="0" w:line="1" w:lineRule="exact"/>
        <w:rPr>
          <w:sz w:val="20"/>
          <w:szCs w:val="20"/>
          <w:color w:val="auto"/>
        </w:rPr>
      </w:pPr>
    </w:p>
    <w:p>
      <w:pPr>
        <w:ind w:left="20"/>
        <w:spacing w:after="0" w:line="231" w:lineRule="auto"/>
        <w:rPr>
          <w:sz w:val="20"/>
          <w:szCs w:val="20"/>
          <w:color w:val="auto"/>
        </w:rPr>
      </w:pPr>
      <w:r>
        <w:rPr>
          <w:rFonts w:ascii="Arial" w:cs="Arial" w:eastAsia="Arial" w:hAnsi="Arial"/>
          <w:sz w:val="14"/>
          <w:szCs w:val="14"/>
          <w:b w:val="1"/>
          <w:bCs w:val="1"/>
          <w:color w:val="0072CE"/>
        </w:rPr>
        <w:t xml:space="preserve">Committees: </w:t>
      </w:r>
      <w:r>
        <w:rPr>
          <w:rFonts w:ascii="Arial" w:cs="Arial" w:eastAsia="Arial" w:hAnsi="Arial"/>
          <w:sz w:val="14"/>
          <w:szCs w:val="14"/>
          <w:color w:val="3D3935"/>
        </w:rPr>
        <w:t>Executive</w:t>
      </w:r>
      <w:r>
        <w:rPr>
          <w:rFonts w:ascii="Arial" w:cs="Arial" w:eastAsia="Arial" w:hAnsi="Arial"/>
          <w:sz w:val="14"/>
          <w:szCs w:val="14"/>
          <w:b w:val="1"/>
          <w:bCs w:val="1"/>
          <w:color w:val="0072CE"/>
        </w:rPr>
        <w:t xml:space="preserve"> </w:t>
      </w:r>
      <w:r>
        <w:rPr>
          <w:rFonts w:ascii="Arial" w:cs="Arial" w:eastAsia="Arial" w:hAnsi="Arial"/>
          <w:sz w:val="14"/>
          <w:szCs w:val="14"/>
          <w:color w:val="3D3935"/>
        </w:rPr>
        <w:t>Finance</w:t>
      </w:r>
    </w:p>
    <w:p>
      <w:pPr>
        <w:spacing w:after="0" w:line="1" w:lineRule="exact"/>
        <w:rPr>
          <w:sz w:val="20"/>
          <w:szCs w:val="20"/>
          <w:color w:val="auto"/>
        </w:rPr>
      </w:pPr>
    </w:p>
    <w:p>
      <w:pPr>
        <w:ind w:left="20" w:right="20"/>
        <w:spacing w:after="0" w:line="264" w:lineRule="auto"/>
        <w:rPr>
          <w:sz w:val="20"/>
          <w:szCs w:val="20"/>
          <w:color w:val="auto"/>
        </w:rPr>
      </w:pPr>
      <w:r>
        <w:rPr>
          <w:rFonts w:ascii="Arial" w:cs="Arial" w:eastAsia="Arial" w:hAnsi="Arial"/>
          <w:sz w:val="14"/>
          <w:szCs w:val="14"/>
          <w:color w:val="3D3935"/>
        </w:rPr>
        <w:t>Risk and Cybersecurity (Chair)</w:t>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72CE"/>
        </w:rPr>
        <w:t>Current GM Model:</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color w:val="3D3935"/>
        </w:rPr>
        <w:t>Chevrolet Blazer</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72CE"/>
        </w:rPr>
        <w:t>Skillset:</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color w:val="3D3935"/>
        </w:rPr>
        <w:t>Finance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3D3935"/>
        </w:rPr>
        <w:t>Governance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3D3935"/>
        </w:rPr>
        <w:t>Risk Management</w:t>
      </w:r>
    </w:p>
    <w:p>
      <w:pPr>
        <w:ind w:left="20"/>
        <w:spacing w:after="0" w:line="222" w:lineRule="auto"/>
        <w:rPr>
          <w:sz w:val="20"/>
          <w:szCs w:val="20"/>
          <w:color w:val="auto"/>
        </w:rPr>
      </w:pPr>
      <w:r>
        <w:rPr>
          <w:rFonts w:ascii="Arial" w:cs="Arial" w:eastAsia="Arial" w:hAnsi="Arial"/>
          <w:sz w:val="14"/>
          <w:szCs w:val="14"/>
          <w:color w:val="3D3935"/>
        </w:rPr>
        <w:t>Social</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3D3935"/>
        </w:rPr>
        <w:t>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3D3935"/>
        </w:rPr>
        <w:t>16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420" w:type="dxa"/>
            <w:vAlign w:val="bottom"/>
            <w:gridSpan w:val="2"/>
          </w:tcPr>
          <w:p>
            <w:pPr>
              <w:ind w:left="40"/>
              <w:spacing w:after="0"/>
              <w:rPr>
                <w:sz w:val="20"/>
                <w:szCs w:val="20"/>
                <w:color w:val="auto"/>
              </w:rPr>
            </w:pPr>
            <w:r>
              <w:rPr>
                <w:rFonts w:ascii="Arial" w:cs="Arial" w:eastAsia="Arial" w:hAnsi="Arial"/>
                <w:sz w:val="16"/>
                <w:szCs w:val="16"/>
                <w:color w:val="3D3935"/>
              </w:rPr>
              <w:t>founded and scaled multiple technology and retail</w:t>
            </w: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40" w:type="dxa"/>
            <w:vAlign w:val="bottom"/>
            <w:gridSpan w:val="2"/>
          </w:tcPr>
          <w:p>
            <w:pPr>
              <w:ind w:left="60"/>
              <w:spacing w:after="0"/>
              <w:rPr>
                <w:sz w:val="20"/>
                <w:szCs w:val="20"/>
                <w:color w:val="auto"/>
              </w:rPr>
            </w:pPr>
            <w:r>
              <w:rPr>
                <w:rFonts w:ascii="Arial" w:cs="Arial" w:eastAsia="Arial" w:hAnsi="Arial"/>
                <w:sz w:val="16"/>
                <w:szCs w:val="16"/>
                <w:color w:val="3D3935"/>
              </w:rPr>
              <w:t>goals of developing safe,</w:t>
            </w:r>
          </w:p>
        </w:tc>
        <w:tc>
          <w:tcPr>
            <w:tcW w:w="0" w:type="dxa"/>
            <w:vAlign w:val="bottom"/>
          </w:tcPr>
          <w:p>
            <w:pPr>
              <w:spacing w:after="0"/>
              <w:rPr>
                <w:sz w:val="1"/>
                <w:szCs w:val="1"/>
                <w:color w:val="auto"/>
              </w:rPr>
            </w:pPr>
          </w:p>
        </w:tc>
      </w:tr>
      <w:tr>
        <w:trPr>
          <w:trHeight w:val="94"/>
        </w:trPr>
        <w:tc>
          <w:tcPr>
            <w:tcW w:w="4420" w:type="dxa"/>
            <w:vAlign w:val="bottom"/>
            <w:gridSpan w:val="2"/>
            <w:vMerge w:val="restart"/>
          </w:tcPr>
          <w:p>
            <w:pPr>
              <w:ind w:left="40"/>
              <w:spacing w:after="0" w:line="161" w:lineRule="exact"/>
              <w:rPr>
                <w:sz w:val="20"/>
                <w:szCs w:val="20"/>
                <w:color w:val="auto"/>
              </w:rPr>
            </w:pPr>
            <w:r>
              <w:rPr>
                <w:rFonts w:ascii="Arial" w:cs="Arial" w:eastAsia="Arial" w:hAnsi="Arial"/>
                <w:sz w:val="16"/>
                <w:szCs w:val="16"/>
                <w:color w:val="3D3935"/>
              </w:rPr>
              <w:t>companies. In addition, Mr. McNeill has GHG emissions,</w:t>
            </w: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40" w:type="dxa"/>
            <w:vAlign w:val="bottom"/>
            <w:gridSpan w:val="2"/>
          </w:tcPr>
          <w:p>
            <w:pPr>
              <w:ind w:left="60"/>
              <w:spacing w:after="0" w:line="94" w:lineRule="exact"/>
              <w:rPr>
                <w:sz w:val="20"/>
                <w:szCs w:val="20"/>
                <w:color w:val="auto"/>
              </w:rPr>
            </w:pPr>
            <w:r>
              <w:rPr>
                <w:rFonts w:ascii="Arial" w:cs="Arial" w:eastAsia="Arial" w:hAnsi="Arial"/>
                <w:sz w:val="10"/>
                <w:szCs w:val="10"/>
                <w:color w:val="3D3935"/>
              </w:rPr>
              <w:t>driver-assistance technology</w:t>
            </w:r>
          </w:p>
        </w:tc>
        <w:tc>
          <w:tcPr>
            <w:tcW w:w="0" w:type="dxa"/>
            <w:vAlign w:val="bottom"/>
          </w:tcPr>
          <w:p>
            <w:pPr>
              <w:spacing w:after="0"/>
              <w:rPr>
                <w:sz w:val="1"/>
                <w:szCs w:val="1"/>
                <w:color w:val="auto"/>
              </w:rPr>
            </w:pPr>
          </w:p>
        </w:tc>
      </w:tr>
      <w:tr>
        <w:trPr>
          <w:trHeight w:val="68"/>
        </w:trPr>
        <w:tc>
          <w:tcPr>
            <w:tcW w:w="44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40" w:type="dxa"/>
            <w:vAlign w:val="bottom"/>
            <w:gridSpan w:val="2"/>
            <w:vMerge w:val="restart"/>
          </w:tcPr>
          <w:p>
            <w:pPr>
              <w:ind w:left="60"/>
              <w:spacing w:after="0"/>
              <w:rPr>
                <w:sz w:val="20"/>
                <w:szCs w:val="20"/>
                <w:color w:val="auto"/>
              </w:rPr>
            </w:pPr>
            <w:r>
              <w:rPr>
                <w:rFonts w:ascii="Arial" w:cs="Arial" w:eastAsia="Arial" w:hAnsi="Arial"/>
                <w:sz w:val="16"/>
                <w:szCs w:val="16"/>
                <w:color w:val="3D3935"/>
              </w:rPr>
              <w:t>for personal vehicles by using</w:t>
            </w:r>
          </w:p>
        </w:tc>
        <w:tc>
          <w:tcPr>
            <w:tcW w:w="0" w:type="dxa"/>
            <w:vAlign w:val="bottom"/>
          </w:tcPr>
          <w:p>
            <w:pPr>
              <w:spacing w:after="0"/>
              <w:rPr>
                <w:sz w:val="1"/>
                <w:szCs w:val="1"/>
                <w:color w:val="auto"/>
              </w:rPr>
            </w:pPr>
          </w:p>
        </w:tc>
      </w:tr>
      <w:tr>
        <w:trPr>
          <w:trHeight w:val="122"/>
        </w:trPr>
        <w:tc>
          <w:tcPr>
            <w:tcW w:w="4420" w:type="dxa"/>
            <w:vAlign w:val="bottom"/>
            <w:gridSpan w:val="2"/>
            <w:vMerge w:val="restart"/>
          </w:tcPr>
          <w:p>
            <w:pPr>
              <w:ind w:left="40"/>
              <w:spacing w:after="0"/>
              <w:rPr>
                <w:sz w:val="20"/>
                <w:szCs w:val="20"/>
                <w:color w:val="auto"/>
              </w:rPr>
            </w:pPr>
            <w:r>
              <w:rPr>
                <w:rFonts w:ascii="Arial" w:cs="Arial" w:eastAsia="Arial" w:hAnsi="Arial"/>
                <w:sz w:val="16"/>
                <w:szCs w:val="16"/>
                <w:color w:val="3D3935"/>
              </w:rPr>
              <w:t>air quality, product design and lifecycle management</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44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40" w:type="dxa"/>
            <w:vAlign w:val="bottom"/>
            <w:gridSpan w:val="2"/>
            <w:vMerge w:val="restart"/>
          </w:tcPr>
          <w:p>
            <w:pPr>
              <w:ind w:left="60"/>
              <w:spacing w:after="0" w:line="175" w:lineRule="exact"/>
              <w:rPr>
                <w:sz w:val="20"/>
                <w:szCs w:val="20"/>
                <w:color w:val="auto"/>
              </w:rPr>
            </w:pPr>
            <w:r>
              <w:rPr>
                <w:rFonts w:ascii="Arial" w:cs="Arial" w:eastAsia="Arial" w:hAnsi="Arial"/>
                <w:sz w:val="16"/>
                <w:szCs w:val="16"/>
                <w:color w:val="3D3935"/>
              </w:rPr>
              <w:t>AI technology, engineering</w:t>
            </w:r>
          </w:p>
        </w:tc>
        <w:tc>
          <w:tcPr>
            <w:tcW w:w="0" w:type="dxa"/>
            <w:vAlign w:val="bottom"/>
          </w:tcPr>
          <w:p>
            <w:pPr>
              <w:spacing w:after="0"/>
              <w:rPr>
                <w:sz w:val="1"/>
                <w:szCs w:val="1"/>
                <w:color w:val="auto"/>
              </w:rPr>
            </w:pPr>
          </w:p>
        </w:tc>
      </w:tr>
      <w:tr>
        <w:trPr>
          <w:trHeight w:val="108"/>
        </w:trPr>
        <w:tc>
          <w:tcPr>
            <w:tcW w:w="4420" w:type="dxa"/>
            <w:vAlign w:val="bottom"/>
            <w:gridSpan w:val="2"/>
            <w:vMerge w:val="restart"/>
          </w:tcPr>
          <w:p>
            <w:pPr>
              <w:ind w:left="40"/>
              <w:spacing w:after="0" w:line="176" w:lineRule="exact"/>
              <w:rPr>
                <w:sz w:val="20"/>
                <w:szCs w:val="20"/>
                <w:color w:val="auto"/>
              </w:rPr>
            </w:pPr>
            <w:r>
              <w:rPr>
                <w:rFonts w:ascii="Arial" w:cs="Arial" w:eastAsia="Arial" w:hAnsi="Arial"/>
                <w:sz w:val="16"/>
                <w:szCs w:val="16"/>
                <w:color w:val="3D3935"/>
              </w:rPr>
              <w:t>experience, which he has gained through driving</w:t>
            </w: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44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40" w:type="dxa"/>
            <w:vAlign w:val="bottom"/>
            <w:gridSpan w:val="2"/>
            <w:vMerge w:val="restart"/>
          </w:tcPr>
          <w:p>
            <w:pPr>
              <w:ind w:left="60"/>
              <w:spacing w:after="0" w:line="143" w:lineRule="exact"/>
              <w:rPr>
                <w:sz w:val="20"/>
                <w:szCs w:val="20"/>
                <w:color w:val="auto"/>
              </w:rPr>
            </w:pPr>
            <w:r>
              <w:rPr>
                <w:rFonts w:ascii="Arial" w:cs="Arial" w:eastAsia="Arial" w:hAnsi="Arial"/>
                <w:sz w:val="16"/>
                <w:szCs w:val="16"/>
                <w:color w:val="3D3935"/>
              </w:rPr>
              <w:t>talent, scale, and</w:t>
            </w:r>
          </w:p>
        </w:tc>
        <w:tc>
          <w:tcPr>
            <w:tcW w:w="0" w:type="dxa"/>
            <w:vAlign w:val="bottom"/>
          </w:tcPr>
          <w:p>
            <w:pPr>
              <w:spacing w:after="0"/>
              <w:rPr>
                <w:sz w:val="1"/>
                <w:szCs w:val="1"/>
                <w:color w:val="auto"/>
              </w:rPr>
            </w:pPr>
          </w:p>
        </w:tc>
      </w:tr>
      <w:tr>
        <w:trPr>
          <w:trHeight w:val="128"/>
        </w:trPr>
        <w:tc>
          <w:tcPr>
            <w:tcW w:w="3160" w:type="dxa"/>
            <w:vAlign w:val="bottom"/>
            <w:vMerge w:val="restart"/>
          </w:tcPr>
          <w:p>
            <w:pPr>
              <w:ind w:left="40"/>
              <w:spacing w:after="0"/>
              <w:rPr>
                <w:sz w:val="20"/>
                <w:szCs w:val="20"/>
                <w:color w:val="auto"/>
              </w:rPr>
            </w:pPr>
            <w:r>
              <w:rPr>
                <w:rFonts w:ascii="Arial" w:cs="Arial" w:eastAsia="Arial" w:hAnsi="Arial"/>
                <w:sz w:val="16"/>
                <w:szCs w:val="16"/>
                <w:color w:val="3D3935"/>
              </w:rPr>
              <w:t>EV adoption.</w:t>
            </w:r>
          </w:p>
        </w:tc>
        <w:tc>
          <w:tcPr>
            <w:tcW w:w="1260" w:type="dxa"/>
            <w:vAlign w:val="bottom"/>
          </w:tcPr>
          <w:p>
            <w:pPr>
              <w:spacing w:after="0"/>
              <w:rPr>
                <w:sz w:val="11"/>
                <w:szCs w:val="11"/>
                <w:color w:val="auto"/>
              </w:rPr>
            </w:pPr>
          </w:p>
        </w:tc>
        <w:tc>
          <w:tcPr>
            <w:tcW w:w="320" w:type="dxa"/>
            <w:vAlign w:val="bottom"/>
            <w:tcBorders>
              <w:bottom w:val="single" w:sz="8" w:color="F0F3F5"/>
            </w:tcBorders>
          </w:tcPr>
          <w:p>
            <w:pPr>
              <w:spacing w:after="0"/>
              <w:rPr>
                <w:sz w:val="11"/>
                <w:szCs w:val="11"/>
                <w:color w:val="auto"/>
              </w:rPr>
            </w:pPr>
          </w:p>
        </w:tc>
        <w:tc>
          <w:tcPr>
            <w:tcW w:w="40" w:type="dxa"/>
            <w:vAlign w:val="bottom"/>
            <w:tcBorders>
              <w:bottom w:val="single" w:sz="8" w:color="F0F3F5"/>
            </w:tcBorders>
          </w:tcPr>
          <w:p>
            <w:pPr>
              <w:spacing w:after="0"/>
              <w:rPr>
                <w:sz w:val="11"/>
                <w:szCs w:val="11"/>
                <w:color w:val="auto"/>
              </w:rPr>
            </w:pPr>
          </w:p>
        </w:tc>
        <w:tc>
          <w:tcPr>
            <w:tcW w:w="2440" w:type="dxa"/>
            <w:vAlign w:val="bottom"/>
            <w:tcBorders>
              <w:bottom w:val="single" w:sz="8" w:color="F0F3F5"/>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3160" w:type="dxa"/>
            <w:vAlign w:val="bottom"/>
            <w:vMerge w:val="continue"/>
          </w:tcPr>
          <w:p>
            <w:pPr>
              <w:spacing w:after="0"/>
              <w:rPr>
                <w:sz w:val="5"/>
                <w:szCs w:val="5"/>
                <w:color w:val="auto"/>
              </w:rPr>
            </w:pPr>
          </w:p>
        </w:tc>
        <w:tc>
          <w:tcPr>
            <w:tcW w:w="1260" w:type="dxa"/>
            <w:vAlign w:val="bottom"/>
          </w:tcPr>
          <w:p>
            <w:pPr>
              <w:spacing w:after="0"/>
              <w:rPr>
                <w:sz w:val="5"/>
                <w:szCs w:val="5"/>
                <w:color w:val="auto"/>
              </w:rPr>
            </w:pPr>
          </w:p>
        </w:tc>
        <w:tc>
          <w:tcPr>
            <w:tcW w:w="320" w:type="dxa"/>
            <w:vAlign w:val="bottom"/>
            <w:shd w:val="clear" w:color="auto" w:fill="0072CE"/>
          </w:tcPr>
          <w:p>
            <w:pPr>
              <w:spacing w:after="0"/>
              <w:rPr>
                <w:sz w:val="5"/>
                <w:szCs w:val="5"/>
                <w:color w:val="auto"/>
              </w:rPr>
            </w:pPr>
          </w:p>
        </w:tc>
        <w:tc>
          <w:tcPr>
            <w:tcW w:w="40" w:type="dxa"/>
            <w:vAlign w:val="bottom"/>
          </w:tcPr>
          <w:p>
            <w:pPr>
              <w:spacing w:after="0"/>
              <w:rPr>
                <w:sz w:val="5"/>
                <w:szCs w:val="5"/>
                <w:color w:val="auto"/>
              </w:rPr>
            </w:pPr>
          </w:p>
        </w:tc>
        <w:tc>
          <w:tcPr>
            <w:tcW w:w="2440" w:type="dxa"/>
            <w:vAlign w:val="bottom"/>
            <w:gridSpan w:val="2"/>
            <w:vMerge w:val="restart"/>
            <w:shd w:val="clear" w:color="auto" w:fill="F0F3F5"/>
          </w:tcPr>
          <w:p>
            <w:pPr>
              <w:ind w:left="60"/>
              <w:spacing w:after="0" w:line="174" w:lineRule="exact"/>
              <w:rPr>
                <w:sz w:val="20"/>
                <w:szCs w:val="20"/>
                <w:color w:val="auto"/>
              </w:rPr>
            </w:pPr>
            <w:r>
              <w:rPr>
                <w:rFonts w:ascii="Arial" w:cs="Arial" w:eastAsia="Arial" w:hAnsi="Arial"/>
                <w:sz w:val="16"/>
                <w:szCs w:val="16"/>
                <w:color w:val="3D3935"/>
              </w:rPr>
              <w:t>manufacturing expertise.</w:t>
            </w:r>
          </w:p>
        </w:tc>
        <w:tc>
          <w:tcPr>
            <w:tcW w:w="0" w:type="dxa"/>
            <w:vAlign w:val="bottom"/>
          </w:tcPr>
          <w:p>
            <w:pPr>
              <w:spacing w:after="0"/>
              <w:rPr>
                <w:sz w:val="1"/>
                <w:szCs w:val="1"/>
                <w:color w:val="auto"/>
              </w:rPr>
            </w:pPr>
          </w:p>
        </w:tc>
      </w:tr>
      <w:tr>
        <w:trPr>
          <w:trHeight w:val="107"/>
        </w:trPr>
        <w:tc>
          <w:tcPr>
            <w:tcW w:w="3160" w:type="dxa"/>
            <w:vAlign w:val="bottom"/>
            <w:vMerge w:val="restart"/>
          </w:tcPr>
          <w:p>
            <w:pPr>
              <w:ind w:left="40"/>
              <w:spacing w:after="0"/>
              <w:rPr>
                <w:sz w:val="20"/>
                <w:szCs w:val="20"/>
                <w:color w:val="auto"/>
              </w:rPr>
            </w:pPr>
            <w:r>
              <w:rPr>
                <w:rFonts w:ascii="Arial" w:cs="Arial" w:eastAsia="Arial" w:hAnsi="Arial"/>
                <w:sz w:val="16"/>
                <w:szCs w:val="16"/>
                <w:b w:val="1"/>
                <w:bCs w:val="1"/>
                <w:color w:val="0072CE"/>
              </w:rPr>
              <w:t>Other Public Company Directorships:</w:t>
            </w:r>
          </w:p>
        </w:tc>
        <w:tc>
          <w:tcPr>
            <w:tcW w:w="1260" w:type="dxa"/>
            <w:vAlign w:val="bottom"/>
            <w:vMerge w:val="restart"/>
          </w:tcPr>
          <w:p>
            <w:pPr>
              <w:ind w:left="220"/>
              <w:spacing w:after="0"/>
              <w:rPr>
                <w:sz w:val="20"/>
                <w:szCs w:val="20"/>
                <w:color w:val="auto"/>
              </w:rPr>
            </w:pPr>
            <w:r>
              <w:rPr>
                <w:rFonts w:ascii="Arial" w:cs="Arial" w:eastAsia="Arial" w:hAnsi="Arial"/>
                <w:sz w:val="16"/>
                <w:szCs w:val="16"/>
                <w:color w:val="3D3935"/>
              </w:rPr>
              <w:t>Lululemon</w:t>
            </w:r>
          </w:p>
        </w:tc>
        <w:tc>
          <w:tcPr>
            <w:tcW w:w="320" w:type="dxa"/>
            <w:vAlign w:val="bottom"/>
            <w:shd w:val="clear" w:color="auto" w:fill="0072CE"/>
          </w:tcPr>
          <w:p>
            <w:pPr>
              <w:spacing w:after="0"/>
              <w:rPr>
                <w:sz w:val="9"/>
                <w:szCs w:val="9"/>
                <w:color w:val="auto"/>
              </w:rPr>
            </w:pPr>
          </w:p>
        </w:tc>
        <w:tc>
          <w:tcPr>
            <w:tcW w:w="40" w:type="dxa"/>
            <w:vAlign w:val="bottom"/>
          </w:tcPr>
          <w:p>
            <w:pPr>
              <w:spacing w:after="0"/>
              <w:rPr>
                <w:sz w:val="9"/>
                <w:szCs w:val="9"/>
                <w:color w:val="auto"/>
              </w:rPr>
            </w:pPr>
          </w:p>
        </w:tc>
        <w:tc>
          <w:tcPr>
            <w:tcW w:w="2440" w:type="dxa"/>
            <w:vAlign w:val="bottom"/>
            <w:gridSpan w:val="2"/>
            <w:vMerge w:val="continue"/>
            <w:shd w:val="clear" w:color="auto" w:fill="F0F3F5"/>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316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320" w:type="dxa"/>
            <w:vAlign w:val="bottom"/>
            <w:shd w:val="clear" w:color="auto" w:fill="0072CE"/>
          </w:tcPr>
          <w:p>
            <w:pPr>
              <w:spacing w:after="0"/>
              <w:rPr>
                <w:sz w:val="13"/>
                <w:szCs w:val="13"/>
                <w:color w:val="auto"/>
              </w:rPr>
            </w:pPr>
          </w:p>
        </w:tc>
        <w:tc>
          <w:tcPr>
            <w:tcW w:w="40" w:type="dxa"/>
            <w:vAlign w:val="bottom"/>
          </w:tcPr>
          <w:p>
            <w:pPr>
              <w:spacing w:after="0"/>
              <w:rPr>
                <w:sz w:val="13"/>
                <w:szCs w:val="13"/>
                <w:color w:val="auto"/>
              </w:rPr>
            </w:pPr>
          </w:p>
        </w:tc>
        <w:tc>
          <w:tcPr>
            <w:tcW w:w="2300" w:type="dxa"/>
            <w:vAlign w:val="bottom"/>
            <w:shd w:val="clear" w:color="auto" w:fill="F0F3F5"/>
          </w:tcPr>
          <w:p>
            <w:pPr>
              <w:spacing w:after="0"/>
              <w:rPr>
                <w:sz w:val="13"/>
                <w:szCs w:val="13"/>
                <w:color w:val="auto"/>
              </w:rPr>
            </w:pPr>
          </w:p>
        </w:tc>
        <w:tc>
          <w:tcPr>
            <w:tcW w:w="140" w:type="dxa"/>
            <w:vAlign w:val="bottom"/>
            <w:shd w:val="clear" w:color="auto" w:fill="F0F3F5"/>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160" w:type="dxa"/>
            <w:vAlign w:val="bottom"/>
          </w:tcPr>
          <w:p>
            <w:pPr>
              <w:ind w:left="40"/>
              <w:spacing w:after="0"/>
              <w:rPr>
                <w:sz w:val="20"/>
                <w:szCs w:val="20"/>
                <w:color w:val="auto"/>
              </w:rPr>
            </w:pPr>
            <w:r>
              <w:rPr>
                <w:rFonts w:ascii="Arial" w:cs="Arial" w:eastAsia="Arial" w:hAnsi="Arial"/>
                <w:sz w:val="16"/>
                <w:szCs w:val="16"/>
                <w:color w:val="3D3935"/>
              </w:rPr>
              <w:t>Athletica Inc.</w:t>
            </w:r>
          </w:p>
        </w:tc>
        <w:tc>
          <w:tcPr>
            <w:tcW w:w="1260" w:type="dxa"/>
            <w:vAlign w:val="bottom"/>
          </w:tcPr>
          <w:p>
            <w:pPr>
              <w:spacing w:after="0"/>
              <w:rPr>
                <w:sz w:val="18"/>
                <w:szCs w:val="18"/>
                <w:color w:val="auto"/>
              </w:rPr>
            </w:pPr>
          </w:p>
        </w:tc>
        <w:tc>
          <w:tcPr>
            <w:tcW w:w="320" w:type="dxa"/>
            <w:vAlign w:val="bottom"/>
            <w:shd w:val="clear" w:color="auto" w:fill="F0F3F5"/>
          </w:tcPr>
          <w:p>
            <w:pPr>
              <w:spacing w:after="0"/>
              <w:rPr>
                <w:sz w:val="18"/>
                <w:szCs w:val="18"/>
                <w:color w:val="auto"/>
              </w:rPr>
            </w:pPr>
          </w:p>
        </w:tc>
        <w:tc>
          <w:tcPr>
            <w:tcW w:w="40" w:type="dxa"/>
            <w:vAlign w:val="bottom"/>
          </w:tcPr>
          <w:p>
            <w:pPr>
              <w:spacing w:after="0"/>
              <w:rPr>
                <w:sz w:val="18"/>
                <w:szCs w:val="18"/>
                <w:color w:val="auto"/>
              </w:rPr>
            </w:pPr>
          </w:p>
        </w:tc>
        <w:tc>
          <w:tcPr>
            <w:tcW w:w="2300" w:type="dxa"/>
            <w:vAlign w:val="bottom"/>
            <w:shd w:val="clear" w:color="auto" w:fill="F0F3F5"/>
          </w:tcPr>
          <w:p>
            <w:pPr>
              <w:spacing w:after="0"/>
              <w:rPr>
                <w:sz w:val="18"/>
                <w:szCs w:val="18"/>
                <w:color w:val="auto"/>
              </w:rPr>
            </w:pPr>
          </w:p>
        </w:tc>
        <w:tc>
          <w:tcPr>
            <w:tcW w:w="140" w:type="dxa"/>
            <w:vAlign w:val="bottom"/>
            <w:shd w:val="clear" w:color="auto" w:fill="F0F3F5"/>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4420" w:type="dxa"/>
            <w:vAlign w:val="bottom"/>
            <w:gridSpan w:val="2"/>
          </w:tcPr>
          <w:p>
            <w:pPr>
              <w:ind w:left="40"/>
              <w:spacing w:after="0"/>
              <w:rPr>
                <w:sz w:val="20"/>
                <w:szCs w:val="20"/>
                <w:color w:val="auto"/>
              </w:rPr>
            </w:pPr>
            <w:r>
              <w:rPr>
                <w:rFonts w:ascii="Arial" w:cs="Arial" w:eastAsia="Arial" w:hAnsi="Arial"/>
                <w:sz w:val="16"/>
                <w:szCs w:val="16"/>
                <w:b w:val="1"/>
                <w:bCs w:val="1"/>
                <w:color w:val="0072CE"/>
              </w:rPr>
              <w:t>Prior Public Company Directorships (Past Five Years):</w:t>
            </w:r>
          </w:p>
        </w:tc>
        <w:tc>
          <w:tcPr>
            <w:tcW w:w="320" w:type="dxa"/>
            <w:vAlign w:val="bottom"/>
            <w:tcBorders>
              <w:bottom w:val="single" w:sz="8" w:color="F0F3F5"/>
            </w:tcBorders>
            <w:shd w:val="clear" w:color="auto" w:fill="F0F3F5"/>
          </w:tcPr>
          <w:p>
            <w:pPr>
              <w:spacing w:after="0"/>
              <w:rPr>
                <w:sz w:val="24"/>
                <w:szCs w:val="24"/>
                <w:color w:val="auto"/>
              </w:rPr>
            </w:pPr>
          </w:p>
        </w:tc>
        <w:tc>
          <w:tcPr>
            <w:tcW w:w="40" w:type="dxa"/>
            <w:vAlign w:val="bottom"/>
            <w:tcBorders>
              <w:bottom w:val="single" w:sz="8" w:color="F0F3F5"/>
            </w:tcBorders>
          </w:tcPr>
          <w:p>
            <w:pPr>
              <w:spacing w:after="0"/>
              <w:rPr>
                <w:sz w:val="24"/>
                <w:szCs w:val="24"/>
                <w:color w:val="auto"/>
              </w:rPr>
            </w:pPr>
          </w:p>
        </w:tc>
        <w:tc>
          <w:tcPr>
            <w:tcW w:w="2300" w:type="dxa"/>
            <w:vAlign w:val="bottom"/>
            <w:tcBorders>
              <w:bottom w:val="single" w:sz="8" w:color="F0F3F5"/>
            </w:tcBorders>
            <w:shd w:val="clear" w:color="auto" w:fill="F0F3F5"/>
          </w:tcPr>
          <w:p>
            <w:pPr>
              <w:spacing w:after="0"/>
              <w:rPr>
                <w:sz w:val="24"/>
                <w:szCs w:val="24"/>
                <w:color w:val="auto"/>
              </w:rPr>
            </w:pPr>
          </w:p>
        </w:tc>
        <w:tc>
          <w:tcPr>
            <w:tcW w:w="140" w:type="dxa"/>
            <w:vAlign w:val="bottom"/>
            <w:shd w:val="clear" w:color="auto" w:fill="F0F3F5"/>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160" w:type="dxa"/>
            <w:vAlign w:val="bottom"/>
          </w:tcPr>
          <w:p>
            <w:pPr>
              <w:ind w:left="40"/>
              <w:spacing w:after="0" w:line="66" w:lineRule="exact"/>
              <w:rPr>
                <w:sz w:val="20"/>
                <w:szCs w:val="20"/>
                <w:color w:val="auto"/>
              </w:rPr>
            </w:pPr>
            <w:r>
              <w:rPr>
                <w:rFonts w:ascii="Arial" w:cs="Arial" w:eastAsia="Arial" w:hAnsi="Arial"/>
                <w:sz w:val="7"/>
                <w:szCs w:val="7"/>
                <w:color w:val="3D3935"/>
              </w:rPr>
              <w:t>None</w:t>
            </w:r>
          </w:p>
        </w:tc>
        <w:tc>
          <w:tcPr>
            <w:tcW w:w="1260" w:type="dxa"/>
            <w:vAlign w:val="bottom"/>
          </w:tcPr>
          <w:p>
            <w:pPr>
              <w:spacing w:after="0"/>
              <w:rPr>
                <w:sz w:val="5"/>
                <w:szCs w:val="5"/>
                <w:color w:val="auto"/>
              </w:rPr>
            </w:pPr>
          </w:p>
        </w:tc>
        <w:tc>
          <w:tcPr>
            <w:tcW w:w="320" w:type="dxa"/>
            <w:vAlign w:val="bottom"/>
            <w:tcBorders>
              <w:top w:val="single" w:sz="8" w:color="F0F3F5"/>
            </w:tcBorders>
            <w:shd w:val="clear" w:color="auto" w:fill="05C3DD"/>
          </w:tcPr>
          <w:p>
            <w:pPr>
              <w:spacing w:after="0"/>
              <w:rPr>
                <w:sz w:val="5"/>
                <w:szCs w:val="5"/>
                <w:color w:val="auto"/>
              </w:rPr>
            </w:pPr>
          </w:p>
        </w:tc>
        <w:tc>
          <w:tcPr>
            <w:tcW w:w="40" w:type="dxa"/>
            <w:vAlign w:val="bottom"/>
            <w:tcBorders>
              <w:top w:val="single" w:sz="8" w:color="F0F3F5"/>
            </w:tcBorders>
          </w:tcPr>
          <w:p>
            <w:pPr>
              <w:spacing w:after="0"/>
              <w:rPr>
                <w:sz w:val="5"/>
                <w:szCs w:val="5"/>
                <w:color w:val="auto"/>
              </w:rPr>
            </w:pPr>
          </w:p>
        </w:tc>
        <w:tc>
          <w:tcPr>
            <w:tcW w:w="2300" w:type="dxa"/>
            <w:vAlign w:val="bottom"/>
            <w:tcBorders>
              <w:top w:val="single" w:sz="8" w:color="0072CE"/>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3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shd w:val="clear" w:color="auto" w:fill="05C3DD"/>
          </w:tcPr>
          <w:p>
            <w:pPr>
              <w:spacing w:after="0"/>
              <w:rPr>
                <w:sz w:val="22"/>
                <w:szCs w:val="22"/>
                <w:color w:val="auto"/>
              </w:rPr>
            </w:pPr>
          </w:p>
        </w:tc>
        <w:tc>
          <w:tcPr>
            <w:tcW w:w="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-1700530</wp:posOffset>
            </wp:positionH>
            <wp:positionV relativeFrom="paragraph">
              <wp:posOffset>-1311275</wp:posOffset>
            </wp:positionV>
            <wp:extent cx="6810375" cy="58312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10375" cy="58312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97"/>
        </w:trPr>
        <w:tc>
          <w:tcPr>
            <w:tcW w:w="4420" w:type="dxa"/>
            <w:vAlign w:val="bottom"/>
          </w:tcPr>
          <w:p>
            <w:pPr>
              <w:ind w:left="40"/>
              <w:spacing w:after="0"/>
              <w:rPr>
                <w:sz w:val="20"/>
                <w:szCs w:val="20"/>
                <w:color w:val="auto"/>
              </w:rPr>
            </w:pPr>
            <w:r>
              <w:rPr>
                <w:rFonts w:ascii="Arial" w:cs="Arial" w:eastAsia="Arial" w:hAnsi="Arial"/>
                <w:sz w:val="25"/>
                <w:szCs w:val="25"/>
                <w:b w:val="1"/>
                <w:bCs w:val="1"/>
                <w:color w:val="0072CE"/>
              </w:rPr>
              <w:t xml:space="preserve">Judith A. Miscik </w:t>
            </w:r>
            <w:r>
              <w:rPr>
                <w:rFonts w:ascii="Arial" w:cs="Arial" w:eastAsia="Arial" w:hAnsi="Arial"/>
                <w:sz w:val="17"/>
                <w:szCs w:val="17"/>
                <w:b w:val="1"/>
                <w:bCs w:val="1"/>
                <w:color w:val="3D3935"/>
              </w:rPr>
              <w:t>|</w:t>
            </w:r>
            <w:r>
              <w:rPr>
                <w:rFonts w:ascii="Arial" w:cs="Arial" w:eastAsia="Arial" w:hAnsi="Arial"/>
                <w:sz w:val="25"/>
                <w:szCs w:val="25"/>
                <w:b w:val="1"/>
                <w:bCs w:val="1"/>
                <w:color w:val="0072CE"/>
              </w:rPr>
              <w:t xml:space="preserve"> </w:t>
            </w:r>
            <w:r>
              <w:rPr>
                <w:rFonts w:ascii="Arial" w:cs="Arial" w:eastAsia="Arial" w:hAnsi="Arial"/>
                <w:sz w:val="25"/>
                <w:szCs w:val="25"/>
                <w:b w:val="1"/>
                <w:bCs w:val="1"/>
                <w:color w:val="3D3935"/>
              </w:rPr>
              <w:t>66</w:t>
            </w:r>
          </w:p>
        </w:tc>
        <w:tc>
          <w:tcPr>
            <w:tcW w:w="320" w:type="dxa"/>
            <w:vAlign w:val="bottom"/>
            <w:shd w:val="clear" w:color="auto" w:fill="F0F3F5"/>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20" w:type="dxa"/>
            <w:vAlign w:val="bottom"/>
          </w:tcPr>
          <w:p>
            <w:pPr>
              <w:ind w:left="40"/>
              <w:spacing w:after="0"/>
              <w:rPr>
                <w:sz w:val="20"/>
                <w:szCs w:val="20"/>
                <w:color w:val="auto"/>
              </w:rPr>
            </w:pPr>
            <w:r>
              <w:rPr>
                <w:rFonts w:ascii="Arial" w:cs="Arial" w:eastAsia="Arial" w:hAnsi="Arial"/>
                <w:sz w:val="14"/>
                <w:szCs w:val="14"/>
                <w:b w:val="1"/>
                <w:bCs w:val="1"/>
                <w:color w:val="3D3935"/>
              </w:rPr>
              <w:t>Senior Advisor, Lazard Geopolitical Advisory</w:t>
            </w:r>
          </w:p>
        </w:tc>
        <w:tc>
          <w:tcPr>
            <w:tcW w:w="320" w:type="dxa"/>
            <w:vAlign w:val="bottom"/>
            <w:shd w:val="clear" w:color="auto" w:fill="F0F3F5"/>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4420" w:type="dxa"/>
            <w:vAlign w:val="bottom"/>
            <w:tcBorders>
              <w:bottom w:val="single" w:sz="8" w:color="D9D9D6"/>
            </w:tcBorders>
          </w:tcPr>
          <w:p>
            <w:pPr>
              <w:spacing w:after="0"/>
              <w:rPr>
                <w:sz w:val="10"/>
                <w:szCs w:val="10"/>
                <w:color w:val="auto"/>
              </w:rPr>
            </w:pPr>
          </w:p>
        </w:tc>
        <w:tc>
          <w:tcPr>
            <w:tcW w:w="320" w:type="dxa"/>
            <w:vAlign w:val="bottom"/>
            <w:tcBorders>
              <w:bottom w:val="single" w:sz="8" w:color="D9D9D6"/>
            </w:tcBorders>
            <w:shd w:val="clear" w:color="auto" w:fill="F0F3F5"/>
          </w:tcPr>
          <w:p>
            <w:pPr>
              <w:spacing w:after="0"/>
              <w:rPr>
                <w:sz w:val="10"/>
                <w:szCs w:val="10"/>
                <w:color w:val="auto"/>
              </w:rPr>
            </w:pPr>
          </w:p>
        </w:tc>
        <w:tc>
          <w:tcPr>
            <w:tcW w:w="40" w:type="dxa"/>
            <w:vAlign w:val="bottom"/>
            <w:tcBorders>
              <w:bottom w:val="single" w:sz="8" w:color="D9D9D6"/>
            </w:tcBorders>
          </w:tcPr>
          <w:p>
            <w:pPr>
              <w:spacing w:after="0"/>
              <w:rPr>
                <w:sz w:val="10"/>
                <w:szCs w:val="10"/>
                <w:color w:val="auto"/>
              </w:rPr>
            </w:pPr>
          </w:p>
        </w:tc>
        <w:tc>
          <w:tcPr>
            <w:tcW w:w="2300" w:type="dxa"/>
            <w:vAlign w:val="bottom"/>
            <w:tcBorders>
              <w:bottom w:val="single" w:sz="8" w:color="D9D9D6"/>
            </w:tcBorders>
            <w:gridSpan w:val="2"/>
          </w:tcPr>
          <w:p>
            <w:pPr>
              <w:spacing w:after="0"/>
              <w:rPr>
                <w:sz w:val="10"/>
                <w:szCs w:val="10"/>
                <w:color w:val="auto"/>
              </w:rPr>
            </w:pPr>
          </w:p>
        </w:tc>
        <w:tc>
          <w:tcPr>
            <w:tcW w:w="140" w:type="dxa"/>
            <w:vAlign w:val="bottom"/>
            <w:tcBorders>
              <w:bottom w:val="single" w:sz="8" w:color="D9D9D6"/>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4420" w:type="dxa"/>
            <w:vAlign w:val="bottom"/>
            <w:vMerge w:val="restart"/>
          </w:tcPr>
          <w:p>
            <w:pPr>
              <w:ind w:left="40"/>
              <w:spacing w:after="0"/>
              <w:rPr>
                <w:sz w:val="20"/>
                <w:szCs w:val="20"/>
                <w:color w:val="auto"/>
              </w:rPr>
            </w:pPr>
            <w:r>
              <w:rPr>
                <w:rFonts w:ascii="Arial" w:cs="Arial" w:eastAsia="Arial" w:hAnsi="Arial"/>
                <w:sz w:val="16"/>
                <w:szCs w:val="16"/>
                <w:b w:val="1"/>
                <w:bCs w:val="1"/>
                <w:color w:val="0072CE"/>
              </w:rPr>
              <w:t xml:space="preserve">Experience: </w:t>
            </w:r>
            <w:r>
              <w:rPr>
                <w:rFonts w:ascii="Arial" w:cs="Arial" w:eastAsia="Arial" w:hAnsi="Arial"/>
                <w:sz w:val="16"/>
                <w:szCs w:val="16"/>
                <w:color w:val="3D3935"/>
              </w:rPr>
              <w:t>Ms. Miscik is a Senior Advisor at Lazard</w:t>
            </w:r>
          </w:p>
        </w:tc>
        <w:tc>
          <w:tcPr>
            <w:tcW w:w="320" w:type="dxa"/>
            <w:vAlign w:val="bottom"/>
            <w:shd w:val="clear" w:color="auto" w:fill="F0F3F5"/>
          </w:tcPr>
          <w:p>
            <w:pPr>
              <w:spacing w:after="0"/>
              <w:rPr>
                <w:sz w:val="7"/>
                <w:szCs w:val="7"/>
                <w:color w:val="auto"/>
              </w:rPr>
            </w:pPr>
          </w:p>
        </w:tc>
        <w:tc>
          <w:tcPr>
            <w:tcW w:w="40" w:type="dxa"/>
            <w:vAlign w:val="bottom"/>
            <w:vMerge w:val="restart"/>
          </w:tcPr>
          <w:p>
            <w:pPr>
              <w:spacing w:after="0"/>
              <w:rPr>
                <w:sz w:val="7"/>
                <w:szCs w:val="7"/>
                <w:color w:val="auto"/>
              </w:rPr>
            </w:pPr>
          </w:p>
        </w:tc>
        <w:tc>
          <w:tcPr>
            <w:tcW w:w="23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3D3935"/>
              </w:rPr>
              <w:t>What do you think is a key</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420" w:type="dxa"/>
            <w:vAlign w:val="bottom"/>
            <w:vMerge w:val="continue"/>
          </w:tcPr>
          <w:p>
            <w:pPr>
              <w:spacing w:after="0"/>
              <w:rPr>
                <w:sz w:val="15"/>
                <w:szCs w:val="15"/>
                <w:color w:val="auto"/>
              </w:rPr>
            </w:pPr>
          </w:p>
        </w:tc>
        <w:tc>
          <w:tcPr>
            <w:tcW w:w="320" w:type="dxa"/>
            <w:vAlign w:val="bottom"/>
            <w:shd w:val="clear" w:color="auto" w:fill="0072CE"/>
          </w:tcPr>
          <w:p>
            <w:pPr>
              <w:ind w:left="80"/>
              <w:spacing w:after="0" w:line="177" w:lineRule="exact"/>
              <w:rPr>
                <w:sz w:val="20"/>
                <w:szCs w:val="20"/>
                <w:color w:val="auto"/>
              </w:rPr>
            </w:pPr>
            <w:r>
              <w:rPr>
                <w:rFonts w:ascii="Arial" w:cs="Arial" w:eastAsia="Arial" w:hAnsi="Arial"/>
                <w:sz w:val="18"/>
                <w:szCs w:val="18"/>
                <w:b w:val="1"/>
                <w:bCs w:val="1"/>
                <w:color w:val="FFFFFF"/>
              </w:rPr>
              <w:t>Q</w:t>
            </w:r>
          </w:p>
        </w:tc>
        <w:tc>
          <w:tcPr>
            <w:tcW w:w="40" w:type="dxa"/>
            <w:vAlign w:val="bottom"/>
            <w:vMerge w:val="continue"/>
          </w:tcPr>
          <w:p>
            <w:pPr>
              <w:spacing w:after="0"/>
              <w:rPr>
                <w:sz w:val="15"/>
                <w:szCs w:val="15"/>
                <w:color w:val="auto"/>
              </w:rPr>
            </w:pPr>
          </w:p>
        </w:tc>
        <w:tc>
          <w:tcPr>
            <w:tcW w:w="23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4420" w:type="dxa"/>
            <w:vAlign w:val="bottom"/>
          </w:tcPr>
          <w:p>
            <w:pPr>
              <w:ind w:left="40"/>
              <w:spacing w:after="0" w:line="127" w:lineRule="exact"/>
              <w:rPr>
                <w:sz w:val="20"/>
                <w:szCs w:val="20"/>
                <w:color w:val="auto"/>
              </w:rPr>
            </w:pPr>
            <w:r>
              <w:rPr>
                <w:rFonts w:ascii="Arial" w:cs="Arial" w:eastAsia="Arial" w:hAnsi="Arial"/>
                <w:sz w:val="14"/>
                <w:szCs w:val="14"/>
                <w:color w:val="3D3935"/>
              </w:rPr>
              <w:t>Geopolitical Advisory. Prior to her current role, she</w:t>
            </w:r>
          </w:p>
        </w:tc>
        <w:tc>
          <w:tcPr>
            <w:tcW w:w="320" w:type="dxa"/>
            <w:vAlign w:val="bottom"/>
            <w:shd w:val="clear" w:color="auto" w:fill="0072CE"/>
          </w:tcPr>
          <w:p>
            <w:pPr>
              <w:spacing w:after="0"/>
              <w:rPr>
                <w:sz w:val="12"/>
                <w:szCs w:val="12"/>
                <w:color w:val="auto"/>
              </w:rPr>
            </w:pPr>
          </w:p>
        </w:tc>
        <w:tc>
          <w:tcPr>
            <w:tcW w:w="40" w:type="dxa"/>
            <w:vAlign w:val="bottom"/>
          </w:tcPr>
          <w:p>
            <w:pPr>
              <w:spacing w:after="0"/>
              <w:rPr>
                <w:sz w:val="12"/>
                <w:szCs w:val="12"/>
                <w:color w:val="auto"/>
              </w:rPr>
            </w:pPr>
          </w:p>
        </w:tc>
        <w:tc>
          <w:tcPr>
            <w:tcW w:w="2300" w:type="dxa"/>
            <w:vAlign w:val="bottom"/>
            <w:gridSpan w:val="2"/>
          </w:tcPr>
          <w:p>
            <w:pPr>
              <w:ind w:left="60"/>
              <w:spacing w:after="0" w:line="127" w:lineRule="exact"/>
              <w:rPr>
                <w:sz w:val="20"/>
                <w:szCs w:val="20"/>
                <w:color w:val="auto"/>
              </w:rPr>
            </w:pPr>
            <w:r>
              <w:rPr>
                <w:rFonts w:ascii="Arial" w:cs="Arial" w:eastAsia="Arial" w:hAnsi="Arial"/>
                <w:sz w:val="14"/>
                <w:szCs w:val="14"/>
                <w:b w:val="1"/>
                <w:bCs w:val="1"/>
                <w:color w:val="3D3935"/>
              </w:rPr>
              <w:t>emerging risk for the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420" w:type="dxa"/>
            <w:vAlign w:val="bottom"/>
          </w:tcPr>
          <w:p>
            <w:pPr>
              <w:ind w:left="40"/>
              <w:spacing w:after="0"/>
              <w:rPr>
                <w:sz w:val="20"/>
                <w:szCs w:val="20"/>
                <w:color w:val="auto"/>
              </w:rPr>
            </w:pPr>
            <w:r>
              <w:rPr>
                <w:rFonts w:ascii="Arial" w:cs="Arial" w:eastAsia="Arial" w:hAnsi="Arial"/>
                <w:sz w:val="16"/>
                <w:szCs w:val="16"/>
                <w:color w:val="3D3935"/>
              </w:rPr>
              <w:t>served as CEO and Vice Chairman of Kissinger</w:t>
            </w:r>
          </w:p>
        </w:tc>
        <w:tc>
          <w:tcPr>
            <w:tcW w:w="320" w:type="dxa"/>
            <w:vAlign w:val="bottom"/>
            <w:shd w:val="clear" w:color="auto" w:fill="F0F3F5"/>
          </w:tcPr>
          <w:p>
            <w:pPr>
              <w:spacing w:after="0"/>
              <w:rPr>
                <w:sz w:val="16"/>
                <w:szCs w:val="16"/>
                <w:color w:val="auto"/>
              </w:rPr>
            </w:pPr>
          </w:p>
        </w:tc>
        <w:tc>
          <w:tcPr>
            <w:tcW w:w="40" w:type="dxa"/>
            <w:vAlign w:val="bottom"/>
          </w:tcPr>
          <w:p>
            <w:pPr>
              <w:spacing w:after="0"/>
              <w:rPr>
                <w:sz w:val="16"/>
                <w:szCs w:val="16"/>
                <w:color w:val="auto"/>
              </w:rPr>
            </w:pPr>
          </w:p>
        </w:tc>
        <w:tc>
          <w:tcPr>
            <w:tcW w:w="2300" w:type="dxa"/>
            <w:vAlign w:val="bottom"/>
            <w:gridSpan w:val="2"/>
          </w:tcPr>
          <w:p>
            <w:pPr>
              <w:ind w:left="60"/>
              <w:spacing w:after="0"/>
              <w:rPr>
                <w:sz w:val="20"/>
                <w:szCs w:val="20"/>
                <w:color w:val="auto"/>
              </w:rPr>
            </w:pPr>
            <w:r>
              <w:rPr>
                <w:rFonts w:ascii="Arial" w:cs="Arial" w:eastAsia="Arial" w:hAnsi="Arial"/>
                <w:sz w:val="16"/>
                <w:szCs w:val="16"/>
                <w:b w:val="1"/>
                <w:bCs w:val="1"/>
                <w:color w:val="3D3935"/>
              </w:rPr>
              <w:t>Company?</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20" w:type="dxa"/>
            <w:vAlign w:val="bottom"/>
          </w:tcPr>
          <w:p>
            <w:pPr>
              <w:ind w:left="40"/>
              <w:spacing w:after="0" w:line="176" w:lineRule="exact"/>
              <w:rPr>
                <w:sz w:val="20"/>
                <w:szCs w:val="20"/>
                <w:color w:val="auto"/>
              </w:rPr>
            </w:pPr>
            <w:r>
              <w:rPr>
                <w:rFonts w:ascii="Arial" w:cs="Arial" w:eastAsia="Arial" w:hAnsi="Arial"/>
                <w:sz w:val="16"/>
                <w:szCs w:val="16"/>
                <w:color w:val="3D3935"/>
              </w:rPr>
              <w:t>Associates, Inc., from 2017 to 2022 and before that in</w:t>
            </w:r>
          </w:p>
        </w:tc>
        <w:tc>
          <w:tcPr>
            <w:tcW w:w="320" w:type="dxa"/>
            <w:vAlign w:val="bottom"/>
            <w:tcBorders>
              <w:bottom w:val="single" w:sz="8" w:color="F0F3F5"/>
            </w:tcBorders>
            <w:shd w:val="clear" w:color="auto" w:fill="F0F3F5"/>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Borders>
              <w:bottom w:val="single" w:sz="8" w:color="F0F3F5"/>
            </w:tcBorders>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420" w:type="dxa"/>
            <w:vAlign w:val="bottom"/>
          </w:tcPr>
          <w:p>
            <w:pPr>
              <w:ind w:left="40"/>
              <w:spacing w:after="0" w:line="148" w:lineRule="exact"/>
              <w:rPr>
                <w:sz w:val="20"/>
                <w:szCs w:val="20"/>
                <w:color w:val="auto"/>
              </w:rPr>
            </w:pPr>
            <w:r>
              <w:rPr>
                <w:rFonts w:ascii="Arial" w:cs="Arial" w:eastAsia="Arial" w:hAnsi="Arial"/>
                <w:sz w:val="16"/>
                <w:szCs w:val="16"/>
                <w:color w:val="3D3935"/>
              </w:rPr>
              <w:t>other senior leadership positions. Prior to joining</w:t>
            </w:r>
          </w:p>
        </w:tc>
        <w:tc>
          <w:tcPr>
            <w:tcW w:w="320" w:type="dxa"/>
            <w:vAlign w:val="bottom"/>
            <w:tcBorders>
              <w:top w:val="single" w:sz="8" w:color="F0F3F5"/>
            </w:tcBorders>
            <w:vMerge w:val="restart"/>
            <w:shd w:val="clear" w:color="auto" w:fill="05C3DD"/>
          </w:tcPr>
          <w:p>
            <w:pPr>
              <w:ind w:left="80"/>
              <w:spacing w:after="0"/>
              <w:rPr>
                <w:sz w:val="20"/>
                <w:szCs w:val="20"/>
                <w:color w:val="auto"/>
              </w:rPr>
            </w:pPr>
            <w:r>
              <w:rPr>
                <w:rFonts w:ascii="Arial" w:cs="Arial" w:eastAsia="Arial" w:hAnsi="Arial"/>
                <w:sz w:val="18"/>
                <w:szCs w:val="18"/>
                <w:b w:val="1"/>
                <w:bCs w:val="1"/>
                <w:color w:val="FFFFFF"/>
              </w:rPr>
              <w:t>A</w:t>
            </w:r>
          </w:p>
        </w:tc>
        <w:tc>
          <w:tcPr>
            <w:tcW w:w="40" w:type="dxa"/>
            <w:vAlign w:val="bottom"/>
          </w:tcPr>
          <w:p>
            <w:pPr>
              <w:spacing w:after="0"/>
              <w:rPr>
                <w:sz w:val="12"/>
                <w:szCs w:val="12"/>
                <w:color w:val="auto"/>
              </w:rPr>
            </w:pPr>
          </w:p>
        </w:tc>
        <w:tc>
          <w:tcPr>
            <w:tcW w:w="2300" w:type="dxa"/>
            <w:vAlign w:val="bottom"/>
            <w:tcBorders>
              <w:top w:val="single" w:sz="8" w:color="0072CE"/>
            </w:tcBorders>
            <w:gridSpan w:val="2"/>
          </w:tcPr>
          <w:p>
            <w:pPr>
              <w:ind w:left="60"/>
              <w:spacing w:after="0" w:line="148" w:lineRule="exact"/>
              <w:rPr>
                <w:sz w:val="20"/>
                <w:szCs w:val="20"/>
                <w:color w:val="auto"/>
              </w:rPr>
            </w:pPr>
            <w:r>
              <w:rPr>
                <w:rFonts w:ascii="Arial" w:cs="Arial" w:eastAsia="Arial" w:hAnsi="Arial"/>
                <w:sz w:val="16"/>
                <w:szCs w:val="16"/>
                <w:color w:val="3D3935"/>
              </w:rPr>
              <w:t>As the new Chair of the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420" w:type="dxa"/>
            <w:vAlign w:val="bottom"/>
          </w:tcPr>
          <w:p>
            <w:pPr>
              <w:ind w:left="40"/>
              <w:spacing w:after="0" w:line="155" w:lineRule="exact"/>
              <w:rPr>
                <w:sz w:val="20"/>
                <w:szCs w:val="20"/>
                <w:color w:val="auto"/>
              </w:rPr>
            </w:pPr>
            <w:r>
              <w:rPr>
                <w:rFonts w:ascii="Arial" w:cs="Arial" w:eastAsia="Arial" w:hAnsi="Arial"/>
                <w:sz w:val="16"/>
                <w:szCs w:val="16"/>
                <w:color w:val="3D3935"/>
              </w:rPr>
              <w:t>Kissinger Associates, Ms. Miscik was the Global Head</w:t>
            </w:r>
          </w:p>
        </w:tc>
        <w:tc>
          <w:tcPr>
            <w:tcW w:w="320" w:type="dxa"/>
            <w:vAlign w:val="bottom"/>
            <w:vMerge w:val="continue"/>
            <w:shd w:val="clear" w:color="auto" w:fill="05C3DD"/>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gridSpan w:val="2"/>
          </w:tcPr>
          <w:p>
            <w:pPr>
              <w:ind w:left="60"/>
              <w:spacing w:after="0" w:line="155" w:lineRule="exact"/>
              <w:rPr>
                <w:sz w:val="20"/>
                <w:szCs w:val="20"/>
                <w:color w:val="auto"/>
              </w:rPr>
            </w:pPr>
            <w:r>
              <w:rPr>
                <w:rFonts w:ascii="Arial" w:cs="Arial" w:eastAsia="Arial" w:hAnsi="Arial"/>
                <w:sz w:val="16"/>
                <w:szCs w:val="16"/>
                <w:color w:val="3D3935"/>
              </w:rPr>
              <w:t>Board’s Risk and</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20" w:type="dxa"/>
            <w:vAlign w:val="bottom"/>
          </w:tcPr>
          <w:p>
            <w:pPr>
              <w:ind w:left="40"/>
              <w:spacing w:after="0" w:line="175" w:lineRule="exact"/>
              <w:rPr>
                <w:sz w:val="20"/>
                <w:szCs w:val="20"/>
                <w:color w:val="auto"/>
              </w:rPr>
            </w:pPr>
            <w:r>
              <w:rPr>
                <w:rFonts w:ascii="Arial" w:cs="Arial" w:eastAsia="Arial" w:hAnsi="Arial"/>
                <w:sz w:val="16"/>
                <w:szCs w:val="16"/>
                <w:color w:val="3D3935"/>
              </w:rPr>
              <w:t>of Sovereign Risk at Lehman Brothers from 2005 to</w:t>
            </w:r>
          </w:p>
        </w:tc>
        <w:tc>
          <w:tcPr>
            <w:tcW w:w="320" w:type="dxa"/>
            <w:vAlign w:val="bottom"/>
            <w:shd w:val="clear" w:color="auto" w:fill="F0F3F5"/>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gridSpan w:val="2"/>
          </w:tcPr>
          <w:p>
            <w:pPr>
              <w:ind w:left="60"/>
              <w:spacing w:after="0" w:line="175" w:lineRule="exact"/>
              <w:rPr>
                <w:sz w:val="20"/>
                <w:szCs w:val="20"/>
                <w:color w:val="auto"/>
              </w:rPr>
            </w:pPr>
            <w:r>
              <w:rPr>
                <w:rFonts w:ascii="Arial" w:cs="Arial" w:eastAsia="Arial" w:hAnsi="Arial"/>
                <w:sz w:val="16"/>
                <w:szCs w:val="16"/>
                <w:color w:val="3D3935"/>
              </w:rPr>
              <w:t>Cybersecurity Committee,</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20" w:type="dxa"/>
            <w:vAlign w:val="bottom"/>
          </w:tcPr>
          <w:p>
            <w:pPr>
              <w:ind w:left="40"/>
              <w:spacing w:after="0" w:line="175" w:lineRule="exact"/>
              <w:rPr>
                <w:sz w:val="20"/>
                <w:szCs w:val="20"/>
                <w:color w:val="auto"/>
              </w:rPr>
            </w:pPr>
            <w:r>
              <w:rPr>
                <w:rFonts w:ascii="Arial" w:cs="Arial" w:eastAsia="Arial" w:hAnsi="Arial"/>
                <w:sz w:val="16"/>
                <w:szCs w:val="16"/>
                <w:color w:val="3D3935"/>
              </w:rPr>
              <w:t>2008; and from 2002 to 2005, she served as Deputy</w:t>
            </w:r>
          </w:p>
        </w:tc>
        <w:tc>
          <w:tcPr>
            <w:tcW w:w="320" w:type="dxa"/>
            <w:vAlign w:val="bottom"/>
            <w:shd w:val="clear" w:color="auto" w:fill="F0F3F5"/>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gridSpan w:val="2"/>
          </w:tcPr>
          <w:p>
            <w:pPr>
              <w:ind w:left="60"/>
              <w:spacing w:after="0" w:line="175" w:lineRule="exact"/>
              <w:rPr>
                <w:sz w:val="20"/>
                <w:szCs w:val="20"/>
                <w:color w:val="auto"/>
              </w:rPr>
            </w:pPr>
            <w:r>
              <w:rPr>
                <w:rFonts w:ascii="Arial" w:cs="Arial" w:eastAsia="Arial" w:hAnsi="Arial"/>
                <w:sz w:val="16"/>
                <w:szCs w:val="16"/>
                <w:color w:val="3D3935"/>
              </w:rPr>
              <w:t>part of my responsibility is to</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20" w:type="dxa"/>
            <w:vAlign w:val="bottom"/>
          </w:tcPr>
          <w:p>
            <w:pPr>
              <w:ind w:left="40"/>
              <w:spacing w:after="0" w:line="175" w:lineRule="exact"/>
              <w:rPr>
                <w:sz w:val="20"/>
                <w:szCs w:val="20"/>
                <w:color w:val="auto"/>
              </w:rPr>
            </w:pPr>
            <w:r>
              <w:rPr>
                <w:rFonts w:ascii="Arial" w:cs="Arial" w:eastAsia="Arial" w:hAnsi="Arial"/>
                <w:sz w:val="16"/>
                <w:szCs w:val="16"/>
                <w:color w:val="3D3935"/>
              </w:rPr>
              <w:t>Director for Intelligence at the U.S. Central Intelligence</w:t>
            </w:r>
          </w:p>
        </w:tc>
        <w:tc>
          <w:tcPr>
            <w:tcW w:w="320" w:type="dxa"/>
            <w:vAlign w:val="bottom"/>
            <w:shd w:val="clear" w:color="auto" w:fill="F0F3F5"/>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gridSpan w:val="2"/>
          </w:tcPr>
          <w:p>
            <w:pPr>
              <w:ind w:left="60"/>
              <w:spacing w:after="0" w:line="175" w:lineRule="exact"/>
              <w:rPr>
                <w:sz w:val="20"/>
                <w:szCs w:val="20"/>
                <w:color w:val="auto"/>
              </w:rPr>
            </w:pPr>
            <w:r>
              <w:rPr>
                <w:rFonts w:ascii="Arial" w:cs="Arial" w:eastAsia="Arial" w:hAnsi="Arial"/>
                <w:sz w:val="16"/>
                <w:szCs w:val="16"/>
                <w:color w:val="3D3935"/>
              </w:rPr>
              <w:t>help the Board oversee all</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420" w:type="dxa"/>
            <w:vAlign w:val="bottom"/>
          </w:tcPr>
          <w:p>
            <w:pPr>
              <w:ind w:left="40"/>
              <w:spacing w:after="0"/>
              <w:rPr>
                <w:sz w:val="20"/>
                <w:szCs w:val="20"/>
                <w:color w:val="auto"/>
              </w:rPr>
            </w:pPr>
            <w:r>
              <w:rPr>
                <w:rFonts w:ascii="Arial" w:cs="Arial" w:eastAsia="Arial" w:hAnsi="Arial"/>
                <w:sz w:val="16"/>
                <w:szCs w:val="16"/>
                <w:color w:val="3D3935"/>
              </w:rPr>
              <w:t>Agency, where she worked from 1983 to 2005.</w:t>
            </w:r>
          </w:p>
        </w:tc>
        <w:tc>
          <w:tcPr>
            <w:tcW w:w="320" w:type="dxa"/>
            <w:vAlign w:val="bottom"/>
            <w:shd w:val="clear" w:color="auto" w:fill="F0F3F5"/>
          </w:tcPr>
          <w:p>
            <w:pPr>
              <w:spacing w:after="0"/>
              <w:rPr>
                <w:sz w:val="17"/>
                <w:szCs w:val="17"/>
                <w:color w:val="auto"/>
              </w:rPr>
            </w:pPr>
          </w:p>
        </w:tc>
        <w:tc>
          <w:tcPr>
            <w:tcW w:w="40" w:type="dxa"/>
            <w:vAlign w:val="bottom"/>
          </w:tcPr>
          <w:p>
            <w:pPr>
              <w:spacing w:after="0"/>
              <w:rPr>
                <w:sz w:val="17"/>
                <w:szCs w:val="17"/>
                <w:color w:val="auto"/>
              </w:rPr>
            </w:pPr>
          </w:p>
        </w:tc>
        <w:tc>
          <w:tcPr>
            <w:tcW w:w="2300" w:type="dxa"/>
            <w:vAlign w:val="bottom"/>
            <w:gridSpan w:val="2"/>
          </w:tcPr>
          <w:p>
            <w:pPr>
              <w:ind w:left="60"/>
              <w:spacing w:after="0"/>
              <w:rPr>
                <w:sz w:val="20"/>
                <w:szCs w:val="20"/>
                <w:color w:val="auto"/>
              </w:rPr>
            </w:pPr>
            <w:r>
              <w:rPr>
                <w:rFonts w:ascii="Arial" w:cs="Arial" w:eastAsia="Arial" w:hAnsi="Arial"/>
                <w:sz w:val="16"/>
                <w:szCs w:val="16"/>
                <w:color w:val="3D3935"/>
              </w:rPr>
              <w:t>enterprise risks. To do this,</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420" w:type="dxa"/>
            <w:vAlign w:val="bottom"/>
            <w:vMerge w:val="restart"/>
          </w:tcPr>
          <w:p>
            <w:pPr>
              <w:ind w:left="40"/>
              <w:spacing w:after="0"/>
              <w:rPr>
                <w:sz w:val="20"/>
                <w:szCs w:val="20"/>
                <w:color w:val="auto"/>
              </w:rPr>
            </w:pPr>
            <w:r>
              <w:rPr>
                <w:rFonts w:ascii="Arial" w:cs="Arial" w:eastAsia="Arial" w:hAnsi="Arial"/>
                <w:sz w:val="16"/>
                <w:szCs w:val="16"/>
                <w:b w:val="1"/>
                <w:bCs w:val="1"/>
                <w:color w:val="0072CE"/>
              </w:rPr>
              <w:t xml:space="preserve">Reasons for Nomination: </w:t>
            </w:r>
            <w:r>
              <w:rPr>
                <w:rFonts w:ascii="Arial" w:cs="Arial" w:eastAsia="Arial" w:hAnsi="Arial"/>
                <w:sz w:val="16"/>
                <w:szCs w:val="16"/>
                <w:color w:val="3D3935"/>
              </w:rPr>
              <w:t>Ms. Miscik has a unique and</w:t>
            </w:r>
          </w:p>
        </w:tc>
        <w:tc>
          <w:tcPr>
            <w:tcW w:w="320" w:type="dxa"/>
            <w:vAlign w:val="bottom"/>
            <w:shd w:val="clear" w:color="auto" w:fill="F0F3F5"/>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gridSpan w:val="2"/>
          </w:tcPr>
          <w:p>
            <w:pPr>
              <w:ind w:left="60"/>
              <w:spacing w:after="0" w:line="175" w:lineRule="exact"/>
              <w:rPr>
                <w:sz w:val="20"/>
                <w:szCs w:val="20"/>
                <w:color w:val="auto"/>
              </w:rPr>
            </w:pPr>
            <w:r>
              <w:rPr>
                <w:rFonts w:ascii="Arial" w:cs="Arial" w:eastAsia="Arial" w:hAnsi="Arial"/>
                <w:sz w:val="16"/>
                <w:szCs w:val="16"/>
                <w:color w:val="3D3935"/>
              </w:rPr>
              <w:t>we rely on management’s</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4420" w:type="dxa"/>
            <w:vAlign w:val="bottom"/>
            <w:vMerge w:val="continue"/>
          </w:tcPr>
          <w:p>
            <w:pPr>
              <w:spacing w:after="0"/>
              <w:rPr>
                <w:sz w:val="7"/>
                <w:szCs w:val="7"/>
                <w:color w:val="auto"/>
              </w:rPr>
            </w:pPr>
          </w:p>
        </w:tc>
        <w:tc>
          <w:tcPr>
            <w:tcW w:w="320" w:type="dxa"/>
            <w:vAlign w:val="bottom"/>
            <w:shd w:val="clear" w:color="auto" w:fill="F0F3F5"/>
          </w:tcPr>
          <w:p>
            <w:pPr>
              <w:spacing w:after="0"/>
              <w:rPr>
                <w:sz w:val="7"/>
                <w:szCs w:val="7"/>
                <w:color w:val="auto"/>
              </w:rPr>
            </w:pPr>
          </w:p>
        </w:tc>
        <w:tc>
          <w:tcPr>
            <w:tcW w:w="40" w:type="dxa"/>
            <w:vAlign w:val="bottom"/>
          </w:tcPr>
          <w:p>
            <w:pPr>
              <w:spacing w:after="0"/>
              <w:rPr>
                <w:sz w:val="7"/>
                <w:szCs w:val="7"/>
                <w:color w:val="auto"/>
              </w:rPr>
            </w:pPr>
          </w:p>
        </w:tc>
        <w:tc>
          <w:tcPr>
            <w:tcW w:w="2300" w:type="dxa"/>
            <w:vAlign w:val="bottom"/>
            <w:gridSpan w:val="2"/>
            <w:vMerge w:val="restart"/>
          </w:tcPr>
          <w:p>
            <w:pPr>
              <w:ind w:left="60"/>
              <w:spacing w:after="0" w:line="175" w:lineRule="exact"/>
              <w:rPr>
                <w:sz w:val="20"/>
                <w:szCs w:val="20"/>
                <w:color w:val="auto"/>
              </w:rPr>
            </w:pPr>
            <w:r>
              <w:rPr>
                <w:rFonts w:ascii="Arial" w:cs="Arial" w:eastAsia="Arial" w:hAnsi="Arial"/>
                <w:sz w:val="16"/>
                <w:szCs w:val="16"/>
                <w:color w:val="3D3935"/>
              </w:rPr>
              <w:t>quarterly risk dashboards</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4420" w:type="dxa"/>
            <w:vAlign w:val="bottom"/>
            <w:vMerge w:val="restart"/>
          </w:tcPr>
          <w:p>
            <w:pPr>
              <w:ind w:left="40"/>
              <w:spacing w:after="0" w:line="175" w:lineRule="exact"/>
              <w:rPr>
                <w:sz w:val="20"/>
                <w:szCs w:val="20"/>
                <w:color w:val="auto"/>
              </w:rPr>
            </w:pPr>
            <w:r>
              <w:rPr>
                <w:rFonts w:ascii="Arial" w:cs="Arial" w:eastAsia="Arial" w:hAnsi="Arial"/>
                <w:sz w:val="16"/>
                <w:szCs w:val="16"/>
                <w:color w:val="3D3935"/>
              </w:rPr>
              <w:t>extensive background in intelligence, security,</w:t>
            </w:r>
          </w:p>
        </w:tc>
        <w:tc>
          <w:tcPr>
            <w:tcW w:w="320" w:type="dxa"/>
            <w:vAlign w:val="bottom"/>
            <w:shd w:val="clear" w:color="auto" w:fill="F0F3F5"/>
          </w:tcPr>
          <w:p>
            <w:pPr>
              <w:spacing w:after="0"/>
              <w:rPr>
                <w:sz w:val="8"/>
                <w:szCs w:val="8"/>
                <w:color w:val="auto"/>
              </w:rPr>
            </w:pPr>
          </w:p>
        </w:tc>
        <w:tc>
          <w:tcPr>
            <w:tcW w:w="40" w:type="dxa"/>
            <w:vAlign w:val="bottom"/>
          </w:tcPr>
          <w:p>
            <w:pPr>
              <w:spacing w:after="0"/>
              <w:rPr>
                <w:sz w:val="8"/>
                <w:szCs w:val="8"/>
                <w:color w:val="auto"/>
              </w:rPr>
            </w:pPr>
          </w:p>
        </w:tc>
        <w:tc>
          <w:tcPr>
            <w:tcW w:w="23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4420" w:type="dxa"/>
            <w:vAlign w:val="bottom"/>
            <w:vMerge w:val="continue"/>
          </w:tcPr>
          <w:p>
            <w:pPr>
              <w:spacing w:after="0"/>
              <w:rPr>
                <w:sz w:val="7"/>
                <w:szCs w:val="7"/>
                <w:color w:val="auto"/>
              </w:rPr>
            </w:pPr>
          </w:p>
        </w:tc>
        <w:tc>
          <w:tcPr>
            <w:tcW w:w="320" w:type="dxa"/>
            <w:vAlign w:val="bottom"/>
            <w:shd w:val="clear" w:color="auto" w:fill="F0F3F5"/>
          </w:tcPr>
          <w:p>
            <w:pPr>
              <w:spacing w:after="0"/>
              <w:rPr>
                <w:sz w:val="7"/>
                <w:szCs w:val="7"/>
                <w:color w:val="auto"/>
              </w:rPr>
            </w:pPr>
          </w:p>
        </w:tc>
        <w:tc>
          <w:tcPr>
            <w:tcW w:w="40" w:type="dxa"/>
            <w:vAlign w:val="bottom"/>
          </w:tcPr>
          <w:p>
            <w:pPr>
              <w:spacing w:after="0"/>
              <w:rPr>
                <w:sz w:val="7"/>
                <w:szCs w:val="7"/>
                <w:color w:val="auto"/>
              </w:rPr>
            </w:pPr>
          </w:p>
        </w:tc>
        <w:tc>
          <w:tcPr>
            <w:tcW w:w="2300" w:type="dxa"/>
            <w:vAlign w:val="bottom"/>
            <w:gridSpan w:val="2"/>
            <w:vMerge w:val="restart"/>
          </w:tcPr>
          <w:p>
            <w:pPr>
              <w:ind w:left="60"/>
              <w:spacing w:after="0" w:line="175" w:lineRule="exact"/>
              <w:rPr>
                <w:sz w:val="20"/>
                <w:szCs w:val="20"/>
                <w:color w:val="auto"/>
              </w:rPr>
            </w:pPr>
            <w:r>
              <w:rPr>
                <w:rFonts w:ascii="Arial" w:cs="Arial" w:eastAsia="Arial" w:hAnsi="Arial"/>
                <w:sz w:val="16"/>
                <w:szCs w:val="16"/>
                <w:color w:val="3D3935"/>
              </w:rPr>
              <w:t>and annual reviews of our</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4420" w:type="dxa"/>
            <w:vAlign w:val="bottom"/>
            <w:vMerge w:val="restart"/>
          </w:tcPr>
          <w:p>
            <w:pPr>
              <w:ind w:left="40"/>
              <w:spacing w:after="0" w:line="175" w:lineRule="exact"/>
              <w:rPr>
                <w:sz w:val="20"/>
                <w:szCs w:val="20"/>
                <w:color w:val="auto"/>
              </w:rPr>
            </w:pPr>
            <w:r>
              <w:rPr>
                <w:rFonts w:ascii="Arial" w:cs="Arial" w:eastAsia="Arial" w:hAnsi="Arial"/>
                <w:sz w:val="16"/>
                <w:szCs w:val="16"/>
                <w:color w:val="3D3935"/>
              </w:rPr>
              <w:t>government affairs, and risk analysis, bringing valuable</w:t>
            </w:r>
          </w:p>
        </w:tc>
        <w:tc>
          <w:tcPr>
            <w:tcW w:w="320" w:type="dxa"/>
            <w:vAlign w:val="bottom"/>
            <w:shd w:val="clear" w:color="auto" w:fill="F0F3F5"/>
          </w:tcPr>
          <w:p>
            <w:pPr>
              <w:spacing w:after="0"/>
              <w:rPr>
                <w:sz w:val="8"/>
                <w:szCs w:val="8"/>
                <w:color w:val="auto"/>
              </w:rPr>
            </w:pPr>
          </w:p>
        </w:tc>
        <w:tc>
          <w:tcPr>
            <w:tcW w:w="40" w:type="dxa"/>
            <w:vAlign w:val="bottom"/>
          </w:tcPr>
          <w:p>
            <w:pPr>
              <w:spacing w:after="0"/>
              <w:rPr>
                <w:sz w:val="8"/>
                <w:szCs w:val="8"/>
                <w:color w:val="auto"/>
              </w:rPr>
            </w:pPr>
          </w:p>
        </w:tc>
        <w:tc>
          <w:tcPr>
            <w:tcW w:w="23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4420" w:type="dxa"/>
            <w:vAlign w:val="bottom"/>
            <w:vMerge w:val="continue"/>
          </w:tcPr>
          <w:p>
            <w:pPr>
              <w:spacing w:after="0"/>
              <w:rPr>
                <w:sz w:val="7"/>
                <w:szCs w:val="7"/>
                <w:color w:val="auto"/>
              </w:rPr>
            </w:pPr>
          </w:p>
        </w:tc>
        <w:tc>
          <w:tcPr>
            <w:tcW w:w="320" w:type="dxa"/>
            <w:vAlign w:val="bottom"/>
            <w:shd w:val="clear" w:color="auto" w:fill="F0F3F5"/>
          </w:tcPr>
          <w:p>
            <w:pPr>
              <w:spacing w:after="0"/>
              <w:rPr>
                <w:sz w:val="7"/>
                <w:szCs w:val="7"/>
                <w:color w:val="auto"/>
              </w:rPr>
            </w:pPr>
          </w:p>
        </w:tc>
        <w:tc>
          <w:tcPr>
            <w:tcW w:w="40" w:type="dxa"/>
            <w:vAlign w:val="bottom"/>
          </w:tcPr>
          <w:p>
            <w:pPr>
              <w:spacing w:after="0"/>
              <w:rPr>
                <w:sz w:val="7"/>
                <w:szCs w:val="7"/>
                <w:color w:val="auto"/>
              </w:rPr>
            </w:pPr>
          </w:p>
        </w:tc>
        <w:tc>
          <w:tcPr>
            <w:tcW w:w="2300" w:type="dxa"/>
            <w:vAlign w:val="bottom"/>
            <w:gridSpan w:val="2"/>
            <w:vMerge w:val="restart"/>
          </w:tcPr>
          <w:p>
            <w:pPr>
              <w:ind w:left="60"/>
              <w:spacing w:after="0"/>
              <w:rPr>
                <w:sz w:val="20"/>
                <w:szCs w:val="20"/>
                <w:color w:val="auto"/>
              </w:rPr>
            </w:pPr>
            <w:r>
              <w:rPr>
                <w:rFonts w:ascii="Arial" w:cs="Arial" w:eastAsia="Arial" w:hAnsi="Arial"/>
                <w:sz w:val="16"/>
                <w:szCs w:val="16"/>
                <w:color w:val="3D3935"/>
              </w:rPr>
              <w:t>enterprise risk profile. One</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420" w:type="dxa"/>
            <w:vAlign w:val="bottom"/>
            <w:vMerge w:val="restart"/>
          </w:tcPr>
          <w:p>
            <w:pPr>
              <w:ind w:left="40"/>
              <w:spacing w:after="0" w:line="175" w:lineRule="exact"/>
              <w:rPr>
                <w:sz w:val="20"/>
                <w:szCs w:val="20"/>
                <w:color w:val="auto"/>
              </w:rPr>
            </w:pPr>
            <w:r>
              <w:rPr>
                <w:rFonts w:ascii="Arial" w:cs="Arial" w:eastAsia="Arial" w:hAnsi="Arial"/>
                <w:sz w:val="16"/>
                <w:szCs w:val="16"/>
                <w:color w:val="3D3935"/>
              </w:rPr>
              <w:t>experience in assessing and mitigating geopolitical and</w:t>
            </w:r>
          </w:p>
        </w:tc>
        <w:tc>
          <w:tcPr>
            <w:tcW w:w="320" w:type="dxa"/>
            <w:vAlign w:val="bottom"/>
            <w:shd w:val="clear" w:color="auto" w:fill="F0F3F5"/>
          </w:tcPr>
          <w:p>
            <w:pPr>
              <w:spacing w:after="0"/>
              <w:rPr>
                <w:sz w:val="9"/>
                <w:szCs w:val="9"/>
                <w:color w:val="auto"/>
              </w:rPr>
            </w:pPr>
          </w:p>
        </w:tc>
        <w:tc>
          <w:tcPr>
            <w:tcW w:w="40" w:type="dxa"/>
            <w:vAlign w:val="bottom"/>
          </w:tcPr>
          <w:p>
            <w:pPr>
              <w:spacing w:after="0"/>
              <w:rPr>
                <w:sz w:val="9"/>
                <w:szCs w:val="9"/>
                <w:color w:val="auto"/>
              </w:rPr>
            </w:pPr>
          </w:p>
        </w:tc>
        <w:tc>
          <w:tcPr>
            <w:tcW w:w="23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4420" w:type="dxa"/>
            <w:vAlign w:val="bottom"/>
            <w:vMerge w:val="continue"/>
          </w:tcPr>
          <w:p>
            <w:pPr>
              <w:spacing w:after="0"/>
              <w:rPr>
                <w:sz w:val="5"/>
                <w:szCs w:val="5"/>
                <w:color w:val="auto"/>
              </w:rPr>
            </w:pPr>
          </w:p>
        </w:tc>
        <w:tc>
          <w:tcPr>
            <w:tcW w:w="320" w:type="dxa"/>
            <w:vAlign w:val="bottom"/>
            <w:shd w:val="clear" w:color="auto" w:fill="F0F3F5"/>
          </w:tcPr>
          <w:p>
            <w:pPr>
              <w:spacing w:after="0"/>
              <w:rPr>
                <w:sz w:val="5"/>
                <w:szCs w:val="5"/>
                <w:color w:val="auto"/>
              </w:rPr>
            </w:pPr>
          </w:p>
        </w:tc>
        <w:tc>
          <w:tcPr>
            <w:tcW w:w="40" w:type="dxa"/>
            <w:vAlign w:val="bottom"/>
          </w:tcPr>
          <w:p>
            <w:pPr>
              <w:spacing w:after="0"/>
              <w:rPr>
                <w:sz w:val="5"/>
                <w:szCs w:val="5"/>
                <w:color w:val="auto"/>
              </w:rPr>
            </w:pPr>
          </w:p>
        </w:tc>
        <w:tc>
          <w:tcPr>
            <w:tcW w:w="2300" w:type="dxa"/>
            <w:vAlign w:val="bottom"/>
            <w:gridSpan w:val="2"/>
            <w:vMerge w:val="restart"/>
          </w:tcPr>
          <w:p>
            <w:pPr>
              <w:ind w:left="60"/>
              <w:spacing w:after="0" w:line="175" w:lineRule="exact"/>
              <w:rPr>
                <w:sz w:val="20"/>
                <w:szCs w:val="20"/>
                <w:color w:val="auto"/>
              </w:rPr>
            </w:pPr>
            <w:r>
              <w:rPr>
                <w:rFonts w:ascii="Arial" w:cs="Arial" w:eastAsia="Arial" w:hAnsi="Arial"/>
                <w:sz w:val="16"/>
                <w:szCs w:val="16"/>
                <w:color w:val="3D3935"/>
              </w:rPr>
              <w:t>example of an emerging risk</w:t>
            </w: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4420" w:type="dxa"/>
            <w:vAlign w:val="bottom"/>
            <w:vMerge w:val="restart"/>
          </w:tcPr>
          <w:p>
            <w:pPr>
              <w:ind w:left="40"/>
              <w:spacing w:after="0"/>
              <w:rPr>
                <w:sz w:val="20"/>
                <w:szCs w:val="20"/>
                <w:color w:val="auto"/>
              </w:rPr>
            </w:pPr>
            <w:r>
              <w:rPr>
                <w:rFonts w:ascii="Arial" w:cs="Arial" w:eastAsia="Arial" w:hAnsi="Arial"/>
                <w:sz w:val="16"/>
                <w:szCs w:val="16"/>
                <w:color w:val="3D3935"/>
              </w:rPr>
              <w:t>macroeconomic risks in both the public and the</w:t>
            </w:r>
          </w:p>
        </w:tc>
        <w:tc>
          <w:tcPr>
            <w:tcW w:w="320" w:type="dxa"/>
            <w:vAlign w:val="bottom"/>
            <w:shd w:val="clear" w:color="auto" w:fill="F0F3F5"/>
          </w:tcPr>
          <w:p>
            <w:pPr>
              <w:spacing w:after="0"/>
              <w:rPr>
                <w:sz w:val="9"/>
                <w:szCs w:val="9"/>
                <w:color w:val="auto"/>
              </w:rPr>
            </w:pPr>
          </w:p>
        </w:tc>
        <w:tc>
          <w:tcPr>
            <w:tcW w:w="40" w:type="dxa"/>
            <w:vAlign w:val="bottom"/>
          </w:tcPr>
          <w:p>
            <w:pPr>
              <w:spacing w:after="0"/>
              <w:rPr>
                <w:sz w:val="9"/>
                <w:szCs w:val="9"/>
                <w:color w:val="auto"/>
              </w:rPr>
            </w:pPr>
          </w:p>
        </w:tc>
        <w:tc>
          <w:tcPr>
            <w:tcW w:w="23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420" w:type="dxa"/>
            <w:vAlign w:val="bottom"/>
            <w:vMerge w:val="continue"/>
          </w:tcPr>
          <w:p>
            <w:pPr>
              <w:spacing w:after="0"/>
              <w:rPr>
                <w:sz w:val="7"/>
                <w:szCs w:val="7"/>
                <w:color w:val="auto"/>
              </w:rPr>
            </w:pPr>
          </w:p>
        </w:tc>
        <w:tc>
          <w:tcPr>
            <w:tcW w:w="320" w:type="dxa"/>
            <w:vAlign w:val="bottom"/>
            <w:shd w:val="clear" w:color="auto" w:fill="F0F3F5"/>
          </w:tcPr>
          <w:p>
            <w:pPr>
              <w:spacing w:after="0"/>
              <w:rPr>
                <w:sz w:val="7"/>
                <w:szCs w:val="7"/>
                <w:color w:val="auto"/>
              </w:rPr>
            </w:pPr>
          </w:p>
        </w:tc>
        <w:tc>
          <w:tcPr>
            <w:tcW w:w="40" w:type="dxa"/>
            <w:vAlign w:val="bottom"/>
          </w:tcPr>
          <w:p>
            <w:pPr>
              <w:spacing w:after="0"/>
              <w:rPr>
                <w:sz w:val="7"/>
                <w:szCs w:val="7"/>
                <w:color w:val="auto"/>
              </w:rPr>
            </w:pPr>
          </w:p>
        </w:tc>
        <w:tc>
          <w:tcPr>
            <w:tcW w:w="2300" w:type="dxa"/>
            <w:vAlign w:val="bottom"/>
            <w:gridSpan w:val="2"/>
            <w:vMerge w:val="restart"/>
          </w:tcPr>
          <w:p>
            <w:pPr>
              <w:ind w:left="60"/>
              <w:spacing w:after="0" w:line="175" w:lineRule="exact"/>
              <w:rPr>
                <w:sz w:val="20"/>
                <w:szCs w:val="20"/>
                <w:color w:val="auto"/>
              </w:rPr>
            </w:pPr>
            <w:r>
              <w:rPr>
                <w:rFonts w:ascii="Arial" w:cs="Arial" w:eastAsia="Arial" w:hAnsi="Arial"/>
                <w:sz w:val="16"/>
                <w:szCs w:val="16"/>
                <w:color w:val="3D3935"/>
              </w:rPr>
              <w:t>that we are watching relates</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4420" w:type="dxa"/>
            <w:vAlign w:val="bottom"/>
            <w:vMerge w:val="restart"/>
          </w:tcPr>
          <w:p>
            <w:pPr>
              <w:ind w:left="40"/>
              <w:spacing w:after="0"/>
              <w:rPr>
                <w:sz w:val="20"/>
                <w:szCs w:val="20"/>
                <w:color w:val="auto"/>
              </w:rPr>
            </w:pPr>
            <w:r>
              <w:rPr>
                <w:rFonts w:ascii="Arial" w:cs="Arial" w:eastAsia="Arial" w:hAnsi="Arial"/>
                <w:sz w:val="16"/>
                <w:szCs w:val="16"/>
                <w:color w:val="3D3935"/>
              </w:rPr>
              <w:t>private sectors.</w:t>
            </w:r>
          </w:p>
        </w:tc>
        <w:tc>
          <w:tcPr>
            <w:tcW w:w="320" w:type="dxa"/>
            <w:vAlign w:val="bottom"/>
            <w:shd w:val="clear" w:color="auto" w:fill="F0F3F5"/>
          </w:tcPr>
          <w:p>
            <w:pPr>
              <w:spacing w:after="0"/>
              <w:rPr>
                <w:sz w:val="8"/>
                <w:szCs w:val="8"/>
                <w:color w:val="auto"/>
              </w:rPr>
            </w:pPr>
          </w:p>
        </w:tc>
        <w:tc>
          <w:tcPr>
            <w:tcW w:w="40" w:type="dxa"/>
            <w:vAlign w:val="bottom"/>
          </w:tcPr>
          <w:p>
            <w:pPr>
              <w:spacing w:after="0"/>
              <w:rPr>
                <w:sz w:val="8"/>
                <w:szCs w:val="8"/>
                <w:color w:val="auto"/>
              </w:rPr>
            </w:pPr>
          </w:p>
        </w:tc>
        <w:tc>
          <w:tcPr>
            <w:tcW w:w="23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420" w:type="dxa"/>
            <w:vAlign w:val="bottom"/>
            <w:vMerge w:val="continue"/>
          </w:tcPr>
          <w:p>
            <w:pPr>
              <w:spacing w:after="0"/>
              <w:rPr>
                <w:sz w:val="10"/>
                <w:szCs w:val="10"/>
                <w:color w:val="auto"/>
              </w:rPr>
            </w:pPr>
          </w:p>
        </w:tc>
        <w:tc>
          <w:tcPr>
            <w:tcW w:w="320" w:type="dxa"/>
            <w:vAlign w:val="bottom"/>
            <w:shd w:val="clear" w:color="auto" w:fill="F0F3F5"/>
          </w:tcPr>
          <w:p>
            <w:pPr>
              <w:spacing w:after="0"/>
              <w:rPr>
                <w:sz w:val="10"/>
                <w:szCs w:val="10"/>
                <w:color w:val="auto"/>
              </w:rPr>
            </w:pPr>
          </w:p>
        </w:tc>
        <w:tc>
          <w:tcPr>
            <w:tcW w:w="40" w:type="dxa"/>
            <w:vAlign w:val="bottom"/>
          </w:tcPr>
          <w:p>
            <w:pPr>
              <w:spacing w:after="0"/>
              <w:rPr>
                <w:sz w:val="10"/>
                <w:szCs w:val="10"/>
                <w:color w:val="auto"/>
              </w:rPr>
            </w:pPr>
          </w:p>
        </w:tc>
        <w:tc>
          <w:tcPr>
            <w:tcW w:w="2300" w:type="dxa"/>
            <w:vAlign w:val="bottom"/>
            <w:gridSpan w:val="2"/>
            <w:vMerge w:val="restart"/>
          </w:tcPr>
          <w:p>
            <w:pPr>
              <w:ind w:left="60"/>
              <w:spacing w:after="0" w:line="175" w:lineRule="exact"/>
              <w:rPr>
                <w:sz w:val="20"/>
                <w:szCs w:val="20"/>
                <w:color w:val="auto"/>
              </w:rPr>
            </w:pPr>
            <w:r>
              <w:rPr>
                <w:rFonts w:ascii="Arial" w:cs="Arial" w:eastAsia="Arial" w:hAnsi="Arial"/>
                <w:sz w:val="16"/>
                <w:szCs w:val="16"/>
                <w:color w:val="3D3935"/>
              </w:rPr>
              <w:t>to geopolitical dynamics in</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4420" w:type="dxa"/>
            <w:vAlign w:val="bottom"/>
          </w:tcPr>
          <w:p>
            <w:pPr>
              <w:spacing w:after="0"/>
              <w:rPr>
                <w:sz w:val="4"/>
                <w:szCs w:val="4"/>
                <w:color w:val="auto"/>
              </w:rPr>
            </w:pPr>
          </w:p>
        </w:tc>
        <w:tc>
          <w:tcPr>
            <w:tcW w:w="320" w:type="dxa"/>
            <w:vAlign w:val="bottom"/>
            <w:shd w:val="clear" w:color="auto" w:fill="F0F3F5"/>
          </w:tcPr>
          <w:p>
            <w:pPr>
              <w:spacing w:after="0"/>
              <w:rPr>
                <w:sz w:val="4"/>
                <w:szCs w:val="4"/>
                <w:color w:val="auto"/>
              </w:rPr>
            </w:pPr>
          </w:p>
        </w:tc>
        <w:tc>
          <w:tcPr>
            <w:tcW w:w="40" w:type="dxa"/>
            <w:vAlign w:val="bottom"/>
          </w:tcPr>
          <w:p>
            <w:pPr>
              <w:spacing w:after="0"/>
              <w:rPr>
                <w:sz w:val="4"/>
                <w:szCs w:val="4"/>
                <w:color w:val="auto"/>
              </w:rPr>
            </w:pPr>
          </w:p>
        </w:tc>
        <w:tc>
          <w:tcPr>
            <w:tcW w:w="23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40"/>
              <w:spacing w:after="0"/>
              <w:rPr>
                <w:sz w:val="20"/>
                <w:szCs w:val="20"/>
                <w:color w:val="auto"/>
              </w:rPr>
            </w:pPr>
            <w:r>
              <w:rPr>
                <w:rFonts w:ascii="Arial" w:cs="Arial" w:eastAsia="Arial" w:hAnsi="Arial"/>
                <w:sz w:val="16"/>
                <w:szCs w:val="16"/>
                <w:b w:val="1"/>
                <w:bCs w:val="1"/>
                <w:color w:val="0072CE"/>
              </w:rPr>
              <w:t xml:space="preserve">Other Public Company Directorships: </w:t>
            </w:r>
            <w:r>
              <w:rPr>
                <w:rFonts w:ascii="Arial" w:cs="Arial" w:eastAsia="Arial" w:hAnsi="Arial"/>
                <w:sz w:val="16"/>
                <w:szCs w:val="16"/>
                <w:color w:val="3D3935"/>
              </w:rPr>
              <w:t>Morgan Stanley</w:t>
            </w:r>
          </w:p>
        </w:tc>
        <w:tc>
          <w:tcPr>
            <w:tcW w:w="320" w:type="dxa"/>
            <w:vAlign w:val="bottom"/>
            <w:shd w:val="clear" w:color="auto" w:fill="F0F3F5"/>
          </w:tcPr>
          <w:p>
            <w:pPr>
              <w:spacing w:after="0"/>
              <w:rPr>
                <w:sz w:val="16"/>
                <w:szCs w:val="16"/>
                <w:color w:val="auto"/>
              </w:rPr>
            </w:pPr>
          </w:p>
        </w:tc>
        <w:tc>
          <w:tcPr>
            <w:tcW w:w="40" w:type="dxa"/>
            <w:vAlign w:val="bottom"/>
          </w:tcPr>
          <w:p>
            <w:pPr>
              <w:spacing w:after="0"/>
              <w:rPr>
                <w:sz w:val="16"/>
                <w:szCs w:val="16"/>
                <w:color w:val="auto"/>
              </w:rPr>
            </w:pPr>
          </w:p>
        </w:tc>
        <w:tc>
          <w:tcPr>
            <w:tcW w:w="2300" w:type="dxa"/>
            <w:vAlign w:val="bottom"/>
            <w:gridSpan w:val="2"/>
          </w:tcPr>
          <w:p>
            <w:pPr>
              <w:ind w:left="60"/>
              <w:spacing w:after="0"/>
              <w:rPr>
                <w:sz w:val="20"/>
                <w:szCs w:val="20"/>
                <w:color w:val="auto"/>
              </w:rPr>
            </w:pPr>
            <w:r>
              <w:rPr>
                <w:rFonts w:ascii="Arial" w:cs="Arial" w:eastAsia="Arial" w:hAnsi="Arial"/>
                <w:sz w:val="16"/>
                <w:szCs w:val="16"/>
                <w:color w:val="3D3935"/>
              </w:rPr>
              <w:t>the global supply chains.</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420" w:type="dxa"/>
            <w:vAlign w:val="bottom"/>
          </w:tcPr>
          <w:p>
            <w:pPr>
              <w:ind w:left="40"/>
              <w:spacing w:after="0"/>
              <w:rPr>
                <w:sz w:val="20"/>
                <w:szCs w:val="20"/>
                <w:color w:val="auto"/>
              </w:rPr>
            </w:pPr>
            <w:r>
              <w:rPr>
                <w:rFonts w:ascii="Arial" w:cs="Arial" w:eastAsia="Arial" w:hAnsi="Arial"/>
                <w:sz w:val="16"/>
                <w:szCs w:val="16"/>
                <w:color w:val="3D3935"/>
              </w:rPr>
              <w:t>and HP Inc.</w:t>
            </w:r>
          </w:p>
        </w:tc>
        <w:tc>
          <w:tcPr>
            <w:tcW w:w="320" w:type="dxa"/>
            <w:vAlign w:val="bottom"/>
            <w:shd w:val="clear" w:color="auto" w:fill="F0F3F5"/>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420" w:type="dxa"/>
            <w:vAlign w:val="bottom"/>
          </w:tcPr>
          <w:p>
            <w:pPr>
              <w:ind w:left="40"/>
              <w:spacing w:after="0"/>
              <w:rPr>
                <w:sz w:val="20"/>
                <w:szCs w:val="20"/>
                <w:color w:val="auto"/>
              </w:rPr>
            </w:pPr>
            <w:r>
              <w:rPr>
                <w:rFonts w:ascii="Arial" w:cs="Arial" w:eastAsia="Arial" w:hAnsi="Arial"/>
                <w:sz w:val="16"/>
                <w:szCs w:val="16"/>
                <w:b w:val="1"/>
                <w:bCs w:val="1"/>
                <w:color w:val="0072CE"/>
              </w:rPr>
              <w:t>Prior Public Company Directorships (Past Five Years):</w:t>
            </w:r>
          </w:p>
        </w:tc>
        <w:tc>
          <w:tcPr>
            <w:tcW w:w="320" w:type="dxa"/>
            <w:vAlign w:val="bottom"/>
            <w:shd w:val="clear" w:color="auto" w:fill="F0F3F5"/>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420" w:type="dxa"/>
            <w:vAlign w:val="bottom"/>
          </w:tcPr>
          <w:p>
            <w:pPr>
              <w:ind w:left="40"/>
              <w:spacing w:after="0"/>
              <w:rPr>
                <w:sz w:val="20"/>
                <w:szCs w:val="20"/>
                <w:color w:val="auto"/>
              </w:rPr>
            </w:pPr>
            <w:r>
              <w:rPr>
                <w:rFonts w:ascii="Arial" w:cs="Arial" w:eastAsia="Arial" w:hAnsi="Arial"/>
                <w:sz w:val="16"/>
                <w:szCs w:val="16"/>
                <w:color w:val="3D3935"/>
              </w:rPr>
              <w:t>None</w:t>
            </w:r>
          </w:p>
        </w:tc>
        <w:tc>
          <w:tcPr>
            <w:tcW w:w="320" w:type="dxa"/>
            <w:vAlign w:val="bottom"/>
            <w:shd w:val="clear" w:color="auto" w:fill="F0F3F5"/>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4420" w:type="dxa"/>
            <w:vAlign w:val="bottom"/>
          </w:tcPr>
          <w:p>
            <w:pPr>
              <w:spacing w:after="0"/>
              <w:rPr>
                <w:sz w:val="22"/>
                <w:szCs w:val="22"/>
                <w:color w:val="auto"/>
              </w:rPr>
            </w:pPr>
          </w:p>
        </w:tc>
        <w:tc>
          <w:tcPr>
            <w:tcW w:w="320" w:type="dxa"/>
            <w:vAlign w:val="bottom"/>
            <w:shd w:val="clear" w:color="auto" w:fill="F0F3F5"/>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-1700530</wp:posOffset>
            </wp:positionH>
            <wp:positionV relativeFrom="paragraph">
              <wp:posOffset>1360805</wp:posOffset>
            </wp:positionV>
            <wp:extent cx="6810375" cy="4602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10375" cy="4602480"/>
                    </a:xfrm>
                    <a:prstGeom prst="rect">
                      <a:avLst/>
                    </a:prstGeom>
                    <a:noFill/>
                  </pic:spPr>
                </pic:pic>
              </a:graphicData>
            </a:graphic>
          </wp:anchor>
        </w:drawing>
      </w:r>
    </w:p>
    <w:p>
      <w:pPr>
        <w:spacing w:after="0" w:line="1823" w:lineRule="exact"/>
        <w:rPr>
          <w:sz w:val="20"/>
          <w:szCs w:val="20"/>
          <w:color w:val="auto"/>
        </w:rPr>
      </w:pPr>
    </w:p>
    <w:p>
      <w:pPr>
        <w:sectPr>
          <w:pgSz w:w="11900" w:h="16838" w:orient="portrait"/>
          <w:cols w:equalWidth="0" w:num="2">
            <w:col w:w="1520" w:space="300"/>
            <w:col w:w="7280"/>
          </w:cols>
          <w:pgMar w:left="1440" w:top="91" w:right="1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1 Annual Election of Directors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860"/>
        <w:spacing w:after="0"/>
        <w:rPr>
          <w:sz w:val="20"/>
          <w:szCs w:val="20"/>
          <w:color w:val="auto"/>
        </w:rPr>
      </w:pPr>
      <w:r>
        <w:rPr>
          <w:rFonts w:ascii="Arial" w:cs="Arial" w:eastAsia="Arial" w:hAnsi="Arial"/>
          <w:sz w:val="25"/>
          <w:szCs w:val="25"/>
          <w:b w:val="1"/>
          <w:bCs w:val="1"/>
          <w:color w:val="0072CE"/>
        </w:rPr>
        <w:t xml:space="preserve">Mark A. Tatum </w:t>
      </w:r>
      <w:r>
        <w:rPr>
          <w:rFonts w:ascii="Arial" w:cs="Arial" w:eastAsia="Arial" w:hAnsi="Arial"/>
          <w:sz w:val="17"/>
          <w:szCs w:val="17"/>
          <w:b w:val="1"/>
          <w:bCs w:val="1"/>
          <w:color w:val="3D3935"/>
        </w:rPr>
        <w:t>|</w:t>
      </w:r>
      <w:r>
        <w:rPr>
          <w:rFonts w:ascii="Arial" w:cs="Arial" w:eastAsia="Arial" w:hAnsi="Arial"/>
          <w:sz w:val="25"/>
          <w:szCs w:val="25"/>
          <w:b w:val="1"/>
          <w:bCs w:val="1"/>
          <w:color w:val="0072CE"/>
        </w:rPr>
        <w:t xml:space="preserve"> </w:t>
      </w:r>
      <w:r>
        <w:rPr>
          <w:rFonts w:ascii="Arial" w:cs="Arial" w:eastAsia="Arial" w:hAnsi="Arial"/>
          <w:sz w:val="25"/>
          <w:szCs w:val="25"/>
          <w:b w:val="1"/>
          <w:bCs w:val="1"/>
          <w:color w:val="3D3935"/>
        </w:rPr>
        <w:t>55</w:t>
      </w:r>
    </w:p>
    <w:p>
      <w:pPr>
        <w:spacing w:after="0" w:line="25"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3D3935"/>
        </w:rPr>
        <w:t>Deputy Commissioner and Chief Operating Officer, National Basketball Association</w:t>
      </w:r>
    </w:p>
    <w:p>
      <w:pPr>
        <w:sectPr>
          <w:pgSz w:w="11900" w:h="16838" w:orient="portrait"/>
          <w:cols w:equalWidth="0" w:num="1">
            <w:col w:w="9100"/>
          </w:cols>
          <w:pgMar w:left="1440" w:top="91" w:right="13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72CE"/>
        </w:rPr>
        <w:t xml:space="preserve">Gender: </w:t>
      </w:r>
      <w:r>
        <w:rPr>
          <w:rFonts w:ascii="Arial" w:cs="Arial" w:eastAsia="Arial" w:hAnsi="Arial"/>
          <w:sz w:val="14"/>
          <w:szCs w:val="14"/>
          <w:color w:val="3D3935"/>
        </w:rPr>
        <w:t>Male</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72CE"/>
        </w:rPr>
        <w:t xml:space="preserve">Director since: </w:t>
      </w:r>
      <w:r>
        <w:rPr>
          <w:rFonts w:ascii="Arial" w:cs="Arial" w:eastAsia="Arial" w:hAnsi="Arial"/>
          <w:sz w:val="14"/>
          <w:szCs w:val="14"/>
          <w:color w:val="3D3935"/>
        </w:rPr>
        <w:t>2021</w:t>
      </w:r>
    </w:p>
    <w:p>
      <w:pPr>
        <w:ind w:left="20"/>
        <w:spacing w:after="0"/>
        <w:rPr>
          <w:sz w:val="20"/>
          <w:szCs w:val="20"/>
          <w:color w:val="auto"/>
        </w:rPr>
      </w:pPr>
      <w:r>
        <w:rPr>
          <w:rFonts w:ascii="Arial" w:cs="Arial" w:eastAsia="Arial" w:hAnsi="Arial"/>
          <w:sz w:val="14"/>
          <w:szCs w:val="14"/>
          <w:b w:val="1"/>
          <w:bCs w:val="1"/>
          <w:color w:val="0072CE"/>
        </w:rPr>
        <w:t xml:space="preserve">Race/Ethnicity: </w:t>
      </w:r>
      <w:r>
        <w:rPr>
          <w:rFonts w:ascii="Arial" w:cs="Arial" w:eastAsia="Arial" w:hAnsi="Arial"/>
          <w:sz w:val="14"/>
          <w:szCs w:val="14"/>
          <w:color w:val="3D3935"/>
        </w:rPr>
        <w:t>Black,</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3D3935"/>
        </w:rPr>
        <w:t>Asian</w:t>
      </w:r>
    </w:p>
    <w:p>
      <w:pPr>
        <w:ind w:left="20"/>
        <w:spacing w:after="0" w:line="222" w:lineRule="auto"/>
        <w:rPr>
          <w:sz w:val="20"/>
          <w:szCs w:val="20"/>
          <w:color w:val="auto"/>
        </w:rPr>
      </w:pPr>
      <w:r>
        <w:rPr>
          <w:rFonts w:ascii="Arial" w:cs="Arial" w:eastAsia="Arial" w:hAnsi="Arial"/>
          <w:sz w:val="14"/>
          <w:szCs w:val="14"/>
          <w:b w:val="1"/>
          <w:bCs w:val="1"/>
          <w:color w:val="0072CE"/>
        </w:rPr>
        <w:t xml:space="preserve">Committees: </w:t>
      </w:r>
      <w:r>
        <w:rPr>
          <w:rFonts w:ascii="Arial" w:cs="Arial" w:eastAsia="Arial" w:hAnsi="Arial"/>
          <w:sz w:val="14"/>
          <w:szCs w:val="14"/>
          <w:color w:val="3D3935"/>
        </w:rPr>
        <w:t>Audit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3D3935"/>
        </w:rPr>
        <w:t>Governance</w:t>
      </w: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72CE"/>
        </w:rPr>
        <w:t>Current GM Model:</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3D3935"/>
        </w:rPr>
        <w:t>Cadillac ESCALADE IQ</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72CE"/>
        </w:rPr>
        <w:t>Skillset:</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4"/>
          <w:szCs w:val="14"/>
          <w:color w:val="3D3935"/>
        </w:rPr>
        <w:t>Cyber</w:t>
      </w:r>
    </w:p>
    <w:p>
      <w:pPr>
        <w:ind w:left="20"/>
        <w:spacing w:after="0"/>
        <w:rPr>
          <w:sz w:val="20"/>
          <w:szCs w:val="20"/>
          <w:color w:val="auto"/>
        </w:rPr>
      </w:pPr>
      <w:r>
        <w:rPr>
          <w:rFonts w:ascii="Arial" w:cs="Arial" w:eastAsia="Arial" w:hAnsi="Arial"/>
          <w:sz w:val="14"/>
          <w:szCs w:val="14"/>
          <w:color w:val="3D3935"/>
        </w:rPr>
        <w:t>Governance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3D3935"/>
        </w:rPr>
        <w:t>Marketing</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3D3935"/>
        </w:rPr>
        <w:t>Risk Management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3D3935"/>
        </w:rPr>
        <w:t>Social</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0072CE"/>
        </w:rPr>
        <w:t xml:space="preserve">Experience: </w:t>
      </w:r>
      <w:r>
        <w:rPr>
          <w:rFonts w:ascii="Arial" w:cs="Arial" w:eastAsia="Arial" w:hAnsi="Arial"/>
          <w:sz w:val="16"/>
          <w:szCs w:val="16"/>
          <w:color w:val="3D3935"/>
        </w:rPr>
        <w:t>Mr. Tatum joined the National Basketball</w:t>
      </w:r>
    </w:p>
    <w:p>
      <w:pPr>
        <w:spacing w:after="0" w:line="8" w:lineRule="exact"/>
        <w:rPr>
          <w:sz w:val="20"/>
          <w:szCs w:val="20"/>
          <w:color w:val="auto"/>
        </w:rPr>
      </w:pPr>
    </w:p>
    <w:p>
      <w:pPr>
        <w:ind w:right="400"/>
        <w:spacing w:after="0" w:line="220" w:lineRule="auto"/>
        <w:rPr>
          <w:sz w:val="20"/>
          <w:szCs w:val="20"/>
          <w:color w:val="auto"/>
        </w:rPr>
      </w:pPr>
      <w:r>
        <w:rPr>
          <w:rFonts w:ascii="Arial" w:cs="Arial" w:eastAsia="Arial" w:hAnsi="Arial"/>
          <w:sz w:val="16"/>
          <w:szCs w:val="16"/>
          <w:color w:val="3D3935"/>
        </w:rPr>
        <w:t>Association (NBA) in 1999 and was appointed NBA Deputy Commissioner and Chief Operating Officer in</w:t>
      </w:r>
    </w:p>
    <w:p>
      <w:pPr>
        <w:ind w:right="260"/>
        <w:spacing w:after="0" w:line="220" w:lineRule="auto"/>
        <w:rPr>
          <w:sz w:val="20"/>
          <w:szCs w:val="20"/>
          <w:color w:val="auto"/>
        </w:rPr>
      </w:pPr>
      <w:r>
        <w:rPr>
          <w:rFonts w:ascii="Arial" w:cs="Arial" w:eastAsia="Arial" w:hAnsi="Arial"/>
          <w:sz w:val="16"/>
          <w:szCs w:val="16"/>
          <w:color w:val="3D3935"/>
        </w:rPr>
        <w:t>2014. Prior to that, he served in numerous leadership roles at the NBA, including Executive Vice President of</w:t>
      </w:r>
    </w:p>
    <w:p>
      <w:pPr>
        <w:spacing w:after="0" w:line="229" w:lineRule="auto"/>
        <w:rPr>
          <w:sz w:val="20"/>
          <w:szCs w:val="20"/>
          <w:color w:val="auto"/>
        </w:rPr>
      </w:pPr>
      <w:r>
        <w:rPr>
          <w:rFonts w:ascii="Arial" w:cs="Arial" w:eastAsia="Arial" w:hAnsi="Arial"/>
          <w:sz w:val="16"/>
          <w:szCs w:val="16"/>
          <w:color w:val="3D3935"/>
        </w:rPr>
        <w:t>Global Marketing Partnerships; Senior Vice President;</w:t>
      </w:r>
    </w:p>
    <w:p>
      <w:pPr>
        <w:ind w:right="340"/>
        <w:spacing w:after="0" w:line="220" w:lineRule="auto"/>
        <w:rPr>
          <w:sz w:val="20"/>
          <w:szCs w:val="20"/>
          <w:color w:val="auto"/>
        </w:rPr>
      </w:pPr>
      <w:r>
        <w:rPr>
          <w:rFonts w:ascii="Arial" w:cs="Arial" w:eastAsia="Arial" w:hAnsi="Arial"/>
          <w:sz w:val="16"/>
          <w:szCs w:val="16"/>
          <w:color w:val="3D3935"/>
        </w:rPr>
        <w:t>Vice President of Business Development; Senior Director and Group Manager of Marketing Properties;</w:t>
      </w:r>
    </w:p>
    <w:p>
      <w:pPr>
        <w:spacing w:after="0"/>
        <w:rPr>
          <w:sz w:val="20"/>
          <w:szCs w:val="20"/>
          <w:color w:val="auto"/>
        </w:rPr>
      </w:pPr>
      <w:r>
        <w:rPr>
          <w:rFonts w:ascii="Arial" w:cs="Arial" w:eastAsia="Arial" w:hAnsi="Arial"/>
          <w:sz w:val="16"/>
          <w:szCs w:val="16"/>
          <w:color w:val="3D3935"/>
        </w:rPr>
        <w:t>and Director of Marketing Partnerships.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0072CE"/>
        </w:rPr>
        <w:t xml:space="preserve">Reasons for Nomination:  </w:t>
      </w:r>
      <w:r>
        <w:rPr>
          <w:rFonts w:ascii="Arial" w:cs="Arial" w:eastAsia="Arial" w:hAnsi="Arial"/>
          <w:sz w:val="16"/>
          <w:szCs w:val="16"/>
          <w:color w:val="3D3935"/>
        </w:rPr>
        <w:t>Mr. Tatum has extensive</w:t>
      </w:r>
    </w:p>
    <w:p>
      <w:pPr>
        <w:spacing w:after="0"/>
        <w:rPr>
          <w:sz w:val="20"/>
          <w:szCs w:val="20"/>
          <w:color w:val="auto"/>
        </w:rPr>
      </w:pPr>
      <w:r>
        <w:rPr>
          <w:rFonts w:ascii="Arial" w:cs="Arial" w:eastAsia="Arial" w:hAnsi="Arial"/>
          <w:sz w:val="16"/>
          <w:szCs w:val="16"/>
          <w:color w:val="3D3935"/>
        </w:rPr>
        <w:t>senior leadership experience in marketing and sales</w:t>
      </w:r>
    </w:p>
    <w:p>
      <w:pPr>
        <w:ind w:right="180"/>
        <w:spacing w:after="0" w:line="220" w:lineRule="auto"/>
        <w:rPr>
          <w:sz w:val="20"/>
          <w:szCs w:val="20"/>
          <w:color w:val="auto"/>
        </w:rPr>
      </w:pPr>
      <w:r>
        <w:rPr>
          <w:rFonts w:ascii="Arial" w:cs="Arial" w:eastAsia="Arial" w:hAnsi="Arial"/>
          <w:sz w:val="16"/>
          <w:szCs w:val="16"/>
          <w:color w:val="3D3935"/>
        </w:rPr>
        <w:t>strategy, managing media relationships and global business operations. He also has significant experience</w:t>
      </w:r>
    </w:p>
    <w:p>
      <w:pPr>
        <w:ind w:right="340"/>
        <w:spacing w:after="0" w:line="235" w:lineRule="auto"/>
        <w:rPr>
          <w:sz w:val="20"/>
          <w:szCs w:val="20"/>
          <w:color w:val="auto"/>
        </w:rPr>
      </w:pPr>
      <w:r>
        <w:rPr>
          <w:rFonts w:ascii="Arial" w:cs="Arial" w:eastAsia="Arial" w:hAnsi="Arial"/>
          <w:sz w:val="16"/>
          <w:szCs w:val="16"/>
          <w:color w:val="3D3935"/>
        </w:rPr>
        <w:t>driving customer engagement and operations globally through his leadership roles at the NBA.</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0072CE"/>
        </w:rPr>
        <w:t>Other Public Company Directorships:</w:t>
      </w:r>
      <w:r>
        <w:rPr>
          <w:rFonts w:ascii="Arial" w:cs="Arial" w:eastAsia="Arial" w:hAnsi="Arial"/>
          <w:sz w:val="16"/>
          <w:szCs w:val="16"/>
          <w:color w:val="3D3935"/>
        </w:rPr>
        <w:t>None</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color w:val="0072CE"/>
        </w:rPr>
        <w:t>Prior Public Company Directorships (Past Five Years):</w:t>
      </w:r>
    </w:p>
    <w:p>
      <w:pPr>
        <w:spacing w:after="0"/>
        <w:rPr>
          <w:sz w:val="20"/>
          <w:szCs w:val="20"/>
          <w:color w:val="auto"/>
        </w:rPr>
      </w:pPr>
      <w:r>
        <w:rPr>
          <w:rFonts w:ascii="Arial" w:cs="Arial" w:eastAsia="Arial" w:hAnsi="Arial"/>
          <w:sz w:val="16"/>
          <w:szCs w:val="16"/>
          <w:color w:val="3D3935"/>
        </w:rPr>
        <w:t>None</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left="334" w:right="500" w:hanging="334"/>
        <w:spacing w:after="0" w:line="189" w:lineRule="auto"/>
        <w:tabs>
          <w:tab w:leader="none" w:pos="334" w:val="left"/>
        </w:tabs>
        <w:numPr>
          <w:ilvl w:val="0"/>
          <w:numId w:val="36"/>
        </w:numPr>
        <w:rPr>
          <w:rFonts w:ascii="Arial" w:cs="Arial" w:eastAsia="Arial" w:hAnsi="Arial"/>
          <w:sz w:val="26"/>
          <w:szCs w:val="26"/>
          <w:b w:val="1"/>
          <w:bCs w:val="1"/>
          <w:color w:val="FFFFFF"/>
          <w:vertAlign w:val="subscript"/>
        </w:rPr>
      </w:pPr>
      <w:r>
        <w:rPr>
          <w:rFonts w:ascii="Arial" w:cs="Arial" w:eastAsia="Arial" w:hAnsi="Arial"/>
          <w:sz w:val="13"/>
          <w:szCs w:val="13"/>
          <w:b w:val="1"/>
          <w:bCs w:val="1"/>
          <w:color w:val="3D3935"/>
        </w:rPr>
        <w:t>How does the Board help shape the customer’s</w:t>
      </w:r>
    </w:p>
    <w:p>
      <w:pPr>
        <w:ind w:left="334"/>
        <w:spacing w:after="0"/>
        <w:rPr>
          <w:sz w:val="20"/>
          <w:szCs w:val="20"/>
          <w:color w:val="auto"/>
        </w:rPr>
      </w:pPr>
      <w:r>
        <w:rPr>
          <w:rFonts w:ascii="Arial" w:cs="Arial" w:eastAsia="Arial" w:hAnsi="Arial"/>
          <w:sz w:val="16"/>
          <w:szCs w:val="16"/>
          <w:b w:val="1"/>
          <w:bCs w:val="1"/>
          <w:color w:val="3D3935"/>
        </w:rPr>
        <w:t>software experience?</w:t>
      </w:r>
    </w:p>
    <w:p>
      <w:pPr>
        <w:spacing w:after="0" w:line="151" w:lineRule="exact"/>
        <w:rPr>
          <w:sz w:val="20"/>
          <w:szCs w:val="20"/>
          <w:color w:val="auto"/>
        </w:rPr>
      </w:pPr>
    </w:p>
    <w:p>
      <w:pPr>
        <w:ind w:left="334" w:right="300" w:hanging="333"/>
        <w:spacing w:after="0" w:line="213" w:lineRule="auto"/>
        <w:tabs>
          <w:tab w:leader="none" w:pos="334" w:val="left"/>
        </w:tabs>
        <w:numPr>
          <w:ilvl w:val="0"/>
          <w:numId w:val="37"/>
        </w:numPr>
        <w:rPr>
          <w:rFonts w:ascii="Arial" w:cs="Arial" w:eastAsia="Arial" w:hAnsi="Arial"/>
          <w:sz w:val="36"/>
          <w:szCs w:val="36"/>
          <w:b w:val="1"/>
          <w:bCs w:val="1"/>
          <w:color w:val="FFFFFF"/>
          <w:vertAlign w:val="subscript"/>
        </w:rPr>
      </w:pPr>
      <w:r>
        <w:rPr>
          <w:rFonts w:ascii="Arial" w:cs="Arial" w:eastAsia="Arial" w:hAnsi="Arial"/>
          <w:sz w:val="16"/>
          <w:szCs w:val="16"/>
          <w:color w:val="3D3935"/>
        </w:rPr>
        <w:t>Last year the Board conducted one of our meetings at the Company’s new Software and Services facility in California to evaluate the Company’s new technologies and meet the new software leadership team. Software and Services is a critical part of the Company’s strategy, and we believe advanced safety and technology platforms will help improve customer experiences and retention. Our strategic success was evident earlier this year when Super Cruise was recognized as the automotive industry’s best driver assistance program by MotorTrend, and the Company was recognized —for the tenth consecutive year—for having the highest overall manufacturer loyalty by S&amp;P Global Mobility.</w:t>
      </w:r>
    </w:p>
    <w:p>
      <w:pPr>
        <w:sectPr>
          <w:pgSz w:w="11900" w:h="16838" w:orient="portrait"/>
          <w:cols w:equalWidth="0" w:num="3">
            <w:col w:w="1520" w:space="340"/>
            <w:col w:w="4180" w:space="286"/>
            <w:col w:w="2774"/>
          </w:cols>
          <w:pgMar w:left="1440" w:top="91" w:right="1359" w:bottom="0" w:gutter="0" w:footer="0" w:header="0"/>
          <w:type w:val="continuous"/>
        </w:sectPr>
      </w:pPr>
    </w:p>
    <w:bookmarkStart w:id="20" w:name="page21"/>
    <w:bookmarkEnd w:id="20"/>
    <w:p>
      <w:pPr>
        <w:ind w:left="1900"/>
        <w:spacing w:after="0"/>
        <w:rPr>
          <w:sz w:val="20"/>
          <w:szCs w:val="20"/>
          <w:color w:val="auto"/>
        </w:rPr>
      </w:pPr>
      <w:r>
        <w:rPr>
          <w:rFonts w:ascii="Arial" w:cs="Arial" w:eastAsia="Arial" w:hAnsi="Arial"/>
          <w:sz w:val="25"/>
          <w:szCs w:val="25"/>
          <w:b w:val="1"/>
          <w:bCs w:val="1"/>
          <w:color w:val="0072CE"/>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42538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10375" cy="4253865"/>
                    </a:xfrm>
                    <a:prstGeom prst="rect">
                      <a:avLst/>
                    </a:prstGeom>
                    <a:noFill/>
                  </pic:spPr>
                </pic:pic>
              </a:graphicData>
            </a:graphic>
          </wp:anchor>
        </w:drawing>
        <w:t xml:space="preserve">Jan E. Tighe </w:t>
      </w:r>
      <w:r>
        <w:rPr>
          <w:rFonts w:ascii="Arial" w:cs="Arial" w:eastAsia="Arial" w:hAnsi="Arial"/>
          <w:sz w:val="17"/>
          <w:szCs w:val="17"/>
          <w:b w:val="1"/>
          <w:bCs w:val="1"/>
          <w:color w:val="3D3935"/>
        </w:rPr>
        <w:t>|</w:t>
      </w:r>
      <w:r>
        <w:rPr>
          <w:rFonts w:ascii="Arial" w:cs="Arial" w:eastAsia="Arial" w:hAnsi="Arial"/>
          <w:sz w:val="25"/>
          <w:szCs w:val="25"/>
          <w:b w:val="1"/>
          <w:bCs w:val="1"/>
          <w:color w:val="0072CE"/>
        </w:rPr>
        <w:t xml:space="preserve"> </w:t>
      </w:r>
      <w:r>
        <w:rPr>
          <w:rFonts w:ascii="Arial" w:cs="Arial" w:eastAsia="Arial" w:hAnsi="Arial"/>
          <w:sz w:val="25"/>
          <w:szCs w:val="25"/>
          <w:b w:val="1"/>
          <w:bCs w:val="1"/>
          <w:color w:val="3D3935"/>
        </w:rPr>
        <w:t>62</w:t>
      </w:r>
    </w:p>
    <w:p>
      <w:pPr>
        <w:spacing w:after="0" w:line="25"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3D3935"/>
        </w:rPr>
        <w:t>Retired Vice Admiral, U.S. Navy</w:t>
      </w:r>
    </w:p>
    <w:p>
      <w:pPr>
        <w:sectPr>
          <w:pgSz w:w="11900" w:h="16838" w:orient="portrait"/>
          <w:cols w:equalWidth="0" w:num="1">
            <w:col w:w="9060"/>
          </w:cols>
          <w:pgMar w:left="1400" w:top="439" w:right="14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 xml:space="preserve">Gender: </w:t>
      </w:r>
      <w:r>
        <w:rPr>
          <w:rFonts w:ascii="Arial" w:cs="Arial" w:eastAsia="Arial" w:hAnsi="Arial"/>
          <w:sz w:val="14"/>
          <w:szCs w:val="14"/>
          <w:color w:val="3D3935"/>
        </w:rPr>
        <w:t>Female</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 xml:space="preserve">Director since: </w:t>
      </w:r>
      <w:r>
        <w:rPr>
          <w:rFonts w:ascii="Arial" w:cs="Arial" w:eastAsia="Arial" w:hAnsi="Arial"/>
          <w:sz w:val="14"/>
          <w:szCs w:val="14"/>
          <w:color w:val="3D3935"/>
        </w:rPr>
        <w:t>2023</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 xml:space="preserve">Race/Ethnicity: </w:t>
      </w:r>
      <w:r>
        <w:rPr>
          <w:rFonts w:ascii="Arial" w:cs="Arial" w:eastAsia="Arial" w:hAnsi="Arial"/>
          <w:sz w:val="14"/>
          <w:szCs w:val="14"/>
          <w:color w:val="3D3935"/>
        </w:rPr>
        <w:t>White</w:t>
      </w:r>
    </w:p>
    <w:p>
      <w:pPr>
        <w:ind w:left="60"/>
        <w:spacing w:after="0" w:line="222" w:lineRule="auto"/>
        <w:rPr>
          <w:sz w:val="20"/>
          <w:szCs w:val="20"/>
          <w:color w:val="auto"/>
        </w:rPr>
      </w:pPr>
      <w:r>
        <w:rPr>
          <w:rFonts w:ascii="Arial" w:cs="Arial" w:eastAsia="Arial" w:hAnsi="Arial"/>
          <w:sz w:val="14"/>
          <w:szCs w:val="14"/>
          <w:b w:val="1"/>
          <w:bCs w:val="1"/>
          <w:color w:val="0072CE"/>
        </w:rPr>
        <w:t>Committees: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Audit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Risk and Cybersecurity</w:t>
      </w: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Current GM Model:</w:t>
      </w:r>
    </w:p>
    <w:p>
      <w:pPr>
        <w:spacing w:after="0" w:line="2" w:lineRule="exact"/>
        <w:rPr>
          <w:sz w:val="20"/>
          <w:szCs w:val="20"/>
          <w:color w:val="auto"/>
        </w:rPr>
      </w:pPr>
    </w:p>
    <w:p>
      <w:pPr>
        <w:ind w:left="60" w:right="280"/>
        <w:spacing w:after="0" w:line="264" w:lineRule="auto"/>
        <w:rPr>
          <w:sz w:val="20"/>
          <w:szCs w:val="20"/>
          <w:color w:val="auto"/>
        </w:rPr>
      </w:pPr>
      <w:r>
        <w:rPr>
          <w:rFonts w:ascii="Arial" w:cs="Arial" w:eastAsia="Arial" w:hAnsi="Arial"/>
          <w:sz w:val="14"/>
          <w:szCs w:val="14"/>
          <w:color w:val="3D3935"/>
        </w:rPr>
        <w:t>Chevrolet Corvette E-Ray</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Skillset:</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Cyber</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Finance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Governance</w:t>
      </w:r>
    </w:p>
    <w:p>
      <w:pPr>
        <w:ind w:left="60"/>
        <w:spacing w:after="0" w:line="222" w:lineRule="auto"/>
        <w:rPr>
          <w:sz w:val="20"/>
          <w:szCs w:val="20"/>
          <w:color w:val="auto"/>
        </w:rPr>
      </w:pPr>
      <w:r>
        <w:rPr>
          <w:rFonts w:ascii="Arial" w:cs="Arial" w:eastAsia="Arial" w:hAnsi="Arial"/>
          <w:sz w:val="14"/>
          <w:szCs w:val="14"/>
          <w:color w:val="3D3935"/>
        </w:rPr>
        <w:t>Marketing</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Risk Management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Social</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Technology</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right="340"/>
        <w:spacing w:after="0" w:line="230" w:lineRule="auto"/>
        <w:rPr>
          <w:sz w:val="20"/>
          <w:szCs w:val="20"/>
          <w:color w:val="auto"/>
        </w:rPr>
      </w:pPr>
      <w:r>
        <w:rPr>
          <w:rFonts w:ascii="Arial" w:cs="Arial" w:eastAsia="Arial" w:hAnsi="Arial"/>
          <w:sz w:val="16"/>
          <w:szCs w:val="16"/>
          <w:b w:val="1"/>
          <w:bCs w:val="1"/>
          <w:color w:val="0072CE"/>
        </w:rPr>
        <w:t xml:space="preserve">Experience: </w:t>
      </w:r>
      <w:r>
        <w:rPr>
          <w:rFonts w:ascii="Arial" w:cs="Arial" w:eastAsia="Arial" w:hAnsi="Arial"/>
          <w:sz w:val="16"/>
          <w:szCs w:val="16"/>
          <w:color w:val="3D3935"/>
        </w:rPr>
        <w:t>Vice Admiral Tighe retired from the U.S.</w:t>
      </w:r>
      <w:r>
        <w:rPr>
          <w:rFonts w:ascii="Arial" w:cs="Arial" w:eastAsia="Arial" w:hAnsi="Arial"/>
          <w:sz w:val="16"/>
          <w:szCs w:val="16"/>
          <w:b w:val="1"/>
          <w:bCs w:val="1"/>
          <w:color w:val="0072CE"/>
        </w:rPr>
        <w:t xml:space="preserve"> </w:t>
      </w:r>
      <w:r>
        <w:rPr>
          <w:rFonts w:ascii="Arial" w:cs="Arial" w:eastAsia="Arial" w:hAnsi="Arial"/>
          <w:sz w:val="16"/>
          <w:szCs w:val="16"/>
          <w:color w:val="3D3935"/>
        </w:rPr>
        <w:t>Navy in 2018, having served as the Deputy Chief of</w:t>
      </w:r>
    </w:p>
    <w:p>
      <w:pPr>
        <w:spacing w:after="0" w:line="1" w:lineRule="exact"/>
        <w:rPr>
          <w:sz w:val="20"/>
          <w:szCs w:val="20"/>
          <w:color w:val="auto"/>
        </w:rPr>
      </w:pPr>
    </w:p>
    <w:p>
      <w:pPr>
        <w:ind w:right="160"/>
        <w:spacing w:after="0" w:line="220" w:lineRule="auto"/>
        <w:rPr>
          <w:sz w:val="20"/>
          <w:szCs w:val="20"/>
          <w:color w:val="auto"/>
        </w:rPr>
      </w:pPr>
      <w:r>
        <w:rPr>
          <w:rFonts w:ascii="Arial" w:cs="Arial" w:eastAsia="Arial" w:hAnsi="Arial"/>
          <w:sz w:val="16"/>
          <w:szCs w:val="16"/>
          <w:color w:val="3D3935"/>
        </w:rPr>
        <w:t>Naval Operations for Information Warfare and Director of Naval Intelligence. Her prior Flag Officer assignments</w:t>
      </w:r>
    </w:p>
    <w:p>
      <w:pPr>
        <w:spacing w:after="0" w:line="229" w:lineRule="auto"/>
        <w:rPr>
          <w:sz w:val="20"/>
          <w:szCs w:val="20"/>
          <w:color w:val="auto"/>
        </w:rPr>
      </w:pPr>
      <w:r>
        <w:rPr>
          <w:rFonts w:ascii="Arial" w:cs="Arial" w:eastAsia="Arial" w:hAnsi="Arial"/>
          <w:sz w:val="16"/>
          <w:szCs w:val="16"/>
          <w:color w:val="3D3935"/>
        </w:rPr>
        <w:t>include command of the Navy’s Fleet Cyber Command</w:t>
      </w:r>
    </w:p>
    <w:p>
      <w:pPr>
        <w:ind w:right="160"/>
        <w:spacing w:after="0" w:line="220" w:lineRule="auto"/>
        <w:rPr>
          <w:sz w:val="20"/>
          <w:szCs w:val="20"/>
          <w:color w:val="auto"/>
        </w:rPr>
      </w:pPr>
      <w:r>
        <w:rPr>
          <w:rFonts w:ascii="Arial" w:cs="Arial" w:eastAsia="Arial" w:hAnsi="Arial"/>
          <w:sz w:val="16"/>
          <w:szCs w:val="16"/>
          <w:color w:val="3D3935"/>
        </w:rPr>
        <w:t>from 2014 to 2016, President of the Naval Postgraduate School from 2012 to 2013, and Deputy Director of</w:t>
      </w:r>
    </w:p>
    <w:p>
      <w:pPr>
        <w:spacing w:after="0"/>
        <w:rPr>
          <w:sz w:val="20"/>
          <w:szCs w:val="20"/>
          <w:color w:val="auto"/>
        </w:rPr>
      </w:pPr>
      <w:r>
        <w:rPr>
          <w:rFonts w:ascii="Arial" w:cs="Arial" w:eastAsia="Arial" w:hAnsi="Arial"/>
          <w:sz w:val="16"/>
          <w:szCs w:val="16"/>
          <w:color w:val="3D3935"/>
        </w:rPr>
        <w:t>Operations at U.S. Cyber Command from 2010 to 2011.</w:t>
      </w:r>
    </w:p>
    <w:p>
      <w:pPr>
        <w:spacing w:after="0" w:line="70" w:lineRule="exact"/>
        <w:rPr>
          <w:sz w:val="20"/>
          <w:szCs w:val="20"/>
          <w:color w:val="auto"/>
        </w:rPr>
      </w:pPr>
    </w:p>
    <w:p>
      <w:pPr>
        <w:ind w:right="160"/>
        <w:spacing w:after="0" w:line="239" w:lineRule="auto"/>
        <w:rPr>
          <w:sz w:val="20"/>
          <w:szCs w:val="20"/>
          <w:color w:val="auto"/>
        </w:rPr>
      </w:pPr>
      <w:r>
        <w:rPr>
          <w:rFonts w:ascii="Arial" w:cs="Arial" w:eastAsia="Arial" w:hAnsi="Arial"/>
          <w:sz w:val="16"/>
          <w:szCs w:val="16"/>
          <w:b w:val="1"/>
          <w:bCs w:val="1"/>
          <w:color w:val="0072CE"/>
        </w:rPr>
        <w:t xml:space="preserve">Reasons for Nomination: </w:t>
      </w:r>
      <w:r>
        <w:rPr>
          <w:rFonts w:ascii="Arial" w:cs="Arial" w:eastAsia="Arial" w:hAnsi="Arial"/>
          <w:sz w:val="16"/>
          <w:szCs w:val="16"/>
          <w:color w:val="3D3935"/>
        </w:rPr>
        <w:t>Vice Admiral Tighe cultivated</w:t>
      </w:r>
      <w:r>
        <w:rPr>
          <w:rFonts w:ascii="Arial" w:cs="Arial" w:eastAsia="Arial" w:hAnsi="Arial"/>
          <w:sz w:val="16"/>
          <w:szCs w:val="16"/>
          <w:b w:val="1"/>
          <w:bCs w:val="1"/>
          <w:color w:val="0072CE"/>
        </w:rPr>
        <w:t xml:space="preserve"> </w:t>
      </w:r>
      <w:r>
        <w:rPr>
          <w:rFonts w:ascii="Arial" w:cs="Arial" w:eastAsia="Arial" w:hAnsi="Arial"/>
          <w:sz w:val="16"/>
          <w:szCs w:val="16"/>
          <w:color w:val="3D3935"/>
        </w:rPr>
        <w:t>her operational experience in complex cybersecurity</w:t>
      </w:r>
    </w:p>
    <w:p>
      <w:pPr>
        <w:spacing w:after="0" w:line="1" w:lineRule="exact"/>
        <w:rPr>
          <w:sz w:val="20"/>
          <w:szCs w:val="20"/>
          <w:color w:val="auto"/>
        </w:rPr>
      </w:pPr>
    </w:p>
    <w:p>
      <w:pPr>
        <w:ind w:right="220"/>
        <w:spacing w:after="0" w:line="220" w:lineRule="auto"/>
        <w:rPr>
          <w:sz w:val="20"/>
          <w:szCs w:val="20"/>
          <w:color w:val="auto"/>
        </w:rPr>
      </w:pPr>
      <w:r>
        <w:rPr>
          <w:rFonts w:ascii="Arial" w:cs="Arial" w:eastAsia="Arial" w:hAnsi="Arial"/>
          <w:sz w:val="16"/>
          <w:szCs w:val="16"/>
          <w:color w:val="3D3935"/>
        </w:rPr>
        <w:t>matters, including operational technologies, information systems technology, technology risk management, and</w:t>
      </w:r>
    </w:p>
    <w:p>
      <w:pPr>
        <w:ind w:right="520"/>
        <w:spacing w:after="0" w:line="220" w:lineRule="auto"/>
        <w:rPr>
          <w:sz w:val="20"/>
          <w:szCs w:val="20"/>
          <w:color w:val="auto"/>
        </w:rPr>
      </w:pPr>
      <w:r>
        <w:rPr>
          <w:rFonts w:ascii="Arial" w:cs="Arial" w:eastAsia="Arial" w:hAnsi="Arial"/>
          <w:sz w:val="16"/>
          <w:szCs w:val="16"/>
          <w:color w:val="3D3935"/>
        </w:rPr>
        <w:t>strategic assessments, while serving in global operations roles for the U.S. Navy and the National</w:t>
      </w:r>
    </w:p>
    <w:p>
      <w:pPr>
        <w:spacing w:after="0" w:line="229" w:lineRule="auto"/>
        <w:rPr>
          <w:sz w:val="20"/>
          <w:szCs w:val="20"/>
          <w:color w:val="auto"/>
        </w:rPr>
      </w:pPr>
      <w:r>
        <w:rPr>
          <w:rFonts w:ascii="Arial" w:cs="Arial" w:eastAsia="Arial" w:hAnsi="Arial"/>
          <w:sz w:val="16"/>
          <w:szCs w:val="16"/>
          <w:color w:val="3D3935"/>
        </w:rPr>
        <w:t>Security Agency. Her extensive leadership experience</w:t>
      </w:r>
    </w:p>
    <w:p>
      <w:pPr>
        <w:ind w:right="720"/>
        <w:spacing w:after="0" w:line="220" w:lineRule="auto"/>
        <w:rPr>
          <w:sz w:val="20"/>
          <w:szCs w:val="20"/>
          <w:color w:val="auto"/>
        </w:rPr>
      </w:pPr>
      <w:r>
        <w:rPr>
          <w:rFonts w:ascii="Arial" w:cs="Arial" w:eastAsia="Arial" w:hAnsi="Arial"/>
          <w:sz w:val="16"/>
          <w:szCs w:val="16"/>
          <w:color w:val="3D3935"/>
        </w:rPr>
        <w:t>of more than 20 years in the U.S. Navy during a significant period of transformation and provides</w:t>
      </w:r>
    </w:p>
    <w:p>
      <w:pPr>
        <w:ind w:right="420"/>
        <w:spacing w:after="0" w:line="220" w:lineRule="auto"/>
        <w:rPr>
          <w:sz w:val="20"/>
          <w:szCs w:val="20"/>
          <w:color w:val="auto"/>
        </w:rPr>
      </w:pPr>
      <w:r>
        <w:rPr>
          <w:rFonts w:ascii="Arial" w:cs="Arial" w:eastAsia="Arial" w:hAnsi="Arial"/>
          <w:sz w:val="16"/>
          <w:szCs w:val="16"/>
          <w:color w:val="3D3935"/>
        </w:rPr>
        <w:t>valuable human capital insights that are essential for the Company as it transitions its workforce to</w:t>
      </w:r>
    </w:p>
    <w:p>
      <w:pPr>
        <w:spacing w:after="0"/>
        <w:rPr>
          <w:sz w:val="20"/>
          <w:szCs w:val="20"/>
          <w:color w:val="auto"/>
        </w:rPr>
      </w:pPr>
      <w:r>
        <w:rPr>
          <w:rFonts w:ascii="Arial" w:cs="Arial" w:eastAsia="Arial" w:hAnsi="Arial"/>
          <w:sz w:val="16"/>
          <w:szCs w:val="16"/>
          <w:color w:val="3D3935"/>
        </w:rPr>
        <w:t>implement EV and AV technologies.</w:t>
      </w:r>
    </w:p>
    <w:p>
      <w:pPr>
        <w:spacing w:after="0" w:line="84"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b w:val="1"/>
          <w:bCs w:val="1"/>
          <w:color w:val="0072CE"/>
        </w:rPr>
        <w:t xml:space="preserve">Other Public Company Directorships: </w:t>
      </w:r>
      <w:r>
        <w:rPr>
          <w:rFonts w:ascii="Arial" w:cs="Arial" w:eastAsia="Arial" w:hAnsi="Arial"/>
          <w:sz w:val="16"/>
          <w:szCs w:val="16"/>
          <w:color w:val="3D3935"/>
        </w:rPr>
        <w:t>The Goldman</w:t>
      </w:r>
      <w:r>
        <w:rPr>
          <w:rFonts w:ascii="Arial" w:cs="Arial" w:eastAsia="Arial" w:hAnsi="Arial"/>
          <w:sz w:val="16"/>
          <w:szCs w:val="16"/>
          <w:b w:val="1"/>
          <w:bCs w:val="1"/>
          <w:color w:val="0072CE"/>
        </w:rPr>
        <w:t xml:space="preserve"> </w:t>
      </w:r>
      <w:r>
        <w:rPr>
          <w:rFonts w:ascii="Arial" w:cs="Arial" w:eastAsia="Arial" w:hAnsi="Arial"/>
          <w:sz w:val="16"/>
          <w:szCs w:val="16"/>
          <w:color w:val="3D3935"/>
        </w:rPr>
        <w:t>Sachs Group, Inc. and Huntsman Corporation</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b w:val="1"/>
          <w:bCs w:val="1"/>
          <w:color w:val="0072CE"/>
        </w:rPr>
        <w:t>Prior Public Company Directorships (Past Five Years):</w:t>
      </w:r>
    </w:p>
    <w:p>
      <w:pPr>
        <w:spacing w:after="0"/>
        <w:rPr>
          <w:sz w:val="20"/>
          <w:szCs w:val="20"/>
          <w:color w:val="auto"/>
        </w:rPr>
      </w:pPr>
      <w:r>
        <w:rPr>
          <w:rFonts w:ascii="Arial" w:cs="Arial" w:eastAsia="Arial" w:hAnsi="Arial"/>
          <w:sz w:val="16"/>
          <w:szCs w:val="16"/>
          <w:color w:val="3D3935"/>
        </w:rPr>
        <w:t>The Progressive Corporation and IronNet, Inc.</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left="334" w:right="140" w:hanging="334"/>
        <w:spacing w:after="0" w:line="182" w:lineRule="auto"/>
        <w:tabs>
          <w:tab w:leader="none" w:pos="334" w:val="left"/>
        </w:tabs>
        <w:numPr>
          <w:ilvl w:val="0"/>
          <w:numId w:val="38"/>
        </w:numPr>
        <w:rPr>
          <w:rFonts w:ascii="Arial" w:cs="Arial" w:eastAsia="Arial" w:hAnsi="Arial"/>
          <w:sz w:val="30"/>
          <w:szCs w:val="30"/>
          <w:b w:val="1"/>
          <w:bCs w:val="1"/>
          <w:color w:val="FFFFFF"/>
          <w:vertAlign w:val="subscript"/>
        </w:rPr>
      </w:pPr>
      <w:r>
        <w:rPr>
          <w:rFonts w:ascii="Arial" w:cs="Arial" w:eastAsia="Arial" w:hAnsi="Arial"/>
          <w:sz w:val="14"/>
          <w:szCs w:val="14"/>
          <w:b w:val="1"/>
          <w:bCs w:val="1"/>
          <w:color w:val="3D3935"/>
        </w:rPr>
        <w:t>How does the Board oversee cybersecurity risks?</w:t>
      </w:r>
    </w:p>
    <w:p>
      <w:pPr>
        <w:spacing w:after="0" w:line="197" w:lineRule="exact"/>
        <w:rPr>
          <w:sz w:val="20"/>
          <w:szCs w:val="20"/>
          <w:color w:val="auto"/>
        </w:rPr>
      </w:pPr>
    </w:p>
    <w:p>
      <w:pPr>
        <w:ind w:left="334" w:right="260" w:hanging="333"/>
        <w:spacing w:after="0" w:line="212" w:lineRule="auto"/>
        <w:tabs>
          <w:tab w:leader="none" w:pos="334" w:val="left"/>
        </w:tabs>
        <w:numPr>
          <w:ilvl w:val="0"/>
          <w:numId w:val="39"/>
        </w:numPr>
        <w:rPr>
          <w:rFonts w:ascii="Arial" w:cs="Arial" w:eastAsia="Arial" w:hAnsi="Arial"/>
          <w:sz w:val="36"/>
          <w:szCs w:val="36"/>
          <w:b w:val="1"/>
          <w:bCs w:val="1"/>
          <w:color w:val="FFFFFF"/>
          <w:vertAlign w:val="subscript"/>
        </w:rPr>
      </w:pPr>
      <w:r>
        <w:rPr>
          <w:rFonts w:ascii="Arial" w:cs="Arial" w:eastAsia="Arial" w:hAnsi="Arial"/>
          <w:sz w:val="16"/>
          <w:szCs w:val="16"/>
          <w:color w:val="3D3935"/>
        </w:rPr>
        <w:t>Cybersecurity is a significant enterprise risk that requires constant oversight and alignment with various stakeholders, including our plant operators, vehicle developers, suppliers and regulatory agencies. Last year, in addition to our regular assessments, several Board members participated with management in a simulation exercise that tested our cyber-response policies and procedures. Also, as part of our regular succession planning, we strive to make sure the Company has the technical talent necessary to build defensible networks and operational infrastructure.</w:t>
      </w:r>
    </w:p>
    <w:p>
      <w:pPr>
        <w:spacing w:after="0" w:line="273" w:lineRule="exact"/>
        <w:rPr>
          <w:sz w:val="20"/>
          <w:szCs w:val="20"/>
          <w:color w:val="auto"/>
        </w:rPr>
      </w:pPr>
    </w:p>
    <w:p>
      <w:pPr>
        <w:sectPr>
          <w:pgSz w:w="11900" w:h="16838" w:orient="portrait"/>
          <w:cols w:equalWidth="0" w:num="3">
            <w:col w:w="1540" w:space="360"/>
            <w:col w:w="4180" w:space="286"/>
            <w:col w:w="2694"/>
          </w:cols>
          <w:pgMar w:left="1400" w:top="439" w:right="1439" w:bottom="0" w:gutter="0" w:footer="0" w:header="0"/>
          <w:type w:val="continuous"/>
        </w:sectPr>
      </w:pPr>
    </w:p>
    <w:p>
      <w:pPr>
        <w:spacing w:after="0" w:line="200" w:lineRule="exact"/>
        <w:rPr>
          <w:sz w:val="20"/>
          <w:szCs w:val="20"/>
          <w:color w:val="auto"/>
        </w:rPr>
      </w:pPr>
    </w:p>
    <w:p>
      <w:pPr>
        <w:spacing w:after="0" w:line="262"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70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3D3935"/>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61798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10375" cy="6179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ITEM 1 Annual Election of Directors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900"/>
        <w:spacing w:after="0"/>
        <w:rPr>
          <w:sz w:val="20"/>
          <w:szCs w:val="20"/>
          <w:color w:val="auto"/>
        </w:rPr>
      </w:pPr>
      <w:r>
        <w:rPr>
          <w:rFonts w:ascii="Arial" w:cs="Arial" w:eastAsia="Arial" w:hAnsi="Arial"/>
          <w:sz w:val="25"/>
          <w:szCs w:val="25"/>
          <w:b w:val="1"/>
          <w:bCs w:val="1"/>
          <w:color w:val="0072CE"/>
        </w:rPr>
        <w:t xml:space="preserve">Devin N. Wenig </w:t>
      </w:r>
      <w:r>
        <w:rPr>
          <w:rFonts w:ascii="Arial" w:cs="Arial" w:eastAsia="Arial" w:hAnsi="Arial"/>
          <w:sz w:val="17"/>
          <w:szCs w:val="17"/>
          <w:b w:val="1"/>
          <w:bCs w:val="1"/>
          <w:color w:val="3D3935"/>
        </w:rPr>
        <w:t>|</w:t>
      </w:r>
      <w:r>
        <w:rPr>
          <w:rFonts w:ascii="Arial" w:cs="Arial" w:eastAsia="Arial" w:hAnsi="Arial"/>
          <w:sz w:val="25"/>
          <w:szCs w:val="25"/>
          <w:b w:val="1"/>
          <w:bCs w:val="1"/>
          <w:color w:val="0072CE"/>
        </w:rPr>
        <w:t xml:space="preserve"> </w:t>
      </w:r>
      <w:r>
        <w:rPr>
          <w:rFonts w:ascii="Arial" w:cs="Arial" w:eastAsia="Arial" w:hAnsi="Arial"/>
          <w:sz w:val="25"/>
          <w:szCs w:val="25"/>
          <w:b w:val="1"/>
          <w:bCs w:val="1"/>
          <w:color w:val="3D3935"/>
        </w:rPr>
        <w:t>58</w:t>
      </w:r>
    </w:p>
    <w:p>
      <w:pPr>
        <w:spacing w:after="0" w:line="25"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3D3935"/>
        </w:rPr>
        <w:t>Co-Founder and CEO, Symbolic.ai</w:t>
      </w:r>
    </w:p>
    <w:p>
      <w:pPr>
        <w:sectPr>
          <w:pgSz w:w="11900" w:h="16838" w:orient="portrait"/>
          <w:cols w:equalWidth="0" w:num="1">
            <w:col w:w="9060"/>
          </w:cols>
          <w:pgMar w:left="1400" w:top="439" w:right="14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 xml:space="preserve">Gender: </w:t>
      </w:r>
      <w:r>
        <w:rPr>
          <w:rFonts w:ascii="Arial" w:cs="Arial" w:eastAsia="Arial" w:hAnsi="Arial"/>
          <w:sz w:val="14"/>
          <w:szCs w:val="14"/>
          <w:color w:val="3D3935"/>
        </w:rPr>
        <w:t>Male</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 xml:space="preserve">Director since: </w:t>
      </w:r>
      <w:r>
        <w:rPr>
          <w:rFonts w:ascii="Arial" w:cs="Arial" w:eastAsia="Arial" w:hAnsi="Arial"/>
          <w:sz w:val="14"/>
          <w:szCs w:val="14"/>
          <w:color w:val="3D3935"/>
        </w:rPr>
        <w:t>2018</w:t>
      </w:r>
    </w:p>
    <w:p>
      <w:pPr>
        <w:ind w:left="60"/>
        <w:spacing w:after="0" w:line="241" w:lineRule="auto"/>
        <w:rPr>
          <w:sz w:val="20"/>
          <w:szCs w:val="20"/>
          <w:color w:val="auto"/>
        </w:rPr>
      </w:pPr>
      <w:r>
        <w:rPr>
          <w:rFonts w:ascii="Arial" w:cs="Arial" w:eastAsia="Arial" w:hAnsi="Arial"/>
          <w:sz w:val="14"/>
          <w:szCs w:val="14"/>
          <w:b w:val="1"/>
          <w:bCs w:val="1"/>
          <w:color w:val="0072CE"/>
        </w:rPr>
        <w:t xml:space="preserve">Race/Ethnicity: </w:t>
      </w:r>
      <w:r>
        <w:rPr>
          <w:rFonts w:ascii="Arial" w:cs="Arial" w:eastAsia="Arial" w:hAnsi="Arial"/>
          <w:sz w:val="14"/>
          <w:szCs w:val="14"/>
          <w:color w:val="3D3935"/>
        </w:rPr>
        <w:t>White</w:t>
      </w:r>
      <w:r>
        <w:rPr>
          <w:rFonts w:ascii="Arial" w:cs="Arial" w:eastAsia="Arial" w:hAnsi="Arial"/>
          <w:sz w:val="14"/>
          <w:szCs w:val="14"/>
          <w:b w:val="1"/>
          <w:bCs w:val="1"/>
          <w:color w:val="0072CE"/>
        </w:rPr>
        <w:t xml:space="preserve"> Committees: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Compensation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Current GM Model:</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Chevrolet Blazer EV</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072CE"/>
        </w:rPr>
        <w:t>Skillset:</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Finance</w:t>
      </w:r>
    </w:p>
    <w:p>
      <w:pPr>
        <w:ind w:left="60"/>
        <w:spacing w:after="0"/>
        <w:rPr>
          <w:sz w:val="20"/>
          <w:szCs w:val="20"/>
          <w:color w:val="auto"/>
        </w:rPr>
      </w:pPr>
      <w:r>
        <w:rPr>
          <w:rFonts w:ascii="Arial" w:cs="Arial" w:eastAsia="Arial" w:hAnsi="Arial"/>
          <w:sz w:val="14"/>
          <w:szCs w:val="14"/>
          <w:color w:val="3D3935"/>
        </w:rPr>
        <w:t>Governance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Marketing</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Public Company CEO</w:t>
      </w:r>
    </w:p>
    <w:p>
      <w:pPr>
        <w:ind w:left="60"/>
        <w:spacing w:after="0" w:line="222" w:lineRule="auto"/>
        <w:rPr>
          <w:sz w:val="20"/>
          <w:szCs w:val="20"/>
          <w:color w:val="auto"/>
        </w:rPr>
      </w:pPr>
      <w:r>
        <w:rPr>
          <w:rFonts w:ascii="Arial" w:cs="Arial" w:eastAsia="Arial" w:hAnsi="Arial"/>
          <w:sz w:val="14"/>
          <w:szCs w:val="14"/>
          <w:color w:val="3D3935"/>
        </w:rPr>
        <w:t>Risk Management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Social</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3D3935"/>
        </w:rPr>
        <w:t>Technology</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right="120"/>
        <w:spacing w:after="0" w:line="236" w:lineRule="auto"/>
        <w:rPr>
          <w:sz w:val="20"/>
          <w:szCs w:val="20"/>
          <w:color w:val="auto"/>
        </w:rPr>
      </w:pPr>
      <w:r>
        <w:rPr>
          <w:rFonts w:ascii="Arial" w:cs="Arial" w:eastAsia="Arial" w:hAnsi="Arial"/>
          <w:sz w:val="16"/>
          <w:szCs w:val="16"/>
          <w:b w:val="1"/>
          <w:bCs w:val="1"/>
          <w:color w:val="0072CE"/>
        </w:rPr>
        <w:t xml:space="preserve">Experience: </w:t>
      </w:r>
      <w:r>
        <w:rPr>
          <w:rFonts w:ascii="Arial" w:cs="Arial" w:eastAsia="Arial" w:hAnsi="Arial"/>
          <w:sz w:val="16"/>
          <w:szCs w:val="16"/>
          <w:color w:val="3D3935"/>
        </w:rPr>
        <w:t>Since 2023, Mr. Wenig has served as</w:t>
      </w:r>
      <w:r>
        <w:rPr>
          <w:rFonts w:ascii="Arial" w:cs="Arial" w:eastAsia="Arial" w:hAnsi="Arial"/>
          <w:sz w:val="16"/>
          <w:szCs w:val="16"/>
          <w:b w:val="1"/>
          <w:bCs w:val="1"/>
          <w:color w:val="0072CE"/>
        </w:rPr>
        <w:t xml:space="preserve"> </w:t>
      </w:r>
      <w:r>
        <w:rPr>
          <w:rFonts w:ascii="Arial" w:cs="Arial" w:eastAsia="Arial" w:hAnsi="Arial"/>
          <w:sz w:val="16"/>
          <w:szCs w:val="16"/>
          <w:color w:val="3D3935"/>
        </w:rPr>
        <w:t>Co-Founder and CEO of Symbolic.ai, a platform and application with advanced AI capabilities for publishers and professional writers in news, research, and communications. Previously, he served as President and CEO of eBay Inc. and as a member of its board of directors from July 2015 to August 2019. Mr. Wenig also served as President of eBay’s Marketplaces business from September 2011 to July 2015. Prior to joining eBay, Mr. Wenig was CEO of Thomson Reuters Corporation’s largest division, Thomson Reuters Markets, from 2008 to 2011; Chief Operating Officer of Reuters Group plc from 2006 to 2008; and President of Reuters’ business divisions from 2003 to 2006.</w:t>
      </w:r>
    </w:p>
    <w:p>
      <w:pPr>
        <w:spacing w:after="0" w:line="73" w:lineRule="exact"/>
        <w:rPr>
          <w:sz w:val="20"/>
          <w:szCs w:val="20"/>
          <w:color w:val="auto"/>
        </w:rPr>
      </w:pPr>
    </w:p>
    <w:p>
      <w:pPr>
        <w:ind w:right="280"/>
        <w:spacing w:after="0"/>
        <w:rPr>
          <w:sz w:val="20"/>
          <w:szCs w:val="20"/>
          <w:color w:val="auto"/>
        </w:rPr>
      </w:pPr>
      <w:r>
        <w:rPr>
          <w:rFonts w:ascii="Arial" w:cs="Arial" w:eastAsia="Arial" w:hAnsi="Arial"/>
          <w:sz w:val="16"/>
          <w:szCs w:val="16"/>
          <w:b w:val="1"/>
          <w:bCs w:val="1"/>
          <w:color w:val="0072CE"/>
        </w:rPr>
        <w:t xml:space="preserve">Reasons for Nomination: </w:t>
      </w:r>
      <w:r>
        <w:rPr>
          <w:rFonts w:ascii="Arial" w:cs="Arial" w:eastAsia="Arial" w:hAnsi="Arial"/>
          <w:sz w:val="16"/>
          <w:szCs w:val="16"/>
          <w:color w:val="3D3935"/>
        </w:rPr>
        <w:t>Mr. Wenig has extensive</w:t>
      </w:r>
      <w:r>
        <w:rPr>
          <w:rFonts w:ascii="Arial" w:cs="Arial" w:eastAsia="Arial" w:hAnsi="Arial"/>
          <w:sz w:val="16"/>
          <w:szCs w:val="16"/>
          <w:b w:val="1"/>
          <w:bCs w:val="1"/>
          <w:color w:val="0072CE"/>
        </w:rPr>
        <w:t xml:space="preserve"> </w:t>
      </w:r>
      <w:r>
        <w:rPr>
          <w:rFonts w:ascii="Arial" w:cs="Arial" w:eastAsia="Arial" w:hAnsi="Arial"/>
          <w:sz w:val="16"/>
          <w:szCs w:val="16"/>
          <w:color w:val="3D3935"/>
        </w:rPr>
        <w:t>senior leadership experience in software and technology, global operations, and strategic planning. He also has significant expertise leading both high-growth companies from the start-up phase and large, complex organizations.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0072CE"/>
        </w:rPr>
        <w:t>Other Public Company Directorships:</w:t>
      </w:r>
      <w:r>
        <w:rPr>
          <w:rFonts w:ascii="Arial" w:cs="Arial" w:eastAsia="Arial" w:hAnsi="Arial"/>
          <w:sz w:val="16"/>
          <w:szCs w:val="16"/>
          <w:color w:val="3D3935"/>
        </w:rPr>
        <w:t>None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0072CE"/>
        </w:rPr>
        <w:t>Prior Public Company Directorships (Past Five Years):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3D3935"/>
        </w:rPr>
        <w:t>None</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left="334" w:right="280" w:hanging="334"/>
        <w:spacing w:after="0" w:line="195" w:lineRule="auto"/>
        <w:tabs>
          <w:tab w:leader="none" w:pos="334" w:val="left"/>
        </w:tabs>
        <w:numPr>
          <w:ilvl w:val="0"/>
          <w:numId w:val="40"/>
        </w:numPr>
        <w:rPr>
          <w:rFonts w:ascii="Arial" w:cs="Arial" w:eastAsia="Arial" w:hAnsi="Arial"/>
          <w:sz w:val="36"/>
          <w:szCs w:val="36"/>
          <w:b w:val="1"/>
          <w:bCs w:val="1"/>
          <w:color w:val="FFFFFF"/>
          <w:vertAlign w:val="subscript"/>
        </w:rPr>
      </w:pPr>
      <w:r>
        <w:rPr>
          <w:rFonts w:ascii="Arial" w:cs="Arial" w:eastAsia="Arial" w:hAnsi="Arial"/>
          <w:sz w:val="16"/>
          <w:szCs w:val="16"/>
          <w:b w:val="1"/>
          <w:bCs w:val="1"/>
          <w:color w:val="3D3935"/>
        </w:rPr>
        <w:t>How is the Board ensuring the Company does its part to build the charging infrastructure necessary to help drive EV adoption?</w:t>
      </w:r>
    </w:p>
    <w:p>
      <w:pPr>
        <w:spacing w:after="0" w:line="146" w:lineRule="exact"/>
        <w:rPr>
          <w:sz w:val="20"/>
          <w:szCs w:val="20"/>
          <w:color w:val="auto"/>
        </w:rPr>
      </w:pPr>
    </w:p>
    <w:p>
      <w:pPr>
        <w:ind w:left="334" w:right="220" w:hanging="333"/>
        <w:spacing w:after="0" w:line="222" w:lineRule="auto"/>
        <w:tabs>
          <w:tab w:leader="none" w:pos="334" w:val="left"/>
        </w:tabs>
        <w:numPr>
          <w:ilvl w:val="0"/>
          <w:numId w:val="41"/>
        </w:numPr>
        <w:rPr>
          <w:rFonts w:ascii="Arial" w:cs="Arial" w:eastAsia="Arial" w:hAnsi="Arial"/>
          <w:sz w:val="36"/>
          <w:szCs w:val="36"/>
          <w:b w:val="1"/>
          <w:bCs w:val="1"/>
          <w:color w:val="FFFFFF"/>
          <w:vertAlign w:val="subscript"/>
        </w:rPr>
      </w:pPr>
      <w:r>
        <w:rPr>
          <w:rFonts w:ascii="Arial" w:cs="Arial" w:eastAsia="Arial" w:hAnsi="Arial"/>
          <w:sz w:val="16"/>
          <w:szCs w:val="16"/>
          <w:color w:val="3D3935"/>
        </w:rPr>
        <w:t>As a long time EV user, I relate to uncertainty about how to find charging stations and the Board is aware that is a hurdle for many prospective customers. To help, we have encouraged management to work with industry leaders to expand public charging options and improve the customer experience. Examples include opening access to Tesla Superchargers for our customers with a North American Charging Standard adapter, partnering with Pilot Travel Centers and EVgo to add fast charging stalls across the U.S., and opening the first “Rechargery,” the fast-charging concept by our joint venture, IONNA.</w:t>
      </w:r>
    </w:p>
    <w:p>
      <w:pPr>
        <w:spacing w:after="0" w:line="200" w:lineRule="exact"/>
        <w:rPr>
          <w:sz w:val="20"/>
          <w:szCs w:val="20"/>
          <w:color w:val="auto"/>
        </w:rPr>
      </w:pPr>
    </w:p>
    <w:p>
      <w:pPr>
        <w:sectPr>
          <w:pgSz w:w="11900" w:h="16838" w:orient="portrait"/>
          <w:cols w:equalWidth="0" w:num="3">
            <w:col w:w="1540" w:space="360"/>
            <w:col w:w="4180" w:space="286"/>
            <w:col w:w="2694"/>
          </w:cols>
          <w:pgMar w:left="1400" w:top="439" w:right="1439" w:bottom="0" w:gutter="0" w:footer="0" w:header="0"/>
          <w:type w:val="continuous"/>
        </w:sectPr>
      </w:pPr>
    </w:p>
    <w:p>
      <w:pPr>
        <w:spacing w:after="0" w:line="149"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Director Nomination Process</w:t>
      </w:r>
    </w:p>
    <w:p>
      <w:pPr>
        <w:spacing w:after="0" w:line="120"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Board Size</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3D3935"/>
        </w:rPr>
        <w:t>The Board sets the number of directors from time to time by a resolution of the Board. The Governance Committee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reassesses the suitability of the Board’s size at least annually. The Board has the flexibility to increase or decrease the size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of the Board as circumstances warrant, though the Company’s Certificate of Incorporation limits the total number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directors to 17. We currently have 13 directors, but following the Annual Meeting we will have 11 directors, as Ms. Gooden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Mr. Schoewe are not standing for reelection. If any nominee is unable to serve as a director, or if any director leaves the</w:t>
      </w:r>
    </w:p>
    <w:p>
      <w:pPr>
        <w:sectPr>
          <w:pgSz w:w="11900" w:h="16838" w:orient="portrait"/>
          <w:cols w:equalWidth="0" w:num="1">
            <w:col w:w="9060"/>
          </w:cols>
          <w:pgMar w:left="1400" w:top="439" w:right="1439" w:bottom="0" w:gutter="0" w:footer="0" w:header="0"/>
          <w:type w:val="continuous"/>
        </w:sectPr>
      </w:pPr>
    </w:p>
    <w:bookmarkStart w:id="21" w:name="page22"/>
    <w:bookmarkEnd w:id="21"/>
    <w:p>
      <w:pPr>
        <w:ind w:right="1240"/>
        <w:spacing w:after="0" w:line="209" w:lineRule="auto"/>
        <w:rPr>
          <w:sz w:val="20"/>
          <w:szCs w:val="20"/>
          <w:color w:val="auto"/>
        </w:rPr>
      </w:pPr>
      <w:r>
        <w:rPr>
          <w:rFonts w:ascii="Arial" w:cs="Arial" w:eastAsia="Arial" w:hAnsi="Arial"/>
          <w:sz w:val="16"/>
          <w:szCs w:val="16"/>
          <w:color w:val="3D3935"/>
        </w:rPr>
        <w:t>Board between annual meetings, the Board may reduce the number of directors or elect an individual to fill the resulting vacancy.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-186055</wp:posOffset>
            </wp:positionV>
            <wp:extent cx="6810375" cy="2676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10375" cy="267652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Director Independence</w:t>
      </w:r>
    </w:p>
    <w:p>
      <w:pPr>
        <w:spacing w:after="0" w:line="119"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3D3935"/>
        </w:rPr>
        <w:t>GM’s Bylaws and Corporate Governance Guidelines define our standards for director independence and reflect applicable NYSE and SEC requirements. At least two-thirds of our directors must be independent under these standards. In addition, all members of the Audit Committee and the Compensation Committee must meet heightened independence standards under applicable NYSE and SEC rules. For a director to be “independent,” they must have no disqualifying relationships, as defined in the NYSE standards, and the Board must determine that the director has no material relationship with the Company other than the individual’s service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775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10375" cy="775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1 Annual Election of Directors</w:t>
      </w:r>
    </w:p>
    <w:p>
      <w:pPr>
        <w:spacing w:after="0" w:line="200" w:lineRule="exact"/>
        <w:rPr>
          <w:sz w:val="20"/>
          <w:szCs w:val="20"/>
          <w:color w:val="auto"/>
        </w:rPr>
      </w:pPr>
    </w:p>
    <w:p>
      <w:pPr>
        <w:spacing w:after="0" w:line="377" w:lineRule="exact"/>
        <w:rPr>
          <w:sz w:val="20"/>
          <w:szCs w:val="20"/>
          <w:color w:val="auto"/>
        </w:rPr>
      </w:pPr>
    </w:p>
    <w:p>
      <w:pPr>
        <w:ind w:right="320"/>
        <w:spacing w:after="0" w:line="288" w:lineRule="auto"/>
        <w:rPr>
          <w:sz w:val="20"/>
          <w:szCs w:val="20"/>
          <w:color w:val="auto"/>
        </w:rPr>
      </w:pPr>
      <w:r>
        <w:rPr>
          <w:rFonts w:ascii="Arial" w:cs="Arial" w:eastAsia="Arial" w:hAnsi="Arial"/>
          <w:sz w:val="16"/>
          <w:szCs w:val="16"/>
          <w:color w:val="3D3935"/>
        </w:rPr>
        <w:t>The Governance Committee completed its annual assessment in February 2025 regarding the independence of each director and made recommendations to the Board. Consistent with the standards described above, the Board has reviewed all relationships between the Company and each director and director nominee and considered all relevant quantitative and qualitative criteria. The Board has affirmatively determined that, other than Ms. Barra who serves as our CEO, all directors are currently independent and, if applicable, were independent throughout 2024. In addition, the Board affirmatively determined that all of the director nominees who currently serve on the Audit Committee and the Compensation Committee are independent as required by the heightened NYSE and SEC criteria described above.</w:t>
      </w:r>
    </w:p>
    <w:p>
      <w:pPr>
        <w:spacing w:after="0" w:line="102"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3D3935"/>
        </w:rPr>
        <w:t>In recommending to the Board that it determine each non-employee director is independent, the Governance Committee considered whether there were any other facts or circumstances that might impair a director’s independence. The Governance Committee also considered that GM, in the ordinary course of business during the last three years, has sold fleet vehicles to, and purchased products and services from, companies at which some of our directors serve as non-employee directors or executives. The Board determined that these transactions were not material to GM or the other companies involved and that none of our directors had a material interest in the transactions with these companies. In each case, these transactions were in the ordinary course of business for GM and the other companies involved, and were on terms and conditions available to similarly situated customers and suppliers. Therefore, the Board determined they did not impair such directors’ independence.</w:t>
      </w:r>
    </w:p>
    <w:p>
      <w:pPr>
        <w:spacing w:after="0" w:line="299"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Director Services on Other Public Company Boards</w:t>
      </w:r>
    </w:p>
    <w:p>
      <w:pPr>
        <w:spacing w:after="0" w:line="119" w:lineRule="exact"/>
        <w:rPr>
          <w:sz w:val="20"/>
          <w:szCs w:val="20"/>
          <w:color w:val="auto"/>
        </w:rPr>
      </w:pPr>
    </w:p>
    <w:p>
      <w:pPr>
        <w:ind w:right="280"/>
        <w:spacing w:after="0" w:line="288" w:lineRule="auto"/>
        <w:rPr>
          <w:sz w:val="20"/>
          <w:szCs w:val="20"/>
          <w:color w:val="auto"/>
        </w:rPr>
      </w:pPr>
      <w:r>
        <w:rPr>
          <w:rFonts w:ascii="Arial" w:cs="Arial" w:eastAsia="Arial" w:hAnsi="Arial"/>
          <w:sz w:val="16"/>
          <w:szCs w:val="16"/>
          <w:color w:val="3D3935"/>
        </w:rPr>
        <w:t>The Board recognizes that service on other public company boards provides directors valuable experience that benefits the Company. The Board also believes, however, that it is critical that directors dedicate sufficient time to their service on the Company’s Board. Directors are expected to advise the Board Chair, Independent Lead Director, or Governance Committee Chair in advance of accepting an invitation to serve on another board of directors or any audit committee of another public company’s board. This allows the Governance Committee to assess the impact of the director joining another board based on various factors relevant to the specific situation, including the nature and extent of a director’s other professional obligations and the time commitment required by the new position.</w:t>
      </w:r>
    </w:p>
    <w:p>
      <w:pPr>
        <w:spacing w:after="0" w:line="200" w:lineRule="exact"/>
        <w:rPr>
          <w:sz w:val="20"/>
          <w:szCs w:val="20"/>
          <w:color w:val="auto"/>
        </w:rPr>
      </w:pPr>
    </w:p>
    <w:p>
      <w:pPr>
        <w:spacing w:after="0" w:line="22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0072CE"/>
        </w:rPr>
        <w:t>Director Commitment and Availability Review</w:t>
      </w:r>
    </w:p>
    <w:p>
      <w:pPr>
        <w:spacing w:after="0" w:line="95" w:lineRule="exact"/>
        <w:rPr>
          <w:sz w:val="20"/>
          <w:szCs w:val="20"/>
          <w:color w:val="auto"/>
        </w:rPr>
      </w:pPr>
    </w:p>
    <w:p>
      <w:pPr>
        <w:ind w:left="240" w:right="720"/>
        <w:spacing w:after="0" w:line="321" w:lineRule="auto"/>
        <w:rPr>
          <w:sz w:val="20"/>
          <w:szCs w:val="20"/>
          <w:color w:val="auto"/>
        </w:rPr>
      </w:pPr>
      <w:r>
        <w:rPr>
          <w:rFonts w:ascii="Arial" w:cs="Arial" w:eastAsia="Arial" w:hAnsi="Arial"/>
          <w:sz w:val="16"/>
          <w:szCs w:val="16"/>
          <w:color w:val="3D3935"/>
        </w:rPr>
        <w:t>The Governance Committee conducts an annual review of director commitment levels and affirms that all directors are able to comply with the Company’s expectations on a director’s time and availability.</w:t>
      </w:r>
    </w:p>
    <w:p>
      <w:pPr>
        <w:spacing w:after="0" w:line="304"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3D3935"/>
        </w:rPr>
        <w:t>Sometimes, for example, the Governance Committee determines that directors who are engaged in active, full-time employment have less time to devote to board service than a director whose principal occupation is serving on boards. Our Corporate Governance Guidelines provide that, without obtaining the approval of the Board:</w:t>
      </w:r>
    </w:p>
    <w:p>
      <w:pPr>
        <w:spacing w:after="0" w:line="104" w:lineRule="exact"/>
        <w:rPr>
          <w:sz w:val="20"/>
          <w:szCs w:val="20"/>
          <w:color w:val="auto"/>
        </w:rPr>
      </w:pPr>
    </w:p>
    <w:p>
      <w:pPr>
        <w:ind w:left="200" w:right="1300" w:hanging="192"/>
        <w:spacing w:after="0" w:line="308" w:lineRule="auto"/>
        <w:tabs>
          <w:tab w:leader="none" w:pos="200" w:val="left"/>
        </w:tabs>
        <w:numPr>
          <w:ilvl w:val="0"/>
          <w:numId w:val="42"/>
        </w:numPr>
        <w:rPr>
          <w:rFonts w:ascii="Arial" w:cs="Arial" w:eastAsia="Arial" w:hAnsi="Arial"/>
          <w:sz w:val="16"/>
          <w:szCs w:val="16"/>
          <w:color w:val="0072CE"/>
        </w:rPr>
      </w:pPr>
      <w:r>
        <w:rPr>
          <w:rFonts w:ascii="Arial" w:cs="Arial" w:eastAsia="Arial" w:hAnsi="Arial"/>
          <w:sz w:val="16"/>
          <w:szCs w:val="16"/>
          <w:color w:val="3D3935"/>
        </w:rPr>
        <w:t>A director may not serve on the boards of more than four other public companies (excluding nonprofits and subsidiaries); and</w:t>
      </w:r>
    </w:p>
    <w:p>
      <w:pPr>
        <w:ind w:left="200" w:hanging="192"/>
        <w:spacing w:after="0"/>
        <w:tabs>
          <w:tab w:leader="none" w:pos="200" w:val="left"/>
        </w:tabs>
        <w:numPr>
          <w:ilvl w:val="0"/>
          <w:numId w:val="42"/>
        </w:numPr>
        <w:rPr>
          <w:rFonts w:ascii="Arial" w:cs="Arial" w:eastAsia="Arial" w:hAnsi="Arial"/>
          <w:sz w:val="16"/>
          <w:szCs w:val="16"/>
          <w:color w:val="0072CE"/>
        </w:rPr>
      </w:pPr>
      <w:r>
        <w:rPr>
          <w:rFonts w:ascii="Arial" w:cs="Arial" w:eastAsia="Arial" w:hAnsi="Arial"/>
          <w:sz w:val="16"/>
          <w:szCs w:val="16"/>
          <w:color w:val="3D3935"/>
        </w:rPr>
        <w:t>No member of the Audit Committee may serve on more than two other public company board audit committees.</w:t>
      </w:r>
    </w:p>
    <w:p>
      <w:pPr>
        <w:spacing w:after="0" w:line="181"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3D3935"/>
        </w:rPr>
        <w:t>The Board also prefers that senior members of management not serve on the board of more than one other public company or for-profit entity, and requires that executive officers obtain the approval of the Governance Committee prior to accepting an invitation to serve on an outside board. At this time, all members of management are in compliance with these guidelines.</w:t>
      </w:r>
    </w:p>
    <w:p>
      <w:pPr>
        <w:sectPr>
          <w:pgSz w:w="11900" w:h="16838" w:orient="portrait"/>
          <w:cols w:equalWidth="0" w:num="1">
            <w:col w:w="9140"/>
          </w:cols>
          <w:pgMar w:left="1400" w:top="114" w:right="1359" w:bottom="1119" w:gutter="0" w:footer="0" w:header="0"/>
        </w:sectPr>
      </w:pPr>
    </w:p>
    <w:bookmarkStart w:id="22" w:name="page23"/>
    <w:bookmarkEnd w:id="22"/>
    <w:tbl>
      <w:tblPr>
        <w:tblLayout w:type="fixed"/>
        <w:tblInd w:w="10" w:type="dxa"/>
        <w:tblCellMar>
          <w:top w:w="0" w:type="dxa"/>
          <w:left w:w="0" w:type="dxa"/>
          <w:bottom w:w="0" w:type="dxa"/>
          <w:right w:w="0" w:type="dxa"/>
        </w:tblCellMar>
      </w:tblPr>
      <w:tr>
        <w:trPr>
          <w:trHeight w:val="1375"/>
        </w:trPr>
        <w:tc>
          <w:tcPr>
            <w:tcW w:w="9500" w:type="dxa"/>
            <w:vAlign w:val="bottom"/>
            <w:tcBorders>
              <w:left w:val="single" w:sz="8" w:color="CCCCCC"/>
            </w:tcBorders>
          </w:tcPr>
          <w:p>
            <w:pPr>
              <w:ind w:left="7820"/>
              <w:spacing w:after="0"/>
              <w:rPr>
                <w:sz w:val="20"/>
                <w:szCs w:val="20"/>
                <w:color w:val="auto"/>
              </w:rPr>
            </w:pPr>
            <w:r>
              <w:rPr>
                <w:rFonts w:ascii="Arial" w:cs="Arial" w:eastAsia="Arial" w:hAnsi="Arial"/>
                <w:sz w:val="14"/>
                <w:szCs w:val="14"/>
                <w:b w:val="1"/>
                <w:bCs w:val="1"/>
                <w:color w:val="0072CE"/>
              </w:rPr>
              <w:t>2025 Proxy Statement</w:t>
            </w:r>
          </w:p>
        </w:tc>
        <w:tc>
          <w:tcPr>
            <w:tcW w:w="1220" w:type="dxa"/>
            <w:vAlign w:val="bottom"/>
            <w:tcBorders>
              <w:right w:val="single" w:sz="8" w:color="CCCCCC"/>
            </w:tcBorders>
          </w:tcPr>
          <w:p>
            <w:pPr>
              <w:jc w:val="right"/>
              <w:ind w:right="788"/>
              <w:spacing w:after="0"/>
              <w:rPr>
                <w:sz w:val="20"/>
                <w:szCs w:val="20"/>
                <w:color w:val="auto"/>
              </w:rPr>
            </w:pPr>
            <w:r>
              <w:rPr>
                <w:rFonts w:ascii="Arial" w:cs="Arial" w:eastAsia="Arial" w:hAnsi="Arial"/>
                <w:sz w:val="14"/>
                <w:szCs w:val="14"/>
                <w:b w:val="1"/>
                <w:bCs w:val="1"/>
                <w:color w:val="3D3935"/>
              </w:rPr>
              <w:t>19</w:t>
            </w:r>
          </w:p>
        </w:tc>
      </w:tr>
      <w:tr>
        <w:trPr>
          <w:trHeight w:val="336"/>
        </w:trPr>
        <w:tc>
          <w:tcPr>
            <w:tcW w:w="9500" w:type="dxa"/>
            <w:vAlign w:val="bottom"/>
            <w:tcBorders>
              <w:left w:val="single" w:sz="8" w:color="CCCCCC"/>
              <w:bottom w:val="single" w:sz="8" w:color="CCCCCC"/>
            </w:tcBorders>
          </w:tcPr>
          <w:p>
            <w:pPr>
              <w:spacing w:after="0"/>
              <w:rPr>
                <w:sz w:val="24"/>
                <w:szCs w:val="24"/>
                <w:color w:val="auto"/>
              </w:rPr>
            </w:pPr>
          </w:p>
        </w:tc>
        <w:tc>
          <w:tcPr>
            <w:tcW w:w="1220" w:type="dxa"/>
            <w:vAlign w:val="bottom"/>
            <w:tcBorders>
              <w:bottom w:val="single" w:sz="8" w:color="CCCCCC"/>
              <w:right w:val="single" w:sz="8" w:color="CCCCC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81915</wp:posOffset>
            </wp:positionV>
            <wp:extent cx="6810375" cy="88677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0072CE"/>
        </w:rPr>
        <w:t>ITEM 1 Annual Election of Directors</w:t>
      </w:r>
    </w:p>
    <w:p>
      <w:pPr>
        <w:spacing w:after="0" w:line="200" w:lineRule="exact"/>
        <w:rPr>
          <w:sz w:val="20"/>
          <w:szCs w:val="20"/>
          <w:color w:val="auto"/>
        </w:rPr>
      </w:pPr>
    </w:p>
    <w:p>
      <w:pPr>
        <w:spacing w:after="0" w:line="343" w:lineRule="exact"/>
        <w:rPr>
          <w:sz w:val="20"/>
          <w:szCs w:val="20"/>
          <w:color w:val="auto"/>
        </w:rPr>
      </w:pPr>
    </w:p>
    <w:p>
      <w:pPr>
        <w:ind w:left="820"/>
        <w:spacing w:after="0"/>
        <w:rPr>
          <w:sz w:val="20"/>
          <w:szCs w:val="20"/>
          <w:color w:val="auto"/>
        </w:rPr>
      </w:pPr>
      <w:r>
        <w:rPr>
          <w:rFonts w:ascii="Arial" w:cs="Arial" w:eastAsia="Arial" w:hAnsi="Arial"/>
          <w:sz w:val="29"/>
          <w:szCs w:val="29"/>
          <w:b w:val="1"/>
          <w:bCs w:val="1"/>
          <w:color w:val="3D3935"/>
        </w:rPr>
        <w:t>Director Recruitment Process</w:t>
      </w:r>
    </w:p>
    <w:p>
      <w:pPr>
        <w:spacing w:after="0" w:line="132" w:lineRule="exact"/>
        <w:rPr>
          <w:sz w:val="20"/>
          <w:szCs w:val="20"/>
          <w:color w:val="auto"/>
        </w:rPr>
      </w:pPr>
    </w:p>
    <w:p>
      <w:pPr>
        <w:ind w:left="820" w:right="1020"/>
        <w:spacing w:after="0" w:line="289" w:lineRule="auto"/>
        <w:rPr>
          <w:sz w:val="20"/>
          <w:szCs w:val="20"/>
          <w:color w:val="auto"/>
        </w:rPr>
      </w:pPr>
      <w:r>
        <w:rPr>
          <w:rFonts w:ascii="Arial" w:cs="Arial" w:eastAsia="Arial" w:hAnsi="Arial"/>
          <w:sz w:val="16"/>
          <w:szCs w:val="16"/>
          <w:color w:val="3D3935"/>
        </w:rPr>
        <w:t>The Governance Committee aims to balance tenure, diversity, and skills when recommending director nominees. The Board values periodic refreshment and committee rotation to align with the evolving needs of the Company and to introduce fresh perspectives. Continuity is also important, as it helps directors develop a deep understanding of the Company and work effectively as a group, which we believe is genuinely beneficial to shareholders.</w:t>
      </w:r>
    </w:p>
    <w:p>
      <w:pPr>
        <w:spacing w:after="0" w:line="208" w:lineRule="exact"/>
        <w:rPr>
          <w:sz w:val="20"/>
          <w:szCs w:val="20"/>
          <w:color w:val="auto"/>
        </w:rPr>
      </w:pPr>
    </w:p>
    <w:tbl>
      <w:tblPr>
        <w:tblLayout w:type="fixed"/>
        <w:tblInd w:w="820" w:type="dxa"/>
        <w:tblCellMar>
          <w:top w:w="0" w:type="dxa"/>
          <w:left w:w="0" w:type="dxa"/>
          <w:bottom w:w="0" w:type="dxa"/>
          <w:right w:w="0" w:type="dxa"/>
        </w:tblCellMar>
      </w:tblPr>
      <w:tr>
        <w:trPr>
          <w:trHeight w:val="581"/>
        </w:trPr>
        <w:tc>
          <w:tcPr>
            <w:tcW w:w="120" w:type="dxa"/>
            <w:vAlign w:val="bottom"/>
            <w:tcBorders>
              <w:bottom w:val="single" w:sz="8" w:color="F0F3F6"/>
            </w:tcBorders>
            <w:shd w:val="clear" w:color="auto" w:fill="F0F3F6"/>
          </w:tcPr>
          <w:p>
            <w:pPr>
              <w:spacing w:after="0"/>
              <w:rPr>
                <w:sz w:val="24"/>
                <w:szCs w:val="24"/>
                <w:color w:val="auto"/>
              </w:rPr>
            </w:pPr>
          </w:p>
        </w:tc>
        <w:tc>
          <w:tcPr>
            <w:tcW w:w="500" w:type="dxa"/>
            <w:vAlign w:val="bottom"/>
            <w:tcBorders>
              <w:bottom w:val="single" w:sz="8" w:color="F0F3F6"/>
            </w:tcBorders>
            <w:gridSpan w:val="2"/>
            <w:shd w:val="clear" w:color="auto" w:fill="F0F3F6"/>
          </w:tcPr>
          <w:p>
            <w:pPr>
              <w:ind w:left="100"/>
              <w:spacing w:after="0"/>
              <w:rPr>
                <w:sz w:val="20"/>
                <w:szCs w:val="20"/>
                <w:color w:val="auto"/>
              </w:rPr>
            </w:pPr>
            <w:r>
              <w:rPr>
                <w:rFonts w:ascii="Arial" w:cs="Arial" w:eastAsia="Arial" w:hAnsi="Arial"/>
                <w:sz w:val="43"/>
                <w:szCs w:val="43"/>
                <w:b w:val="1"/>
                <w:bCs w:val="1"/>
                <w:color w:val="0072CE"/>
              </w:rPr>
              <w:t>1</w:t>
            </w: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bottom w:val="single" w:sz="8" w:color="F0F3F6"/>
            </w:tcBorders>
            <w:shd w:val="clear" w:color="auto" w:fill="F0F3F6"/>
          </w:tcPr>
          <w:p>
            <w:pPr>
              <w:spacing w:after="0"/>
              <w:rPr>
                <w:sz w:val="24"/>
                <w:szCs w:val="24"/>
                <w:color w:val="auto"/>
              </w:rPr>
            </w:pPr>
          </w:p>
        </w:tc>
        <w:tc>
          <w:tcPr>
            <w:tcW w:w="500" w:type="dxa"/>
            <w:vAlign w:val="bottom"/>
            <w:tcBorders>
              <w:bottom w:val="single" w:sz="8" w:color="F0F3F6"/>
            </w:tcBorders>
            <w:gridSpan w:val="2"/>
            <w:shd w:val="clear" w:color="auto" w:fill="F0F3F6"/>
          </w:tcPr>
          <w:p>
            <w:pPr>
              <w:ind w:left="60"/>
              <w:spacing w:after="0"/>
              <w:rPr>
                <w:sz w:val="20"/>
                <w:szCs w:val="20"/>
                <w:color w:val="auto"/>
              </w:rPr>
            </w:pPr>
            <w:r>
              <w:rPr>
                <w:rFonts w:ascii="Arial" w:cs="Arial" w:eastAsia="Arial" w:hAnsi="Arial"/>
                <w:sz w:val="43"/>
                <w:szCs w:val="43"/>
                <w:b w:val="1"/>
                <w:bCs w:val="1"/>
                <w:color w:val="0072CE"/>
              </w:rPr>
              <w:t>2</w:t>
            </w: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Borders>
              <w:bottom w:val="single" w:sz="8" w:color="F0F3F6"/>
            </w:tcBorders>
            <w:shd w:val="clear" w:color="auto" w:fill="F0F3F6"/>
          </w:tcPr>
          <w:p>
            <w:pPr>
              <w:ind w:left="160"/>
              <w:spacing w:after="0"/>
              <w:rPr>
                <w:sz w:val="20"/>
                <w:szCs w:val="20"/>
                <w:color w:val="auto"/>
              </w:rPr>
            </w:pPr>
            <w:r>
              <w:rPr>
                <w:rFonts w:ascii="Arial" w:cs="Arial" w:eastAsia="Arial" w:hAnsi="Arial"/>
                <w:sz w:val="43"/>
                <w:szCs w:val="43"/>
                <w:b w:val="1"/>
                <w:bCs w:val="1"/>
                <w:color w:val="0072CE"/>
              </w:rPr>
              <w:t>3</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Borders>
              <w:bottom w:val="single" w:sz="8" w:color="F0F3F6"/>
            </w:tcBorders>
            <w:shd w:val="clear" w:color="auto" w:fill="F0F3F6"/>
          </w:tcPr>
          <w:p>
            <w:pPr>
              <w:ind w:left="180"/>
              <w:spacing w:after="0"/>
              <w:rPr>
                <w:sz w:val="20"/>
                <w:szCs w:val="20"/>
                <w:color w:val="auto"/>
              </w:rPr>
            </w:pPr>
            <w:r>
              <w:rPr>
                <w:rFonts w:ascii="Arial" w:cs="Arial" w:eastAsia="Arial" w:hAnsi="Arial"/>
                <w:sz w:val="43"/>
                <w:szCs w:val="43"/>
                <w:b w:val="1"/>
                <w:bCs w:val="1"/>
                <w:color w:val="0072CE"/>
              </w:rPr>
              <w:t>4</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Borders>
              <w:bottom w:val="single" w:sz="8" w:color="F0F3F6"/>
            </w:tcBorders>
            <w:shd w:val="clear" w:color="auto" w:fill="F0F3F6"/>
          </w:tcPr>
          <w:p>
            <w:pPr>
              <w:ind w:left="180"/>
              <w:spacing w:after="0"/>
              <w:rPr>
                <w:sz w:val="20"/>
                <w:szCs w:val="20"/>
                <w:color w:val="auto"/>
              </w:rPr>
            </w:pPr>
            <w:r>
              <w:rPr>
                <w:rFonts w:ascii="Arial" w:cs="Arial" w:eastAsia="Arial" w:hAnsi="Arial"/>
                <w:sz w:val="43"/>
                <w:szCs w:val="43"/>
                <w:b w:val="1"/>
                <w:bCs w:val="1"/>
                <w:color w:val="0072CE"/>
              </w:rPr>
              <w:t>5</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20" w:type="dxa"/>
            <w:vAlign w:val="bottom"/>
            <w:tcBorders>
              <w:top w:val="single" w:sz="8" w:color="D9D9D6"/>
            </w:tcBorders>
          </w:tcPr>
          <w:p>
            <w:pPr>
              <w:spacing w:after="0"/>
              <w:rPr>
                <w:sz w:val="24"/>
                <w:szCs w:val="24"/>
                <w:color w:val="auto"/>
              </w:rPr>
            </w:pPr>
          </w:p>
        </w:tc>
        <w:tc>
          <w:tcPr>
            <w:tcW w:w="1760" w:type="dxa"/>
            <w:vAlign w:val="bottom"/>
            <w:tcBorders>
              <w:top w:val="single" w:sz="8" w:color="D9D9D6"/>
              <w:right w:val="single" w:sz="8" w:color="D9D9D6"/>
            </w:tcBorders>
            <w:gridSpan w:val="3"/>
          </w:tcPr>
          <w:p>
            <w:pPr>
              <w:ind w:left="60"/>
              <w:spacing w:after="0"/>
              <w:rPr>
                <w:sz w:val="20"/>
                <w:szCs w:val="20"/>
                <w:color w:val="auto"/>
              </w:rPr>
            </w:pPr>
            <w:r>
              <w:rPr>
                <w:rFonts w:ascii="Arial" w:cs="Arial" w:eastAsia="Arial" w:hAnsi="Arial"/>
                <w:sz w:val="18"/>
                <w:szCs w:val="18"/>
                <w:b w:val="1"/>
                <w:bCs w:val="1"/>
                <w:color w:val="0072CE"/>
              </w:rPr>
              <w:t>Source Candidate</w:t>
            </w:r>
          </w:p>
        </w:tc>
        <w:tc>
          <w:tcPr>
            <w:tcW w:w="280" w:type="dxa"/>
            <w:vAlign w:val="bottom"/>
          </w:tcPr>
          <w:p>
            <w:pPr>
              <w:spacing w:after="0"/>
              <w:rPr>
                <w:sz w:val="24"/>
                <w:szCs w:val="24"/>
                <w:color w:val="auto"/>
              </w:rPr>
            </w:pPr>
          </w:p>
        </w:tc>
        <w:tc>
          <w:tcPr>
            <w:tcW w:w="120" w:type="dxa"/>
            <w:vAlign w:val="bottom"/>
            <w:tcBorders>
              <w:top w:val="single" w:sz="8" w:color="D9D9D6"/>
            </w:tcBorders>
          </w:tcPr>
          <w:p>
            <w:pPr>
              <w:spacing w:after="0"/>
              <w:rPr>
                <w:sz w:val="24"/>
                <w:szCs w:val="24"/>
                <w:color w:val="auto"/>
              </w:rPr>
            </w:pPr>
          </w:p>
        </w:tc>
        <w:tc>
          <w:tcPr>
            <w:tcW w:w="2080" w:type="dxa"/>
            <w:vAlign w:val="bottom"/>
            <w:tcBorders>
              <w:top w:val="single" w:sz="8" w:color="D9D9D6"/>
              <w:right w:val="single" w:sz="8" w:color="D9D9D6"/>
            </w:tcBorders>
            <w:gridSpan w:val="3"/>
          </w:tcPr>
          <w:p>
            <w:pPr>
              <w:ind w:left="60"/>
              <w:spacing w:after="0"/>
              <w:rPr>
                <w:sz w:val="20"/>
                <w:szCs w:val="20"/>
                <w:color w:val="auto"/>
              </w:rPr>
            </w:pPr>
            <w:r>
              <w:rPr>
                <w:rFonts w:ascii="Arial" w:cs="Arial" w:eastAsia="Arial" w:hAnsi="Arial"/>
                <w:sz w:val="18"/>
                <w:szCs w:val="18"/>
                <w:b w:val="1"/>
                <w:bCs w:val="1"/>
                <w:color w:val="0072CE"/>
              </w:rPr>
              <w:t>In-Depth Review by</w:t>
            </w:r>
          </w:p>
        </w:tc>
        <w:tc>
          <w:tcPr>
            <w:tcW w:w="300" w:type="dxa"/>
            <w:vAlign w:val="bottom"/>
          </w:tcPr>
          <w:p>
            <w:pPr>
              <w:spacing w:after="0"/>
              <w:rPr>
                <w:sz w:val="24"/>
                <w:szCs w:val="24"/>
                <w:color w:val="auto"/>
              </w:rPr>
            </w:pPr>
          </w:p>
        </w:tc>
        <w:tc>
          <w:tcPr>
            <w:tcW w:w="1500" w:type="dxa"/>
            <w:vAlign w:val="bottom"/>
            <w:tcBorders>
              <w:top w:val="single" w:sz="8" w:color="D9D9D6"/>
              <w:right w:val="single" w:sz="8" w:color="D9D9D6"/>
            </w:tcBorders>
            <w:gridSpan w:val="2"/>
          </w:tcPr>
          <w:p>
            <w:pPr>
              <w:ind w:left="160"/>
              <w:spacing w:after="0"/>
              <w:rPr>
                <w:sz w:val="20"/>
                <w:szCs w:val="20"/>
                <w:color w:val="auto"/>
              </w:rPr>
            </w:pPr>
            <w:r>
              <w:rPr>
                <w:rFonts w:ascii="Arial" w:cs="Arial" w:eastAsia="Arial" w:hAnsi="Arial"/>
                <w:sz w:val="18"/>
                <w:szCs w:val="18"/>
                <w:b w:val="1"/>
                <w:bCs w:val="1"/>
                <w:color w:val="0072CE"/>
              </w:rPr>
              <w:t>Recommend</w:t>
            </w:r>
          </w:p>
        </w:tc>
        <w:tc>
          <w:tcPr>
            <w:tcW w:w="280" w:type="dxa"/>
            <w:vAlign w:val="bottom"/>
          </w:tcPr>
          <w:p>
            <w:pPr>
              <w:spacing w:after="0"/>
              <w:rPr>
                <w:sz w:val="24"/>
                <w:szCs w:val="24"/>
                <w:color w:val="auto"/>
              </w:rPr>
            </w:pPr>
          </w:p>
        </w:tc>
        <w:tc>
          <w:tcPr>
            <w:tcW w:w="1000" w:type="dxa"/>
            <w:vAlign w:val="bottom"/>
            <w:tcBorders>
              <w:top w:val="single" w:sz="8" w:color="D9D9D6"/>
              <w:right w:val="single" w:sz="8" w:color="D9D9D6"/>
            </w:tcBorders>
            <w:gridSpan w:val="2"/>
          </w:tcPr>
          <w:p>
            <w:pPr>
              <w:ind w:left="180"/>
              <w:spacing w:after="0"/>
              <w:rPr>
                <w:sz w:val="20"/>
                <w:szCs w:val="20"/>
                <w:color w:val="auto"/>
              </w:rPr>
            </w:pPr>
            <w:r>
              <w:rPr>
                <w:rFonts w:ascii="Arial" w:cs="Arial" w:eastAsia="Arial" w:hAnsi="Arial"/>
                <w:sz w:val="18"/>
                <w:szCs w:val="18"/>
                <w:b w:val="1"/>
                <w:bCs w:val="1"/>
                <w:color w:val="0072CE"/>
              </w:rPr>
              <w:t>Review</w:t>
            </w:r>
          </w:p>
        </w:tc>
        <w:tc>
          <w:tcPr>
            <w:tcW w:w="280" w:type="dxa"/>
            <w:vAlign w:val="bottom"/>
          </w:tcPr>
          <w:p>
            <w:pPr>
              <w:spacing w:after="0"/>
              <w:rPr>
                <w:sz w:val="24"/>
                <w:szCs w:val="24"/>
                <w:color w:val="auto"/>
              </w:rPr>
            </w:pPr>
          </w:p>
        </w:tc>
        <w:tc>
          <w:tcPr>
            <w:tcW w:w="1380" w:type="dxa"/>
            <w:vAlign w:val="bottom"/>
            <w:tcBorders>
              <w:top w:val="single" w:sz="8" w:color="D9D9D6"/>
              <w:right w:val="single" w:sz="8" w:color="D9D9D6"/>
            </w:tcBorders>
            <w:gridSpan w:val="2"/>
          </w:tcPr>
          <w:p>
            <w:pPr>
              <w:ind w:left="180"/>
              <w:spacing w:after="0"/>
              <w:rPr>
                <w:sz w:val="20"/>
                <w:szCs w:val="20"/>
                <w:color w:val="auto"/>
              </w:rPr>
            </w:pPr>
            <w:r>
              <w:rPr>
                <w:rFonts w:ascii="Arial" w:cs="Arial" w:eastAsia="Arial" w:hAnsi="Arial"/>
                <w:sz w:val="18"/>
                <w:szCs w:val="18"/>
                <w:b w:val="1"/>
                <w:bCs w:val="1"/>
                <w:color w:val="0072CE"/>
              </w:rPr>
              <w:t>Select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760" w:type="dxa"/>
            <w:vAlign w:val="bottom"/>
            <w:tcBorders>
              <w:right w:val="single" w:sz="8" w:color="D9D9D6"/>
            </w:tcBorders>
            <w:gridSpan w:val="3"/>
          </w:tcPr>
          <w:p>
            <w:pPr>
              <w:ind w:left="60"/>
              <w:spacing w:after="0"/>
              <w:rPr>
                <w:sz w:val="20"/>
                <w:szCs w:val="20"/>
                <w:color w:val="auto"/>
              </w:rPr>
            </w:pPr>
            <w:r>
              <w:rPr>
                <w:rFonts w:ascii="Arial" w:cs="Arial" w:eastAsia="Arial" w:hAnsi="Arial"/>
                <w:sz w:val="18"/>
                <w:szCs w:val="18"/>
                <w:b w:val="1"/>
                <w:bCs w:val="1"/>
                <w:color w:val="0072CE"/>
              </w:rPr>
              <w:t>Pool from</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80" w:type="dxa"/>
            <w:vAlign w:val="bottom"/>
            <w:tcBorders>
              <w:right w:val="single" w:sz="8" w:color="D9D9D6"/>
            </w:tcBorders>
            <w:gridSpan w:val="3"/>
          </w:tcPr>
          <w:p>
            <w:pPr>
              <w:ind w:left="60"/>
              <w:spacing w:after="0"/>
              <w:rPr>
                <w:sz w:val="20"/>
                <w:szCs w:val="20"/>
                <w:color w:val="auto"/>
              </w:rPr>
            </w:pPr>
            <w:r>
              <w:rPr>
                <w:rFonts w:ascii="Arial" w:cs="Arial" w:eastAsia="Arial" w:hAnsi="Arial"/>
                <w:sz w:val="18"/>
                <w:szCs w:val="18"/>
                <w:b w:val="1"/>
                <w:bCs w:val="1"/>
                <w:color w:val="0072CE"/>
              </w:rPr>
              <w:t>the Governance</w:t>
            </w:r>
          </w:p>
        </w:tc>
        <w:tc>
          <w:tcPr>
            <w:tcW w:w="300" w:type="dxa"/>
            <w:vAlign w:val="bottom"/>
          </w:tcPr>
          <w:p>
            <w:pPr>
              <w:spacing w:after="0"/>
              <w:rPr>
                <w:sz w:val="21"/>
                <w:szCs w:val="21"/>
                <w:color w:val="auto"/>
              </w:rPr>
            </w:pPr>
          </w:p>
        </w:tc>
        <w:tc>
          <w:tcPr>
            <w:tcW w:w="1500" w:type="dxa"/>
            <w:vAlign w:val="bottom"/>
            <w:tcBorders>
              <w:right w:val="single" w:sz="8" w:color="D9D9D6"/>
            </w:tcBorders>
            <w:gridSpan w:val="2"/>
          </w:tcPr>
          <w:p>
            <w:pPr>
              <w:ind w:left="160"/>
              <w:spacing w:after="0"/>
              <w:rPr>
                <w:sz w:val="20"/>
                <w:szCs w:val="20"/>
                <w:color w:val="auto"/>
              </w:rPr>
            </w:pPr>
            <w:r>
              <w:rPr>
                <w:rFonts w:ascii="Arial" w:cs="Arial" w:eastAsia="Arial" w:hAnsi="Arial"/>
                <w:sz w:val="18"/>
                <w:szCs w:val="18"/>
                <w:b w:val="1"/>
                <w:bCs w:val="1"/>
                <w:color w:val="0072CE"/>
              </w:rPr>
              <w:t>Selected</w:t>
            </w:r>
          </w:p>
        </w:tc>
        <w:tc>
          <w:tcPr>
            <w:tcW w:w="280" w:type="dxa"/>
            <w:vAlign w:val="bottom"/>
          </w:tcPr>
          <w:p>
            <w:pPr>
              <w:spacing w:after="0"/>
              <w:rPr>
                <w:sz w:val="21"/>
                <w:szCs w:val="21"/>
                <w:color w:val="auto"/>
              </w:rPr>
            </w:pPr>
          </w:p>
        </w:tc>
        <w:tc>
          <w:tcPr>
            <w:tcW w:w="1000" w:type="dxa"/>
            <w:vAlign w:val="bottom"/>
            <w:tcBorders>
              <w:right w:val="single" w:sz="8" w:color="D9D9D6"/>
            </w:tcBorders>
            <w:gridSpan w:val="2"/>
          </w:tcPr>
          <w:p>
            <w:pPr>
              <w:ind w:left="180"/>
              <w:spacing w:after="0"/>
              <w:rPr>
                <w:sz w:val="20"/>
                <w:szCs w:val="20"/>
                <w:color w:val="auto"/>
              </w:rPr>
            </w:pPr>
            <w:r>
              <w:rPr>
                <w:rFonts w:ascii="Arial" w:cs="Arial" w:eastAsia="Arial" w:hAnsi="Arial"/>
                <w:sz w:val="18"/>
                <w:szCs w:val="18"/>
                <w:b w:val="1"/>
                <w:bCs w:val="1"/>
                <w:color w:val="0072CE"/>
              </w:rPr>
              <w:t>by Full</w:t>
            </w:r>
          </w:p>
        </w:tc>
        <w:tc>
          <w:tcPr>
            <w:tcW w:w="280" w:type="dxa"/>
            <w:vAlign w:val="bottom"/>
          </w:tcPr>
          <w:p>
            <w:pPr>
              <w:spacing w:after="0"/>
              <w:rPr>
                <w:sz w:val="21"/>
                <w:szCs w:val="21"/>
                <w:color w:val="auto"/>
              </w:rPr>
            </w:pPr>
          </w:p>
        </w:tc>
        <w:tc>
          <w:tcPr>
            <w:tcW w:w="1380" w:type="dxa"/>
            <w:vAlign w:val="bottom"/>
            <w:tcBorders>
              <w:right w:val="single" w:sz="8" w:color="D9D9D6"/>
            </w:tcBorders>
            <w:gridSpan w:val="2"/>
          </w:tcPr>
          <w:p>
            <w:pPr>
              <w:ind w:left="180"/>
              <w:spacing w:after="0"/>
              <w:rPr>
                <w:sz w:val="20"/>
                <w:szCs w:val="20"/>
                <w:color w:val="auto"/>
              </w:rPr>
            </w:pPr>
            <w:r>
              <w:rPr>
                <w:rFonts w:ascii="Arial" w:cs="Arial" w:eastAsia="Arial" w:hAnsi="Arial"/>
                <w:sz w:val="18"/>
                <w:szCs w:val="18"/>
                <w:b w:val="1"/>
                <w:bCs w:val="1"/>
                <w:color w:val="0072CE"/>
              </w:rPr>
              <w:t>Director(s)</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80" w:type="dxa"/>
            <w:vAlign w:val="bottom"/>
          </w:tcPr>
          <w:p>
            <w:pPr>
              <w:ind w:left="60"/>
              <w:spacing w:after="0"/>
              <w:rPr>
                <w:sz w:val="20"/>
                <w:szCs w:val="20"/>
                <w:color w:val="auto"/>
              </w:rPr>
            </w:pPr>
            <w:r>
              <w:rPr>
                <w:rFonts w:ascii="Arial" w:cs="Arial" w:eastAsia="Arial" w:hAnsi="Arial"/>
                <w:sz w:val="16"/>
                <w:szCs w:val="16"/>
                <w:color w:val="0072CE"/>
              </w:rPr>
              <w:t>•</w:t>
            </w:r>
          </w:p>
        </w:tc>
        <w:tc>
          <w:tcPr>
            <w:tcW w:w="1580" w:type="dxa"/>
            <w:vAlign w:val="bottom"/>
            <w:tcBorders>
              <w:right w:val="single" w:sz="8" w:color="D9D9D6"/>
            </w:tcBorders>
            <w:gridSpan w:val="2"/>
          </w:tcPr>
          <w:p>
            <w:pPr>
              <w:ind w:left="80"/>
              <w:spacing w:after="0"/>
              <w:rPr>
                <w:sz w:val="20"/>
                <w:szCs w:val="20"/>
                <w:color w:val="auto"/>
              </w:rPr>
            </w:pPr>
            <w:r>
              <w:rPr>
                <w:rFonts w:ascii="Arial" w:cs="Arial" w:eastAsia="Arial" w:hAnsi="Arial"/>
                <w:sz w:val="16"/>
                <w:szCs w:val="16"/>
                <w:color w:val="3D3935"/>
              </w:rPr>
              <w:t>Independent</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80" w:type="dxa"/>
            <w:vAlign w:val="bottom"/>
            <w:tcBorders>
              <w:right w:val="single" w:sz="8" w:color="D9D9D6"/>
            </w:tcBorders>
            <w:gridSpan w:val="3"/>
          </w:tcPr>
          <w:p>
            <w:pPr>
              <w:ind w:left="60"/>
              <w:spacing w:after="0"/>
              <w:rPr>
                <w:sz w:val="20"/>
                <w:szCs w:val="20"/>
                <w:color w:val="auto"/>
              </w:rPr>
            </w:pPr>
            <w:r>
              <w:rPr>
                <w:rFonts w:ascii="Arial" w:cs="Arial" w:eastAsia="Arial" w:hAnsi="Arial"/>
                <w:sz w:val="18"/>
                <w:szCs w:val="18"/>
                <w:b w:val="1"/>
                <w:bCs w:val="1"/>
                <w:color w:val="0072CE"/>
              </w:rPr>
              <w:t>Committee</w:t>
            </w:r>
          </w:p>
        </w:tc>
        <w:tc>
          <w:tcPr>
            <w:tcW w:w="300" w:type="dxa"/>
            <w:vAlign w:val="bottom"/>
          </w:tcPr>
          <w:p>
            <w:pPr>
              <w:spacing w:after="0"/>
              <w:rPr>
                <w:sz w:val="21"/>
                <w:szCs w:val="21"/>
                <w:color w:val="auto"/>
              </w:rPr>
            </w:pPr>
          </w:p>
        </w:tc>
        <w:tc>
          <w:tcPr>
            <w:tcW w:w="1500" w:type="dxa"/>
            <w:vAlign w:val="bottom"/>
            <w:tcBorders>
              <w:right w:val="single" w:sz="8" w:color="D9D9D6"/>
            </w:tcBorders>
            <w:gridSpan w:val="2"/>
          </w:tcPr>
          <w:p>
            <w:pPr>
              <w:ind w:left="160"/>
              <w:spacing w:after="0"/>
              <w:rPr>
                <w:sz w:val="20"/>
                <w:szCs w:val="20"/>
                <w:color w:val="auto"/>
              </w:rPr>
            </w:pPr>
            <w:r>
              <w:rPr>
                <w:rFonts w:ascii="Arial" w:cs="Arial" w:eastAsia="Arial" w:hAnsi="Arial"/>
                <w:sz w:val="18"/>
                <w:szCs w:val="18"/>
                <w:b w:val="1"/>
                <w:bCs w:val="1"/>
                <w:color w:val="0072CE"/>
              </w:rPr>
              <w:t>Candidate for</w:t>
            </w:r>
          </w:p>
        </w:tc>
        <w:tc>
          <w:tcPr>
            <w:tcW w:w="280" w:type="dxa"/>
            <w:vAlign w:val="bottom"/>
          </w:tcPr>
          <w:p>
            <w:pPr>
              <w:spacing w:after="0"/>
              <w:rPr>
                <w:sz w:val="21"/>
                <w:szCs w:val="21"/>
                <w:color w:val="auto"/>
              </w:rPr>
            </w:pPr>
          </w:p>
        </w:tc>
        <w:tc>
          <w:tcPr>
            <w:tcW w:w="1000" w:type="dxa"/>
            <w:vAlign w:val="bottom"/>
            <w:tcBorders>
              <w:right w:val="single" w:sz="8" w:color="D9D9D6"/>
            </w:tcBorders>
            <w:gridSpan w:val="2"/>
          </w:tcPr>
          <w:p>
            <w:pPr>
              <w:ind w:left="180"/>
              <w:spacing w:after="0"/>
              <w:rPr>
                <w:sz w:val="20"/>
                <w:szCs w:val="20"/>
                <w:color w:val="auto"/>
              </w:rPr>
            </w:pPr>
            <w:r>
              <w:rPr>
                <w:rFonts w:ascii="Arial" w:cs="Arial" w:eastAsia="Arial" w:hAnsi="Arial"/>
                <w:sz w:val="18"/>
                <w:szCs w:val="18"/>
                <w:b w:val="1"/>
                <w:bCs w:val="1"/>
                <w:color w:val="0072CE"/>
              </w:rPr>
              <w:t>Board</w:t>
            </w: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Borders>
              <w:right w:val="single" w:sz="8" w:color="D9D9D6"/>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Borders>
              <w:right w:val="single" w:sz="8" w:color="D9D9D6"/>
            </w:tcBorders>
            <w:gridSpan w:val="2"/>
          </w:tcPr>
          <w:p>
            <w:pPr>
              <w:ind w:left="80"/>
              <w:spacing w:after="0"/>
              <w:rPr>
                <w:sz w:val="20"/>
                <w:szCs w:val="20"/>
                <w:color w:val="auto"/>
              </w:rPr>
            </w:pPr>
            <w:r>
              <w:rPr>
                <w:rFonts w:ascii="Arial" w:cs="Arial" w:eastAsia="Arial" w:hAnsi="Arial"/>
                <w:sz w:val="16"/>
                <w:szCs w:val="16"/>
                <w:color w:val="3D3935"/>
              </w:rPr>
              <w:t>search firms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ind w:left="60"/>
              <w:spacing w:after="0"/>
              <w:rPr>
                <w:sz w:val="20"/>
                <w:szCs w:val="20"/>
                <w:color w:val="auto"/>
              </w:rPr>
            </w:pPr>
            <w:r>
              <w:rPr>
                <w:rFonts w:ascii="Arial" w:cs="Arial" w:eastAsia="Arial" w:hAnsi="Arial"/>
                <w:sz w:val="16"/>
                <w:szCs w:val="16"/>
                <w:color w:val="0072CE"/>
              </w:rPr>
              <w:t>•</w:t>
            </w:r>
          </w:p>
        </w:tc>
        <w:tc>
          <w:tcPr>
            <w:tcW w:w="1900" w:type="dxa"/>
            <w:vAlign w:val="bottom"/>
            <w:tcBorders>
              <w:right w:val="single" w:sz="8" w:color="D9D9D6"/>
            </w:tcBorders>
            <w:gridSpan w:val="2"/>
          </w:tcPr>
          <w:p>
            <w:pPr>
              <w:ind w:left="80"/>
              <w:spacing w:after="0"/>
              <w:rPr>
                <w:sz w:val="20"/>
                <w:szCs w:val="20"/>
                <w:color w:val="auto"/>
              </w:rPr>
            </w:pPr>
            <w:r>
              <w:rPr>
                <w:rFonts w:ascii="Arial" w:cs="Arial" w:eastAsia="Arial" w:hAnsi="Arial"/>
                <w:sz w:val="16"/>
                <w:szCs w:val="16"/>
                <w:color w:val="3D3935"/>
              </w:rPr>
              <w:t>Consider skills matrix</w:t>
            </w:r>
          </w:p>
        </w:tc>
        <w:tc>
          <w:tcPr>
            <w:tcW w:w="300" w:type="dxa"/>
            <w:vAlign w:val="bottom"/>
          </w:tcPr>
          <w:p>
            <w:pPr>
              <w:spacing w:after="0"/>
              <w:rPr>
                <w:sz w:val="19"/>
                <w:szCs w:val="19"/>
                <w:color w:val="auto"/>
              </w:rPr>
            </w:pPr>
          </w:p>
        </w:tc>
        <w:tc>
          <w:tcPr>
            <w:tcW w:w="1500" w:type="dxa"/>
            <w:vAlign w:val="bottom"/>
            <w:tcBorders>
              <w:right w:val="single" w:sz="8" w:color="D9D9D6"/>
            </w:tcBorders>
            <w:gridSpan w:val="2"/>
          </w:tcPr>
          <w:p>
            <w:pPr>
              <w:ind w:left="160"/>
              <w:spacing w:after="0"/>
              <w:rPr>
                <w:sz w:val="20"/>
                <w:szCs w:val="20"/>
                <w:color w:val="auto"/>
              </w:rPr>
            </w:pPr>
            <w:r>
              <w:rPr>
                <w:rFonts w:ascii="Arial" w:cs="Arial" w:eastAsia="Arial" w:hAnsi="Arial"/>
                <w:sz w:val="18"/>
                <w:szCs w:val="18"/>
                <w:b w:val="1"/>
                <w:bCs w:val="1"/>
                <w:color w:val="0072CE"/>
              </w:rPr>
              <w:t>Election to</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Borders>
              <w:right w:val="single" w:sz="8" w:color="D9D9D6"/>
            </w:tcBorders>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Borders>
              <w:right w:val="single" w:sz="8" w:color="D9D9D6"/>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120" w:type="dxa"/>
            <w:vAlign w:val="bottom"/>
          </w:tcPr>
          <w:p>
            <w:pPr>
              <w:spacing w:after="0"/>
              <w:rPr>
                <w:sz w:val="21"/>
                <w:szCs w:val="21"/>
                <w:color w:val="auto"/>
              </w:rPr>
            </w:pPr>
          </w:p>
        </w:tc>
        <w:tc>
          <w:tcPr>
            <w:tcW w:w="180" w:type="dxa"/>
            <w:vAlign w:val="bottom"/>
            <w:vMerge w:val="restart"/>
          </w:tcPr>
          <w:p>
            <w:pPr>
              <w:ind w:left="60"/>
              <w:spacing w:after="0"/>
              <w:rPr>
                <w:sz w:val="20"/>
                <w:szCs w:val="20"/>
                <w:color w:val="auto"/>
              </w:rPr>
            </w:pPr>
            <w:r>
              <w:rPr>
                <w:rFonts w:ascii="Arial" w:cs="Arial" w:eastAsia="Arial" w:hAnsi="Arial"/>
                <w:sz w:val="16"/>
                <w:szCs w:val="16"/>
                <w:color w:val="0072CE"/>
              </w:rPr>
              <w:t>•</w:t>
            </w:r>
          </w:p>
        </w:tc>
        <w:tc>
          <w:tcPr>
            <w:tcW w:w="1580" w:type="dxa"/>
            <w:vAlign w:val="bottom"/>
            <w:tcBorders>
              <w:right w:val="single" w:sz="8" w:color="D9D9D6"/>
            </w:tcBorders>
            <w:gridSpan w:val="2"/>
            <w:vMerge w:val="restart"/>
          </w:tcPr>
          <w:p>
            <w:pPr>
              <w:ind w:left="80"/>
              <w:spacing w:after="0"/>
              <w:rPr>
                <w:sz w:val="20"/>
                <w:szCs w:val="20"/>
                <w:color w:val="auto"/>
              </w:rPr>
            </w:pPr>
            <w:r>
              <w:rPr>
                <w:rFonts w:ascii="Arial" w:cs="Arial" w:eastAsia="Arial" w:hAnsi="Arial"/>
                <w:sz w:val="16"/>
                <w:szCs w:val="16"/>
                <w:color w:val="3D3935"/>
              </w:rPr>
              <w:t>Directors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vMerge w:val="restart"/>
          </w:tcPr>
          <w:p>
            <w:pPr>
              <w:ind w:left="60"/>
              <w:spacing w:after="0"/>
              <w:rPr>
                <w:sz w:val="20"/>
                <w:szCs w:val="20"/>
                <w:color w:val="auto"/>
              </w:rPr>
            </w:pPr>
            <w:r>
              <w:rPr>
                <w:rFonts w:ascii="Arial" w:cs="Arial" w:eastAsia="Arial" w:hAnsi="Arial"/>
                <w:sz w:val="16"/>
                <w:szCs w:val="16"/>
                <w:color w:val="0072CE"/>
              </w:rPr>
              <w:t>•</w:t>
            </w:r>
          </w:p>
        </w:tc>
        <w:tc>
          <w:tcPr>
            <w:tcW w:w="1900" w:type="dxa"/>
            <w:vAlign w:val="bottom"/>
            <w:tcBorders>
              <w:right w:val="single" w:sz="8" w:color="D9D9D6"/>
            </w:tcBorders>
            <w:gridSpan w:val="2"/>
            <w:vMerge w:val="restart"/>
          </w:tcPr>
          <w:p>
            <w:pPr>
              <w:ind w:left="80"/>
              <w:spacing w:after="0"/>
              <w:rPr>
                <w:sz w:val="20"/>
                <w:szCs w:val="20"/>
                <w:color w:val="auto"/>
              </w:rPr>
            </w:pPr>
            <w:r>
              <w:rPr>
                <w:rFonts w:ascii="Arial" w:cs="Arial" w:eastAsia="Arial" w:hAnsi="Arial"/>
                <w:sz w:val="16"/>
                <w:szCs w:val="16"/>
                <w:color w:val="3D3935"/>
              </w:rPr>
              <w:t>Screen qualifications</w:t>
            </w:r>
          </w:p>
        </w:tc>
        <w:tc>
          <w:tcPr>
            <w:tcW w:w="300" w:type="dxa"/>
            <w:vAlign w:val="bottom"/>
          </w:tcPr>
          <w:p>
            <w:pPr>
              <w:spacing w:after="0"/>
              <w:rPr>
                <w:sz w:val="21"/>
                <w:szCs w:val="21"/>
                <w:color w:val="auto"/>
              </w:rPr>
            </w:pPr>
          </w:p>
        </w:tc>
        <w:tc>
          <w:tcPr>
            <w:tcW w:w="1500" w:type="dxa"/>
            <w:vAlign w:val="bottom"/>
            <w:tcBorders>
              <w:right w:val="single" w:sz="8" w:color="D9D9D6"/>
            </w:tcBorders>
            <w:gridSpan w:val="2"/>
          </w:tcPr>
          <w:p>
            <w:pPr>
              <w:ind w:left="160"/>
              <w:spacing w:after="0"/>
              <w:rPr>
                <w:sz w:val="20"/>
                <w:szCs w:val="20"/>
                <w:color w:val="auto"/>
              </w:rPr>
            </w:pPr>
            <w:r>
              <w:rPr>
                <w:rFonts w:ascii="Arial" w:cs="Arial" w:eastAsia="Arial" w:hAnsi="Arial"/>
                <w:sz w:val="18"/>
                <w:szCs w:val="18"/>
                <w:b w:val="1"/>
                <w:bCs w:val="1"/>
                <w:color w:val="0072CE"/>
              </w:rPr>
              <w:t>Our Board</w:t>
            </w: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Borders>
              <w:right w:val="single" w:sz="8" w:color="D9D9D6"/>
            </w:tcBorders>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Borders>
              <w:right w:val="single" w:sz="8" w:color="D9D9D6"/>
            </w:tcBorders>
          </w:tcPr>
          <w:p>
            <w:pPr>
              <w:spacing w:after="0"/>
              <w:rPr>
                <w:sz w:val="21"/>
                <w:szCs w:val="21"/>
                <w:color w:val="auto"/>
              </w:rPr>
            </w:pPr>
          </w:p>
        </w:tc>
        <w:tc>
          <w:tcPr>
            <w:tcW w:w="0" w:type="dxa"/>
            <w:vAlign w:val="bottom"/>
          </w:tcPr>
          <w:p>
            <w:pPr>
              <w:spacing w:after="0"/>
              <w:rPr>
                <w:sz w:val="1"/>
                <w:szCs w:val="1"/>
                <w:color w:val="auto"/>
              </w:rPr>
            </w:pPr>
          </w:p>
        </w:tc>
      </w:tr>
      <w:tr>
        <w:trPr>
          <w:trHeight w:val="67"/>
        </w:trPr>
        <w:tc>
          <w:tcPr>
            <w:tcW w:w="1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580" w:type="dxa"/>
            <w:vAlign w:val="bottom"/>
            <w:tcBorders>
              <w:right w:val="single" w:sz="8" w:color="D9D9D6"/>
            </w:tcBorders>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900" w:type="dxa"/>
            <w:vAlign w:val="bottom"/>
            <w:tcBorders>
              <w:right w:val="single" w:sz="8" w:color="D9D9D6"/>
            </w:tcBorders>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900" w:type="dxa"/>
            <w:vAlign w:val="bottom"/>
            <w:tcBorders>
              <w:right w:val="single" w:sz="8" w:color="D9D9D6"/>
            </w:tcBorders>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80" w:type="dxa"/>
            <w:vAlign w:val="bottom"/>
            <w:tcBorders>
              <w:right w:val="single" w:sz="8" w:color="D9D9D6"/>
            </w:tcBorders>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Borders>
              <w:right w:val="single" w:sz="8" w:color="D9D9D6"/>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80" w:type="dxa"/>
            <w:vAlign w:val="bottom"/>
          </w:tcPr>
          <w:p>
            <w:pPr>
              <w:ind w:left="60"/>
              <w:spacing w:after="0"/>
              <w:rPr>
                <w:sz w:val="20"/>
                <w:szCs w:val="20"/>
                <w:color w:val="auto"/>
              </w:rPr>
            </w:pPr>
            <w:r>
              <w:rPr>
                <w:rFonts w:ascii="Arial" w:cs="Arial" w:eastAsia="Arial" w:hAnsi="Arial"/>
                <w:sz w:val="16"/>
                <w:szCs w:val="16"/>
                <w:color w:val="0072CE"/>
              </w:rPr>
              <w:t>•</w:t>
            </w:r>
          </w:p>
        </w:tc>
        <w:tc>
          <w:tcPr>
            <w:tcW w:w="1580" w:type="dxa"/>
            <w:vAlign w:val="bottom"/>
            <w:tcBorders>
              <w:right w:val="single" w:sz="8" w:color="D9D9D6"/>
            </w:tcBorders>
            <w:gridSpan w:val="2"/>
          </w:tcPr>
          <w:p>
            <w:pPr>
              <w:ind w:left="80"/>
              <w:spacing w:after="0"/>
              <w:rPr>
                <w:sz w:val="20"/>
                <w:szCs w:val="20"/>
                <w:color w:val="auto"/>
              </w:rPr>
            </w:pPr>
            <w:r>
              <w:rPr>
                <w:rFonts w:ascii="Arial" w:cs="Arial" w:eastAsia="Arial" w:hAnsi="Arial"/>
                <w:sz w:val="16"/>
                <w:szCs w:val="16"/>
                <w:color w:val="3D3935"/>
              </w:rPr>
              <w:t>Management</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ind w:left="60"/>
              <w:spacing w:after="0"/>
              <w:rPr>
                <w:sz w:val="20"/>
                <w:szCs w:val="20"/>
                <w:color w:val="auto"/>
              </w:rPr>
            </w:pPr>
            <w:r>
              <w:rPr>
                <w:rFonts w:ascii="Arial" w:cs="Arial" w:eastAsia="Arial" w:hAnsi="Arial"/>
                <w:sz w:val="16"/>
                <w:szCs w:val="16"/>
                <w:color w:val="0072CE"/>
              </w:rPr>
              <w:t>•</w:t>
            </w:r>
          </w:p>
        </w:tc>
        <w:tc>
          <w:tcPr>
            <w:tcW w:w="1900" w:type="dxa"/>
            <w:vAlign w:val="bottom"/>
            <w:tcBorders>
              <w:right w:val="single" w:sz="8" w:color="D9D9D6"/>
            </w:tcBorders>
            <w:gridSpan w:val="2"/>
          </w:tcPr>
          <w:p>
            <w:pPr>
              <w:ind w:left="80"/>
              <w:spacing w:after="0"/>
              <w:rPr>
                <w:sz w:val="20"/>
                <w:szCs w:val="20"/>
                <w:color w:val="auto"/>
              </w:rPr>
            </w:pPr>
            <w:r>
              <w:rPr>
                <w:rFonts w:ascii="Arial" w:cs="Arial" w:eastAsia="Arial" w:hAnsi="Arial"/>
                <w:sz w:val="16"/>
                <w:szCs w:val="16"/>
                <w:color w:val="3D3935"/>
              </w:rPr>
              <w:t>Review independence</w:t>
            </w: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Borders>
              <w:right w:val="single" w:sz="8" w:color="D9D9D6"/>
            </w:tcBorders>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80" w:type="dxa"/>
            <w:vAlign w:val="bottom"/>
            <w:tcBorders>
              <w:right w:val="single" w:sz="8" w:color="D9D9D6"/>
            </w:tcBorders>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Borders>
              <w:right w:val="single" w:sz="8" w:color="D9D9D6"/>
            </w:tcBorders>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80" w:type="dxa"/>
            <w:vAlign w:val="bottom"/>
          </w:tcPr>
          <w:p>
            <w:pPr>
              <w:ind w:left="60"/>
              <w:spacing w:after="0"/>
              <w:rPr>
                <w:sz w:val="20"/>
                <w:szCs w:val="20"/>
                <w:color w:val="auto"/>
              </w:rPr>
            </w:pPr>
            <w:r>
              <w:rPr>
                <w:rFonts w:ascii="Arial" w:cs="Arial" w:eastAsia="Arial" w:hAnsi="Arial"/>
                <w:sz w:val="16"/>
                <w:szCs w:val="16"/>
                <w:color w:val="0072CE"/>
              </w:rPr>
              <w:t>•</w:t>
            </w:r>
          </w:p>
        </w:tc>
        <w:tc>
          <w:tcPr>
            <w:tcW w:w="1580" w:type="dxa"/>
            <w:vAlign w:val="bottom"/>
            <w:tcBorders>
              <w:right w:val="single" w:sz="8" w:color="D9D9D6"/>
            </w:tcBorders>
            <w:gridSpan w:val="2"/>
          </w:tcPr>
          <w:p>
            <w:pPr>
              <w:ind w:left="80"/>
              <w:spacing w:after="0"/>
              <w:rPr>
                <w:sz w:val="20"/>
                <w:szCs w:val="20"/>
                <w:color w:val="auto"/>
              </w:rPr>
            </w:pPr>
            <w:r>
              <w:rPr>
                <w:rFonts w:ascii="Arial" w:cs="Arial" w:eastAsia="Arial" w:hAnsi="Arial"/>
                <w:sz w:val="16"/>
                <w:szCs w:val="16"/>
                <w:color w:val="3D3935"/>
              </w:rPr>
              <w:t>Shareholders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00" w:type="dxa"/>
            <w:vAlign w:val="bottom"/>
            <w:tcBorders>
              <w:right w:val="single" w:sz="8" w:color="D9D9D6"/>
            </w:tcBorders>
            <w:gridSpan w:val="2"/>
          </w:tcPr>
          <w:p>
            <w:pPr>
              <w:ind w:left="80"/>
              <w:spacing w:after="0"/>
              <w:rPr>
                <w:sz w:val="20"/>
                <w:szCs w:val="20"/>
                <w:color w:val="auto"/>
              </w:rPr>
            </w:pPr>
            <w:r>
              <w:rPr>
                <w:rFonts w:ascii="Arial" w:cs="Arial" w:eastAsia="Arial" w:hAnsi="Arial"/>
                <w:sz w:val="16"/>
                <w:szCs w:val="16"/>
                <w:color w:val="3D3935"/>
              </w:rPr>
              <w:t>and potential conflicts</w:t>
            </w: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Borders>
              <w:right w:val="single" w:sz="8" w:color="D9D9D6"/>
            </w:tcBorders>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Borders>
              <w:right w:val="single" w:sz="8" w:color="D9D9D6"/>
            </w:tcBorders>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Borders>
              <w:right w:val="single" w:sz="8" w:color="D9D9D6"/>
            </w:tcBorders>
          </w:tcPr>
          <w:p>
            <w:pPr>
              <w:spacing w:after="0"/>
              <w:rPr>
                <w:sz w:val="21"/>
                <w:szCs w:val="21"/>
                <w:color w:val="auto"/>
              </w:rPr>
            </w:pPr>
          </w:p>
        </w:tc>
        <w:tc>
          <w:tcPr>
            <w:tcW w:w="0" w:type="dxa"/>
            <w:vAlign w:val="bottom"/>
          </w:tcPr>
          <w:p>
            <w:pPr>
              <w:spacing w:after="0"/>
              <w:rPr>
                <w:sz w:val="1"/>
                <w:szCs w:val="1"/>
                <w:color w:val="auto"/>
              </w:rPr>
            </w:pPr>
          </w:p>
        </w:tc>
      </w:tr>
      <w:tr>
        <w:trPr>
          <w:trHeight w:val="340"/>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Borders>
              <w:right w:val="single" w:sz="8" w:color="D9D9D6"/>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Borders>
              <w:right w:val="single" w:sz="8" w:color="D9D9D6"/>
            </w:tcBorders>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Borders>
              <w:right w:val="single" w:sz="8" w:color="D9D9D6"/>
            </w:tcBorders>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Borders>
              <w:right w:val="single" w:sz="8" w:color="D9D9D6"/>
            </w:tcBorders>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Borders>
              <w:right w:val="single" w:sz="8" w:color="D9D9D6"/>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820"/>
        <w:spacing w:after="0"/>
        <w:rPr>
          <w:sz w:val="20"/>
          <w:szCs w:val="20"/>
          <w:color w:val="auto"/>
        </w:rPr>
      </w:pPr>
      <w:r>
        <w:rPr>
          <w:rFonts w:ascii="Arial" w:cs="Arial" w:eastAsia="Arial" w:hAnsi="Arial"/>
          <w:sz w:val="29"/>
          <w:szCs w:val="29"/>
          <w:b w:val="1"/>
          <w:bCs w:val="1"/>
          <w:color w:val="3D3935"/>
        </w:rPr>
        <w:t>Candidate Recommendation and Director Communications</w:t>
      </w:r>
    </w:p>
    <w:p>
      <w:pPr>
        <w:spacing w:after="0" w:line="132" w:lineRule="exact"/>
        <w:rPr>
          <w:sz w:val="20"/>
          <w:szCs w:val="20"/>
          <w:color w:val="auto"/>
        </w:rPr>
      </w:pPr>
    </w:p>
    <w:p>
      <w:pPr>
        <w:ind w:left="820" w:right="1120"/>
        <w:spacing w:after="0" w:line="295" w:lineRule="auto"/>
        <w:rPr>
          <w:sz w:val="20"/>
          <w:szCs w:val="20"/>
          <w:color w:val="auto"/>
        </w:rPr>
      </w:pPr>
      <w:r>
        <w:rPr>
          <w:rFonts w:ascii="Arial" w:cs="Arial" w:eastAsia="Arial" w:hAnsi="Arial"/>
          <w:sz w:val="16"/>
          <w:szCs w:val="16"/>
          <w:color w:val="3D3935"/>
        </w:rPr>
        <w:t>The Governance Committee will consider director candidates recommended by shareholders. The Governance Committee will review the qualifications and experience of each recommended candidate using the same criteria for candidates proposed by Board members and communicate its decision to the candidate or the shareholder who made the recommendation. Shareholder nominations must be submitted to the Company by the deadlines found on page 95.</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2CE"/>
        </w:rPr>
        <w:t>To Recommend a Director Candidate, Write to:</w:t>
      </w:r>
    </w:p>
    <w:p>
      <w:pPr>
        <w:spacing w:after="0" w:line="95" w:lineRule="exact"/>
        <w:rPr>
          <w:sz w:val="20"/>
          <w:szCs w:val="20"/>
          <w:color w:val="auto"/>
        </w:rPr>
      </w:pPr>
    </w:p>
    <w:p>
      <w:pPr>
        <w:ind w:left="1060" w:right="1420"/>
        <w:spacing w:after="0" w:line="304" w:lineRule="auto"/>
        <w:rPr>
          <w:sz w:val="20"/>
          <w:szCs w:val="20"/>
          <w:color w:val="auto"/>
        </w:rPr>
      </w:pPr>
      <w:r>
        <w:rPr>
          <w:rFonts w:ascii="Arial" w:cs="Arial" w:eastAsia="Arial" w:hAnsi="Arial"/>
          <w:sz w:val="16"/>
          <w:szCs w:val="16"/>
          <w:color w:val="3D3935"/>
        </w:rPr>
        <w:t xml:space="preserve">GM’s Corporate Secretary at General Motors Company, Mail Code 482-C24-A68, 300 Renaissance Center, Detroit, Michigan 48265 or by email to </w:t>
      </w:r>
      <w:r>
        <w:rPr>
          <w:rFonts w:ascii="Arial" w:cs="Arial" w:eastAsia="Arial" w:hAnsi="Arial"/>
          <w:sz w:val="16"/>
          <w:szCs w:val="16"/>
          <w:u w:val="single" w:color="auto"/>
          <w:color w:val="0072CE"/>
        </w:rPr>
        <w:t>shareholder.relations@gm.com.</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2CE"/>
        </w:rPr>
        <w:t>Director Communications</w:t>
      </w:r>
    </w:p>
    <w:p>
      <w:pPr>
        <w:spacing w:after="0" w:line="95" w:lineRule="exact"/>
        <w:rPr>
          <w:sz w:val="20"/>
          <w:szCs w:val="20"/>
          <w:color w:val="auto"/>
        </w:rPr>
      </w:pPr>
    </w:p>
    <w:p>
      <w:pPr>
        <w:ind w:left="1060" w:right="1320"/>
        <w:spacing w:after="0" w:line="275" w:lineRule="auto"/>
        <w:rPr>
          <w:sz w:val="20"/>
          <w:szCs w:val="20"/>
          <w:color w:val="auto"/>
        </w:rPr>
      </w:pPr>
      <w:r>
        <w:rPr>
          <w:rFonts w:ascii="Arial" w:cs="Arial" w:eastAsia="Arial" w:hAnsi="Arial"/>
          <w:sz w:val="16"/>
          <w:szCs w:val="16"/>
          <w:color w:val="3D3935"/>
        </w:rPr>
        <w:t xml:space="preserve">Shareholders and interested parties wishing to contact our Board may send a letter to GM’s Corporate Secretary at General Motors Company, Mail Code 482-C24-A68, 300 Renaissance Center, Detroit, Michigan 48265 or by email at </w:t>
      </w:r>
      <w:r>
        <w:rPr>
          <w:rFonts w:ascii="Arial" w:cs="Arial" w:eastAsia="Arial" w:hAnsi="Arial"/>
          <w:sz w:val="16"/>
          <w:szCs w:val="16"/>
          <w:u w:val="single" w:color="auto"/>
          <w:color w:val="0078D4"/>
        </w:rPr>
        <w:t>shareholder.relations@gm.com.</w:t>
      </w:r>
      <w:r>
        <w:rPr>
          <w:rFonts w:ascii="Arial" w:cs="Arial" w:eastAsia="Arial" w:hAnsi="Arial"/>
          <w:sz w:val="16"/>
          <w:szCs w:val="16"/>
          <w:color w:val="0078D4"/>
        </w:rPr>
        <w:t xml:space="preserve"> </w:t>
      </w:r>
      <w:r>
        <w:rPr>
          <w:rFonts w:ascii="Arial" w:cs="Arial" w:eastAsia="Arial" w:hAnsi="Arial"/>
          <w:sz w:val="16"/>
          <w:szCs w:val="16"/>
          <w:color w:val="3D3935"/>
        </w:rPr>
        <w:t>Communications received in writing will be distributed to the Independent</w:t>
      </w:r>
    </w:p>
    <w:p>
      <w:pPr>
        <w:spacing w:after="0" w:line="1" w:lineRule="exact"/>
        <w:rPr>
          <w:sz w:val="20"/>
          <w:szCs w:val="20"/>
          <w:color w:val="auto"/>
        </w:rPr>
      </w:pPr>
    </w:p>
    <w:p>
      <w:pPr>
        <w:ind w:left="1060" w:right="1640"/>
        <w:spacing w:after="0" w:line="293" w:lineRule="auto"/>
        <w:rPr>
          <w:sz w:val="20"/>
          <w:szCs w:val="20"/>
          <w:color w:val="auto"/>
        </w:rPr>
      </w:pPr>
      <w:r>
        <w:rPr>
          <w:rFonts w:ascii="Arial" w:cs="Arial" w:eastAsia="Arial" w:hAnsi="Arial"/>
          <w:sz w:val="16"/>
          <w:szCs w:val="16"/>
          <w:color w:val="3D3935"/>
        </w:rPr>
        <w:t>Lead Director or independent members of the Board as a group, if appropriate, unless such communications are considered, in the reasonable judgment of the Corporate Secretary, improper for submission to the intended recipient(s).</w:t>
      </w:r>
    </w:p>
    <w:p>
      <w:pPr>
        <w:sectPr>
          <w:pgSz w:w="11900" w:h="16838" w:orient="portrait"/>
          <w:cols w:equalWidth="0" w:num="1">
            <w:col w:w="10720"/>
          </w:cols>
          <w:pgMar w:left="580" w:top="140" w:right="599" w:bottom="70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3D3935"/>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330200</wp:posOffset>
            </wp:positionV>
            <wp:extent cx="6810375" cy="3848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10375" cy="384810"/>
                    </a:xfrm>
                    <a:prstGeom prst="rect">
                      <a:avLst/>
                    </a:prstGeom>
                    <a:noFill/>
                  </pic:spPr>
                </pic:pic>
              </a:graphicData>
            </a:graphic>
          </wp:anchor>
        </w:drawing>
      </w:r>
    </w:p>
    <w:p>
      <w:pPr>
        <w:sectPr>
          <w:pgSz w:w="11900" w:h="16838" w:orient="portrait"/>
          <w:cols w:equalWidth="0" w:num="1">
            <w:col w:w="10720"/>
          </w:cols>
          <w:pgMar w:left="580" w:top="140" w:right="599" w:bottom="700" w:gutter="0" w:footer="0" w:header="0"/>
          <w:type w:val="continuous"/>
        </w:sectPr>
      </w:pPr>
    </w:p>
    <w:bookmarkStart w:id="23" w:name="page24"/>
    <w:bookmarkEnd w:id="23"/>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84715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10375" cy="8471535"/>
                    </a:xfrm>
                    <a:prstGeom prst="rect">
                      <a:avLst/>
                    </a:prstGeom>
                    <a:noFill/>
                  </pic:spPr>
                </pic:pic>
              </a:graphicData>
            </a:graphic>
          </wp:anchor>
        </w:drawing>
      </w:r>
    </w:p>
    <w:p>
      <w:pPr>
        <w:ind w:left="60"/>
        <w:spacing w:after="0"/>
        <w:rPr>
          <w:sz w:val="20"/>
          <w:szCs w:val="20"/>
          <w:color w:val="auto"/>
        </w:rPr>
      </w:pPr>
      <w:r>
        <w:rPr>
          <w:rFonts w:ascii="Arial" w:cs="Arial" w:eastAsia="Arial" w:hAnsi="Arial"/>
          <w:sz w:val="49"/>
          <w:szCs w:val="49"/>
          <w:b w:val="1"/>
          <w:bCs w:val="1"/>
          <w:color w:val="3D3935"/>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The Board of Directors</w:t>
      </w:r>
    </w:p>
    <w:p>
      <w:pPr>
        <w:spacing w:after="0" w:line="127"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3D3935"/>
        </w:rPr>
        <w:t>GM is governed by a Board of Directors and committees of the Board that meet throughout the year to ensure that the CEO and other senior management are operating the Company in a prudent and ethical manner. The Board is elected by our shareholders to oversee and provide guidance on the Company’s business and affairs. It is the ultimate decision-making body of the Company, except for those matters reserved for shareholders by law or pursuant to the Company’s corporate governance documents. Among other things, the Board oversees the Company’s strategy and execution of the strategic plan. In addition, it oversees management’s proper safeguarding of the assets of the Company, maintenance of appropriate financial and other internal controls, compliance with applicable laws and regulations, and proper governance. The Board is committed to sound corporate governance policies and practices that are designed and routinely assessed to enable the Company to operate its business responsibly, with integrity, and to position GM to compete more effectively, sustain its success, and build long-term shareholder value.</w:t>
      </w:r>
    </w:p>
    <w:p>
      <w:pPr>
        <w:spacing w:after="0" w:line="69"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Board Leadership Structure and Composition</w:t>
      </w:r>
    </w:p>
    <w:p>
      <w:pPr>
        <w:sectPr>
          <w:pgSz w:w="11900" w:h="16937" w:orient="portrait"/>
          <w:cols w:equalWidth="0" w:num="1">
            <w:col w:w="9080"/>
          </w:cols>
          <w:pgMar w:left="1400" w:top="676" w:right="1419" w:bottom="0" w:gutter="0" w:footer="0" w:header="0"/>
        </w:sectPr>
      </w:pPr>
    </w:p>
    <w:p>
      <w:pPr>
        <w:spacing w:after="0" w:line="127"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3D3935"/>
        </w:rPr>
        <w:t>The Board has the flexibility to decide when the positions of Board Chair and CEO should be combined or whether an independent director should serve as Board Chair. This allows the Board to choose the leadership structure that it believes will best serve the interests of our shareholders at any particular time. In</w:t>
      </w:r>
    </w:p>
    <w:p>
      <w:pPr>
        <w:spacing w:after="0" w:line="3"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3D3935"/>
        </w:rPr>
        <w:t>January 2016, the Board recombined the positions of Board Chair and CEO under the leadership of Ms. Barra and designated an Independent Lead Director.</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9"/>
        </w:trPr>
        <w:tc>
          <w:tcPr>
            <w:tcW w:w="1880" w:type="dxa"/>
            <w:vAlign w:val="bottom"/>
            <w:shd w:val="clear" w:color="auto" w:fill="F0F3F5"/>
          </w:tcPr>
          <w:p>
            <w:pPr>
              <w:ind w:left="320"/>
              <w:spacing w:after="0"/>
              <w:rPr>
                <w:sz w:val="20"/>
                <w:szCs w:val="20"/>
                <w:color w:val="auto"/>
              </w:rPr>
            </w:pPr>
            <w:r>
              <w:rPr>
                <w:rFonts w:ascii="Arial" w:cs="Arial" w:eastAsia="Arial" w:hAnsi="Arial"/>
                <w:sz w:val="16"/>
                <w:szCs w:val="16"/>
                <w:b w:val="1"/>
                <w:bCs w:val="1"/>
                <w:color w:val="0072CE"/>
              </w:rPr>
              <w:t>Mary T. Barra</w:t>
            </w:r>
          </w:p>
        </w:tc>
        <w:tc>
          <w:tcPr>
            <w:tcW w:w="1680" w:type="dxa"/>
            <w:vAlign w:val="bottom"/>
            <w:shd w:val="clear" w:color="auto" w:fill="F0F3F5"/>
          </w:tcPr>
          <w:p>
            <w:pPr>
              <w:ind w:left="40"/>
              <w:spacing w:after="0"/>
              <w:rPr>
                <w:sz w:val="20"/>
                <w:szCs w:val="20"/>
                <w:color w:val="auto"/>
              </w:rPr>
            </w:pPr>
            <w:r>
              <w:rPr>
                <w:rFonts w:ascii="Arial" w:cs="Arial" w:eastAsia="Arial" w:hAnsi="Arial"/>
                <w:sz w:val="16"/>
                <w:szCs w:val="16"/>
                <w:b w:val="1"/>
                <w:bCs w:val="1"/>
                <w:color w:val="0072CE"/>
              </w:rPr>
              <w:t>Patricia F. Russo</w:t>
            </w:r>
          </w:p>
        </w:tc>
      </w:tr>
      <w:tr>
        <w:trPr>
          <w:trHeight w:val="215"/>
        </w:trPr>
        <w:tc>
          <w:tcPr>
            <w:tcW w:w="1880" w:type="dxa"/>
            <w:vAlign w:val="bottom"/>
            <w:shd w:val="clear" w:color="auto" w:fill="F0F3F5"/>
          </w:tcPr>
          <w:p>
            <w:pPr>
              <w:ind w:left="320"/>
              <w:spacing w:after="0"/>
              <w:rPr>
                <w:sz w:val="20"/>
                <w:szCs w:val="20"/>
                <w:color w:val="auto"/>
              </w:rPr>
            </w:pPr>
            <w:r>
              <w:rPr>
                <w:rFonts w:ascii="Arial" w:cs="Arial" w:eastAsia="Arial" w:hAnsi="Arial"/>
                <w:sz w:val="16"/>
                <w:szCs w:val="16"/>
                <w:color w:val="3D3935"/>
              </w:rPr>
              <w:t>Chair and CEO</w:t>
            </w:r>
          </w:p>
        </w:tc>
        <w:tc>
          <w:tcPr>
            <w:tcW w:w="1680" w:type="dxa"/>
            <w:vAlign w:val="bottom"/>
            <w:shd w:val="clear" w:color="auto" w:fill="F0F3F5"/>
          </w:tcPr>
          <w:p>
            <w:pPr>
              <w:ind w:left="40"/>
              <w:spacing w:after="0"/>
              <w:rPr>
                <w:sz w:val="20"/>
                <w:szCs w:val="20"/>
                <w:color w:val="auto"/>
              </w:rPr>
            </w:pPr>
            <w:r>
              <w:rPr>
                <w:rFonts w:ascii="Arial" w:cs="Arial" w:eastAsia="Arial" w:hAnsi="Arial"/>
                <w:sz w:val="16"/>
                <w:szCs w:val="16"/>
                <w:color w:val="3D3935"/>
              </w:rPr>
              <w:t>Independent Lead</w:t>
            </w:r>
          </w:p>
        </w:tc>
      </w:tr>
      <w:tr>
        <w:trPr>
          <w:trHeight w:val="216"/>
        </w:trPr>
        <w:tc>
          <w:tcPr>
            <w:tcW w:w="1880" w:type="dxa"/>
            <w:vAlign w:val="bottom"/>
            <w:shd w:val="clear" w:color="auto" w:fill="F0F3F5"/>
          </w:tcPr>
          <w:p>
            <w:pPr>
              <w:spacing w:after="0"/>
              <w:rPr>
                <w:sz w:val="18"/>
                <w:szCs w:val="18"/>
                <w:color w:val="auto"/>
              </w:rPr>
            </w:pPr>
          </w:p>
        </w:tc>
        <w:tc>
          <w:tcPr>
            <w:tcW w:w="1680" w:type="dxa"/>
            <w:vAlign w:val="bottom"/>
            <w:shd w:val="clear" w:color="auto" w:fill="F0F3F5"/>
          </w:tcPr>
          <w:p>
            <w:pPr>
              <w:ind w:left="40"/>
              <w:spacing w:after="0"/>
              <w:rPr>
                <w:sz w:val="20"/>
                <w:szCs w:val="20"/>
                <w:color w:val="auto"/>
              </w:rPr>
            </w:pPr>
            <w:r>
              <w:rPr>
                <w:rFonts w:ascii="Arial" w:cs="Arial" w:eastAsia="Arial" w:hAnsi="Arial"/>
                <w:sz w:val="16"/>
                <w:szCs w:val="16"/>
                <w:color w:val="3D3935"/>
              </w:rPr>
              <w:t>Director</w:t>
            </w:r>
          </w:p>
        </w:tc>
      </w:tr>
      <w:tr>
        <w:trPr>
          <w:trHeight w:val="164"/>
        </w:trPr>
        <w:tc>
          <w:tcPr>
            <w:tcW w:w="1880" w:type="dxa"/>
            <w:vAlign w:val="bottom"/>
            <w:shd w:val="clear" w:color="auto" w:fill="F0F3F5"/>
          </w:tcPr>
          <w:p>
            <w:pPr>
              <w:spacing w:after="0"/>
              <w:rPr>
                <w:sz w:val="14"/>
                <w:szCs w:val="14"/>
                <w:color w:val="auto"/>
              </w:rPr>
            </w:pPr>
          </w:p>
        </w:tc>
        <w:tc>
          <w:tcPr>
            <w:tcW w:w="1680" w:type="dxa"/>
            <w:vAlign w:val="bottom"/>
            <w:shd w:val="clear" w:color="auto" w:fill="F0F3F5"/>
          </w:tcPr>
          <w:p>
            <w:pPr>
              <w:spacing w:after="0"/>
              <w:rPr>
                <w:sz w:val="14"/>
                <w:szCs w:val="14"/>
                <w:color w:val="auto"/>
              </w:rPr>
            </w:pPr>
          </w:p>
        </w:tc>
      </w:tr>
    </w:tbl>
    <w:p>
      <w:pPr>
        <w:spacing w:after="0" w:line="182" w:lineRule="exact"/>
        <w:rPr>
          <w:sz w:val="20"/>
          <w:szCs w:val="20"/>
          <w:color w:val="auto"/>
        </w:rPr>
      </w:pPr>
    </w:p>
    <w:p>
      <w:pPr>
        <w:sectPr>
          <w:pgSz w:w="11900" w:h="16937" w:orient="portrait"/>
          <w:cols w:equalWidth="0" w:num="2">
            <w:col w:w="4800" w:space="720"/>
            <w:col w:w="3560"/>
          </w:cols>
          <w:pgMar w:left="1400" w:top="676" w:right="1419" w:bottom="0" w:gutter="0" w:footer="0" w:header="0"/>
          <w:type w:val="continuous"/>
        </w:sectPr>
      </w:pPr>
    </w:p>
    <w:p>
      <w:pPr>
        <w:spacing w:after="0"/>
        <w:rPr>
          <w:sz w:val="20"/>
          <w:szCs w:val="20"/>
          <w:color w:val="auto"/>
        </w:rPr>
      </w:pPr>
      <w:r>
        <w:rPr>
          <w:rFonts w:ascii="Arial" w:cs="Arial" w:eastAsia="Arial" w:hAnsi="Arial"/>
          <w:sz w:val="29"/>
          <w:szCs w:val="29"/>
          <w:b w:val="1"/>
          <w:bCs w:val="1"/>
          <w:color w:val="3D3935"/>
        </w:rPr>
        <w:t>The Role of the Chairman of the Board and CEO</w:t>
      </w:r>
    </w:p>
    <w:p>
      <w:pPr>
        <w:spacing w:after="0" w:line="11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3D3935"/>
        </w:rPr>
        <w:t>The Board has determined that it is currently in the Company’s best interest to combine the roles of CEO and Chair with Ms. Barra. Serving as both CEO and Chair of the Board, Ms. Barra provides strategic leadership and ensures alignment between management and the Board. In this dual role, she facilitates Board discussions on key business priorities while also overseeing the company’s day-to-day operations and long-term strategy execution. This structure enables a unified vision that is supported by a foundation of strong governance practices to maintain independent oversight and accountability.</w:t>
      </w:r>
    </w:p>
    <w:p>
      <w:pPr>
        <w:spacing w:after="0" w:line="80"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The Role of the Independent Lead Director</w:t>
      </w:r>
    </w:p>
    <w:p>
      <w:pPr>
        <w:spacing w:after="0" w:line="119" w:lineRule="exact"/>
        <w:rPr>
          <w:sz w:val="20"/>
          <w:szCs w:val="20"/>
          <w:color w:val="auto"/>
        </w:rPr>
      </w:pPr>
    </w:p>
    <w:p>
      <w:pPr>
        <w:jc w:val="both"/>
        <w:ind w:right="440"/>
        <w:spacing w:after="0" w:line="281" w:lineRule="auto"/>
        <w:rPr>
          <w:sz w:val="20"/>
          <w:szCs w:val="20"/>
          <w:color w:val="auto"/>
        </w:rPr>
      </w:pPr>
      <w:r>
        <w:rPr>
          <w:rFonts w:ascii="Arial" w:cs="Arial" w:eastAsia="Arial" w:hAnsi="Arial"/>
          <w:sz w:val="16"/>
          <w:szCs w:val="16"/>
          <w:color w:val="3D3935"/>
        </w:rPr>
        <w:t>GM’s Board believes that a strong Independent Lead Director role with clearly defined responsibilities provides effective independent management oversight. The independent directors consider several factors, as further outlined below, when annually electing the Independent Lead Director to ensure balanced leadership and a strong and independent Board.</w:t>
      </w:r>
    </w:p>
    <w:p>
      <w:pPr>
        <w:spacing w:after="0" w:line="2"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3D3935"/>
        </w:rPr>
        <w:t>Ms. Russo is the Board’s Independent Lead Director, a role she has held since 2021. Ms. Russo joined our Board in 2009 and previously served as the Independent Lead Director from 2010 to 2014. Her extensive knowledge of GM’s business and experience collaborating with our management team uniquely qualifies her to provide strong, independent leadership and strategic direction to the Board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3D3935"/>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19621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10375" cy="1962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Corporate Governance</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3D3935"/>
        </w:rPr>
        <w:t>Below is a summary of the key duties and responsibilities of GM’s Independent Lead Director:</w:t>
      </w:r>
    </w:p>
    <w:p>
      <w:pPr>
        <w:sectPr>
          <w:pgSz w:w="11900" w:h="16937" w:orient="portrait"/>
          <w:cols w:equalWidth="0" w:num="1">
            <w:col w:w="9080"/>
          </w:cols>
          <w:pgMar w:left="1400" w:top="676" w:right="1419"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left="440" w:hanging="190"/>
        <w:spacing w:after="0" w:line="295" w:lineRule="auto"/>
        <w:tabs>
          <w:tab w:leader="none" w:pos="440" w:val="left"/>
        </w:tabs>
        <w:numPr>
          <w:ilvl w:val="0"/>
          <w:numId w:val="43"/>
        </w:numPr>
        <w:rPr>
          <w:rFonts w:ascii="Arial" w:cs="Arial" w:eastAsia="Arial" w:hAnsi="Arial"/>
          <w:sz w:val="16"/>
          <w:szCs w:val="16"/>
          <w:color w:val="0072CE"/>
        </w:rPr>
      </w:pPr>
      <w:r>
        <w:rPr>
          <w:rFonts w:ascii="Arial" w:cs="Arial" w:eastAsia="Arial" w:hAnsi="Arial"/>
          <w:sz w:val="16"/>
          <w:szCs w:val="16"/>
          <w:color w:val="3D3935"/>
        </w:rPr>
        <w:t>Presiding over all Board meetings when the Board Chair is not present, including executive sessions of non-management directors, and advising the Board Chair of any actions taken;</w:t>
      </w:r>
    </w:p>
    <w:p>
      <w:pPr>
        <w:spacing w:after="0" w:line="13" w:lineRule="exact"/>
        <w:rPr>
          <w:rFonts w:ascii="Arial" w:cs="Arial" w:eastAsia="Arial" w:hAnsi="Arial"/>
          <w:sz w:val="16"/>
          <w:szCs w:val="16"/>
          <w:color w:val="0072CE"/>
        </w:rPr>
      </w:pPr>
    </w:p>
    <w:p>
      <w:pPr>
        <w:jc w:val="both"/>
        <w:ind w:left="440" w:hanging="190"/>
        <w:spacing w:after="0" w:line="321" w:lineRule="auto"/>
        <w:tabs>
          <w:tab w:leader="none" w:pos="440" w:val="left"/>
        </w:tabs>
        <w:numPr>
          <w:ilvl w:val="0"/>
          <w:numId w:val="43"/>
        </w:numPr>
        <w:rPr>
          <w:rFonts w:ascii="Arial" w:cs="Arial" w:eastAsia="Arial" w:hAnsi="Arial"/>
          <w:sz w:val="16"/>
          <w:szCs w:val="16"/>
          <w:color w:val="0072CE"/>
        </w:rPr>
      </w:pPr>
      <w:r>
        <w:rPr>
          <w:rFonts w:ascii="Arial" w:cs="Arial" w:eastAsia="Arial" w:hAnsi="Arial"/>
          <w:sz w:val="16"/>
          <w:szCs w:val="16"/>
          <w:color w:val="3D3935"/>
        </w:rPr>
        <w:t>Providing Board leadership if circumstances arise in which the Board Chair actually has, potentially has,</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both"/>
        <w:ind w:left="194" w:right="920" w:hanging="194"/>
        <w:spacing w:after="0" w:line="301" w:lineRule="auto"/>
        <w:tabs>
          <w:tab w:leader="none" w:pos="194" w:val="left"/>
        </w:tabs>
        <w:numPr>
          <w:ilvl w:val="0"/>
          <w:numId w:val="44"/>
        </w:numPr>
        <w:rPr>
          <w:rFonts w:ascii="Arial" w:cs="Arial" w:eastAsia="Arial" w:hAnsi="Arial"/>
          <w:sz w:val="16"/>
          <w:szCs w:val="16"/>
          <w:color w:val="0072CE"/>
        </w:rPr>
      </w:pPr>
      <w:r>
        <w:rPr>
          <w:rFonts w:ascii="Arial" w:cs="Arial" w:eastAsia="Arial" w:hAnsi="Arial"/>
          <w:sz w:val="16"/>
          <w:szCs w:val="16"/>
          <w:color w:val="3D3935"/>
        </w:rPr>
        <w:t>Advising on the scope, quality, quantity, and timeliness of the flow of information between management and the Board;</w:t>
      </w:r>
    </w:p>
    <w:p>
      <w:pPr>
        <w:spacing w:after="0" w:line="9" w:lineRule="exact"/>
        <w:rPr>
          <w:rFonts w:ascii="Arial" w:cs="Arial" w:eastAsia="Arial" w:hAnsi="Arial"/>
          <w:sz w:val="16"/>
          <w:szCs w:val="16"/>
          <w:color w:val="0072CE"/>
        </w:rPr>
      </w:pPr>
    </w:p>
    <w:p>
      <w:pPr>
        <w:ind w:left="194" w:right="380" w:hanging="194"/>
        <w:spacing w:after="0" w:line="301" w:lineRule="auto"/>
        <w:tabs>
          <w:tab w:leader="none" w:pos="194" w:val="left"/>
        </w:tabs>
        <w:numPr>
          <w:ilvl w:val="0"/>
          <w:numId w:val="44"/>
        </w:numPr>
        <w:rPr>
          <w:rFonts w:ascii="Arial" w:cs="Arial" w:eastAsia="Arial" w:hAnsi="Arial"/>
          <w:sz w:val="16"/>
          <w:szCs w:val="16"/>
          <w:color w:val="0072CE"/>
        </w:rPr>
      </w:pPr>
      <w:r>
        <w:rPr>
          <w:rFonts w:ascii="Arial" w:cs="Arial" w:eastAsia="Arial" w:hAnsi="Arial"/>
          <w:sz w:val="16"/>
          <w:szCs w:val="16"/>
          <w:color w:val="3D3935"/>
        </w:rPr>
        <w:t>Serving as a liaison between non-management directors and the Board Chair when requested to do so (although all non-management directors have</w:t>
      </w:r>
    </w:p>
    <w:p>
      <w:pPr>
        <w:sectPr>
          <w:pgSz w:w="11900" w:h="16937" w:orient="portrait"/>
          <w:cols w:equalWidth="0" w:num="2">
            <w:col w:w="4160" w:space="626"/>
            <w:col w:w="4294"/>
          </w:cols>
          <w:pgMar w:left="1400" w:top="676" w:right="1419" w:bottom="0" w:gutter="0" w:footer="0" w:header="0"/>
          <w:type w:val="continuous"/>
        </w:sectPr>
      </w:pPr>
    </w:p>
    <w:bookmarkStart w:id="24" w:name="page25"/>
    <w:bookmarkEnd w:id="24"/>
    <w:p>
      <w:pPr>
        <w:spacing w:after="0" w:line="126" w:lineRule="exact"/>
        <w:rPr>
          <w:sz w:val="20"/>
          <w:szCs w:val="20"/>
          <w:color w:val="auto"/>
        </w:rPr>
      </w:pPr>
    </w:p>
    <w:p>
      <w:pPr>
        <w:ind w:left="440"/>
        <w:spacing w:after="0"/>
        <w:rPr>
          <w:sz w:val="20"/>
          <w:szCs w:val="20"/>
          <w:color w:val="auto"/>
        </w:rPr>
      </w:pPr>
      <w:r>
        <w:rPr>
          <w:rFonts w:ascii="Arial" w:cs="Arial" w:eastAsia="Arial" w:hAnsi="Arial"/>
          <w:sz w:val="16"/>
          <w:szCs w:val="16"/>
          <w:color w:val="3D3935"/>
        </w:rPr>
        <w:t>or is perceived to have, a conflict of interest;</w:t>
      </w:r>
    </w:p>
    <w:p>
      <w:pPr>
        <w:spacing w:after="0" w:line="71" w:lineRule="exact"/>
        <w:rPr>
          <w:sz w:val="20"/>
          <w:szCs w:val="20"/>
          <w:color w:val="auto"/>
        </w:rPr>
      </w:pPr>
    </w:p>
    <w:p>
      <w:pPr>
        <w:ind w:left="440" w:hanging="190"/>
        <w:spacing w:after="0" w:line="295" w:lineRule="auto"/>
        <w:tabs>
          <w:tab w:leader="none" w:pos="440" w:val="left"/>
        </w:tabs>
        <w:numPr>
          <w:ilvl w:val="0"/>
          <w:numId w:val="45"/>
        </w:numPr>
        <w:rPr>
          <w:rFonts w:ascii="Arial" w:cs="Arial" w:eastAsia="Arial" w:hAnsi="Arial"/>
          <w:sz w:val="16"/>
          <w:szCs w:val="16"/>
          <w:color w:val="0072CE"/>
        </w:rPr>
      </w:pPr>
      <w:r>
        <w:rPr>
          <w:rFonts w:ascii="Arial" w:cs="Arial" w:eastAsia="Arial" w:hAnsi="Arial"/>
          <w:sz w:val="16"/>
          <w:szCs w:val="16"/>
          <w:color w:val="3D3935"/>
        </w:rPr>
        <w:t>Calling executive sessions for non-management directors, relaying feedback from these sessions to the Board Chair, and implementing decisions made by the non-management directors;</w:t>
      </w:r>
    </w:p>
    <w:p>
      <w:pPr>
        <w:spacing w:after="0" w:line="13" w:lineRule="exact"/>
        <w:rPr>
          <w:rFonts w:ascii="Arial" w:cs="Arial" w:eastAsia="Arial" w:hAnsi="Arial"/>
          <w:sz w:val="16"/>
          <w:szCs w:val="16"/>
          <w:color w:val="0072CE"/>
        </w:rPr>
      </w:pPr>
    </w:p>
    <w:p>
      <w:pPr>
        <w:ind w:left="440" w:right="40" w:hanging="190"/>
        <w:spacing w:after="0" w:line="289" w:lineRule="auto"/>
        <w:tabs>
          <w:tab w:leader="none" w:pos="440" w:val="left"/>
        </w:tabs>
        <w:numPr>
          <w:ilvl w:val="0"/>
          <w:numId w:val="45"/>
        </w:numPr>
        <w:rPr>
          <w:rFonts w:ascii="Arial" w:cs="Arial" w:eastAsia="Arial" w:hAnsi="Arial"/>
          <w:sz w:val="16"/>
          <w:szCs w:val="16"/>
          <w:color w:val="0072CE"/>
        </w:rPr>
      </w:pPr>
      <w:r>
        <w:rPr>
          <w:rFonts w:ascii="Arial" w:cs="Arial" w:eastAsia="Arial" w:hAnsi="Arial"/>
          <w:sz w:val="16"/>
          <w:szCs w:val="16"/>
          <w:color w:val="3D3935"/>
        </w:rPr>
        <w:t>Leading non-management directors in the annual evaluation of the CEO’s performance, communicating the results of that evaluation to the CEO, and overseeing CEO succession planning;</w:t>
      </w:r>
    </w:p>
    <w:p>
      <w:pPr>
        <w:spacing w:after="0" w:line="18" w:lineRule="exact"/>
        <w:rPr>
          <w:rFonts w:ascii="Arial" w:cs="Arial" w:eastAsia="Arial" w:hAnsi="Arial"/>
          <w:sz w:val="16"/>
          <w:szCs w:val="16"/>
          <w:color w:val="0072CE"/>
        </w:rPr>
      </w:pPr>
    </w:p>
    <w:p>
      <w:pPr>
        <w:ind w:left="440" w:right="440" w:hanging="190"/>
        <w:spacing w:after="0" w:line="321" w:lineRule="auto"/>
        <w:tabs>
          <w:tab w:leader="none" w:pos="440" w:val="left"/>
        </w:tabs>
        <w:numPr>
          <w:ilvl w:val="0"/>
          <w:numId w:val="45"/>
        </w:numPr>
        <w:rPr>
          <w:rFonts w:ascii="Arial" w:cs="Arial" w:eastAsia="Arial" w:hAnsi="Arial"/>
          <w:sz w:val="16"/>
          <w:szCs w:val="16"/>
          <w:color w:val="0072CE"/>
        </w:rPr>
      </w:pPr>
      <w:r>
        <w:rPr>
          <w:rFonts w:ascii="Arial" w:cs="Arial" w:eastAsia="Arial" w:hAnsi="Arial"/>
          <w:sz w:val="16"/>
          <w:szCs w:val="16"/>
          <w:color w:val="3D3935"/>
        </w:rPr>
        <w:t>Approving Board meeting agendas to ensure sufficient time for discussion of all items;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left="194" w:right="320"/>
        <w:spacing w:after="0" w:line="301" w:lineRule="auto"/>
        <w:rPr>
          <w:sz w:val="20"/>
          <w:szCs w:val="20"/>
          <w:color w:val="auto"/>
        </w:rPr>
      </w:pPr>
      <w:r>
        <w:rPr>
          <w:rFonts w:ascii="Arial" w:cs="Arial" w:eastAsia="Arial" w:hAnsi="Arial"/>
          <w:sz w:val="16"/>
          <w:szCs w:val="16"/>
          <w:color w:val="3D3935"/>
        </w:rPr>
        <w:t>direct and complete access to the Board Chair at any time they may deem necessary or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-275590</wp:posOffset>
            </wp:positionV>
            <wp:extent cx="6810375" cy="6894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10375" cy="6894195"/>
                    </a:xfrm>
                    <a:prstGeom prst="rect">
                      <a:avLst/>
                    </a:prstGeom>
                    <a:noFill/>
                  </pic:spPr>
                </pic:pic>
              </a:graphicData>
            </a:graphic>
          </wp:anchor>
        </w:drawing>
      </w:r>
    </w:p>
    <w:p>
      <w:pPr>
        <w:ind w:left="194" w:right="620" w:hanging="194"/>
        <w:spacing w:after="0" w:line="301" w:lineRule="auto"/>
        <w:tabs>
          <w:tab w:leader="none" w:pos="194" w:val="left"/>
        </w:tabs>
        <w:numPr>
          <w:ilvl w:val="0"/>
          <w:numId w:val="46"/>
        </w:numPr>
        <w:rPr>
          <w:rFonts w:ascii="Arial" w:cs="Arial" w:eastAsia="Arial" w:hAnsi="Arial"/>
          <w:sz w:val="16"/>
          <w:szCs w:val="16"/>
          <w:color w:val="0072CE"/>
        </w:rPr>
      </w:pPr>
      <w:r>
        <w:rPr>
          <w:rFonts w:ascii="Arial" w:cs="Arial" w:eastAsia="Arial" w:hAnsi="Arial"/>
          <w:sz w:val="16"/>
          <w:szCs w:val="16"/>
          <w:color w:val="3D3935"/>
        </w:rPr>
        <w:t>Interviewing all director candidates and making recommendations to the Governance Committee and the Board;</w:t>
      </w:r>
    </w:p>
    <w:p>
      <w:pPr>
        <w:spacing w:after="0" w:line="9" w:lineRule="exact"/>
        <w:rPr>
          <w:rFonts w:ascii="Arial" w:cs="Arial" w:eastAsia="Arial" w:hAnsi="Arial"/>
          <w:sz w:val="16"/>
          <w:szCs w:val="16"/>
          <w:color w:val="0072CE"/>
        </w:rPr>
      </w:pPr>
    </w:p>
    <w:p>
      <w:pPr>
        <w:ind w:left="194" w:right="780" w:hanging="194"/>
        <w:spacing w:after="0" w:line="292" w:lineRule="auto"/>
        <w:tabs>
          <w:tab w:leader="none" w:pos="194" w:val="left"/>
        </w:tabs>
        <w:numPr>
          <w:ilvl w:val="0"/>
          <w:numId w:val="46"/>
        </w:numPr>
        <w:rPr>
          <w:rFonts w:ascii="Arial" w:cs="Arial" w:eastAsia="Arial" w:hAnsi="Arial"/>
          <w:sz w:val="16"/>
          <w:szCs w:val="16"/>
          <w:color w:val="0072CE"/>
        </w:rPr>
      </w:pPr>
      <w:r>
        <w:rPr>
          <w:rFonts w:ascii="Arial" w:cs="Arial" w:eastAsia="Arial" w:hAnsi="Arial"/>
          <w:sz w:val="16"/>
          <w:szCs w:val="16"/>
          <w:color w:val="3D3935"/>
        </w:rPr>
        <w:t>Being available to advise the Board committee chairs in fulfilling their designated roles and responsibilities to the Board; and</w:t>
      </w:r>
    </w:p>
    <w:p>
      <w:pPr>
        <w:spacing w:after="0" w:line="16" w:lineRule="exact"/>
        <w:rPr>
          <w:rFonts w:ascii="Arial" w:cs="Arial" w:eastAsia="Arial" w:hAnsi="Arial"/>
          <w:sz w:val="16"/>
          <w:szCs w:val="16"/>
          <w:color w:val="0072CE"/>
        </w:rPr>
      </w:pPr>
    </w:p>
    <w:p>
      <w:pPr>
        <w:ind w:left="194" w:hanging="194"/>
        <w:spacing w:after="0"/>
        <w:tabs>
          <w:tab w:leader="none" w:pos="194" w:val="left"/>
        </w:tabs>
        <w:numPr>
          <w:ilvl w:val="0"/>
          <w:numId w:val="46"/>
        </w:numPr>
        <w:rPr>
          <w:rFonts w:ascii="Arial" w:cs="Arial" w:eastAsia="Arial" w:hAnsi="Arial"/>
          <w:sz w:val="15"/>
          <w:szCs w:val="15"/>
          <w:color w:val="0072CE"/>
        </w:rPr>
      </w:pPr>
      <w:r>
        <w:rPr>
          <w:rFonts w:ascii="Arial" w:cs="Arial" w:eastAsia="Arial" w:hAnsi="Arial"/>
          <w:sz w:val="15"/>
          <w:szCs w:val="15"/>
          <w:color w:val="3D3935"/>
        </w:rPr>
        <w:t>Engaging, when requested to do so, with shareholders.</w:t>
      </w:r>
    </w:p>
    <w:p>
      <w:pPr>
        <w:spacing w:after="0" w:line="735" w:lineRule="exact"/>
        <w:rPr>
          <w:sz w:val="20"/>
          <w:szCs w:val="20"/>
          <w:color w:val="auto"/>
        </w:rPr>
      </w:pPr>
    </w:p>
    <w:p>
      <w:pPr>
        <w:sectPr>
          <w:pgSz w:w="11900" w:h="16964" w:orient="portrait"/>
          <w:cols w:equalWidth="0" w:num="2">
            <w:col w:w="4100" w:space="686"/>
            <w:col w:w="4314"/>
          </w:cols>
          <w:pgMar w:left="1400" w:top="114" w:right="1399" w:bottom="0" w:gutter="0" w:footer="0" w:header="0"/>
        </w:sectPr>
      </w:pPr>
    </w:p>
    <w:p>
      <w:pPr>
        <w:spacing w:after="0" w:line="152"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Board Committees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3D3935"/>
        </w:rPr>
        <w:t>The Board has six standing committees: Audit, Executive, Executive Compensation, Finance, Governance and Corporate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Responsibility, and Risk and Cybersecurity. The key responsibilities, recent activities, and focus areas of each committee,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together with their current membership and the number of meetings held in 2024, are set forth below. In addition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committee meetings, each committee chair regularly meets with management throughout the year to discuss and preview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committee business, shape agendas, and facilitate efficient meetings. The Board Chair, Ms. Barra, and the</w:t>
      </w:r>
    </w:p>
    <w:p>
      <w:pPr>
        <w:spacing w:after="0" w:line="32"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3D3935"/>
        </w:rPr>
        <w:t xml:space="preserve">Independent Lead Director, Ms. Russo, attend all committee meetings to serve as a resource and to identify topics requiring the Board’s attention. The Board has determined that each member of the Audit, Compensation, Finance, Governance, and Risk and Cybersecurity Committees is independent according to applicable SEC and NYSE requirements and our Corporate Governance Guidelines. Each committee’s charter is available at </w:t>
      </w:r>
      <w:r>
        <w:rPr>
          <w:rFonts w:ascii="Arial" w:cs="Arial" w:eastAsia="Arial" w:hAnsi="Arial"/>
          <w:sz w:val="16"/>
          <w:szCs w:val="16"/>
          <w:u w:val="single" w:color="auto"/>
          <w:color w:val="0072CE"/>
        </w:rPr>
        <w:t>investor.gm.com/governanceandsustainability.</w:t>
      </w:r>
    </w:p>
    <w:p>
      <w:pPr>
        <w:spacing w:after="0" w:line="61"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Delegation and Access to Outside Advisors</w:t>
      </w:r>
    </w:p>
    <w:p>
      <w:pPr>
        <w:spacing w:after="0" w:line="132"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3D3935"/>
        </w:rPr>
        <w:t>Each committee may delegate its authority to members of management and also form and delegate authority to subcommittees consisting of one or more members when it deems it appropriate. The Board and each committee can also select and retain the services of outside advisors at the Company’s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35394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10375" cy="3539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Corporate Governance</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Committee Overview</w:t>
      </w:r>
    </w:p>
    <w:p>
      <w:pPr>
        <w:sectPr>
          <w:pgSz w:w="11900" w:h="16964" w:orient="portrait"/>
          <w:cols w:equalWidth="0" w:num="1">
            <w:col w:w="9100"/>
          </w:cols>
          <w:pgMar w:left="1400" w:top="114" w:right="1399" w:bottom="0" w:gutter="0" w:footer="0" w:header="0"/>
          <w:type w:val="continuous"/>
        </w:sectPr>
      </w:pPr>
    </w:p>
    <w:p>
      <w:pPr>
        <w:spacing w:after="0" w:line="324"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0072CE"/>
        </w:rPr>
        <w:t>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0072CE"/>
        </w:rPr>
        <w:t>Thomas M. Schoewe</w:t>
      </w:r>
    </w:p>
    <w:p>
      <w:pPr>
        <w:spacing w:after="0" w:line="41" w:lineRule="exact"/>
        <w:rPr>
          <w:sz w:val="20"/>
          <w:szCs w:val="20"/>
          <w:color w:val="auto"/>
        </w:rPr>
      </w:pPr>
    </w:p>
    <w:p>
      <w:pPr>
        <w:ind w:left="60"/>
        <w:spacing w:after="0"/>
        <w:rPr>
          <w:sz w:val="20"/>
          <w:szCs w:val="20"/>
          <w:color w:val="auto"/>
        </w:rPr>
      </w:pPr>
      <w:r>
        <w:rPr>
          <w:rFonts w:ascii="Arial" w:cs="Arial" w:eastAsia="Arial" w:hAnsi="Arial"/>
          <w:sz w:val="16"/>
          <w:szCs w:val="16"/>
          <w:color w:val="3D3935"/>
        </w:rPr>
        <w:t>Chair</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072CE"/>
        </w:rPr>
        <w:t>Committee Members:</w:t>
      </w:r>
    </w:p>
    <w:p>
      <w:pPr>
        <w:spacing w:after="0" w:line="21" w:lineRule="exact"/>
        <w:rPr>
          <w:sz w:val="20"/>
          <w:szCs w:val="20"/>
          <w:color w:val="auto"/>
        </w:rPr>
      </w:pPr>
    </w:p>
    <w:p>
      <w:pPr>
        <w:ind w:left="60" w:right="160"/>
        <w:spacing w:after="0" w:line="252" w:lineRule="auto"/>
        <w:rPr>
          <w:sz w:val="20"/>
          <w:szCs w:val="20"/>
          <w:color w:val="auto"/>
        </w:rPr>
      </w:pPr>
      <w:r>
        <w:rPr>
          <w:rFonts w:ascii="Arial" w:cs="Arial" w:eastAsia="Arial" w:hAnsi="Arial"/>
          <w:sz w:val="16"/>
          <w:szCs w:val="16"/>
          <w:color w:val="3D3935"/>
        </w:rPr>
        <w:t>Wesley G. Bush^ Joanne C. Crevoiserat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color w:val="3D3935"/>
        </w:rPr>
        <w:t>Linda R. Gooden*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3D3935"/>
        </w:rPr>
        <w:t>Alfred F. Kelly, Jr.</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6"/>
          <w:szCs w:val="16"/>
          <w:color w:val="3D3935"/>
        </w:rPr>
        <w:t>Thomas M. Schoewe*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Key Responsibilities</w:t>
      </w:r>
    </w:p>
    <w:p>
      <w:pPr>
        <w:spacing w:after="0" w:line="72" w:lineRule="exact"/>
        <w:rPr>
          <w:sz w:val="20"/>
          <w:szCs w:val="20"/>
          <w:color w:val="auto"/>
        </w:rPr>
      </w:pPr>
    </w:p>
    <w:p>
      <w:pPr>
        <w:ind w:left="200" w:right="360" w:hanging="193"/>
        <w:spacing w:after="0" w:line="272" w:lineRule="auto"/>
        <w:tabs>
          <w:tab w:leader="none" w:pos="200" w:val="left"/>
        </w:tabs>
        <w:numPr>
          <w:ilvl w:val="0"/>
          <w:numId w:val="47"/>
        </w:numPr>
        <w:rPr>
          <w:rFonts w:ascii="Arial" w:cs="Arial" w:eastAsia="Arial" w:hAnsi="Arial"/>
          <w:sz w:val="16"/>
          <w:szCs w:val="16"/>
          <w:color w:val="0072CE"/>
        </w:rPr>
      </w:pPr>
      <w:r>
        <w:rPr>
          <w:rFonts w:ascii="Arial" w:cs="Arial" w:eastAsia="Arial" w:hAnsi="Arial"/>
          <w:sz w:val="16"/>
          <w:szCs w:val="16"/>
          <w:color w:val="3D3935"/>
        </w:rPr>
        <w:t>Monitors the effectiveness of GM’s financial reporting processes and systems, as well as disclosure and internal controls;</w:t>
      </w:r>
    </w:p>
    <w:p>
      <w:pPr>
        <w:spacing w:after="0" w:line="1" w:lineRule="exact"/>
        <w:rPr>
          <w:rFonts w:ascii="Arial" w:cs="Arial" w:eastAsia="Arial" w:hAnsi="Arial"/>
          <w:sz w:val="16"/>
          <w:szCs w:val="16"/>
          <w:color w:val="0072CE"/>
        </w:rPr>
      </w:pPr>
    </w:p>
    <w:p>
      <w:pPr>
        <w:ind w:left="200" w:hanging="193"/>
        <w:spacing w:after="0"/>
        <w:tabs>
          <w:tab w:leader="none" w:pos="200" w:val="left"/>
        </w:tabs>
        <w:numPr>
          <w:ilvl w:val="0"/>
          <w:numId w:val="47"/>
        </w:numPr>
        <w:rPr>
          <w:rFonts w:ascii="Arial" w:cs="Arial" w:eastAsia="Arial" w:hAnsi="Arial"/>
          <w:sz w:val="16"/>
          <w:szCs w:val="16"/>
          <w:color w:val="0072CE"/>
        </w:rPr>
      </w:pPr>
      <w:r>
        <w:rPr>
          <w:rFonts w:ascii="Arial" w:cs="Arial" w:eastAsia="Arial" w:hAnsi="Arial"/>
          <w:sz w:val="16"/>
          <w:szCs w:val="16"/>
          <w:color w:val="3D3935"/>
        </w:rPr>
        <w:t>Selects and engages GM’s external auditors and reviews and evaluates the audit process;</w:t>
      </w:r>
    </w:p>
    <w:p>
      <w:pPr>
        <w:spacing w:after="0" w:line="59" w:lineRule="exact"/>
        <w:rPr>
          <w:rFonts w:ascii="Arial" w:cs="Arial" w:eastAsia="Arial" w:hAnsi="Arial"/>
          <w:sz w:val="16"/>
          <w:szCs w:val="16"/>
          <w:color w:val="0072CE"/>
        </w:rPr>
      </w:pPr>
    </w:p>
    <w:p>
      <w:pPr>
        <w:ind w:left="200" w:hanging="193"/>
        <w:spacing w:after="0"/>
        <w:tabs>
          <w:tab w:leader="none" w:pos="200" w:val="left"/>
        </w:tabs>
        <w:numPr>
          <w:ilvl w:val="0"/>
          <w:numId w:val="47"/>
        </w:numPr>
        <w:rPr>
          <w:rFonts w:ascii="Arial" w:cs="Arial" w:eastAsia="Arial" w:hAnsi="Arial"/>
          <w:sz w:val="16"/>
          <w:szCs w:val="16"/>
          <w:color w:val="0072CE"/>
        </w:rPr>
      </w:pPr>
      <w:r>
        <w:rPr>
          <w:rFonts w:ascii="Arial" w:cs="Arial" w:eastAsia="Arial" w:hAnsi="Arial"/>
          <w:sz w:val="16"/>
          <w:szCs w:val="16"/>
          <w:color w:val="3D3935"/>
        </w:rPr>
        <w:t>Reviews and evaluates the scope and performance of the internal audit function;</w:t>
      </w:r>
    </w:p>
    <w:p>
      <w:pPr>
        <w:spacing w:after="0" w:line="59" w:lineRule="exact"/>
        <w:rPr>
          <w:rFonts w:ascii="Arial" w:cs="Arial" w:eastAsia="Arial" w:hAnsi="Arial"/>
          <w:sz w:val="16"/>
          <w:szCs w:val="16"/>
          <w:color w:val="0072CE"/>
        </w:rPr>
      </w:pPr>
    </w:p>
    <w:p>
      <w:pPr>
        <w:ind w:left="200" w:right="180" w:hanging="193"/>
        <w:spacing w:after="0" w:line="264" w:lineRule="auto"/>
        <w:tabs>
          <w:tab w:leader="none" w:pos="200" w:val="left"/>
        </w:tabs>
        <w:numPr>
          <w:ilvl w:val="0"/>
          <w:numId w:val="47"/>
        </w:numPr>
        <w:rPr>
          <w:rFonts w:ascii="Arial" w:cs="Arial" w:eastAsia="Arial" w:hAnsi="Arial"/>
          <w:sz w:val="16"/>
          <w:szCs w:val="16"/>
          <w:color w:val="0072CE"/>
        </w:rPr>
      </w:pPr>
      <w:r>
        <w:rPr>
          <w:rFonts w:ascii="Arial" w:cs="Arial" w:eastAsia="Arial" w:hAnsi="Arial"/>
          <w:sz w:val="16"/>
          <w:szCs w:val="16"/>
          <w:color w:val="3D3935"/>
        </w:rPr>
        <w:t>Facilitates ongoing communications about GM’s financial position and affairs among the Board and the external auditors, GM’s financial and senior management, and GM’s internal audit staff; and</w:t>
      </w:r>
    </w:p>
    <w:p>
      <w:pPr>
        <w:ind w:left="200" w:right="540" w:hanging="193"/>
        <w:spacing w:after="0" w:line="286" w:lineRule="auto"/>
        <w:tabs>
          <w:tab w:leader="none" w:pos="200" w:val="left"/>
        </w:tabs>
        <w:numPr>
          <w:ilvl w:val="0"/>
          <w:numId w:val="47"/>
        </w:numPr>
        <w:rPr>
          <w:rFonts w:ascii="Arial" w:cs="Arial" w:eastAsia="Arial" w:hAnsi="Arial"/>
          <w:sz w:val="16"/>
          <w:szCs w:val="16"/>
          <w:color w:val="0072CE"/>
        </w:rPr>
      </w:pPr>
      <w:r>
        <w:rPr>
          <w:rFonts w:ascii="Arial" w:cs="Arial" w:eastAsia="Arial" w:hAnsi="Arial"/>
          <w:sz w:val="16"/>
          <w:szCs w:val="16"/>
          <w:color w:val="3D3935"/>
        </w:rPr>
        <w:t>Reviews GM’s policies and procedures regarding ethics and compliance, including the office of the Chief Compliance Officer.</w:t>
      </w: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Recent Activities and Key Focus Areas</w:t>
      </w:r>
    </w:p>
    <w:p>
      <w:pPr>
        <w:spacing w:after="0" w:line="72" w:lineRule="exact"/>
        <w:rPr>
          <w:sz w:val="20"/>
          <w:szCs w:val="20"/>
          <w:color w:val="auto"/>
        </w:rPr>
      </w:pPr>
    </w:p>
    <w:p>
      <w:pPr>
        <w:ind w:left="200" w:right="520" w:hanging="193"/>
        <w:spacing w:after="0" w:line="286" w:lineRule="auto"/>
        <w:tabs>
          <w:tab w:leader="none" w:pos="200" w:val="left"/>
        </w:tabs>
        <w:numPr>
          <w:ilvl w:val="0"/>
          <w:numId w:val="48"/>
        </w:numPr>
        <w:rPr>
          <w:rFonts w:ascii="Arial" w:cs="Arial" w:eastAsia="Arial" w:hAnsi="Arial"/>
          <w:sz w:val="16"/>
          <w:szCs w:val="16"/>
          <w:color w:val="0072CE"/>
        </w:rPr>
      </w:pPr>
      <w:r>
        <w:rPr>
          <w:rFonts w:ascii="Arial" w:cs="Arial" w:eastAsia="Arial" w:hAnsi="Arial"/>
          <w:sz w:val="16"/>
          <w:szCs w:val="16"/>
          <w:color w:val="3D3935"/>
        </w:rPr>
        <w:t>Evaluated the Company’s Non-Generally Accepted Accounting Principles (non-GAAP) policy and reviewed the criteria for the determination of special items and the</w:t>
      </w:r>
    </w:p>
    <w:p>
      <w:pPr>
        <w:sectPr>
          <w:pgSz w:w="11900" w:h="16964" w:orient="portrait"/>
          <w:cols w:equalWidth="0" w:num="2">
            <w:col w:w="1820" w:space="380"/>
            <w:col w:w="6900"/>
          </w:cols>
          <w:pgMar w:left="1400" w:top="114" w:right="1399" w:bottom="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184"/>
        </w:trPr>
        <w:tc>
          <w:tcPr>
            <w:tcW w:w="2000" w:type="dxa"/>
            <w:vAlign w:val="bottom"/>
          </w:tcPr>
          <w:p>
            <w:pPr>
              <w:ind w:left="60"/>
              <w:spacing w:after="0"/>
              <w:rPr>
                <w:sz w:val="20"/>
                <w:szCs w:val="20"/>
                <w:color w:val="auto"/>
              </w:rPr>
            </w:pPr>
            <w:r>
              <w:rPr>
                <w:rFonts w:ascii="Arial" w:cs="Arial" w:eastAsia="Arial" w:hAnsi="Arial"/>
                <w:sz w:val="16"/>
                <w:szCs w:val="16"/>
                <w:color w:val="3D3935"/>
              </w:rPr>
              <w:t>Mark A. Tatum</w:t>
            </w:r>
          </w:p>
        </w:tc>
        <w:tc>
          <w:tcPr>
            <w:tcW w:w="7080" w:type="dxa"/>
            <w:vAlign w:val="bottom"/>
          </w:tcPr>
          <w:p>
            <w:pPr>
              <w:ind w:left="400"/>
              <w:spacing w:after="0"/>
              <w:rPr>
                <w:sz w:val="20"/>
                <w:szCs w:val="20"/>
                <w:color w:val="auto"/>
              </w:rPr>
            </w:pPr>
            <w:r>
              <w:rPr>
                <w:rFonts w:ascii="Arial" w:cs="Arial" w:eastAsia="Arial" w:hAnsi="Arial"/>
                <w:sz w:val="16"/>
                <w:szCs w:val="16"/>
                <w:color w:val="3D3935"/>
              </w:rPr>
              <w:t>Company’s use of non-GAAP measures to assess performance.</w:t>
            </w:r>
          </w:p>
        </w:tc>
        <w:tc>
          <w:tcPr>
            <w:tcW w:w="0" w:type="dxa"/>
            <w:vAlign w:val="bottom"/>
          </w:tcPr>
          <w:p>
            <w:pPr>
              <w:spacing w:after="0"/>
              <w:rPr>
                <w:sz w:val="1"/>
                <w:szCs w:val="1"/>
                <w:color w:val="auto"/>
              </w:rPr>
            </w:pPr>
          </w:p>
        </w:tc>
      </w:tr>
      <w:tr>
        <w:trPr>
          <w:trHeight w:val="215"/>
        </w:trPr>
        <w:tc>
          <w:tcPr>
            <w:tcW w:w="2000" w:type="dxa"/>
            <w:vAlign w:val="bottom"/>
          </w:tcPr>
          <w:p>
            <w:pPr>
              <w:ind w:left="60"/>
              <w:spacing w:after="0"/>
              <w:rPr>
                <w:sz w:val="20"/>
                <w:szCs w:val="20"/>
                <w:color w:val="auto"/>
              </w:rPr>
            </w:pPr>
            <w:r>
              <w:rPr>
                <w:rFonts w:ascii="Arial" w:cs="Arial" w:eastAsia="Arial" w:hAnsi="Arial"/>
                <w:sz w:val="16"/>
                <w:szCs w:val="16"/>
                <w:color w:val="3D3935"/>
              </w:rPr>
              <w:t>Jan E. Tighe</w:t>
            </w:r>
          </w:p>
        </w:tc>
        <w:tc>
          <w:tcPr>
            <w:tcW w:w="7080" w:type="dxa"/>
            <w:vAlign w:val="bottom"/>
            <w:vMerge w:val="restart"/>
          </w:tcPr>
          <w:p>
            <w:pPr>
              <w:ind w:left="20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Conducted a strategic review of the Company’s Global Business Services function that</w:t>
            </w:r>
          </w:p>
        </w:tc>
        <w:tc>
          <w:tcPr>
            <w:tcW w:w="0" w:type="dxa"/>
            <w:vAlign w:val="bottom"/>
          </w:tcPr>
          <w:p>
            <w:pPr>
              <w:spacing w:after="0"/>
              <w:rPr>
                <w:sz w:val="1"/>
                <w:szCs w:val="1"/>
                <w:color w:val="auto"/>
              </w:rPr>
            </w:pPr>
          </w:p>
        </w:tc>
      </w:tr>
      <w:tr>
        <w:trPr>
          <w:trHeight w:val="69"/>
        </w:trPr>
        <w:tc>
          <w:tcPr>
            <w:tcW w:w="2000" w:type="dxa"/>
            <w:vAlign w:val="bottom"/>
            <w:vMerge w:val="restart"/>
          </w:tcPr>
          <w:p>
            <w:pPr>
              <w:ind w:left="60"/>
              <w:spacing w:after="0"/>
              <w:rPr>
                <w:sz w:val="20"/>
                <w:szCs w:val="20"/>
                <w:color w:val="auto"/>
              </w:rPr>
            </w:pPr>
            <w:r>
              <w:rPr>
                <w:rFonts w:ascii="Arial" w:cs="Arial" w:eastAsia="Arial" w:hAnsi="Arial"/>
                <w:sz w:val="16"/>
                <w:szCs w:val="16"/>
                <w:b w:val="1"/>
                <w:bCs w:val="1"/>
                <w:color w:val="0072CE"/>
              </w:rPr>
              <w:t>Meetings held in 2024:</w:t>
            </w:r>
          </w:p>
        </w:tc>
        <w:tc>
          <w:tcPr>
            <w:tcW w:w="7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00" w:type="dxa"/>
            <w:vAlign w:val="bottom"/>
            <w:vMerge w:val="continue"/>
          </w:tcPr>
          <w:p>
            <w:pPr>
              <w:spacing w:after="0"/>
              <w:rPr>
                <w:sz w:val="12"/>
                <w:szCs w:val="12"/>
                <w:color w:val="auto"/>
              </w:rPr>
            </w:pPr>
          </w:p>
        </w:tc>
        <w:tc>
          <w:tcPr>
            <w:tcW w:w="7080" w:type="dxa"/>
            <w:vAlign w:val="bottom"/>
          </w:tcPr>
          <w:p>
            <w:pPr>
              <w:ind w:left="400"/>
              <w:spacing w:after="0" w:line="148" w:lineRule="exact"/>
              <w:rPr>
                <w:sz w:val="20"/>
                <w:szCs w:val="20"/>
                <w:color w:val="auto"/>
              </w:rPr>
            </w:pPr>
            <w:r>
              <w:rPr>
                <w:rFonts w:ascii="Arial" w:cs="Arial" w:eastAsia="Arial" w:hAnsi="Arial"/>
                <w:sz w:val="16"/>
                <w:szCs w:val="16"/>
                <w:color w:val="3D3935"/>
              </w:rPr>
              <w:t>has delivered significant savings through streamlining financial and</w:t>
            </w:r>
          </w:p>
        </w:tc>
        <w:tc>
          <w:tcPr>
            <w:tcW w:w="0" w:type="dxa"/>
            <w:vAlign w:val="bottom"/>
          </w:tcPr>
          <w:p>
            <w:pPr>
              <w:spacing w:after="0"/>
              <w:rPr>
                <w:sz w:val="1"/>
                <w:szCs w:val="1"/>
                <w:color w:val="auto"/>
              </w:rPr>
            </w:pPr>
          </w:p>
        </w:tc>
      </w:tr>
      <w:tr>
        <w:trPr>
          <w:trHeight w:val="241"/>
        </w:trPr>
        <w:tc>
          <w:tcPr>
            <w:tcW w:w="2000" w:type="dxa"/>
            <w:vAlign w:val="bottom"/>
          </w:tcPr>
          <w:p>
            <w:pPr>
              <w:ind w:left="60"/>
              <w:spacing w:after="0"/>
              <w:rPr>
                <w:sz w:val="20"/>
                <w:szCs w:val="20"/>
                <w:color w:val="auto"/>
              </w:rPr>
            </w:pPr>
            <w:r>
              <w:rPr>
                <w:rFonts w:ascii="Arial" w:cs="Arial" w:eastAsia="Arial" w:hAnsi="Arial"/>
                <w:sz w:val="16"/>
                <w:szCs w:val="16"/>
                <w:color w:val="3D3935"/>
              </w:rPr>
              <w:t>9</w:t>
            </w:r>
          </w:p>
        </w:tc>
        <w:tc>
          <w:tcPr>
            <w:tcW w:w="7080" w:type="dxa"/>
            <w:vAlign w:val="bottom"/>
          </w:tcPr>
          <w:p>
            <w:pPr>
              <w:ind w:left="400"/>
              <w:spacing w:after="0"/>
              <w:rPr>
                <w:sz w:val="20"/>
                <w:szCs w:val="20"/>
                <w:color w:val="auto"/>
              </w:rPr>
            </w:pPr>
            <w:r>
              <w:rPr>
                <w:rFonts w:ascii="Arial" w:cs="Arial" w:eastAsia="Arial" w:hAnsi="Arial"/>
                <w:sz w:val="16"/>
                <w:szCs w:val="16"/>
                <w:color w:val="3D3935"/>
              </w:rPr>
              <w:t>accounting processes.</w:t>
            </w: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7080" w:type="dxa"/>
            <w:vAlign w:val="bottom"/>
          </w:tcPr>
          <w:p>
            <w:pPr>
              <w:ind w:left="20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Reviewed the Company’s earnings releases and quarterly and annual reports, including</w:t>
            </w:r>
          </w:p>
        </w:tc>
        <w:tc>
          <w:tcPr>
            <w:tcW w:w="0" w:type="dxa"/>
            <w:vAlign w:val="bottom"/>
          </w:tcPr>
          <w:p>
            <w:pPr>
              <w:spacing w:after="0"/>
              <w:rPr>
                <w:sz w:val="1"/>
                <w:szCs w:val="1"/>
                <w:color w:val="auto"/>
              </w:rPr>
            </w:pPr>
          </w:p>
        </w:tc>
      </w:tr>
      <w:tr>
        <w:trPr>
          <w:trHeight w:val="215"/>
        </w:trPr>
        <w:tc>
          <w:tcPr>
            <w:tcW w:w="2000" w:type="dxa"/>
            <w:vAlign w:val="bottom"/>
          </w:tcPr>
          <w:p>
            <w:pPr>
              <w:spacing w:after="0"/>
              <w:rPr>
                <w:sz w:val="18"/>
                <w:szCs w:val="18"/>
                <w:color w:val="auto"/>
              </w:rPr>
            </w:pPr>
          </w:p>
        </w:tc>
        <w:tc>
          <w:tcPr>
            <w:tcW w:w="7080" w:type="dxa"/>
            <w:vAlign w:val="bottom"/>
          </w:tcPr>
          <w:p>
            <w:pPr>
              <w:ind w:left="400"/>
              <w:spacing w:after="0"/>
              <w:rPr>
                <w:sz w:val="20"/>
                <w:szCs w:val="20"/>
                <w:color w:val="auto"/>
              </w:rPr>
            </w:pPr>
            <w:r>
              <w:rPr>
                <w:rFonts w:ascii="Arial" w:cs="Arial" w:eastAsia="Arial" w:hAnsi="Arial"/>
                <w:sz w:val="16"/>
                <w:szCs w:val="16"/>
                <w:color w:val="3D3935"/>
              </w:rPr>
              <w:t>financial statements on Forms 10-Q and 10-K prior to filing with the SEC.</w:t>
            </w:r>
          </w:p>
        </w:tc>
        <w:tc>
          <w:tcPr>
            <w:tcW w:w="0" w:type="dxa"/>
            <w:vAlign w:val="bottom"/>
          </w:tcPr>
          <w:p>
            <w:pPr>
              <w:spacing w:after="0"/>
              <w:rPr>
                <w:sz w:val="1"/>
                <w:szCs w:val="1"/>
                <w:color w:val="auto"/>
              </w:rPr>
            </w:pPr>
          </w:p>
        </w:tc>
      </w:tr>
      <w:tr>
        <w:trPr>
          <w:trHeight w:val="217"/>
        </w:trPr>
        <w:tc>
          <w:tcPr>
            <w:tcW w:w="200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Reviewed the findings of the ethics, compliance, and internal audit service programs and</w:t>
            </w:r>
          </w:p>
        </w:tc>
        <w:tc>
          <w:tcPr>
            <w:tcW w:w="0" w:type="dxa"/>
            <w:vAlign w:val="bottom"/>
          </w:tcPr>
          <w:p>
            <w:pPr>
              <w:spacing w:after="0"/>
              <w:rPr>
                <w:sz w:val="1"/>
                <w:szCs w:val="1"/>
                <w:color w:val="auto"/>
              </w:rPr>
            </w:pPr>
          </w:p>
        </w:tc>
      </w:tr>
      <w:tr>
        <w:trPr>
          <w:trHeight w:val="215"/>
        </w:trPr>
        <w:tc>
          <w:tcPr>
            <w:tcW w:w="2000" w:type="dxa"/>
            <w:vAlign w:val="bottom"/>
          </w:tcPr>
          <w:p>
            <w:pPr>
              <w:spacing w:after="0"/>
              <w:rPr>
                <w:sz w:val="18"/>
                <w:szCs w:val="18"/>
                <w:color w:val="auto"/>
              </w:rPr>
            </w:pPr>
          </w:p>
        </w:tc>
        <w:tc>
          <w:tcPr>
            <w:tcW w:w="7080" w:type="dxa"/>
            <w:vAlign w:val="bottom"/>
          </w:tcPr>
          <w:p>
            <w:pPr>
              <w:ind w:left="400"/>
              <w:spacing w:after="0"/>
              <w:rPr>
                <w:sz w:val="20"/>
                <w:szCs w:val="20"/>
                <w:color w:val="auto"/>
              </w:rPr>
            </w:pPr>
            <w:r>
              <w:rPr>
                <w:rFonts w:ascii="Arial" w:cs="Arial" w:eastAsia="Arial" w:hAnsi="Arial"/>
                <w:sz w:val="16"/>
                <w:szCs w:val="16"/>
                <w:color w:val="3D3935"/>
              </w:rPr>
              <w:t>approved staffing levels and budgets.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-1052195</wp:posOffset>
            </wp:positionV>
            <wp:extent cx="6810375" cy="53168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10375" cy="53168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0072CE"/>
        </w:rPr>
        <w:t>Executive Compensation</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297"/>
        </w:trPr>
        <w:tc>
          <w:tcPr>
            <w:tcW w:w="1900" w:type="dxa"/>
            <w:vAlign w:val="bottom"/>
          </w:tcPr>
          <w:p>
            <w:pPr>
              <w:spacing w:after="0"/>
              <w:rPr>
                <w:sz w:val="24"/>
                <w:szCs w:val="24"/>
                <w:color w:val="auto"/>
              </w:rPr>
            </w:pPr>
          </w:p>
        </w:tc>
        <w:tc>
          <w:tcPr>
            <w:tcW w:w="7120" w:type="dxa"/>
            <w:vAlign w:val="bottom"/>
          </w:tcPr>
          <w:p>
            <w:pPr>
              <w:ind w:left="240"/>
              <w:spacing w:after="0"/>
              <w:rPr>
                <w:sz w:val="20"/>
                <w:szCs w:val="20"/>
                <w:color w:val="auto"/>
              </w:rPr>
            </w:pPr>
            <w:r>
              <w:rPr>
                <w:rFonts w:ascii="Arial" w:cs="Arial" w:eastAsia="Arial" w:hAnsi="Arial"/>
                <w:sz w:val="22"/>
                <w:szCs w:val="22"/>
                <w:b w:val="1"/>
                <w:bCs w:val="1"/>
                <w:color w:val="3D3935"/>
              </w:rPr>
              <w:t>Key Responsibilities</w:t>
            </w:r>
          </w:p>
        </w:tc>
        <w:tc>
          <w:tcPr>
            <w:tcW w:w="0" w:type="dxa"/>
            <w:vAlign w:val="bottom"/>
          </w:tcPr>
          <w:p>
            <w:pPr>
              <w:spacing w:after="0"/>
              <w:rPr>
                <w:sz w:val="1"/>
                <w:szCs w:val="1"/>
                <w:color w:val="auto"/>
              </w:rPr>
            </w:pPr>
          </w:p>
        </w:tc>
      </w:tr>
      <w:tr>
        <w:trPr>
          <w:trHeight w:val="242"/>
        </w:trPr>
        <w:tc>
          <w:tcPr>
            <w:tcW w:w="1900" w:type="dxa"/>
            <w:vAlign w:val="bottom"/>
          </w:tcPr>
          <w:p>
            <w:pPr>
              <w:spacing w:after="0"/>
              <w:rPr>
                <w:sz w:val="21"/>
                <w:szCs w:val="21"/>
                <w:color w:val="auto"/>
              </w:rPr>
            </w:pPr>
          </w:p>
        </w:tc>
        <w:tc>
          <w:tcPr>
            <w:tcW w:w="7120" w:type="dxa"/>
            <w:vAlign w:val="bottom"/>
          </w:tcPr>
          <w:p>
            <w:pPr>
              <w:ind w:left="24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Reviews the Company’s executive compensation policies, practices, and programs;</w:t>
            </w:r>
          </w:p>
        </w:tc>
        <w:tc>
          <w:tcPr>
            <w:tcW w:w="0" w:type="dxa"/>
            <w:vAlign w:val="bottom"/>
          </w:tcPr>
          <w:p>
            <w:pPr>
              <w:spacing w:after="0"/>
              <w:rPr>
                <w:sz w:val="1"/>
                <w:szCs w:val="1"/>
                <w:color w:val="auto"/>
              </w:rPr>
            </w:pPr>
          </w:p>
        </w:tc>
      </w:tr>
      <w:tr>
        <w:trPr>
          <w:trHeight w:val="231"/>
        </w:trPr>
        <w:tc>
          <w:tcPr>
            <w:tcW w:w="1900" w:type="dxa"/>
            <w:vAlign w:val="bottom"/>
          </w:tcPr>
          <w:p>
            <w:pPr>
              <w:spacing w:after="0"/>
              <w:rPr>
                <w:sz w:val="20"/>
                <w:szCs w:val="20"/>
                <w:color w:val="auto"/>
              </w:rPr>
            </w:pPr>
          </w:p>
        </w:tc>
        <w:tc>
          <w:tcPr>
            <w:tcW w:w="7120" w:type="dxa"/>
            <w:vAlign w:val="bottom"/>
          </w:tcPr>
          <w:p>
            <w:pPr>
              <w:ind w:left="24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Reviews and approves corporate goals and objectives for compensation, evaluates</w:t>
            </w:r>
          </w:p>
        </w:tc>
        <w:tc>
          <w:tcPr>
            <w:tcW w:w="0" w:type="dxa"/>
            <w:vAlign w:val="bottom"/>
          </w:tcPr>
          <w:p>
            <w:pPr>
              <w:spacing w:after="0"/>
              <w:rPr>
                <w:sz w:val="1"/>
                <w:szCs w:val="1"/>
                <w:color w:val="auto"/>
              </w:rPr>
            </w:pPr>
          </w:p>
        </w:tc>
      </w:tr>
      <w:tr>
        <w:trPr>
          <w:trHeight w:val="215"/>
        </w:trPr>
        <w:tc>
          <w:tcPr>
            <w:tcW w:w="1900" w:type="dxa"/>
            <w:vAlign w:val="bottom"/>
          </w:tcPr>
          <w:p>
            <w:pPr>
              <w:spacing w:after="0"/>
              <w:rPr>
                <w:sz w:val="18"/>
                <w:szCs w:val="18"/>
                <w:color w:val="auto"/>
              </w:rPr>
            </w:pPr>
          </w:p>
        </w:tc>
        <w:tc>
          <w:tcPr>
            <w:tcW w:w="7120" w:type="dxa"/>
            <w:vAlign w:val="bottom"/>
          </w:tcPr>
          <w:p>
            <w:pPr>
              <w:ind w:left="440"/>
              <w:spacing w:after="0"/>
              <w:rPr>
                <w:sz w:val="20"/>
                <w:szCs w:val="20"/>
                <w:color w:val="auto"/>
              </w:rPr>
            </w:pPr>
            <w:r>
              <w:rPr>
                <w:rFonts w:ascii="Arial" w:cs="Arial" w:eastAsia="Arial" w:hAnsi="Arial"/>
                <w:sz w:val="16"/>
                <w:szCs w:val="16"/>
                <w:color w:val="3D3935"/>
              </w:rPr>
              <w:t>performance (along with the full Board), and determines compensation levels for the CEO;</w:t>
            </w:r>
          </w:p>
        </w:tc>
        <w:tc>
          <w:tcPr>
            <w:tcW w:w="0" w:type="dxa"/>
            <w:vAlign w:val="bottom"/>
          </w:tcPr>
          <w:p>
            <w:pPr>
              <w:spacing w:after="0"/>
              <w:rPr>
                <w:sz w:val="1"/>
                <w:szCs w:val="1"/>
                <w:color w:val="auto"/>
              </w:rPr>
            </w:pPr>
          </w:p>
        </w:tc>
      </w:tr>
      <w:tr>
        <w:trPr>
          <w:trHeight w:val="231"/>
        </w:trPr>
        <w:tc>
          <w:tcPr>
            <w:tcW w:w="1900" w:type="dxa"/>
            <w:vAlign w:val="bottom"/>
          </w:tcPr>
          <w:p>
            <w:pPr>
              <w:spacing w:after="0"/>
              <w:rPr>
                <w:sz w:val="20"/>
                <w:szCs w:val="20"/>
                <w:color w:val="auto"/>
              </w:rPr>
            </w:pPr>
          </w:p>
        </w:tc>
        <w:tc>
          <w:tcPr>
            <w:tcW w:w="7120" w:type="dxa"/>
            <w:vAlign w:val="bottom"/>
          </w:tcPr>
          <w:p>
            <w:pPr>
              <w:ind w:left="24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Reviews and approves compensation of NEOs, executive officers, and other senior leaders</w:t>
            </w:r>
          </w:p>
        </w:tc>
        <w:tc>
          <w:tcPr>
            <w:tcW w:w="0" w:type="dxa"/>
            <w:vAlign w:val="bottom"/>
          </w:tcPr>
          <w:p>
            <w:pPr>
              <w:spacing w:after="0"/>
              <w:rPr>
                <w:sz w:val="1"/>
                <w:szCs w:val="1"/>
                <w:color w:val="auto"/>
              </w:rPr>
            </w:pPr>
          </w:p>
        </w:tc>
      </w:tr>
      <w:tr>
        <w:trPr>
          <w:trHeight w:val="215"/>
        </w:trPr>
        <w:tc>
          <w:tcPr>
            <w:tcW w:w="1900" w:type="dxa"/>
            <w:vAlign w:val="bottom"/>
          </w:tcPr>
          <w:p>
            <w:pPr>
              <w:spacing w:after="0"/>
              <w:rPr>
                <w:sz w:val="18"/>
                <w:szCs w:val="18"/>
                <w:color w:val="auto"/>
              </w:rPr>
            </w:pPr>
          </w:p>
        </w:tc>
        <w:tc>
          <w:tcPr>
            <w:tcW w:w="7120" w:type="dxa"/>
            <w:vAlign w:val="bottom"/>
          </w:tcPr>
          <w:p>
            <w:pPr>
              <w:ind w:left="440"/>
              <w:spacing w:after="0"/>
              <w:rPr>
                <w:sz w:val="20"/>
                <w:szCs w:val="20"/>
                <w:color w:val="auto"/>
              </w:rPr>
            </w:pPr>
            <w:r>
              <w:rPr>
                <w:rFonts w:ascii="Arial" w:cs="Arial" w:eastAsia="Arial" w:hAnsi="Arial"/>
                <w:sz w:val="16"/>
                <w:szCs w:val="16"/>
                <w:color w:val="3D3935"/>
              </w:rPr>
              <w:t>under its purview; and</w:t>
            </w:r>
          </w:p>
        </w:tc>
        <w:tc>
          <w:tcPr>
            <w:tcW w:w="0" w:type="dxa"/>
            <w:vAlign w:val="bottom"/>
          </w:tcPr>
          <w:p>
            <w:pPr>
              <w:spacing w:after="0"/>
              <w:rPr>
                <w:sz w:val="1"/>
                <w:szCs w:val="1"/>
                <w:color w:val="auto"/>
              </w:rPr>
            </w:pPr>
          </w:p>
        </w:tc>
      </w:tr>
      <w:tr>
        <w:trPr>
          <w:trHeight w:val="258"/>
        </w:trPr>
        <w:tc>
          <w:tcPr>
            <w:tcW w:w="1900" w:type="dxa"/>
            <w:vAlign w:val="bottom"/>
          </w:tcPr>
          <w:p>
            <w:pPr>
              <w:spacing w:after="0"/>
              <w:rPr>
                <w:sz w:val="20"/>
                <w:szCs w:val="20"/>
                <w:color w:val="auto"/>
              </w:rPr>
            </w:pPr>
            <w:r>
              <w:rPr>
                <w:rFonts w:ascii="Arial" w:cs="Arial" w:eastAsia="Arial" w:hAnsi="Arial"/>
                <w:sz w:val="18"/>
                <w:szCs w:val="18"/>
                <w:b w:val="1"/>
                <w:bCs w:val="1"/>
                <w:color w:val="0072CE"/>
              </w:rPr>
              <w:t>Wesley G. Bush</w:t>
            </w:r>
          </w:p>
        </w:tc>
        <w:tc>
          <w:tcPr>
            <w:tcW w:w="7120" w:type="dxa"/>
            <w:vAlign w:val="bottom"/>
          </w:tcPr>
          <w:p>
            <w:pPr>
              <w:ind w:left="24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Reviews compensation policies and practices so that the plans do not encourage</w:t>
            </w:r>
          </w:p>
        </w:tc>
        <w:tc>
          <w:tcPr>
            <w:tcW w:w="0" w:type="dxa"/>
            <w:vAlign w:val="bottom"/>
          </w:tcPr>
          <w:p>
            <w:pPr>
              <w:spacing w:after="0"/>
              <w:rPr>
                <w:sz w:val="1"/>
                <w:szCs w:val="1"/>
                <w:color w:val="auto"/>
              </w:rPr>
            </w:pPr>
          </w:p>
        </w:tc>
      </w:tr>
      <w:tr>
        <w:trPr>
          <w:trHeight w:val="203"/>
        </w:trPr>
        <w:tc>
          <w:tcPr>
            <w:tcW w:w="1900" w:type="dxa"/>
            <w:vAlign w:val="bottom"/>
            <w:vMerge w:val="restart"/>
          </w:tcPr>
          <w:p>
            <w:pPr>
              <w:spacing w:after="0"/>
              <w:rPr>
                <w:sz w:val="20"/>
                <w:szCs w:val="20"/>
                <w:color w:val="auto"/>
              </w:rPr>
            </w:pPr>
            <w:r>
              <w:rPr>
                <w:rFonts w:ascii="Arial" w:cs="Arial" w:eastAsia="Arial" w:hAnsi="Arial"/>
                <w:sz w:val="16"/>
                <w:szCs w:val="16"/>
                <w:color w:val="3D3935"/>
              </w:rPr>
              <w:t>Chair</w:t>
            </w:r>
          </w:p>
        </w:tc>
        <w:tc>
          <w:tcPr>
            <w:tcW w:w="7120" w:type="dxa"/>
            <w:vAlign w:val="bottom"/>
          </w:tcPr>
          <w:p>
            <w:pPr>
              <w:ind w:left="440"/>
              <w:spacing w:after="0"/>
              <w:rPr>
                <w:sz w:val="20"/>
                <w:szCs w:val="20"/>
                <w:color w:val="auto"/>
              </w:rPr>
            </w:pPr>
            <w:r>
              <w:rPr>
                <w:rFonts w:ascii="Arial" w:cs="Arial" w:eastAsia="Arial" w:hAnsi="Arial"/>
                <w:sz w:val="16"/>
                <w:szCs w:val="16"/>
                <w:color w:val="3D3935"/>
              </w:rPr>
              <w:t>unnecessary or excessive risk-taking.</w:t>
            </w:r>
          </w:p>
        </w:tc>
        <w:tc>
          <w:tcPr>
            <w:tcW w:w="0" w:type="dxa"/>
            <w:vAlign w:val="bottom"/>
          </w:tcPr>
          <w:p>
            <w:pPr>
              <w:spacing w:after="0"/>
              <w:rPr>
                <w:sz w:val="1"/>
                <w:szCs w:val="1"/>
                <w:color w:val="auto"/>
              </w:rPr>
            </w:pPr>
          </w:p>
        </w:tc>
      </w:tr>
      <w:tr>
        <w:trPr>
          <w:trHeight w:val="52"/>
        </w:trPr>
        <w:tc>
          <w:tcPr>
            <w:tcW w:w="1900" w:type="dxa"/>
            <w:vAlign w:val="bottom"/>
            <w:vMerge w:val="continue"/>
          </w:tcPr>
          <w:p>
            <w:pPr>
              <w:spacing w:after="0"/>
              <w:rPr>
                <w:sz w:val="4"/>
                <w:szCs w:val="4"/>
                <w:color w:val="auto"/>
              </w:rPr>
            </w:pPr>
          </w:p>
        </w:tc>
        <w:tc>
          <w:tcPr>
            <w:tcW w:w="7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5"/>
        </w:trPr>
        <w:tc>
          <w:tcPr>
            <w:tcW w:w="1900" w:type="dxa"/>
            <w:vAlign w:val="bottom"/>
          </w:tcPr>
          <w:p>
            <w:pPr>
              <w:spacing w:after="0"/>
              <w:rPr>
                <w:sz w:val="20"/>
                <w:szCs w:val="20"/>
                <w:color w:val="auto"/>
              </w:rPr>
            </w:pPr>
            <w:r>
              <w:rPr>
                <w:rFonts w:ascii="Arial" w:cs="Arial" w:eastAsia="Arial" w:hAnsi="Arial"/>
                <w:sz w:val="16"/>
                <w:szCs w:val="16"/>
                <w:b w:val="1"/>
                <w:bCs w:val="1"/>
                <w:color w:val="0072CE"/>
              </w:rPr>
              <w:t>Committee Members:</w:t>
            </w:r>
          </w:p>
        </w:tc>
        <w:tc>
          <w:tcPr>
            <w:tcW w:w="7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900" w:type="dxa"/>
            <w:vAlign w:val="bottom"/>
          </w:tcPr>
          <w:p>
            <w:pPr>
              <w:spacing w:after="0"/>
              <w:rPr>
                <w:sz w:val="20"/>
                <w:szCs w:val="20"/>
                <w:color w:val="auto"/>
              </w:rPr>
            </w:pPr>
            <w:r>
              <w:rPr>
                <w:rFonts w:ascii="Arial" w:cs="Arial" w:eastAsia="Arial" w:hAnsi="Arial"/>
                <w:sz w:val="16"/>
                <w:szCs w:val="16"/>
                <w:color w:val="3D3935"/>
              </w:rPr>
              <w:t>Wesley G. Bush</w:t>
            </w:r>
          </w:p>
        </w:tc>
        <w:tc>
          <w:tcPr>
            <w:tcW w:w="7120" w:type="dxa"/>
            <w:vAlign w:val="bottom"/>
            <w:vMerge w:val="restart"/>
          </w:tcPr>
          <w:p>
            <w:pPr>
              <w:ind w:left="240"/>
              <w:spacing w:after="0"/>
              <w:rPr>
                <w:sz w:val="20"/>
                <w:szCs w:val="20"/>
                <w:color w:val="auto"/>
              </w:rPr>
            </w:pPr>
            <w:r>
              <w:rPr>
                <w:rFonts w:ascii="Arial" w:cs="Arial" w:eastAsia="Arial" w:hAnsi="Arial"/>
                <w:sz w:val="22"/>
                <w:szCs w:val="22"/>
                <w:b w:val="1"/>
                <w:bCs w:val="1"/>
                <w:color w:val="3D3935"/>
              </w:rPr>
              <w:t>Recent Activities and Key Focus Areas</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20"/>
                <w:szCs w:val="20"/>
                <w:color w:val="auto"/>
              </w:rPr>
            </w:pPr>
            <w:r>
              <w:rPr>
                <w:rFonts w:ascii="Arial" w:cs="Arial" w:eastAsia="Arial" w:hAnsi="Arial"/>
                <w:sz w:val="16"/>
                <w:szCs w:val="16"/>
                <w:color w:val="3D3935"/>
              </w:rPr>
              <w:t>Joseph Jimenez</w:t>
            </w:r>
          </w:p>
        </w:tc>
        <w:tc>
          <w:tcPr>
            <w:tcW w:w="7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900" w:type="dxa"/>
            <w:vAlign w:val="bottom"/>
          </w:tcPr>
          <w:p>
            <w:pPr>
              <w:spacing w:after="0"/>
              <w:rPr>
                <w:sz w:val="20"/>
                <w:szCs w:val="20"/>
                <w:color w:val="auto"/>
              </w:rPr>
            </w:pPr>
            <w:r>
              <w:rPr>
                <w:rFonts w:ascii="Arial" w:cs="Arial" w:eastAsia="Arial" w:hAnsi="Arial"/>
                <w:sz w:val="16"/>
                <w:szCs w:val="16"/>
                <w:color w:val="3D3935"/>
              </w:rPr>
              <w:t>Patricia F. Russo</w:t>
            </w:r>
          </w:p>
        </w:tc>
        <w:tc>
          <w:tcPr>
            <w:tcW w:w="7120" w:type="dxa"/>
            <w:vAlign w:val="bottom"/>
          </w:tcPr>
          <w:p>
            <w:pPr>
              <w:ind w:left="24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Conducted extensive shareholder outreach to seek feedback on the Company’s</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20"/>
                <w:szCs w:val="20"/>
                <w:color w:val="auto"/>
              </w:rPr>
            </w:pPr>
            <w:r>
              <w:rPr>
                <w:rFonts w:ascii="Arial" w:cs="Arial" w:eastAsia="Arial" w:hAnsi="Arial"/>
                <w:sz w:val="16"/>
                <w:szCs w:val="16"/>
                <w:color w:val="3D3935"/>
              </w:rPr>
              <w:t>Devin Wenig^</w:t>
            </w:r>
          </w:p>
        </w:tc>
        <w:tc>
          <w:tcPr>
            <w:tcW w:w="7120" w:type="dxa"/>
            <w:vAlign w:val="bottom"/>
          </w:tcPr>
          <w:p>
            <w:pPr>
              <w:ind w:left="440"/>
              <w:spacing w:after="0"/>
              <w:rPr>
                <w:sz w:val="20"/>
                <w:szCs w:val="20"/>
                <w:color w:val="auto"/>
              </w:rPr>
            </w:pPr>
            <w:r>
              <w:rPr>
                <w:rFonts w:ascii="Arial" w:cs="Arial" w:eastAsia="Arial" w:hAnsi="Arial"/>
                <w:sz w:val="16"/>
                <w:szCs w:val="16"/>
                <w:color w:val="3D3935"/>
              </w:rPr>
              <w:t>executive compensation plans. For more information on the Board’s response to</w:t>
            </w:r>
          </w:p>
        </w:tc>
        <w:tc>
          <w:tcPr>
            <w:tcW w:w="0" w:type="dxa"/>
            <w:vAlign w:val="bottom"/>
          </w:tcPr>
          <w:p>
            <w:pPr>
              <w:spacing w:after="0"/>
              <w:rPr>
                <w:sz w:val="1"/>
                <w:szCs w:val="1"/>
                <w:color w:val="auto"/>
              </w:rPr>
            </w:pPr>
          </w:p>
        </w:tc>
      </w:tr>
      <w:tr>
        <w:trPr>
          <w:trHeight w:val="215"/>
        </w:trPr>
        <w:tc>
          <w:tcPr>
            <w:tcW w:w="1900" w:type="dxa"/>
            <w:vAlign w:val="bottom"/>
            <w:vMerge w:val="restart"/>
          </w:tcPr>
          <w:p>
            <w:pPr>
              <w:spacing w:after="0"/>
              <w:rPr>
                <w:sz w:val="20"/>
                <w:szCs w:val="20"/>
                <w:color w:val="auto"/>
              </w:rPr>
            </w:pPr>
            <w:r>
              <w:rPr>
                <w:rFonts w:ascii="Arial" w:cs="Arial" w:eastAsia="Arial" w:hAnsi="Arial"/>
                <w:sz w:val="16"/>
                <w:szCs w:val="16"/>
                <w:b w:val="1"/>
                <w:bCs w:val="1"/>
                <w:color w:val="0072CE"/>
              </w:rPr>
              <w:t>Meetings held in 2024:</w:t>
            </w:r>
          </w:p>
        </w:tc>
        <w:tc>
          <w:tcPr>
            <w:tcW w:w="7120" w:type="dxa"/>
            <w:vAlign w:val="bottom"/>
          </w:tcPr>
          <w:p>
            <w:pPr>
              <w:ind w:left="440"/>
              <w:spacing w:after="0"/>
              <w:rPr>
                <w:sz w:val="20"/>
                <w:szCs w:val="20"/>
                <w:color w:val="auto"/>
              </w:rPr>
            </w:pPr>
            <w:r>
              <w:rPr>
                <w:rFonts w:ascii="Arial" w:cs="Arial" w:eastAsia="Arial" w:hAnsi="Arial"/>
                <w:sz w:val="16"/>
                <w:szCs w:val="16"/>
                <w:color w:val="3D3935"/>
              </w:rPr>
              <w:t>shareholder feedback, please see pages 47-49 .</w:t>
            </w:r>
          </w:p>
        </w:tc>
        <w:tc>
          <w:tcPr>
            <w:tcW w:w="0" w:type="dxa"/>
            <w:vAlign w:val="bottom"/>
          </w:tcPr>
          <w:p>
            <w:pPr>
              <w:spacing w:after="0"/>
              <w:rPr>
                <w:sz w:val="1"/>
                <w:szCs w:val="1"/>
                <w:color w:val="auto"/>
              </w:rPr>
            </w:pPr>
          </w:p>
        </w:tc>
      </w:tr>
      <w:tr>
        <w:trPr>
          <w:trHeight w:val="82"/>
        </w:trPr>
        <w:tc>
          <w:tcPr>
            <w:tcW w:w="1900" w:type="dxa"/>
            <w:vAlign w:val="bottom"/>
            <w:vMerge w:val="continue"/>
          </w:tcPr>
          <w:p>
            <w:pPr>
              <w:spacing w:after="0"/>
              <w:rPr>
                <w:sz w:val="7"/>
                <w:szCs w:val="7"/>
                <w:color w:val="auto"/>
              </w:rPr>
            </w:pPr>
          </w:p>
        </w:tc>
        <w:tc>
          <w:tcPr>
            <w:tcW w:w="7120" w:type="dxa"/>
            <w:vAlign w:val="bottom"/>
            <w:vMerge w:val="restart"/>
          </w:tcPr>
          <w:p>
            <w:pPr>
              <w:ind w:left="24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Continued to evolve the Company’s incentive compensation plans to further align</w:t>
            </w:r>
          </w:p>
        </w:tc>
        <w:tc>
          <w:tcPr>
            <w:tcW w:w="0" w:type="dxa"/>
            <w:vAlign w:val="bottom"/>
          </w:tcPr>
          <w:p>
            <w:pPr>
              <w:spacing w:after="0"/>
              <w:rPr>
                <w:sz w:val="1"/>
                <w:szCs w:val="1"/>
                <w:color w:val="auto"/>
              </w:rPr>
            </w:pPr>
          </w:p>
        </w:tc>
      </w:tr>
      <w:tr>
        <w:trPr>
          <w:trHeight w:val="163"/>
        </w:trPr>
        <w:tc>
          <w:tcPr>
            <w:tcW w:w="1900" w:type="dxa"/>
            <w:vAlign w:val="bottom"/>
          </w:tcPr>
          <w:p>
            <w:pPr>
              <w:spacing w:after="0" w:line="163" w:lineRule="exact"/>
              <w:rPr>
                <w:sz w:val="20"/>
                <w:szCs w:val="20"/>
                <w:color w:val="auto"/>
              </w:rPr>
            </w:pPr>
            <w:r>
              <w:rPr>
                <w:rFonts w:ascii="Arial" w:cs="Arial" w:eastAsia="Arial" w:hAnsi="Arial"/>
                <w:sz w:val="16"/>
                <w:szCs w:val="16"/>
                <w:color w:val="3D3935"/>
              </w:rPr>
              <w:t>4</w:t>
            </w:r>
          </w:p>
        </w:tc>
        <w:tc>
          <w:tcPr>
            <w:tcW w:w="7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900" w:type="dxa"/>
            <w:vAlign w:val="bottom"/>
          </w:tcPr>
          <w:p>
            <w:pPr>
              <w:spacing w:after="0"/>
              <w:rPr>
                <w:sz w:val="18"/>
                <w:szCs w:val="18"/>
                <w:color w:val="auto"/>
              </w:rPr>
            </w:pPr>
          </w:p>
        </w:tc>
        <w:tc>
          <w:tcPr>
            <w:tcW w:w="7120" w:type="dxa"/>
            <w:vAlign w:val="bottom"/>
          </w:tcPr>
          <w:p>
            <w:pPr>
              <w:ind w:left="440"/>
              <w:spacing w:after="0"/>
              <w:rPr>
                <w:sz w:val="20"/>
                <w:szCs w:val="20"/>
                <w:color w:val="auto"/>
              </w:rPr>
            </w:pPr>
            <w:r>
              <w:rPr>
                <w:rFonts w:ascii="Arial" w:cs="Arial" w:eastAsia="Arial" w:hAnsi="Arial"/>
                <w:sz w:val="16"/>
                <w:szCs w:val="16"/>
                <w:color w:val="3D3935"/>
              </w:rPr>
              <w:t>incentives to the Company’s strategic pillars.</w:t>
            </w: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2400" w:right="360" w:hanging="193"/>
        <w:spacing w:after="0" w:line="304" w:lineRule="auto"/>
        <w:tabs>
          <w:tab w:leader="none" w:pos="2400" w:val="left"/>
        </w:tabs>
        <w:numPr>
          <w:ilvl w:val="1"/>
          <w:numId w:val="49"/>
        </w:numPr>
        <w:rPr>
          <w:rFonts w:ascii="Arial" w:cs="Arial" w:eastAsia="Arial" w:hAnsi="Arial"/>
          <w:sz w:val="16"/>
          <w:szCs w:val="16"/>
          <w:color w:val="0072CE"/>
        </w:rPr>
      </w:pPr>
      <w:r>
        <w:rPr>
          <w:rFonts w:ascii="Arial" w:cs="Arial" w:eastAsia="Arial" w:hAnsi="Arial"/>
          <w:sz w:val="16"/>
          <w:szCs w:val="16"/>
          <w:color w:val="3D3935"/>
        </w:rPr>
        <w:t>Conducted an assessment of the Company’s compensation programs to ensure that the company can attract talent to drive the transformation.</w:t>
      </w:r>
    </w:p>
    <w:p>
      <w:pPr>
        <w:spacing w:after="0" w:line="240" w:lineRule="exact"/>
        <w:rPr>
          <w:rFonts w:ascii="Arial" w:cs="Arial" w:eastAsia="Arial" w:hAnsi="Arial"/>
          <w:sz w:val="16"/>
          <w:szCs w:val="16"/>
          <w:color w:val="0072CE"/>
        </w:rPr>
      </w:pPr>
    </w:p>
    <w:p>
      <w:pPr>
        <w:ind w:left="200" w:hanging="192"/>
        <w:spacing w:after="0"/>
        <w:tabs>
          <w:tab w:leader="none" w:pos="200" w:val="left"/>
        </w:tabs>
        <w:numPr>
          <w:ilvl w:val="0"/>
          <w:numId w:val="49"/>
        </w:numPr>
        <w:rPr>
          <w:rFonts w:ascii="Arial" w:cs="Arial" w:eastAsia="Arial" w:hAnsi="Arial"/>
          <w:sz w:val="14"/>
          <w:szCs w:val="14"/>
          <w:color w:val="3D3935"/>
        </w:rPr>
      </w:pPr>
      <w:r>
        <w:rPr>
          <w:rFonts w:ascii="Arial" w:cs="Arial" w:eastAsia="Arial" w:hAnsi="Arial"/>
          <w:sz w:val="14"/>
          <w:szCs w:val="14"/>
          <w:color w:val="3D3935"/>
        </w:rPr>
        <w:t>New Committee Chair following 2025 Annual Meeting of Shareholders</w:t>
      </w:r>
    </w:p>
    <w:p>
      <w:pPr>
        <w:spacing w:after="0" w:line="55" w:lineRule="exact"/>
        <w:rPr>
          <w:sz w:val="20"/>
          <w:szCs w:val="20"/>
          <w:color w:val="auto"/>
        </w:rPr>
      </w:pPr>
    </w:p>
    <w:p>
      <w:pPr>
        <w:spacing w:after="0"/>
        <w:tabs>
          <w:tab w:leader="none" w:pos="160" w:val="left"/>
        </w:tabs>
        <w:rPr>
          <w:sz w:val="20"/>
          <w:szCs w:val="20"/>
          <w:color w:val="auto"/>
        </w:rPr>
      </w:pPr>
      <w:r>
        <w:rPr>
          <w:rFonts w:ascii="Arial" w:cs="Arial" w:eastAsia="Arial" w:hAnsi="Arial"/>
          <w:sz w:val="14"/>
          <w:szCs w:val="14"/>
          <w:color w:val="3D3935"/>
        </w:rPr>
        <w:t>*</w:t>
        <w:tab/>
        <w:t>Not standing for re-election in 2025</w:t>
      </w:r>
    </w:p>
    <w:p>
      <w:pPr>
        <w:spacing w:after="0" w:line="200" w:lineRule="exact"/>
        <w:rPr>
          <w:sz w:val="20"/>
          <w:szCs w:val="20"/>
          <w:color w:val="auto"/>
        </w:rPr>
      </w:pPr>
    </w:p>
    <w:p>
      <w:pPr>
        <w:spacing w:after="0" w:line="247"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3D3935"/>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511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10375" cy="511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0072CE"/>
        </w:rPr>
        <w:t>Finance</w:t>
      </w:r>
    </w:p>
    <w:p>
      <w:pPr>
        <w:sectPr>
          <w:pgSz w:w="11900" w:h="16838" w:orient="portrait"/>
          <w:cols w:equalWidth="0" w:num="1">
            <w:col w:w="9080"/>
          </w:cols>
          <w:pgMar w:left="1400" w:top="91"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0072CE"/>
        </w:rPr>
        <w:t>Joseph Jimenez</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16"/>
          <w:szCs w:val="16"/>
          <w:color w:val="3D3935"/>
        </w:rPr>
        <w:t>Chair</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072CE"/>
        </w:rPr>
        <w:t>Committee Members:</w:t>
      </w:r>
    </w:p>
    <w:p>
      <w:pPr>
        <w:spacing w:after="0" w:line="21" w:lineRule="exact"/>
        <w:rPr>
          <w:sz w:val="20"/>
          <w:szCs w:val="20"/>
          <w:color w:val="auto"/>
        </w:rPr>
      </w:pPr>
    </w:p>
    <w:p>
      <w:pPr>
        <w:ind w:left="60" w:right="120"/>
        <w:spacing w:after="0" w:line="237" w:lineRule="auto"/>
        <w:rPr>
          <w:sz w:val="20"/>
          <w:szCs w:val="20"/>
          <w:color w:val="auto"/>
        </w:rPr>
      </w:pPr>
      <w:r>
        <w:rPr>
          <w:rFonts w:ascii="Arial" w:cs="Arial" w:eastAsia="Arial" w:hAnsi="Arial"/>
          <w:sz w:val="16"/>
          <w:szCs w:val="16"/>
          <w:color w:val="3D3935"/>
        </w:rPr>
        <w:t>Wesley G. Bush Joanne C. Crevoiserat</w:t>
      </w:r>
    </w:p>
    <w:p>
      <w:pPr>
        <w:spacing w:after="0" w:line="1" w:lineRule="exact"/>
        <w:rPr>
          <w:sz w:val="20"/>
          <w:szCs w:val="20"/>
          <w:color w:val="auto"/>
        </w:rPr>
      </w:pPr>
    </w:p>
    <w:p>
      <w:pPr>
        <w:ind w:left="60" w:right="140"/>
        <w:spacing w:after="0" w:line="252" w:lineRule="auto"/>
        <w:rPr>
          <w:sz w:val="20"/>
          <w:szCs w:val="20"/>
          <w:color w:val="auto"/>
        </w:rPr>
      </w:pPr>
      <w:r>
        <w:rPr>
          <w:rFonts w:ascii="Arial" w:cs="Arial" w:eastAsia="Arial" w:hAnsi="Arial"/>
          <w:sz w:val="16"/>
          <w:szCs w:val="16"/>
          <w:color w:val="3D3935"/>
        </w:rPr>
        <w:t>Joseph Jimenez Judith A. Miscik Patricia F. Russo Thomas M. Schoewe*</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072CE"/>
        </w:rPr>
        <w:t>Meetings held in 2024:</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3D3935"/>
        </w:rPr>
        <w:t>4</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Key Responsibilities</w:t>
      </w:r>
    </w:p>
    <w:p>
      <w:pPr>
        <w:spacing w:after="0" w:line="153" w:lineRule="exact"/>
        <w:rPr>
          <w:sz w:val="20"/>
          <w:szCs w:val="20"/>
          <w:color w:val="auto"/>
        </w:rPr>
      </w:pPr>
    </w:p>
    <w:p>
      <w:pPr>
        <w:ind w:left="200" w:hanging="193"/>
        <w:spacing w:after="0"/>
        <w:tabs>
          <w:tab w:leader="none" w:pos="200" w:val="left"/>
        </w:tabs>
        <w:numPr>
          <w:ilvl w:val="0"/>
          <w:numId w:val="50"/>
        </w:numPr>
        <w:rPr>
          <w:rFonts w:ascii="Arial" w:cs="Arial" w:eastAsia="Arial" w:hAnsi="Arial"/>
          <w:sz w:val="16"/>
          <w:szCs w:val="16"/>
          <w:color w:val="0072CE"/>
        </w:rPr>
      </w:pPr>
      <w:r>
        <w:rPr>
          <w:rFonts w:ascii="Arial" w:cs="Arial" w:eastAsia="Arial" w:hAnsi="Arial"/>
          <w:sz w:val="16"/>
          <w:szCs w:val="16"/>
          <w:color w:val="3D3935"/>
        </w:rPr>
        <w:t>Reviews financial policies, strategies, and capital structure;</w:t>
      </w:r>
    </w:p>
    <w:p>
      <w:pPr>
        <w:spacing w:after="0" w:line="59" w:lineRule="exact"/>
        <w:rPr>
          <w:rFonts w:ascii="Arial" w:cs="Arial" w:eastAsia="Arial" w:hAnsi="Arial"/>
          <w:sz w:val="16"/>
          <w:szCs w:val="16"/>
          <w:color w:val="0072CE"/>
        </w:rPr>
      </w:pPr>
    </w:p>
    <w:p>
      <w:pPr>
        <w:ind w:left="200" w:right="220" w:hanging="193"/>
        <w:spacing w:after="0" w:line="257" w:lineRule="auto"/>
        <w:tabs>
          <w:tab w:leader="none" w:pos="200" w:val="left"/>
        </w:tabs>
        <w:numPr>
          <w:ilvl w:val="0"/>
          <w:numId w:val="50"/>
        </w:numPr>
        <w:rPr>
          <w:rFonts w:ascii="Arial" w:cs="Arial" w:eastAsia="Arial" w:hAnsi="Arial"/>
          <w:sz w:val="16"/>
          <w:szCs w:val="16"/>
          <w:color w:val="0072CE"/>
        </w:rPr>
      </w:pPr>
      <w:r>
        <w:rPr>
          <w:rFonts w:ascii="Arial" w:cs="Arial" w:eastAsia="Arial" w:hAnsi="Arial"/>
          <w:sz w:val="16"/>
          <w:szCs w:val="16"/>
          <w:color w:val="3D3935"/>
        </w:rPr>
        <w:t>Reviews the Company’s cash management policies and proposed capital allocation plans, capital expenditures, dividend actions, stock repurchase programs, issuances of debt or equity securities, and credit facility and other borrowings;</w:t>
      </w:r>
    </w:p>
    <w:p>
      <w:pPr>
        <w:spacing w:after="0" w:line="16" w:lineRule="exact"/>
        <w:rPr>
          <w:rFonts w:ascii="Arial" w:cs="Arial" w:eastAsia="Arial" w:hAnsi="Arial"/>
          <w:sz w:val="16"/>
          <w:szCs w:val="16"/>
          <w:color w:val="0072CE"/>
        </w:rPr>
      </w:pPr>
    </w:p>
    <w:p>
      <w:pPr>
        <w:ind w:left="200" w:right="80" w:hanging="193"/>
        <w:spacing w:after="0" w:line="281" w:lineRule="auto"/>
        <w:tabs>
          <w:tab w:leader="none" w:pos="200" w:val="left"/>
        </w:tabs>
        <w:numPr>
          <w:ilvl w:val="0"/>
          <w:numId w:val="50"/>
        </w:numPr>
        <w:rPr>
          <w:rFonts w:ascii="Arial" w:cs="Arial" w:eastAsia="Arial" w:hAnsi="Arial"/>
          <w:sz w:val="16"/>
          <w:szCs w:val="16"/>
          <w:color w:val="0072CE"/>
        </w:rPr>
      </w:pPr>
      <w:r>
        <w:rPr>
          <w:rFonts w:ascii="Arial" w:cs="Arial" w:eastAsia="Arial" w:hAnsi="Arial"/>
          <w:sz w:val="16"/>
          <w:szCs w:val="16"/>
          <w:color w:val="3D3935"/>
        </w:rPr>
        <w:t>Reviews any significant financial exposures and risks, including foreign exchange, interest rate, and commodities exposures, and the use of derivatives to hedge those exposures; and</w:t>
      </w:r>
    </w:p>
    <w:p>
      <w:pPr>
        <w:spacing w:after="0" w:line="1" w:lineRule="exact"/>
        <w:rPr>
          <w:rFonts w:ascii="Arial" w:cs="Arial" w:eastAsia="Arial" w:hAnsi="Arial"/>
          <w:sz w:val="16"/>
          <w:szCs w:val="16"/>
          <w:color w:val="0072CE"/>
        </w:rPr>
      </w:pPr>
    </w:p>
    <w:p>
      <w:pPr>
        <w:ind w:left="200" w:right="780" w:hanging="193"/>
        <w:spacing w:after="0" w:line="286" w:lineRule="auto"/>
        <w:tabs>
          <w:tab w:leader="none" w:pos="200" w:val="left"/>
        </w:tabs>
        <w:numPr>
          <w:ilvl w:val="0"/>
          <w:numId w:val="50"/>
        </w:numPr>
        <w:rPr>
          <w:rFonts w:ascii="Arial" w:cs="Arial" w:eastAsia="Arial" w:hAnsi="Arial"/>
          <w:sz w:val="16"/>
          <w:szCs w:val="16"/>
          <w:color w:val="0072CE"/>
        </w:rPr>
      </w:pPr>
      <w:r>
        <w:rPr>
          <w:rFonts w:ascii="Arial" w:cs="Arial" w:eastAsia="Arial" w:hAnsi="Arial"/>
          <w:sz w:val="16"/>
          <w:szCs w:val="16"/>
          <w:color w:val="3D3935"/>
        </w:rPr>
        <w:t>Reviews any strategic investments and similar transactions, including acquisitions, divestitures and partnerships, and similar collaborations.</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Recent Activities and Key Focus Areas</w:t>
      </w:r>
    </w:p>
    <w:p>
      <w:pPr>
        <w:spacing w:after="0" w:line="112" w:lineRule="exact"/>
        <w:rPr>
          <w:sz w:val="20"/>
          <w:szCs w:val="20"/>
          <w:color w:val="auto"/>
        </w:rPr>
      </w:pPr>
    </w:p>
    <w:p>
      <w:pPr>
        <w:ind w:left="200" w:right="660" w:hanging="193"/>
        <w:spacing w:after="0" w:line="266" w:lineRule="auto"/>
        <w:tabs>
          <w:tab w:leader="none" w:pos="200" w:val="left"/>
        </w:tabs>
        <w:numPr>
          <w:ilvl w:val="0"/>
          <w:numId w:val="51"/>
        </w:numPr>
        <w:rPr>
          <w:rFonts w:ascii="Arial" w:cs="Arial" w:eastAsia="Arial" w:hAnsi="Arial"/>
          <w:sz w:val="16"/>
          <w:szCs w:val="16"/>
          <w:color w:val="0072CE"/>
        </w:rPr>
      </w:pPr>
      <w:r>
        <w:rPr>
          <w:rFonts w:ascii="Arial" w:cs="Arial" w:eastAsia="Arial" w:hAnsi="Arial"/>
          <w:sz w:val="16"/>
          <w:szCs w:val="16"/>
          <w:color w:val="3D3935"/>
        </w:rPr>
        <w:t>Reviewed the Company’s capital allocation framework and recommended the Board increase the share repurchase program by $6 billion in Q2 2024 and monitored the quarterly dividend.</w:t>
      </w:r>
    </w:p>
    <w:p>
      <w:pPr>
        <w:spacing w:after="0" w:line="9" w:lineRule="exact"/>
        <w:rPr>
          <w:rFonts w:ascii="Arial" w:cs="Arial" w:eastAsia="Arial" w:hAnsi="Arial"/>
          <w:sz w:val="16"/>
          <w:szCs w:val="16"/>
          <w:color w:val="0072CE"/>
        </w:rPr>
      </w:pPr>
    </w:p>
    <w:p>
      <w:pPr>
        <w:ind w:left="200" w:right="640" w:hanging="193"/>
        <w:spacing w:after="0" w:line="257" w:lineRule="auto"/>
        <w:tabs>
          <w:tab w:leader="none" w:pos="200" w:val="left"/>
        </w:tabs>
        <w:numPr>
          <w:ilvl w:val="0"/>
          <w:numId w:val="51"/>
        </w:numPr>
        <w:rPr>
          <w:rFonts w:ascii="Arial" w:cs="Arial" w:eastAsia="Arial" w:hAnsi="Arial"/>
          <w:sz w:val="16"/>
          <w:szCs w:val="16"/>
          <w:color w:val="0072CE"/>
        </w:rPr>
      </w:pPr>
      <w:r>
        <w:rPr>
          <w:rFonts w:ascii="Arial" w:cs="Arial" w:eastAsia="Arial" w:hAnsi="Arial"/>
          <w:sz w:val="16"/>
          <w:szCs w:val="16"/>
          <w:color w:val="3D3935"/>
        </w:rPr>
        <w:t>Regularly reviewed the financial performance of the Company’s vehicle portfolio and recommended the Board approve certain vehicle programs, while also monitoring momentum on EV sales and franchise profitability.</w:t>
      </w:r>
    </w:p>
    <w:p>
      <w:pPr>
        <w:spacing w:after="0" w:line="16" w:lineRule="exact"/>
        <w:rPr>
          <w:rFonts w:ascii="Arial" w:cs="Arial" w:eastAsia="Arial" w:hAnsi="Arial"/>
          <w:sz w:val="16"/>
          <w:szCs w:val="16"/>
          <w:color w:val="0072CE"/>
        </w:rPr>
      </w:pPr>
    </w:p>
    <w:p>
      <w:pPr>
        <w:jc w:val="both"/>
        <w:ind w:left="200" w:right="1020" w:hanging="193"/>
        <w:spacing w:after="0" w:line="281" w:lineRule="auto"/>
        <w:tabs>
          <w:tab w:leader="none" w:pos="200" w:val="left"/>
        </w:tabs>
        <w:numPr>
          <w:ilvl w:val="0"/>
          <w:numId w:val="51"/>
        </w:numPr>
        <w:rPr>
          <w:rFonts w:ascii="Arial" w:cs="Arial" w:eastAsia="Arial" w:hAnsi="Arial"/>
          <w:sz w:val="16"/>
          <w:szCs w:val="16"/>
          <w:color w:val="0072CE"/>
        </w:rPr>
      </w:pPr>
      <w:r>
        <w:rPr>
          <w:rFonts w:ascii="Arial" w:cs="Arial" w:eastAsia="Arial" w:hAnsi="Arial"/>
          <w:sz w:val="16"/>
          <w:szCs w:val="16"/>
          <w:color w:val="3D3935"/>
        </w:rPr>
        <w:t>Continued to support the Company’s battery raw material strategy by reviewing strategic transactions that diversified the supply chain and enhanced resiliency.</w:t>
      </w:r>
    </w:p>
    <w:p>
      <w:pPr>
        <w:spacing w:after="0" w:line="1" w:lineRule="exact"/>
        <w:rPr>
          <w:rFonts w:ascii="Arial" w:cs="Arial" w:eastAsia="Arial" w:hAnsi="Arial"/>
          <w:sz w:val="16"/>
          <w:szCs w:val="16"/>
          <w:color w:val="0072CE"/>
        </w:rPr>
      </w:pPr>
    </w:p>
    <w:p>
      <w:pPr>
        <w:ind w:left="200" w:right="680" w:hanging="193"/>
        <w:spacing w:after="0" w:line="286" w:lineRule="auto"/>
        <w:tabs>
          <w:tab w:leader="none" w:pos="200" w:val="left"/>
        </w:tabs>
        <w:numPr>
          <w:ilvl w:val="0"/>
          <w:numId w:val="51"/>
        </w:numPr>
        <w:rPr>
          <w:rFonts w:ascii="Arial" w:cs="Arial" w:eastAsia="Arial" w:hAnsi="Arial"/>
          <w:sz w:val="16"/>
          <w:szCs w:val="16"/>
          <w:color w:val="0072CE"/>
        </w:rPr>
      </w:pPr>
      <w:r>
        <w:rPr>
          <w:rFonts w:ascii="Arial" w:cs="Arial" w:eastAsia="Arial" w:hAnsi="Arial"/>
          <w:sz w:val="16"/>
          <w:szCs w:val="16"/>
          <w:color w:val="3D3935"/>
        </w:rPr>
        <w:t>Oversaw the Company’s long-term plan to deliver sustainable earnings amongst EV adoption and regulatory uncertainty and restructuring efforts in China.</w:t>
      </w:r>
    </w:p>
    <w:p>
      <w:pPr>
        <w:spacing w:after="0" w:line="200" w:lineRule="exact"/>
        <w:rPr>
          <w:sz w:val="20"/>
          <w:szCs w:val="20"/>
          <w:color w:val="auto"/>
        </w:rPr>
      </w:pPr>
    </w:p>
    <w:p>
      <w:pPr>
        <w:sectPr>
          <w:pgSz w:w="11900" w:h="16838" w:orient="portrait"/>
          <w:cols w:equalWidth="0" w:num="2">
            <w:col w:w="1780" w:space="420"/>
            <w:col w:w="6880"/>
          </w:cols>
          <w:pgMar w:left="1400" w:top="91" w:right="1419" w:bottom="0" w:gutter="0" w:footer="0" w:header="0"/>
          <w:type w:val="continuous"/>
        </w:sectPr>
      </w:pPr>
    </w:p>
    <w:p>
      <w:pPr>
        <w:spacing w:after="0" w:line="14" w:lineRule="exact"/>
        <w:rPr>
          <w:sz w:val="20"/>
          <w:szCs w:val="20"/>
          <w:color w:val="auto"/>
        </w:rPr>
      </w:pPr>
    </w:p>
    <w:p>
      <w:pPr>
        <w:spacing w:after="0"/>
        <w:tabs>
          <w:tab w:leader="none" w:pos="160" w:val="left"/>
        </w:tabs>
        <w:rPr>
          <w:sz w:val="20"/>
          <w:szCs w:val="20"/>
          <w:color w:val="auto"/>
        </w:rPr>
      </w:pPr>
      <w:r>
        <w:rPr>
          <w:rFonts w:ascii="Arial" w:cs="Arial" w:eastAsia="Arial" w:hAnsi="Arial"/>
          <w:sz w:val="14"/>
          <w:szCs w:val="14"/>
          <w:color w:val="3D3935"/>
        </w:rPr>
        <w:t>*</w:t>
        <w:tab/>
        <w:t>Not standing for re-election in 2025</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0072CE"/>
        </w:rPr>
        <w:t>Governance and Corporate Responsibility</w:t>
      </w:r>
    </w:p>
    <w:p>
      <w:pPr>
        <w:sectPr>
          <w:pgSz w:w="11900" w:h="16838" w:orient="portrait"/>
          <w:cols w:equalWidth="0" w:num="1">
            <w:col w:w="9080"/>
          </w:cols>
          <w:pgMar w:left="1400" w:top="91" w:right="1419" w:bottom="0" w:gutter="0" w:footer="0" w:header="0"/>
          <w:type w:val="continuous"/>
        </w:sectPr>
      </w:pPr>
    </w:p>
    <w:p>
      <w:pPr>
        <w:spacing w:after="0" w:line="235" w:lineRule="exact"/>
        <w:rPr>
          <w:sz w:val="20"/>
          <w:szCs w:val="20"/>
          <w:color w:val="auto"/>
        </w:rPr>
      </w:pPr>
    </w:p>
    <w:p>
      <w:pPr>
        <w:ind w:left="2200"/>
        <w:spacing w:after="0"/>
        <w:rPr>
          <w:sz w:val="20"/>
          <w:szCs w:val="20"/>
          <w:color w:val="auto"/>
        </w:rPr>
      </w:pPr>
      <w:r>
        <w:rPr>
          <w:rFonts w:ascii="Arial" w:cs="Arial" w:eastAsia="Arial" w:hAnsi="Arial"/>
          <w:sz w:val="21"/>
          <w:szCs w:val="21"/>
          <w:b w:val="1"/>
          <w:bCs w:val="1"/>
          <w:color w:val="3D3935"/>
        </w:rPr>
        <w:t>Key Responsibilities</w:t>
      </w:r>
    </w:p>
    <w:p>
      <w:pPr>
        <w:sectPr>
          <w:pgSz w:w="11900" w:h="16838" w:orient="portrait"/>
          <w:cols w:equalWidth="0" w:num="1">
            <w:col w:w="9080"/>
          </w:cols>
          <w:pgMar w:left="1400" w:top="91" w:right="1419" w:bottom="0" w:gutter="0" w:footer="0" w:header="0"/>
          <w:type w:val="continuous"/>
        </w:sectPr>
      </w:pPr>
    </w:p>
    <w:bookmarkStart w:id="26" w:name="page27"/>
    <w:bookmarkEnd w:id="26"/>
    <w:p>
      <w:pPr>
        <w:ind w:left="2360" w:hanging="193"/>
        <w:spacing w:after="0"/>
        <w:tabs>
          <w:tab w:leader="none" w:pos="2360" w:val="left"/>
        </w:tabs>
        <w:numPr>
          <w:ilvl w:val="0"/>
          <w:numId w:val="52"/>
        </w:numPr>
        <w:rPr>
          <w:rFonts w:ascii="Arial" w:cs="Arial" w:eastAsia="Arial" w:hAnsi="Arial"/>
          <w:sz w:val="16"/>
          <w:szCs w:val="16"/>
          <w:color w:val="0072CE"/>
        </w:rPr>
      </w:pPr>
      <w:r>
        <w:rPr>
          <w:rFonts w:ascii="Arial" w:cs="Arial" w:eastAsia="Arial" w:hAnsi="Arial"/>
          <w:sz w:val="16"/>
          <w:szCs w:val="16"/>
          <w:color w:val="3D3935"/>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37395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10375" cy="3739515"/>
                    </a:xfrm>
                    <a:prstGeom prst="rect">
                      <a:avLst/>
                    </a:prstGeom>
                    <a:noFill/>
                  </pic:spPr>
                </pic:pic>
              </a:graphicData>
            </a:graphic>
          </wp:anchor>
        </w:drawing>
        <w:t>Reviews the Company’s governance framework;</w:t>
      </w:r>
    </w:p>
    <w:p>
      <w:pPr>
        <w:sectPr>
          <w:pgSz w:w="11900" w:h="16838" w:orient="portrait"/>
          <w:cols w:equalWidth="0" w:num="1">
            <w:col w:w="9060"/>
          </w:cols>
          <w:pgMar w:left="1440" w:top="179" w:right="1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72CE"/>
        </w:rPr>
        <w:t>Patricia F. Russo</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3D3935"/>
        </w:rPr>
        <w:t>Chair</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72CE"/>
        </w:rPr>
        <w:t>Committee Members:</w:t>
      </w:r>
    </w:p>
    <w:p>
      <w:pPr>
        <w:spacing w:after="0" w:line="8" w:lineRule="exact"/>
        <w:rPr>
          <w:sz w:val="20"/>
          <w:szCs w:val="20"/>
          <w:color w:val="auto"/>
        </w:rPr>
      </w:pPr>
    </w:p>
    <w:p>
      <w:pPr>
        <w:ind w:left="20" w:right="120"/>
        <w:spacing w:after="0" w:line="252" w:lineRule="auto"/>
        <w:rPr>
          <w:sz w:val="20"/>
          <w:szCs w:val="20"/>
          <w:color w:val="auto"/>
        </w:rPr>
      </w:pPr>
      <w:r>
        <w:rPr>
          <w:rFonts w:ascii="Arial" w:cs="Arial" w:eastAsia="Arial" w:hAnsi="Arial"/>
          <w:sz w:val="16"/>
          <w:szCs w:val="16"/>
          <w:color w:val="3D3935"/>
        </w:rPr>
        <w:t>Joanne C. Crevoiserat Jonathan McNeill Patricia F. Russo Mark A. Tatum</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72CE"/>
        </w:rPr>
        <w:t>Meetings held in 2024:</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6"/>
          <w:szCs w:val="16"/>
          <w:color w:val="3D3935"/>
        </w:rPr>
        <w:t>4</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200" w:right="1220" w:hanging="193"/>
        <w:spacing w:after="0" w:line="272" w:lineRule="auto"/>
        <w:tabs>
          <w:tab w:leader="none" w:pos="200" w:val="left"/>
        </w:tabs>
        <w:numPr>
          <w:ilvl w:val="0"/>
          <w:numId w:val="53"/>
        </w:numPr>
        <w:rPr>
          <w:rFonts w:ascii="Arial" w:cs="Arial" w:eastAsia="Arial" w:hAnsi="Arial"/>
          <w:sz w:val="16"/>
          <w:szCs w:val="16"/>
          <w:color w:val="0072CE"/>
        </w:rPr>
      </w:pPr>
      <w:r>
        <w:rPr>
          <w:rFonts w:ascii="Arial" w:cs="Arial" w:eastAsia="Arial" w:hAnsi="Arial"/>
          <w:sz w:val="16"/>
          <w:szCs w:val="16"/>
          <w:color w:val="3D3935"/>
        </w:rPr>
        <w:t>Monitors Company policies and strategies related to corporate responsibility, sustainability, and political contributions and lobbying activities;</w:t>
      </w:r>
    </w:p>
    <w:p>
      <w:pPr>
        <w:spacing w:after="0" w:line="1" w:lineRule="exact"/>
        <w:rPr>
          <w:rFonts w:ascii="Arial" w:cs="Arial" w:eastAsia="Arial" w:hAnsi="Arial"/>
          <w:sz w:val="16"/>
          <w:szCs w:val="16"/>
          <w:color w:val="0072CE"/>
        </w:rPr>
      </w:pPr>
    </w:p>
    <w:p>
      <w:pPr>
        <w:ind w:left="200" w:hanging="193"/>
        <w:spacing w:after="0"/>
        <w:tabs>
          <w:tab w:leader="none" w:pos="200" w:val="left"/>
        </w:tabs>
        <w:numPr>
          <w:ilvl w:val="0"/>
          <w:numId w:val="53"/>
        </w:numPr>
        <w:rPr>
          <w:rFonts w:ascii="Arial" w:cs="Arial" w:eastAsia="Arial" w:hAnsi="Arial"/>
          <w:sz w:val="16"/>
          <w:szCs w:val="16"/>
          <w:color w:val="0072CE"/>
        </w:rPr>
      </w:pPr>
      <w:r>
        <w:rPr>
          <w:rFonts w:ascii="Arial" w:cs="Arial" w:eastAsia="Arial" w:hAnsi="Arial"/>
          <w:sz w:val="16"/>
          <w:szCs w:val="16"/>
          <w:color w:val="3D3935"/>
        </w:rPr>
        <w:t>Reviews the appropriate composition of the Board and recommends director nominees;</w:t>
      </w:r>
    </w:p>
    <w:p>
      <w:pPr>
        <w:spacing w:after="0" w:line="59" w:lineRule="exact"/>
        <w:rPr>
          <w:rFonts w:ascii="Arial" w:cs="Arial" w:eastAsia="Arial" w:hAnsi="Arial"/>
          <w:sz w:val="16"/>
          <w:szCs w:val="16"/>
          <w:color w:val="0072CE"/>
        </w:rPr>
      </w:pPr>
    </w:p>
    <w:p>
      <w:pPr>
        <w:ind w:left="200" w:hanging="193"/>
        <w:spacing w:after="0"/>
        <w:tabs>
          <w:tab w:leader="none" w:pos="200" w:val="left"/>
        </w:tabs>
        <w:numPr>
          <w:ilvl w:val="0"/>
          <w:numId w:val="53"/>
        </w:numPr>
        <w:rPr>
          <w:rFonts w:ascii="Arial" w:cs="Arial" w:eastAsia="Arial" w:hAnsi="Arial"/>
          <w:sz w:val="16"/>
          <w:szCs w:val="16"/>
          <w:color w:val="0072CE"/>
        </w:rPr>
      </w:pPr>
      <w:r>
        <w:rPr>
          <w:rFonts w:ascii="Arial" w:cs="Arial" w:eastAsia="Arial" w:hAnsi="Arial"/>
          <w:sz w:val="16"/>
          <w:szCs w:val="16"/>
          <w:color w:val="3D3935"/>
        </w:rPr>
        <w:t>Monitors the self-evaluation process of the Board and committees;</w:t>
      </w:r>
    </w:p>
    <w:p>
      <w:pPr>
        <w:spacing w:after="0" w:line="59" w:lineRule="exact"/>
        <w:rPr>
          <w:rFonts w:ascii="Arial" w:cs="Arial" w:eastAsia="Arial" w:hAnsi="Arial"/>
          <w:sz w:val="16"/>
          <w:szCs w:val="16"/>
          <w:color w:val="0072CE"/>
        </w:rPr>
      </w:pPr>
    </w:p>
    <w:p>
      <w:pPr>
        <w:ind w:left="200" w:hanging="193"/>
        <w:spacing w:after="0"/>
        <w:tabs>
          <w:tab w:leader="none" w:pos="200" w:val="left"/>
        </w:tabs>
        <w:numPr>
          <w:ilvl w:val="0"/>
          <w:numId w:val="53"/>
        </w:numPr>
        <w:rPr>
          <w:rFonts w:ascii="Arial" w:cs="Arial" w:eastAsia="Arial" w:hAnsi="Arial"/>
          <w:sz w:val="16"/>
          <w:szCs w:val="16"/>
          <w:color w:val="0072CE"/>
        </w:rPr>
      </w:pPr>
      <w:r>
        <w:rPr>
          <w:rFonts w:ascii="Arial" w:cs="Arial" w:eastAsia="Arial" w:hAnsi="Arial"/>
          <w:sz w:val="16"/>
          <w:szCs w:val="16"/>
          <w:color w:val="3D3935"/>
        </w:rPr>
        <w:t>Recommends compensation of non-employee directors to the Board; and</w:t>
      </w:r>
    </w:p>
    <w:p>
      <w:pPr>
        <w:spacing w:after="0" w:line="59" w:lineRule="exact"/>
        <w:rPr>
          <w:rFonts w:ascii="Arial" w:cs="Arial" w:eastAsia="Arial" w:hAnsi="Arial"/>
          <w:sz w:val="16"/>
          <w:szCs w:val="16"/>
          <w:color w:val="0072CE"/>
        </w:rPr>
      </w:pPr>
    </w:p>
    <w:p>
      <w:pPr>
        <w:ind w:left="200" w:hanging="193"/>
        <w:spacing w:after="0"/>
        <w:tabs>
          <w:tab w:leader="none" w:pos="200" w:val="left"/>
        </w:tabs>
        <w:numPr>
          <w:ilvl w:val="0"/>
          <w:numId w:val="53"/>
        </w:numPr>
        <w:rPr>
          <w:rFonts w:ascii="Arial" w:cs="Arial" w:eastAsia="Arial" w:hAnsi="Arial"/>
          <w:sz w:val="16"/>
          <w:szCs w:val="16"/>
          <w:color w:val="0072CE"/>
        </w:rPr>
      </w:pPr>
      <w:r>
        <w:rPr>
          <w:rFonts w:ascii="Arial" w:cs="Arial" w:eastAsia="Arial" w:hAnsi="Arial"/>
          <w:sz w:val="16"/>
          <w:szCs w:val="16"/>
          <w:color w:val="3D3935"/>
        </w:rPr>
        <w:t>Reviews and approves related party transactions and any potential conflicts of interest.</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Recent Activities and Key Focus Areas</w:t>
      </w:r>
    </w:p>
    <w:p>
      <w:pPr>
        <w:spacing w:after="0" w:line="112" w:lineRule="exact"/>
        <w:rPr>
          <w:sz w:val="20"/>
          <w:szCs w:val="20"/>
          <w:color w:val="auto"/>
        </w:rPr>
      </w:pPr>
    </w:p>
    <w:p>
      <w:pPr>
        <w:ind w:left="200" w:right="500" w:hanging="193"/>
        <w:spacing w:after="0" w:line="266" w:lineRule="auto"/>
        <w:tabs>
          <w:tab w:leader="none" w:pos="200" w:val="left"/>
        </w:tabs>
        <w:numPr>
          <w:ilvl w:val="0"/>
          <w:numId w:val="54"/>
        </w:numPr>
        <w:rPr>
          <w:rFonts w:ascii="Arial" w:cs="Arial" w:eastAsia="Arial" w:hAnsi="Arial"/>
          <w:sz w:val="16"/>
          <w:szCs w:val="16"/>
          <w:color w:val="0072CE"/>
        </w:rPr>
      </w:pPr>
      <w:r>
        <w:rPr>
          <w:rFonts w:ascii="Arial" w:cs="Arial" w:eastAsia="Arial" w:hAnsi="Arial"/>
          <w:sz w:val="16"/>
          <w:szCs w:val="16"/>
          <w:color w:val="3D3935"/>
        </w:rPr>
        <w:t>Oversaw the Board’s five-year succession roadmap to ensure the successful transition of institutional knowledge that led to the election of Alfred F. Kelly, Jr. and key Committee leadership refreshments.</w:t>
      </w:r>
    </w:p>
    <w:p>
      <w:pPr>
        <w:spacing w:after="0" w:line="9" w:lineRule="exact"/>
        <w:rPr>
          <w:rFonts w:ascii="Arial" w:cs="Arial" w:eastAsia="Arial" w:hAnsi="Arial"/>
          <w:sz w:val="16"/>
          <w:szCs w:val="16"/>
          <w:color w:val="0072CE"/>
        </w:rPr>
      </w:pPr>
    </w:p>
    <w:p>
      <w:pPr>
        <w:ind w:left="200" w:right="460" w:hanging="193"/>
        <w:spacing w:after="0" w:line="257" w:lineRule="auto"/>
        <w:tabs>
          <w:tab w:leader="none" w:pos="200" w:val="left"/>
        </w:tabs>
        <w:numPr>
          <w:ilvl w:val="0"/>
          <w:numId w:val="54"/>
        </w:numPr>
        <w:rPr>
          <w:rFonts w:ascii="Arial" w:cs="Arial" w:eastAsia="Arial" w:hAnsi="Arial"/>
          <w:sz w:val="16"/>
          <w:szCs w:val="16"/>
          <w:color w:val="0072CE"/>
        </w:rPr>
      </w:pPr>
      <w:r>
        <w:rPr>
          <w:rFonts w:ascii="Arial" w:cs="Arial" w:eastAsia="Arial" w:hAnsi="Arial"/>
          <w:sz w:val="16"/>
          <w:szCs w:val="16"/>
          <w:color w:val="3D3935"/>
        </w:rPr>
        <w:t>Recommended and oversaw the implementation of best practice corporate governance initiatives, including updating the Bylaws and advising shareholders to approve the Amended and Restated Certificate of Incorporation.</w:t>
      </w:r>
    </w:p>
    <w:p>
      <w:pPr>
        <w:spacing w:after="0" w:line="16" w:lineRule="exact"/>
        <w:rPr>
          <w:rFonts w:ascii="Arial" w:cs="Arial" w:eastAsia="Arial" w:hAnsi="Arial"/>
          <w:sz w:val="16"/>
          <w:szCs w:val="16"/>
          <w:color w:val="0072CE"/>
        </w:rPr>
      </w:pPr>
    </w:p>
    <w:p>
      <w:pPr>
        <w:ind w:left="200" w:right="500" w:hanging="193"/>
        <w:spacing w:after="0" w:line="281" w:lineRule="auto"/>
        <w:tabs>
          <w:tab w:leader="none" w:pos="200" w:val="left"/>
        </w:tabs>
        <w:numPr>
          <w:ilvl w:val="0"/>
          <w:numId w:val="54"/>
        </w:numPr>
        <w:rPr>
          <w:rFonts w:ascii="Arial" w:cs="Arial" w:eastAsia="Arial" w:hAnsi="Arial"/>
          <w:sz w:val="16"/>
          <w:szCs w:val="16"/>
          <w:color w:val="0072CE"/>
        </w:rPr>
      </w:pPr>
      <w:r>
        <w:rPr>
          <w:rFonts w:ascii="Arial" w:cs="Arial" w:eastAsia="Arial" w:hAnsi="Arial"/>
          <w:sz w:val="16"/>
          <w:szCs w:val="16"/>
          <w:color w:val="3D3935"/>
        </w:rPr>
        <w:t>Received regular updates on various aspects of the Company’s public policy advocacy workstreams and spend.</w:t>
      </w:r>
    </w:p>
    <w:p>
      <w:pPr>
        <w:spacing w:after="0" w:line="1" w:lineRule="exact"/>
        <w:rPr>
          <w:rFonts w:ascii="Arial" w:cs="Arial" w:eastAsia="Arial" w:hAnsi="Arial"/>
          <w:sz w:val="16"/>
          <w:szCs w:val="16"/>
          <w:color w:val="0072CE"/>
        </w:rPr>
      </w:pPr>
    </w:p>
    <w:p>
      <w:pPr>
        <w:ind w:left="200" w:hanging="193"/>
        <w:spacing w:after="0"/>
        <w:tabs>
          <w:tab w:leader="none" w:pos="200" w:val="left"/>
        </w:tabs>
        <w:numPr>
          <w:ilvl w:val="0"/>
          <w:numId w:val="54"/>
        </w:numPr>
        <w:rPr>
          <w:rFonts w:ascii="Arial" w:cs="Arial" w:eastAsia="Arial" w:hAnsi="Arial"/>
          <w:sz w:val="16"/>
          <w:szCs w:val="16"/>
          <w:color w:val="0072CE"/>
        </w:rPr>
      </w:pPr>
      <w:r>
        <w:rPr>
          <w:rFonts w:ascii="Arial" w:cs="Arial" w:eastAsia="Arial" w:hAnsi="Arial"/>
          <w:sz w:val="16"/>
          <w:szCs w:val="16"/>
          <w:color w:val="3D3935"/>
        </w:rPr>
        <w:t>Continued oversight of the Company’s sustainability strategy.</w:t>
      </w:r>
    </w:p>
    <w:p>
      <w:pPr>
        <w:spacing w:after="0" w:line="45" w:lineRule="exact"/>
        <w:rPr>
          <w:rFonts w:ascii="Arial" w:cs="Arial" w:eastAsia="Arial" w:hAnsi="Arial"/>
          <w:sz w:val="16"/>
          <w:szCs w:val="16"/>
          <w:color w:val="0072CE"/>
        </w:rPr>
      </w:pPr>
    </w:p>
    <w:p>
      <w:pPr>
        <w:ind w:left="200" w:right="460" w:hanging="193"/>
        <w:spacing w:after="0" w:line="286" w:lineRule="auto"/>
        <w:tabs>
          <w:tab w:leader="none" w:pos="200" w:val="left"/>
        </w:tabs>
        <w:numPr>
          <w:ilvl w:val="0"/>
          <w:numId w:val="54"/>
        </w:numPr>
        <w:rPr>
          <w:rFonts w:ascii="Arial" w:cs="Arial" w:eastAsia="Arial" w:hAnsi="Arial"/>
          <w:sz w:val="16"/>
          <w:szCs w:val="16"/>
          <w:color w:val="0072CE"/>
        </w:rPr>
      </w:pPr>
      <w:r>
        <w:rPr>
          <w:rFonts w:ascii="Arial" w:cs="Arial" w:eastAsia="Arial" w:hAnsi="Arial"/>
          <w:sz w:val="16"/>
          <w:szCs w:val="16"/>
          <w:color w:val="3D3935"/>
        </w:rPr>
        <w:t>Oversaw the shareholder engagement program, which facilitated important feedback to the Board regarding sustainability, governance, and executive compensation issues.</w:t>
      </w:r>
    </w:p>
    <w:p>
      <w:pPr>
        <w:spacing w:after="0" w:line="200" w:lineRule="exact"/>
        <w:rPr>
          <w:sz w:val="20"/>
          <w:szCs w:val="20"/>
          <w:color w:val="auto"/>
        </w:rPr>
      </w:pPr>
    </w:p>
    <w:p>
      <w:pPr>
        <w:sectPr>
          <w:pgSz w:w="11900" w:h="16838" w:orient="portrait"/>
          <w:cols w:equalWidth="0" w:num="2">
            <w:col w:w="1740" w:space="420"/>
            <w:col w:w="6900"/>
          </w:cols>
          <w:pgMar w:left="1440" w:top="179" w:right="1399" w:bottom="0" w:gutter="0" w:footer="0" w:header="0"/>
          <w:type w:val="continuous"/>
        </w:sect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3D3935"/>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330200</wp:posOffset>
            </wp:positionV>
            <wp:extent cx="6810375" cy="66941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10375" cy="6694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72CE"/>
        </w:rPr>
        <w:t>Risk and Cybersecurity</w:t>
      </w:r>
    </w:p>
    <w:p>
      <w:pPr>
        <w:sectPr>
          <w:pgSz w:w="11900" w:h="16838" w:orient="portrait"/>
          <w:cols w:equalWidth="0" w:num="1">
            <w:col w:w="9060"/>
          </w:cols>
          <w:pgMar w:left="1440" w:top="179" w:right="1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72CE"/>
        </w:rPr>
        <w:t>Judith A. Miscik</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3D3935"/>
        </w:rPr>
        <w:t>Chair</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72CE"/>
        </w:rPr>
        <w:t>Committee Members: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3D3935"/>
        </w:rPr>
        <w:t>Linda Gooden*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3D3935"/>
        </w:rPr>
        <w:t>Joseph Jimenez</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3D3935"/>
        </w:rPr>
        <w:t>Alfred Kelly, Jr.</w:t>
      </w:r>
    </w:p>
    <w:p>
      <w:pPr>
        <w:spacing w:after="0" w:line="15" w:lineRule="exact"/>
        <w:rPr>
          <w:sz w:val="20"/>
          <w:szCs w:val="20"/>
          <w:color w:val="auto"/>
        </w:rPr>
      </w:pPr>
    </w:p>
    <w:p>
      <w:pPr>
        <w:ind w:left="20" w:right="140"/>
        <w:spacing w:after="0" w:line="252" w:lineRule="auto"/>
        <w:rPr>
          <w:sz w:val="20"/>
          <w:szCs w:val="20"/>
          <w:color w:val="auto"/>
        </w:rPr>
      </w:pPr>
      <w:r>
        <w:rPr>
          <w:rFonts w:ascii="Arial" w:cs="Arial" w:eastAsia="Arial" w:hAnsi="Arial"/>
          <w:sz w:val="16"/>
          <w:szCs w:val="16"/>
          <w:color w:val="3D3935"/>
        </w:rPr>
        <w:t>Jonathan McNeill Judith A. Miscik Thomas M. Schoewe*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3D3935"/>
        </w:rPr>
        <w:t>Jan E. Tighe</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72CE"/>
        </w:rPr>
        <w:t>Meetings held in 2024:</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color w:val="3D3935"/>
        </w:rPr>
        <w:t>3</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Key Responsibilities</w:t>
      </w:r>
    </w:p>
    <w:p>
      <w:pPr>
        <w:spacing w:after="0" w:line="112" w:lineRule="exact"/>
        <w:rPr>
          <w:sz w:val="20"/>
          <w:szCs w:val="20"/>
          <w:color w:val="auto"/>
        </w:rPr>
      </w:pPr>
    </w:p>
    <w:p>
      <w:pPr>
        <w:ind w:left="200" w:hanging="193"/>
        <w:spacing w:after="0"/>
        <w:tabs>
          <w:tab w:leader="none" w:pos="200" w:val="left"/>
        </w:tabs>
        <w:numPr>
          <w:ilvl w:val="0"/>
          <w:numId w:val="55"/>
        </w:numPr>
        <w:rPr>
          <w:rFonts w:ascii="Arial" w:cs="Arial" w:eastAsia="Arial" w:hAnsi="Arial"/>
          <w:sz w:val="16"/>
          <w:szCs w:val="16"/>
          <w:color w:val="0072CE"/>
        </w:rPr>
      </w:pPr>
      <w:r>
        <w:rPr>
          <w:rFonts w:ascii="Arial" w:cs="Arial" w:eastAsia="Arial" w:hAnsi="Arial"/>
          <w:sz w:val="16"/>
          <w:szCs w:val="16"/>
          <w:color w:val="3D3935"/>
        </w:rPr>
        <w:t>Reviews the Company’s key strategic, enterprise, and cybersecurity and privacy risks;</w:t>
      </w:r>
    </w:p>
    <w:p>
      <w:pPr>
        <w:spacing w:after="0" w:line="59" w:lineRule="exact"/>
        <w:rPr>
          <w:rFonts w:ascii="Arial" w:cs="Arial" w:eastAsia="Arial" w:hAnsi="Arial"/>
          <w:sz w:val="16"/>
          <w:szCs w:val="16"/>
          <w:color w:val="0072CE"/>
        </w:rPr>
      </w:pPr>
    </w:p>
    <w:p>
      <w:pPr>
        <w:ind w:left="200" w:right="320" w:hanging="193"/>
        <w:spacing w:after="0" w:line="290" w:lineRule="auto"/>
        <w:tabs>
          <w:tab w:leader="none" w:pos="200" w:val="left"/>
        </w:tabs>
        <w:numPr>
          <w:ilvl w:val="0"/>
          <w:numId w:val="55"/>
        </w:numPr>
        <w:rPr>
          <w:rFonts w:ascii="Arial" w:cs="Arial" w:eastAsia="Arial" w:hAnsi="Arial"/>
          <w:sz w:val="16"/>
          <w:szCs w:val="16"/>
          <w:color w:val="0072CE"/>
        </w:rPr>
      </w:pPr>
      <w:r>
        <w:rPr>
          <w:rFonts w:ascii="Arial" w:cs="Arial" w:eastAsia="Arial" w:hAnsi="Arial"/>
          <w:sz w:val="16"/>
          <w:szCs w:val="16"/>
          <w:color w:val="3D3935"/>
        </w:rPr>
        <w:t>Reviews the Company’s risk management framework and management’s implementation of risk policies, procedures, and governance to assess their effectiveness;</w:t>
      </w:r>
    </w:p>
    <w:p>
      <w:pPr>
        <w:ind w:left="200" w:right="200" w:hanging="193"/>
        <w:spacing w:after="0" w:line="265" w:lineRule="auto"/>
        <w:tabs>
          <w:tab w:leader="none" w:pos="200" w:val="left"/>
        </w:tabs>
        <w:numPr>
          <w:ilvl w:val="0"/>
          <w:numId w:val="55"/>
        </w:numPr>
        <w:rPr>
          <w:rFonts w:ascii="Arial" w:cs="Arial" w:eastAsia="Arial" w:hAnsi="Arial"/>
          <w:sz w:val="16"/>
          <w:szCs w:val="16"/>
          <w:color w:val="0072CE"/>
        </w:rPr>
      </w:pPr>
      <w:r>
        <w:rPr>
          <w:rFonts w:ascii="Arial" w:cs="Arial" w:eastAsia="Arial" w:hAnsi="Arial"/>
          <w:sz w:val="16"/>
          <w:szCs w:val="16"/>
          <w:color w:val="3D3935"/>
        </w:rPr>
        <w:t>Reviews management’s evaluation of strategic and operating risks, including risk concentrations, product safety, quarterly information security reports, mitigating measures, and the types and levels of risk that are acceptable in the pursuit and protection of shareholder value; and</w:t>
      </w:r>
    </w:p>
    <w:p>
      <w:pPr>
        <w:spacing w:after="0" w:line="24" w:lineRule="exact"/>
        <w:rPr>
          <w:rFonts w:ascii="Arial" w:cs="Arial" w:eastAsia="Arial" w:hAnsi="Arial"/>
          <w:sz w:val="16"/>
          <w:szCs w:val="16"/>
          <w:color w:val="0072CE"/>
        </w:rPr>
      </w:pPr>
    </w:p>
    <w:p>
      <w:pPr>
        <w:ind w:left="200" w:right="300" w:hanging="193"/>
        <w:spacing w:after="0" w:line="286" w:lineRule="auto"/>
        <w:tabs>
          <w:tab w:leader="none" w:pos="200" w:val="left"/>
        </w:tabs>
        <w:numPr>
          <w:ilvl w:val="0"/>
          <w:numId w:val="55"/>
        </w:numPr>
        <w:rPr>
          <w:rFonts w:ascii="Arial" w:cs="Arial" w:eastAsia="Arial" w:hAnsi="Arial"/>
          <w:sz w:val="16"/>
          <w:szCs w:val="16"/>
          <w:color w:val="0072CE"/>
        </w:rPr>
      </w:pPr>
      <w:r>
        <w:rPr>
          <w:rFonts w:ascii="Arial" w:cs="Arial" w:eastAsia="Arial" w:hAnsi="Arial"/>
          <w:sz w:val="16"/>
          <w:szCs w:val="16"/>
          <w:color w:val="3D3935"/>
        </w:rPr>
        <w:t>Reviews the Company’s risk culture, including the integration of risk management into the Company’s behaviors, decision-making, and processes.</w:t>
      </w: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Recent Activities and Key Focus Areas</w:t>
      </w:r>
    </w:p>
    <w:p>
      <w:pPr>
        <w:spacing w:after="0" w:line="112" w:lineRule="exact"/>
        <w:rPr>
          <w:sz w:val="20"/>
          <w:szCs w:val="20"/>
          <w:color w:val="auto"/>
        </w:rPr>
      </w:pPr>
    </w:p>
    <w:p>
      <w:pPr>
        <w:ind w:left="200" w:right="720" w:hanging="193"/>
        <w:spacing w:after="0" w:line="275" w:lineRule="auto"/>
        <w:tabs>
          <w:tab w:leader="none" w:pos="200" w:val="left"/>
        </w:tabs>
        <w:numPr>
          <w:ilvl w:val="0"/>
          <w:numId w:val="56"/>
        </w:numPr>
        <w:rPr>
          <w:rFonts w:ascii="Arial" w:cs="Arial" w:eastAsia="Arial" w:hAnsi="Arial"/>
          <w:sz w:val="16"/>
          <w:szCs w:val="16"/>
          <w:color w:val="0072CE"/>
        </w:rPr>
      </w:pPr>
      <w:r>
        <w:rPr>
          <w:rFonts w:ascii="Arial" w:cs="Arial" w:eastAsia="Arial" w:hAnsi="Arial"/>
          <w:sz w:val="16"/>
          <w:szCs w:val="16"/>
          <w:color w:val="3D3935"/>
        </w:rPr>
        <w:t>Conducted reviews of key enterprise risks, including cybersecurity and supply chain resiliency, with a particular focus on monitoring emerging risks to identify areas for further attention in 2025.</w:t>
      </w:r>
    </w:p>
    <w:p>
      <w:pPr>
        <w:spacing w:after="0" w:line="2" w:lineRule="exact"/>
        <w:rPr>
          <w:rFonts w:ascii="Arial" w:cs="Arial" w:eastAsia="Arial" w:hAnsi="Arial"/>
          <w:sz w:val="16"/>
          <w:szCs w:val="16"/>
          <w:color w:val="0072CE"/>
        </w:rPr>
      </w:pPr>
    </w:p>
    <w:p>
      <w:pPr>
        <w:ind w:left="200" w:right="640" w:hanging="193"/>
        <w:spacing w:after="0" w:line="275" w:lineRule="auto"/>
        <w:tabs>
          <w:tab w:leader="none" w:pos="200" w:val="left"/>
        </w:tabs>
        <w:numPr>
          <w:ilvl w:val="0"/>
          <w:numId w:val="56"/>
        </w:numPr>
        <w:rPr>
          <w:rFonts w:ascii="Arial" w:cs="Arial" w:eastAsia="Arial" w:hAnsi="Arial"/>
          <w:sz w:val="16"/>
          <w:szCs w:val="16"/>
          <w:color w:val="0072CE"/>
        </w:rPr>
      </w:pPr>
      <w:r>
        <w:rPr>
          <w:rFonts w:ascii="Arial" w:cs="Arial" w:eastAsia="Arial" w:hAnsi="Arial"/>
          <w:sz w:val="16"/>
          <w:szCs w:val="16"/>
          <w:color w:val="3D3935"/>
        </w:rPr>
        <w:t>Approved the Company’s 2025 cybersecurity budget and engaged in a cybersecurity simulation exercise with external representatives from the Federal Bureau of Investigations (“FBI”).</w:t>
      </w:r>
    </w:p>
    <w:p>
      <w:pPr>
        <w:spacing w:after="0" w:line="2" w:lineRule="exact"/>
        <w:rPr>
          <w:rFonts w:ascii="Arial" w:cs="Arial" w:eastAsia="Arial" w:hAnsi="Arial"/>
          <w:sz w:val="16"/>
          <w:szCs w:val="16"/>
          <w:color w:val="0072CE"/>
        </w:rPr>
      </w:pPr>
    </w:p>
    <w:p>
      <w:pPr>
        <w:ind w:left="200" w:right="640" w:hanging="193"/>
        <w:spacing w:after="0" w:line="290" w:lineRule="auto"/>
        <w:tabs>
          <w:tab w:leader="none" w:pos="200" w:val="left"/>
        </w:tabs>
        <w:numPr>
          <w:ilvl w:val="0"/>
          <w:numId w:val="56"/>
        </w:numPr>
        <w:rPr>
          <w:rFonts w:ascii="Arial" w:cs="Arial" w:eastAsia="Arial" w:hAnsi="Arial"/>
          <w:sz w:val="16"/>
          <w:szCs w:val="16"/>
          <w:color w:val="0072CE"/>
        </w:rPr>
      </w:pPr>
      <w:r>
        <w:rPr>
          <w:rFonts w:ascii="Arial" w:cs="Arial" w:eastAsia="Arial" w:hAnsi="Arial"/>
          <w:sz w:val="16"/>
          <w:szCs w:val="16"/>
          <w:color w:val="3D3935"/>
        </w:rPr>
        <w:t>Assessed emerging public policy and geopolitical risks, and reviewed management’s mitigating actions to enhance software quality across the product portfolio.</w:t>
      </w:r>
    </w:p>
    <w:p>
      <w:pPr>
        <w:ind w:left="200" w:right="840" w:hanging="193"/>
        <w:spacing w:after="0" w:line="286" w:lineRule="auto"/>
        <w:tabs>
          <w:tab w:leader="none" w:pos="200" w:val="left"/>
        </w:tabs>
        <w:numPr>
          <w:ilvl w:val="0"/>
          <w:numId w:val="56"/>
        </w:numPr>
        <w:rPr>
          <w:rFonts w:ascii="Arial" w:cs="Arial" w:eastAsia="Arial" w:hAnsi="Arial"/>
          <w:sz w:val="16"/>
          <w:szCs w:val="16"/>
          <w:color w:val="0072CE"/>
        </w:rPr>
      </w:pPr>
      <w:r>
        <w:rPr>
          <w:rFonts w:ascii="Arial" w:cs="Arial" w:eastAsia="Arial" w:hAnsi="Arial"/>
          <w:sz w:val="16"/>
          <w:szCs w:val="16"/>
          <w:color w:val="3D3935"/>
        </w:rPr>
        <w:t>Regularly reviewed the Company’s cybersecurity maturity scorecard and received regular briefings from management on the cyber threat landscape.</w:t>
      </w:r>
    </w:p>
    <w:p>
      <w:pPr>
        <w:spacing w:after="0" w:line="200" w:lineRule="exact"/>
        <w:rPr>
          <w:sz w:val="20"/>
          <w:szCs w:val="20"/>
          <w:color w:val="auto"/>
        </w:rPr>
      </w:pPr>
    </w:p>
    <w:p>
      <w:pPr>
        <w:sectPr>
          <w:pgSz w:w="11900" w:h="16838" w:orient="portrait"/>
          <w:cols w:equalWidth="0" w:num="2">
            <w:col w:w="1740" w:space="420"/>
            <w:col w:w="6900"/>
          </w:cols>
          <w:pgMar w:left="1440" w:top="179" w:right="1399" w:bottom="0" w:gutter="0" w:footer="0" w:header="0"/>
          <w:type w:val="continuous"/>
        </w:sectPr>
      </w:pPr>
    </w:p>
    <w:p>
      <w:pPr>
        <w:spacing w:after="0" w:line="175"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72CE"/>
        </w:rPr>
        <w:t>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72CE"/>
        </w:rPr>
        <w:t>Mary T. Barra</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3D3935"/>
        </w:rPr>
        <w:t>Chair</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72CE"/>
        </w:rPr>
        <w:t>Committee Members:</w:t>
      </w:r>
    </w:p>
    <w:p>
      <w:pPr>
        <w:spacing w:after="0" w:line="21" w:lineRule="exact"/>
        <w:rPr>
          <w:sz w:val="20"/>
          <w:szCs w:val="20"/>
          <w:color w:val="auto"/>
        </w:rPr>
      </w:pPr>
    </w:p>
    <w:p>
      <w:pPr>
        <w:ind w:left="20" w:right="480"/>
        <w:spacing w:after="0" w:line="283" w:lineRule="auto"/>
        <w:rPr>
          <w:sz w:val="20"/>
          <w:szCs w:val="20"/>
          <w:color w:val="auto"/>
        </w:rPr>
      </w:pPr>
      <w:r>
        <w:rPr>
          <w:rFonts w:ascii="Arial" w:cs="Arial" w:eastAsia="Arial" w:hAnsi="Arial"/>
          <w:sz w:val="16"/>
          <w:szCs w:val="16"/>
          <w:color w:val="3D3935"/>
        </w:rPr>
        <w:t>Mary T. Barra Wesley G. Bush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Key Responsibilities</w:t>
      </w:r>
    </w:p>
    <w:p>
      <w:pPr>
        <w:spacing w:after="0" w:line="139" w:lineRule="exact"/>
        <w:rPr>
          <w:sz w:val="20"/>
          <w:szCs w:val="20"/>
          <w:color w:val="auto"/>
        </w:rPr>
      </w:pPr>
    </w:p>
    <w:p>
      <w:pPr>
        <w:ind w:left="200" w:right="80" w:hanging="193"/>
        <w:spacing w:after="0" w:line="316" w:lineRule="auto"/>
        <w:tabs>
          <w:tab w:leader="none" w:pos="200" w:val="left"/>
        </w:tabs>
        <w:numPr>
          <w:ilvl w:val="0"/>
          <w:numId w:val="57"/>
        </w:numPr>
        <w:rPr>
          <w:rFonts w:ascii="Arial" w:cs="Arial" w:eastAsia="Arial" w:hAnsi="Arial"/>
          <w:sz w:val="16"/>
          <w:szCs w:val="16"/>
          <w:color w:val="0072CE"/>
        </w:rPr>
      </w:pPr>
      <w:r>
        <w:rPr>
          <w:rFonts w:ascii="Arial" w:cs="Arial" w:eastAsia="Arial" w:hAnsi="Arial"/>
          <w:sz w:val="16"/>
          <w:szCs w:val="16"/>
          <w:color w:val="3D3935"/>
        </w:rPr>
        <w:t>Composed of the Board Chair and CEO, the Independent Lead Director, and the chairs of all other standing committees;</w:t>
      </w:r>
    </w:p>
    <w:p>
      <w:pPr>
        <w:spacing w:after="0" w:line="1" w:lineRule="exact"/>
        <w:rPr>
          <w:rFonts w:ascii="Arial" w:cs="Arial" w:eastAsia="Arial" w:hAnsi="Arial"/>
          <w:sz w:val="16"/>
          <w:szCs w:val="16"/>
          <w:color w:val="0072CE"/>
        </w:rPr>
      </w:pPr>
    </w:p>
    <w:p>
      <w:pPr>
        <w:ind w:left="200" w:right="600" w:hanging="193"/>
        <w:spacing w:after="0" w:line="304" w:lineRule="auto"/>
        <w:tabs>
          <w:tab w:leader="none" w:pos="200" w:val="left"/>
        </w:tabs>
        <w:numPr>
          <w:ilvl w:val="0"/>
          <w:numId w:val="57"/>
        </w:numPr>
        <w:rPr>
          <w:rFonts w:ascii="Arial" w:cs="Arial" w:eastAsia="Arial" w:hAnsi="Arial"/>
          <w:sz w:val="16"/>
          <w:szCs w:val="16"/>
          <w:color w:val="0072CE"/>
        </w:rPr>
      </w:pPr>
      <w:r>
        <w:rPr>
          <w:rFonts w:ascii="Arial" w:cs="Arial" w:eastAsia="Arial" w:hAnsi="Arial"/>
          <w:sz w:val="16"/>
          <w:szCs w:val="16"/>
          <w:color w:val="3D3935"/>
        </w:rPr>
        <w:t>Chaired by Ms. Barra and acts on certain limited matters for the full Board in intervals between meetings of the Board; and</w:t>
      </w:r>
    </w:p>
    <w:p>
      <w:pPr>
        <w:spacing w:after="0" w:line="6" w:lineRule="exact"/>
        <w:rPr>
          <w:rFonts w:ascii="Arial" w:cs="Arial" w:eastAsia="Arial" w:hAnsi="Arial"/>
          <w:sz w:val="16"/>
          <w:szCs w:val="16"/>
          <w:color w:val="0072CE"/>
        </w:rPr>
      </w:pPr>
    </w:p>
    <w:p>
      <w:pPr>
        <w:ind w:left="200" w:right="300" w:hanging="193"/>
        <w:spacing w:after="0" w:line="321" w:lineRule="auto"/>
        <w:tabs>
          <w:tab w:leader="none" w:pos="200" w:val="left"/>
        </w:tabs>
        <w:numPr>
          <w:ilvl w:val="0"/>
          <w:numId w:val="57"/>
        </w:numPr>
        <w:rPr>
          <w:rFonts w:ascii="Arial" w:cs="Arial" w:eastAsia="Arial" w:hAnsi="Arial"/>
          <w:sz w:val="16"/>
          <w:szCs w:val="16"/>
          <w:color w:val="0072CE"/>
        </w:rPr>
      </w:pPr>
      <w:r>
        <w:rPr>
          <w:rFonts w:ascii="Arial" w:cs="Arial" w:eastAsia="Arial" w:hAnsi="Arial"/>
          <w:sz w:val="16"/>
          <w:szCs w:val="16"/>
          <w:color w:val="3D3935"/>
        </w:rPr>
        <w:t>Meets as necessary, and all actions by the Executive Committee are reported and ratified at the next succeeding Board meeting.</w:t>
      </w:r>
    </w:p>
    <w:p>
      <w:pPr>
        <w:sectPr>
          <w:pgSz w:w="11900" w:h="16838" w:orient="portrait"/>
          <w:cols w:equalWidth="0" w:num="2">
            <w:col w:w="1660" w:space="500"/>
            <w:col w:w="6900"/>
          </w:cols>
          <w:pgMar w:left="1440" w:top="179" w:right="1399" w:bottom="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6"/>
          <w:szCs w:val="16"/>
          <w:color w:val="3D3935"/>
        </w:rPr>
        <w:t>Joseph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-34925</wp:posOffset>
            </wp:positionV>
            <wp:extent cx="6810375" cy="21621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10375" cy="2162175"/>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color w:val="3D3935"/>
        </w:rPr>
        <w:t>Judith A. Miscik</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6"/>
          <w:szCs w:val="16"/>
          <w:color w:val="3D3935"/>
        </w:rPr>
        <w:t>Patricia F. Russo</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3D3935"/>
        </w:rPr>
        <w:t>Thomas M. Schoewe*</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072CE"/>
        </w:rPr>
        <w:t>Meetings held in 2024:</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3D3935"/>
        </w:rPr>
        <w:t>0</w:t>
      </w:r>
    </w:p>
    <w:p>
      <w:pPr>
        <w:spacing w:after="0" w:line="291" w:lineRule="exact"/>
        <w:rPr>
          <w:sz w:val="20"/>
          <w:szCs w:val="20"/>
          <w:color w:val="auto"/>
        </w:rPr>
      </w:pPr>
    </w:p>
    <w:p>
      <w:pPr>
        <w:ind w:left="40"/>
        <w:spacing w:after="0"/>
        <w:tabs>
          <w:tab w:leader="none" w:pos="200" w:val="left"/>
        </w:tabs>
        <w:rPr>
          <w:sz w:val="20"/>
          <w:szCs w:val="20"/>
          <w:color w:val="auto"/>
        </w:rPr>
      </w:pPr>
      <w:r>
        <w:rPr>
          <w:rFonts w:ascii="Arial" w:cs="Arial" w:eastAsia="Arial" w:hAnsi="Arial"/>
          <w:sz w:val="14"/>
          <w:szCs w:val="14"/>
          <w:color w:val="3D3935"/>
        </w:rPr>
        <w:t>*</w:t>
        <w:tab/>
        <w:t>Not standing for re-election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3D3935"/>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8271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10375" cy="827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Corporate Governance</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The Board’s Role and Responsibilities</w:t>
      </w:r>
    </w:p>
    <w:p>
      <w:pPr>
        <w:spacing w:after="0" w:line="120"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Oversight of Strategy</w:t>
      </w:r>
    </w:p>
    <w:p>
      <w:pPr>
        <w:spacing w:after="0" w:line="132"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3D3935"/>
        </w:rPr>
        <w:t>One of the Board’s primary responsibilities is overseeing management’s establishment and execution of its corporate strategy. At least annually, management reviews the overall corporate strategy and key strategic risks with the Board. Throughout the year, the Board monitors progress against the strategic plan to ensure alignment with long-term objectives.</w:t>
      </w:r>
    </w:p>
    <w:p>
      <w:pPr>
        <w:spacing w:after="0" w:line="63"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Board and Committee Oversight of Risk</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3D3935"/>
        </w:rPr>
        <w:t>Board of Directors</w:t>
      </w:r>
    </w:p>
    <w:p>
      <w:pPr>
        <w:spacing w:after="0" w:line="39" w:lineRule="exact"/>
        <w:rPr>
          <w:sz w:val="20"/>
          <w:szCs w:val="20"/>
          <w:color w:val="auto"/>
        </w:rPr>
      </w:pPr>
    </w:p>
    <w:p>
      <w:pPr>
        <w:ind w:left="420" w:hanging="189"/>
        <w:spacing w:after="0"/>
        <w:tabs>
          <w:tab w:leader="none" w:pos="420" w:val="left"/>
        </w:tabs>
        <w:numPr>
          <w:ilvl w:val="0"/>
          <w:numId w:val="58"/>
        </w:numPr>
        <w:rPr>
          <w:rFonts w:ascii="Arial" w:cs="Arial" w:eastAsia="Arial" w:hAnsi="Arial"/>
          <w:sz w:val="14"/>
          <w:szCs w:val="14"/>
          <w:color w:val="0072CE"/>
        </w:rPr>
      </w:pPr>
      <w:r>
        <w:rPr>
          <w:rFonts w:ascii="Arial" w:cs="Arial" w:eastAsia="Arial" w:hAnsi="Arial"/>
          <w:sz w:val="14"/>
          <w:szCs w:val="14"/>
          <w:color w:val="3D3935"/>
        </w:rPr>
        <w:t>The Board has overall responsibility for risk oversight and focuses on the most significant risks facing the Company.</w:t>
      </w:r>
    </w:p>
    <w:p>
      <w:pPr>
        <w:spacing w:after="0" w:line="53" w:lineRule="exact"/>
        <w:rPr>
          <w:rFonts w:ascii="Arial" w:cs="Arial" w:eastAsia="Arial" w:hAnsi="Arial"/>
          <w:sz w:val="14"/>
          <w:szCs w:val="14"/>
          <w:color w:val="0072CE"/>
        </w:rPr>
      </w:pPr>
    </w:p>
    <w:p>
      <w:pPr>
        <w:ind w:left="420" w:hanging="189"/>
        <w:spacing w:after="0"/>
        <w:tabs>
          <w:tab w:leader="none" w:pos="420" w:val="left"/>
        </w:tabs>
        <w:numPr>
          <w:ilvl w:val="0"/>
          <w:numId w:val="58"/>
        </w:numPr>
        <w:rPr>
          <w:rFonts w:ascii="Arial" w:cs="Arial" w:eastAsia="Arial" w:hAnsi="Arial"/>
          <w:sz w:val="14"/>
          <w:szCs w:val="14"/>
          <w:color w:val="0072CE"/>
        </w:rPr>
      </w:pPr>
      <w:r>
        <w:rPr>
          <w:rFonts w:ascii="Arial" w:cs="Arial" w:eastAsia="Arial" w:hAnsi="Arial"/>
          <w:sz w:val="14"/>
          <w:szCs w:val="14"/>
          <w:color w:val="3D3935"/>
        </w:rPr>
        <w:t>The Board discharges its risk oversight responsibilities, in part, through delegation to its committees.</w:t>
      </w:r>
    </w:p>
    <w:p>
      <w:pPr>
        <w:spacing w:after="0" w:line="41" w:lineRule="exact"/>
        <w:rPr>
          <w:rFonts w:ascii="Arial" w:cs="Arial" w:eastAsia="Arial" w:hAnsi="Arial"/>
          <w:sz w:val="14"/>
          <w:szCs w:val="14"/>
          <w:color w:val="0072CE"/>
        </w:rPr>
      </w:pPr>
    </w:p>
    <w:p>
      <w:pPr>
        <w:ind w:left="420" w:right="560" w:hanging="189"/>
        <w:spacing w:after="0" w:line="305" w:lineRule="auto"/>
        <w:tabs>
          <w:tab w:leader="none" w:pos="420" w:val="left"/>
        </w:tabs>
        <w:numPr>
          <w:ilvl w:val="0"/>
          <w:numId w:val="58"/>
        </w:numPr>
        <w:rPr>
          <w:rFonts w:ascii="Arial" w:cs="Arial" w:eastAsia="Arial" w:hAnsi="Arial"/>
          <w:sz w:val="14"/>
          <w:szCs w:val="14"/>
          <w:color w:val="0072CE"/>
        </w:rPr>
      </w:pPr>
      <w:r>
        <w:rPr>
          <w:rFonts w:ascii="Arial" w:cs="Arial" w:eastAsia="Arial" w:hAnsi="Arial"/>
          <w:sz w:val="14"/>
          <w:szCs w:val="14"/>
          <w:color w:val="3D3935"/>
        </w:rPr>
        <w:t>The Board delegates oversight for certain risks to each committee based on the risk categories relevant to the subject matter of the committee.</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180" w:type="dxa"/>
            <w:vAlign w:val="bottom"/>
            <w:tcBorders>
              <w:top w:val="single" w:sz="8" w:color="0072CE"/>
            </w:tcBorders>
            <w:shd w:val="clear" w:color="auto" w:fill="F0F3F6"/>
          </w:tcPr>
          <w:p>
            <w:pPr>
              <w:spacing w:after="0"/>
              <w:rPr>
                <w:sz w:val="24"/>
                <w:szCs w:val="24"/>
                <w:color w:val="auto"/>
              </w:rPr>
            </w:pPr>
          </w:p>
        </w:tc>
        <w:tc>
          <w:tcPr>
            <w:tcW w:w="2320" w:type="dxa"/>
            <w:vAlign w:val="bottom"/>
            <w:tcBorders>
              <w:top w:val="single" w:sz="8" w:color="0072CE"/>
            </w:tcBorders>
            <w:shd w:val="clear" w:color="auto" w:fill="F0F3F6"/>
          </w:tcPr>
          <w:p>
            <w:pPr>
              <w:ind w:left="60"/>
              <w:spacing w:after="0"/>
              <w:rPr>
                <w:sz w:val="20"/>
                <w:szCs w:val="20"/>
                <w:color w:val="auto"/>
              </w:rPr>
            </w:pPr>
            <w:r>
              <w:rPr>
                <w:rFonts w:ascii="Arial" w:cs="Arial" w:eastAsia="Arial" w:hAnsi="Arial"/>
                <w:sz w:val="16"/>
                <w:szCs w:val="16"/>
                <w:b w:val="1"/>
                <w:bCs w:val="1"/>
                <w:color w:val="3D3935"/>
              </w:rPr>
              <w:t>Audit Committee</w:t>
            </w:r>
          </w:p>
        </w:tc>
        <w:tc>
          <w:tcPr>
            <w:tcW w:w="6560" w:type="dxa"/>
            <w:vAlign w:val="bottom"/>
            <w:tcBorders>
              <w:top w:val="single" w:sz="8" w:color="0072CE"/>
            </w:tcBorders>
          </w:tcPr>
          <w:p>
            <w:pPr>
              <w:ind w:left="18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4"/>
                <w:szCs w:val="14"/>
                <w:color w:val="3D3935"/>
              </w:rPr>
              <w:t>Oversees risks related to (i) financial reporting, internal disclosure controls, and auditing</w:t>
            </w:r>
          </w:p>
        </w:tc>
      </w:tr>
      <w:tr>
        <w:trPr>
          <w:trHeight w:val="190"/>
        </w:trPr>
        <w:tc>
          <w:tcPr>
            <w:tcW w:w="180" w:type="dxa"/>
            <w:vAlign w:val="bottom"/>
            <w:shd w:val="clear" w:color="auto" w:fill="F0F3F6"/>
          </w:tcPr>
          <w:p>
            <w:pPr>
              <w:spacing w:after="0"/>
              <w:rPr>
                <w:sz w:val="16"/>
                <w:szCs w:val="16"/>
                <w:color w:val="auto"/>
              </w:rPr>
            </w:pPr>
          </w:p>
        </w:tc>
        <w:tc>
          <w:tcPr>
            <w:tcW w:w="2320" w:type="dxa"/>
            <w:vAlign w:val="bottom"/>
            <w:shd w:val="clear" w:color="auto" w:fill="F0F3F6"/>
          </w:tcPr>
          <w:p>
            <w:pPr>
              <w:spacing w:after="0"/>
              <w:rPr>
                <w:sz w:val="16"/>
                <w:szCs w:val="16"/>
                <w:color w:val="auto"/>
              </w:rPr>
            </w:pPr>
          </w:p>
        </w:tc>
        <w:tc>
          <w:tcPr>
            <w:tcW w:w="6560" w:type="dxa"/>
            <w:vAlign w:val="bottom"/>
          </w:tcPr>
          <w:p>
            <w:pPr>
              <w:ind w:left="380"/>
              <w:spacing w:after="0"/>
              <w:rPr>
                <w:sz w:val="20"/>
                <w:szCs w:val="20"/>
                <w:color w:val="auto"/>
              </w:rPr>
            </w:pPr>
            <w:r>
              <w:rPr>
                <w:rFonts w:ascii="Arial" w:cs="Arial" w:eastAsia="Arial" w:hAnsi="Arial"/>
                <w:sz w:val="14"/>
                <w:szCs w:val="14"/>
                <w:color w:val="3D3935"/>
              </w:rPr>
              <w:t>matters; and (ii) legal, regulatory, and compliance programs.</w:t>
            </w:r>
          </w:p>
        </w:tc>
      </w:tr>
      <w:tr>
        <w:trPr>
          <w:trHeight w:val="89"/>
        </w:trPr>
        <w:tc>
          <w:tcPr>
            <w:tcW w:w="180" w:type="dxa"/>
            <w:vAlign w:val="bottom"/>
            <w:tcBorders>
              <w:bottom w:val="single" w:sz="8" w:color="F0F3F6"/>
            </w:tcBorders>
            <w:shd w:val="clear" w:color="auto" w:fill="F0F3F6"/>
          </w:tcPr>
          <w:p>
            <w:pPr>
              <w:spacing w:after="0"/>
              <w:rPr>
                <w:sz w:val="7"/>
                <w:szCs w:val="7"/>
                <w:color w:val="auto"/>
              </w:rPr>
            </w:pPr>
          </w:p>
        </w:tc>
        <w:tc>
          <w:tcPr>
            <w:tcW w:w="2320" w:type="dxa"/>
            <w:vAlign w:val="bottom"/>
            <w:tcBorders>
              <w:bottom w:val="single" w:sz="8" w:color="D9D9D6"/>
            </w:tcBorders>
            <w:shd w:val="clear" w:color="auto" w:fill="F0F3F6"/>
          </w:tcPr>
          <w:p>
            <w:pPr>
              <w:spacing w:after="0"/>
              <w:rPr>
                <w:sz w:val="7"/>
                <w:szCs w:val="7"/>
                <w:color w:val="auto"/>
              </w:rPr>
            </w:pPr>
          </w:p>
        </w:tc>
        <w:tc>
          <w:tcPr>
            <w:tcW w:w="6560" w:type="dxa"/>
            <w:vAlign w:val="bottom"/>
            <w:tcBorders>
              <w:bottom w:val="single" w:sz="8" w:color="D9D9D6"/>
            </w:tcBorders>
          </w:tcPr>
          <w:p>
            <w:pPr>
              <w:spacing w:after="0"/>
              <w:rPr>
                <w:sz w:val="7"/>
                <w:szCs w:val="7"/>
                <w:color w:val="auto"/>
              </w:rPr>
            </w:pPr>
          </w:p>
        </w:tc>
      </w:tr>
      <w:tr>
        <w:trPr>
          <w:trHeight w:val="237"/>
        </w:trPr>
        <w:tc>
          <w:tcPr>
            <w:tcW w:w="180" w:type="dxa"/>
            <w:vAlign w:val="bottom"/>
            <w:shd w:val="clear" w:color="auto" w:fill="F0F3F6"/>
          </w:tcPr>
          <w:p>
            <w:pPr>
              <w:spacing w:after="0"/>
              <w:rPr>
                <w:sz w:val="20"/>
                <w:szCs w:val="20"/>
                <w:color w:val="auto"/>
              </w:rPr>
            </w:pPr>
          </w:p>
        </w:tc>
        <w:tc>
          <w:tcPr>
            <w:tcW w:w="2320" w:type="dxa"/>
            <w:vAlign w:val="bottom"/>
            <w:shd w:val="clear" w:color="auto" w:fill="F0F3F6"/>
          </w:tcPr>
          <w:p>
            <w:pPr>
              <w:ind w:left="60"/>
              <w:spacing w:after="0"/>
              <w:rPr>
                <w:sz w:val="20"/>
                <w:szCs w:val="20"/>
                <w:color w:val="auto"/>
              </w:rPr>
            </w:pPr>
            <w:r>
              <w:rPr>
                <w:rFonts w:ascii="Arial" w:cs="Arial" w:eastAsia="Arial" w:hAnsi="Arial"/>
                <w:sz w:val="16"/>
                <w:szCs w:val="16"/>
                <w:b w:val="1"/>
                <w:bCs w:val="1"/>
                <w:color w:val="3D3935"/>
              </w:rPr>
              <w:t>Executive Compensation</w:t>
            </w:r>
          </w:p>
        </w:tc>
        <w:tc>
          <w:tcPr>
            <w:tcW w:w="6560" w:type="dxa"/>
            <w:vAlign w:val="bottom"/>
          </w:tcPr>
          <w:p>
            <w:pPr>
              <w:ind w:left="18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4"/>
                <w:szCs w:val="14"/>
                <w:color w:val="3D3935"/>
              </w:rPr>
              <w:t>Oversees risks related to executive and employee compensation plans, including through</w:t>
            </w:r>
          </w:p>
        </w:tc>
      </w:tr>
      <w:tr>
        <w:trPr>
          <w:trHeight w:val="234"/>
        </w:trPr>
        <w:tc>
          <w:tcPr>
            <w:tcW w:w="180" w:type="dxa"/>
            <w:vAlign w:val="bottom"/>
            <w:shd w:val="clear" w:color="auto" w:fill="F0F3F6"/>
          </w:tcPr>
          <w:p>
            <w:pPr>
              <w:spacing w:after="0"/>
              <w:rPr>
                <w:sz w:val="20"/>
                <w:szCs w:val="20"/>
                <w:color w:val="auto"/>
              </w:rPr>
            </w:pPr>
          </w:p>
        </w:tc>
        <w:tc>
          <w:tcPr>
            <w:tcW w:w="2320" w:type="dxa"/>
            <w:vAlign w:val="bottom"/>
            <w:shd w:val="clear" w:color="auto" w:fill="F0F3F6"/>
          </w:tcPr>
          <w:p>
            <w:pPr>
              <w:ind w:left="60"/>
              <w:spacing w:after="0"/>
              <w:rPr>
                <w:sz w:val="20"/>
                <w:szCs w:val="20"/>
                <w:color w:val="auto"/>
              </w:rPr>
            </w:pPr>
            <w:r>
              <w:rPr>
                <w:rFonts w:ascii="Arial" w:cs="Arial" w:eastAsia="Arial" w:hAnsi="Arial"/>
                <w:sz w:val="16"/>
                <w:szCs w:val="16"/>
                <w:b w:val="1"/>
                <w:bCs w:val="1"/>
                <w:color w:val="3D3935"/>
              </w:rPr>
              <w:t>Committee</w:t>
            </w:r>
          </w:p>
        </w:tc>
        <w:tc>
          <w:tcPr>
            <w:tcW w:w="6560" w:type="dxa"/>
            <w:vAlign w:val="bottom"/>
          </w:tcPr>
          <w:p>
            <w:pPr>
              <w:ind w:left="380"/>
              <w:spacing w:after="0"/>
              <w:rPr>
                <w:sz w:val="20"/>
                <w:szCs w:val="20"/>
                <w:color w:val="auto"/>
              </w:rPr>
            </w:pPr>
            <w:r>
              <w:rPr>
                <w:rFonts w:ascii="Arial" w:cs="Arial" w:eastAsia="Arial" w:hAnsi="Arial"/>
                <w:sz w:val="14"/>
                <w:szCs w:val="14"/>
                <w:color w:val="3D3935"/>
              </w:rPr>
              <w:t>the design of compensation plans that promote prudent risk management and do not</w:t>
            </w:r>
          </w:p>
        </w:tc>
      </w:tr>
      <w:tr>
        <w:trPr>
          <w:trHeight w:val="190"/>
        </w:trPr>
        <w:tc>
          <w:tcPr>
            <w:tcW w:w="180" w:type="dxa"/>
            <w:vAlign w:val="bottom"/>
            <w:shd w:val="clear" w:color="auto" w:fill="F0F3F6"/>
          </w:tcPr>
          <w:p>
            <w:pPr>
              <w:spacing w:after="0"/>
              <w:rPr>
                <w:sz w:val="16"/>
                <w:szCs w:val="16"/>
                <w:color w:val="auto"/>
              </w:rPr>
            </w:pPr>
          </w:p>
        </w:tc>
        <w:tc>
          <w:tcPr>
            <w:tcW w:w="2320" w:type="dxa"/>
            <w:vAlign w:val="bottom"/>
            <w:shd w:val="clear" w:color="auto" w:fill="F0F3F6"/>
          </w:tcPr>
          <w:p>
            <w:pPr>
              <w:spacing w:after="0"/>
              <w:rPr>
                <w:sz w:val="16"/>
                <w:szCs w:val="16"/>
                <w:color w:val="auto"/>
              </w:rPr>
            </w:pPr>
          </w:p>
        </w:tc>
        <w:tc>
          <w:tcPr>
            <w:tcW w:w="6560" w:type="dxa"/>
            <w:vAlign w:val="bottom"/>
          </w:tcPr>
          <w:p>
            <w:pPr>
              <w:ind w:left="380"/>
              <w:spacing w:after="0"/>
              <w:rPr>
                <w:sz w:val="20"/>
                <w:szCs w:val="20"/>
                <w:color w:val="auto"/>
              </w:rPr>
            </w:pPr>
            <w:r>
              <w:rPr>
                <w:rFonts w:ascii="Arial" w:cs="Arial" w:eastAsia="Arial" w:hAnsi="Arial"/>
                <w:sz w:val="14"/>
                <w:szCs w:val="14"/>
                <w:color w:val="3D3935"/>
              </w:rPr>
              <w:t>encourage excessive risk taking.</w:t>
            </w:r>
          </w:p>
        </w:tc>
      </w:tr>
      <w:tr>
        <w:trPr>
          <w:trHeight w:val="75"/>
        </w:trPr>
        <w:tc>
          <w:tcPr>
            <w:tcW w:w="180" w:type="dxa"/>
            <w:vAlign w:val="bottom"/>
            <w:tcBorders>
              <w:bottom w:val="single" w:sz="8" w:color="F0F3F6"/>
            </w:tcBorders>
            <w:shd w:val="clear" w:color="auto" w:fill="F0F3F6"/>
          </w:tcPr>
          <w:p>
            <w:pPr>
              <w:spacing w:after="0"/>
              <w:rPr>
                <w:sz w:val="6"/>
                <w:szCs w:val="6"/>
                <w:color w:val="auto"/>
              </w:rPr>
            </w:pPr>
          </w:p>
        </w:tc>
        <w:tc>
          <w:tcPr>
            <w:tcW w:w="2320" w:type="dxa"/>
            <w:vAlign w:val="bottom"/>
            <w:tcBorders>
              <w:bottom w:val="single" w:sz="8" w:color="D9D9D6"/>
            </w:tcBorders>
            <w:shd w:val="clear" w:color="auto" w:fill="F0F3F6"/>
          </w:tcPr>
          <w:p>
            <w:pPr>
              <w:spacing w:after="0"/>
              <w:rPr>
                <w:sz w:val="6"/>
                <w:szCs w:val="6"/>
                <w:color w:val="auto"/>
              </w:rPr>
            </w:pPr>
          </w:p>
        </w:tc>
        <w:tc>
          <w:tcPr>
            <w:tcW w:w="6560" w:type="dxa"/>
            <w:vAlign w:val="bottom"/>
            <w:tcBorders>
              <w:bottom w:val="single" w:sz="8" w:color="D9D9D6"/>
            </w:tcBorders>
          </w:tcPr>
          <w:p>
            <w:pPr>
              <w:spacing w:after="0"/>
              <w:rPr>
                <w:sz w:val="6"/>
                <w:szCs w:val="6"/>
                <w:color w:val="auto"/>
              </w:rPr>
            </w:pPr>
          </w:p>
        </w:tc>
      </w:tr>
      <w:tr>
        <w:trPr>
          <w:trHeight w:val="268"/>
        </w:trPr>
        <w:tc>
          <w:tcPr>
            <w:tcW w:w="180" w:type="dxa"/>
            <w:vAlign w:val="bottom"/>
            <w:shd w:val="clear" w:color="auto" w:fill="F0F3F6"/>
          </w:tcPr>
          <w:p>
            <w:pPr>
              <w:spacing w:after="0"/>
              <w:rPr>
                <w:sz w:val="23"/>
                <w:szCs w:val="23"/>
                <w:color w:val="auto"/>
              </w:rPr>
            </w:pPr>
          </w:p>
        </w:tc>
        <w:tc>
          <w:tcPr>
            <w:tcW w:w="2320" w:type="dxa"/>
            <w:vAlign w:val="bottom"/>
            <w:shd w:val="clear" w:color="auto" w:fill="F0F3F6"/>
          </w:tcPr>
          <w:p>
            <w:pPr>
              <w:ind w:left="60"/>
              <w:spacing w:after="0"/>
              <w:rPr>
                <w:sz w:val="20"/>
                <w:szCs w:val="20"/>
                <w:color w:val="auto"/>
              </w:rPr>
            </w:pPr>
            <w:r>
              <w:rPr>
                <w:rFonts w:ascii="Arial" w:cs="Arial" w:eastAsia="Arial" w:hAnsi="Arial"/>
                <w:sz w:val="16"/>
                <w:szCs w:val="16"/>
                <w:b w:val="1"/>
                <w:bCs w:val="1"/>
                <w:color w:val="3D3935"/>
              </w:rPr>
              <w:t>Finance Committee</w:t>
            </w:r>
          </w:p>
        </w:tc>
        <w:tc>
          <w:tcPr>
            <w:tcW w:w="6560" w:type="dxa"/>
            <w:vAlign w:val="bottom"/>
          </w:tcPr>
          <w:p>
            <w:pPr>
              <w:ind w:left="180"/>
              <w:spacing w:after="0"/>
              <w:rPr>
                <w:sz w:val="20"/>
                <w:szCs w:val="20"/>
                <w:color w:val="auto"/>
              </w:rPr>
            </w:pPr>
            <w:r>
              <w:rPr>
                <w:rFonts w:ascii="Arial" w:cs="Arial" w:eastAsia="Arial" w:hAnsi="Arial"/>
                <w:sz w:val="14"/>
                <w:szCs w:val="14"/>
                <w:color w:val="0072CE"/>
              </w:rPr>
              <w:t xml:space="preserve">•  </w:t>
            </w:r>
            <w:r>
              <w:rPr>
                <w:rFonts w:ascii="Arial" w:cs="Arial" w:eastAsia="Arial" w:hAnsi="Arial"/>
                <w:sz w:val="14"/>
                <w:szCs w:val="14"/>
                <w:color w:val="3D3935"/>
              </w:rPr>
              <w:t>Oversees risks related to (i) significant financial exposures and contingent liabilities of the</w:t>
            </w:r>
          </w:p>
        </w:tc>
      </w:tr>
      <w:tr>
        <w:trPr>
          <w:trHeight w:val="175"/>
        </w:trPr>
        <w:tc>
          <w:tcPr>
            <w:tcW w:w="180" w:type="dxa"/>
            <w:vAlign w:val="bottom"/>
            <w:shd w:val="clear" w:color="auto" w:fill="F0F3F6"/>
          </w:tcPr>
          <w:p>
            <w:pPr>
              <w:spacing w:after="0"/>
              <w:rPr>
                <w:sz w:val="15"/>
                <w:szCs w:val="15"/>
                <w:color w:val="auto"/>
              </w:rPr>
            </w:pPr>
          </w:p>
        </w:tc>
        <w:tc>
          <w:tcPr>
            <w:tcW w:w="2320" w:type="dxa"/>
            <w:vAlign w:val="bottom"/>
            <w:shd w:val="clear" w:color="auto" w:fill="F0F3F6"/>
          </w:tcPr>
          <w:p>
            <w:pPr>
              <w:spacing w:after="0"/>
              <w:rPr>
                <w:sz w:val="15"/>
                <w:szCs w:val="15"/>
                <w:color w:val="auto"/>
              </w:rPr>
            </w:pPr>
          </w:p>
        </w:tc>
        <w:tc>
          <w:tcPr>
            <w:tcW w:w="6560" w:type="dxa"/>
            <w:vAlign w:val="bottom"/>
          </w:tcPr>
          <w:p>
            <w:pPr>
              <w:ind w:left="380"/>
              <w:spacing w:after="0"/>
              <w:rPr>
                <w:sz w:val="20"/>
                <w:szCs w:val="20"/>
                <w:color w:val="auto"/>
              </w:rPr>
            </w:pPr>
            <w:r>
              <w:rPr>
                <w:rFonts w:ascii="Arial" w:cs="Arial" w:eastAsia="Arial" w:hAnsi="Arial"/>
                <w:sz w:val="14"/>
                <w:szCs w:val="14"/>
                <w:color w:val="3D3935"/>
              </w:rPr>
              <w:t>Company; (ii) regulatory compliance of employee-defined benefit plans; and (iii) M&amp;A</w:t>
            </w:r>
          </w:p>
        </w:tc>
      </w:tr>
      <w:tr>
        <w:trPr>
          <w:trHeight w:val="239"/>
        </w:trPr>
        <w:tc>
          <w:tcPr>
            <w:tcW w:w="180" w:type="dxa"/>
            <w:vAlign w:val="bottom"/>
            <w:tcBorders>
              <w:bottom w:val="single" w:sz="8" w:color="F0F3F6"/>
            </w:tcBorders>
            <w:shd w:val="clear" w:color="auto" w:fill="F0F3F6"/>
          </w:tcPr>
          <w:p>
            <w:pPr>
              <w:spacing w:after="0"/>
              <w:rPr>
                <w:sz w:val="20"/>
                <w:szCs w:val="20"/>
                <w:color w:val="auto"/>
              </w:rPr>
            </w:pPr>
          </w:p>
        </w:tc>
        <w:tc>
          <w:tcPr>
            <w:tcW w:w="2320" w:type="dxa"/>
            <w:vAlign w:val="bottom"/>
            <w:tcBorders>
              <w:bottom w:val="single" w:sz="8" w:color="F0F3F6"/>
            </w:tcBorders>
            <w:shd w:val="clear" w:color="auto" w:fill="F0F3F6"/>
          </w:tcPr>
          <w:p>
            <w:pPr>
              <w:spacing w:after="0"/>
              <w:rPr>
                <w:sz w:val="20"/>
                <w:szCs w:val="20"/>
                <w:color w:val="auto"/>
              </w:rPr>
            </w:pPr>
          </w:p>
        </w:tc>
        <w:tc>
          <w:tcPr>
            <w:tcW w:w="6560" w:type="dxa"/>
            <w:vAlign w:val="bottom"/>
          </w:tcPr>
          <w:p>
            <w:pPr>
              <w:ind w:left="380"/>
              <w:spacing w:after="0"/>
              <w:rPr>
                <w:sz w:val="20"/>
                <w:szCs w:val="20"/>
                <w:color w:val="auto"/>
              </w:rPr>
            </w:pPr>
            <w:r>
              <w:rPr>
                <w:rFonts w:ascii="Arial" w:cs="Arial" w:eastAsia="Arial" w:hAnsi="Arial"/>
                <w:sz w:val="14"/>
                <w:szCs w:val="14"/>
                <w:color w:val="3D3935"/>
              </w:rPr>
              <w:t>activity and impacts from changes to the Company’s shareholder base.</w:t>
            </w:r>
          </w:p>
        </w:tc>
      </w:tr>
      <w:tr>
        <w:trPr>
          <w:trHeight w:val="254"/>
        </w:trPr>
        <w:tc>
          <w:tcPr>
            <w:tcW w:w="180" w:type="dxa"/>
            <w:vAlign w:val="bottom"/>
            <w:tcBorders>
              <w:top w:val="single" w:sz="8" w:color="F0F3F6"/>
            </w:tcBorders>
            <w:shd w:val="clear" w:color="auto" w:fill="F0F3F6"/>
          </w:tcPr>
          <w:p>
            <w:pPr>
              <w:spacing w:after="0"/>
              <w:rPr>
                <w:sz w:val="22"/>
                <w:szCs w:val="22"/>
                <w:color w:val="auto"/>
              </w:rPr>
            </w:pPr>
          </w:p>
        </w:tc>
        <w:tc>
          <w:tcPr>
            <w:tcW w:w="2320" w:type="dxa"/>
            <w:vAlign w:val="bottom"/>
            <w:tcBorders>
              <w:top w:val="single" w:sz="8" w:color="D9D9D6"/>
            </w:tcBorders>
            <w:shd w:val="clear" w:color="auto" w:fill="F0F3F6"/>
          </w:tcPr>
          <w:p>
            <w:pPr>
              <w:ind w:left="60"/>
              <w:spacing w:after="0"/>
              <w:rPr>
                <w:sz w:val="20"/>
                <w:szCs w:val="20"/>
                <w:color w:val="auto"/>
              </w:rPr>
            </w:pPr>
            <w:r>
              <w:rPr>
                <w:rFonts w:ascii="Arial" w:cs="Arial" w:eastAsia="Arial" w:hAnsi="Arial"/>
                <w:sz w:val="16"/>
                <w:szCs w:val="16"/>
                <w:b w:val="1"/>
                <w:bCs w:val="1"/>
                <w:color w:val="3D3935"/>
              </w:rPr>
              <w:t>Governance and Corporate</w:t>
            </w:r>
          </w:p>
        </w:tc>
        <w:tc>
          <w:tcPr>
            <w:tcW w:w="6560" w:type="dxa"/>
            <w:vAlign w:val="bottom"/>
            <w:tcBorders>
              <w:top w:val="single" w:sz="8" w:color="D9D9D6"/>
            </w:tcBorders>
          </w:tcPr>
          <w:p>
            <w:pPr>
              <w:ind w:left="180"/>
              <w:spacing w:after="0"/>
              <w:rPr>
                <w:sz w:val="20"/>
                <w:szCs w:val="20"/>
                <w:color w:val="auto"/>
              </w:rPr>
            </w:pPr>
            <w:r>
              <w:rPr>
                <w:rFonts w:ascii="Arial" w:cs="Arial" w:eastAsia="Arial" w:hAnsi="Arial"/>
                <w:sz w:val="14"/>
                <w:szCs w:val="14"/>
                <w:color w:val="0072CE"/>
              </w:rPr>
              <w:t xml:space="preserve">•  </w:t>
            </w:r>
            <w:r>
              <w:rPr>
                <w:rFonts w:ascii="Arial" w:cs="Arial" w:eastAsia="Arial" w:hAnsi="Arial"/>
                <w:sz w:val="14"/>
                <w:szCs w:val="14"/>
                <w:color w:val="3D3935"/>
              </w:rPr>
              <w:t>Oversees risks related to (i) public policy and political activities; (ii) director independence</w:t>
            </w:r>
          </w:p>
        </w:tc>
      </w:tr>
      <w:tr>
        <w:trPr>
          <w:trHeight w:val="185"/>
        </w:trPr>
        <w:tc>
          <w:tcPr>
            <w:tcW w:w="180" w:type="dxa"/>
            <w:vAlign w:val="bottom"/>
            <w:shd w:val="clear" w:color="auto" w:fill="F0F3F6"/>
          </w:tcPr>
          <w:p>
            <w:pPr>
              <w:spacing w:after="0"/>
              <w:rPr>
                <w:sz w:val="16"/>
                <w:szCs w:val="16"/>
                <w:color w:val="auto"/>
              </w:rPr>
            </w:pPr>
          </w:p>
        </w:tc>
        <w:tc>
          <w:tcPr>
            <w:tcW w:w="2320" w:type="dxa"/>
            <w:vAlign w:val="bottom"/>
            <w:shd w:val="clear" w:color="auto" w:fill="F0F3F6"/>
          </w:tcPr>
          <w:p>
            <w:pPr>
              <w:ind w:left="60"/>
              <w:spacing w:after="0"/>
              <w:rPr>
                <w:sz w:val="20"/>
                <w:szCs w:val="20"/>
                <w:color w:val="auto"/>
              </w:rPr>
            </w:pPr>
            <w:r>
              <w:rPr>
                <w:rFonts w:ascii="Arial" w:cs="Arial" w:eastAsia="Arial" w:hAnsi="Arial"/>
                <w:sz w:val="16"/>
                <w:szCs w:val="16"/>
                <w:b w:val="1"/>
                <w:bCs w:val="1"/>
                <w:color w:val="3D3935"/>
              </w:rPr>
              <w:t>Responsibility Committee</w:t>
            </w:r>
          </w:p>
        </w:tc>
        <w:tc>
          <w:tcPr>
            <w:tcW w:w="6560" w:type="dxa"/>
            <w:vAlign w:val="bottom"/>
          </w:tcPr>
          <w:p>
            <w:pPr>
              <w:ind w:left="380"/>
              <w:spacing w:after="0"/>
              <w:rPr>
                <w:sz w:val="20"/>
                <w:szCs w:val="20"/>
                <w:color w:val="auto"/>
              </w:rPr>
            </w:pPr>
            <w:r>
              <w:rPr>
                <w:rFonts w:ascii="Arial" w:cs="Arial" w:eastAsia="Arial" w:hAnsi="Arial"/>
                <w:sz w:val="14"/>
                <w:szCs w:val="14"/>
                <w:color w:val="3D3935"/>
              </w:rPr>
              <w:t>and related party transactions; (iii) the sustainability of our operations and products; and</w:t>
            </w:r>
          </w:p>
        </w:tc>
      </w:tr>
      <w:tr>
        <w:trPr>
          <w:trHeight w:val="243"/>
        </w:trPr>
        <w:tc>
          <w:tcPr>
            <w:tcW w:w="180" w:type="dxa"/>
            <w:vAlign w:val="bottom"/>
            <w:tcBorders>
              <w:bottom w:val="single" w:sz="8" w:color="F0F3F6"/>
            </w:tcBorders>
            <w:shd w:val="clear" w:color="auto" w:fill="F0F3F6"/>
          </w:tcPr>
          <w:p>
            <w:pPr>
              <w:spacing w:after="0"/>
              <w:rPr>
                <w:sz w:val="21"/>
                <w:szCs w:val="21"/>
                <w:color w:val="auto"/>
              </w:rPr>
            </w:pPr>
          </w:p>
        </w:tc>
        <w:tc>
          <w:tcPr>
            <w:tcW w:w="2320" w:type="dxa"/>
            <w:vAlign w:val="bottom"/>
            <w:tcBorders>
              <w:bottom w:val="single" w:sz="8" w:color="F0F3F6"/>
            </w:tcBorders>
            <w:shd w:val="clear" w:color="auto" w:fill="F0F3F6"/>
          </w:tcPr>
          <w:p>
            <w:pPr>
              <w:spacing w:after="0"/>
              <w:rPr>
                <w:sz w:val="21"/>
                <w:szCs w:val="21"/>
                <w:color w:val="auto"/>
              </w:rPr>
            </w:pPr>
          </w:p>
        </w:tc>
        <w:tc>
          <w:tcPr>
            <w:tcW w:w="6560" w:type="dxa"/>
            <w:vAlign w:val="bottom"/>
          </w:tcPr>
          <w:p>
            <w:pPr>
              <w:ind w:left="380"/>
              <w:spacing w:after="0"/>
              <w:rPr>
                <w:sz w:val="20"/>
                <w:szCs w:val="20"/>
                <w:color w:val="auto"/>
              </w:rPr>
            </w:pPr>
            <w:r>
              <w:rPr>
                <w:rFonts w:ascii="Arial" w:cs="Arial" w:eastAsia="Arial" w:hAnsi="Arial"/>
                <w:sz w:val="14"/>
                <w:szCs w:val="14"/>
                <w:color w:val="3D3935"/>
              </w:rPr>
              <w:t>(iv) sustainability disclosures in consultation with the Audit Committee.</w:t>
            </w:r>
          </w:p>
        </w:tc>
      </w:tr>
      <w:tr>
        <w:trPr>
          <w:trHeight w:val="276"/>
        </w:trPr>
        <w:tc>
          <w:tcPr>
            <w:tcW w:w="180" w:type="dxa"/>
            <w:vAlign w:val="bottom"/>
            <w:tcBorders>
              <w:top w:val="single" w:sz="8" w:color="F0F3F6"/>
            </w:tcBorders>
            <w:shd w:val="clear" w:color="auto" w:fill="F0F3F6"/>
          </w:tcPr>
          <w:p>
            <w:pPr>
              <w:spacing w:after="0"/>
              <w:rPr>
                <w:sz w:val="24"/>
                <w:szCs w:val="24"/>
                <w:color w:val="auto"/>
              </w:rPr>
            </w:pPr>
          </w:p>
        </w:tc>
        <w:tc>
          <w:tcPr>
            <w:tcW w:w="2320" w:type="dxa"/>
            <w:vAlign w:val="bottom"/>
            <w:tcBorders>
              <w:top w:val="single" w:sz="8" w:color="D9D9D6"/>
            </w:tcBorders>
            <w:shd w:val="clear" w:color="auto" w:fill="F0F3F6"/>
          </w:tcPr>
          <w:p>
            <w:pPr>
              <w:ind w:left="60"/>
              <w:spacing w:after="0"/>
              <w:rPr>
                <w:sz w:val="20"/>
                <w:szCs w:val="20"/>
                <w:color w:val="auto"/>
              </w:rPr>
            </w:pPr>
            <w:r>
              <w:rPr>
                <w:rFonts w:ascii="Arial" w:cs="Arial" w:eastAsia="Arial" w:hAnsi="Arial"/>
                <w:sz w:val="16"/>
                <w:szCs w:val="16"/>
                <w:b w:val="1"/>
                <w:bCs w:val="1"/>
                <w:color w:val="3D3935"/>
              </w:rPr>
              <w:t>Risk and Cybersecurity</w:t>
            </w:r>
          </w:p>
        </w:tc>
        <w:tc>
          <w:tcPr>
            <w:tcW w:w="6560" w:type="dxa"/>
            <w:vAlign w:val="bottom"/>
            <w:tcBorders>
              <w:top w:val="single" w:sz="8" w:color="D9D9D6"/>
            </w:tcBorders>
          </w:tcPr>
          <w:p>
            <w:pPr>
              <w:ind w:left="18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4"/>
                <w:szCs w:val="14"/>
                <w:color w:val="3D3935"/>
              </w:rPr>
              <w:t>Oversees risks related to the Company’s key strategic, enterprise, and cybersecurity risks,</w:t>
            </w:r>
          </w:p>
        </w:tc>
      </w:tr>
      <w:tr>
        <w:trPr>
          <w:trHeight w:val="223"/>
        </w:trPr>
        <w:tc>
          <w:tcPr>
            <w:tcW w:w="180" w:type="dxa"/>
            <w:vAlign w:val="bottom"/>
            <w:shd w:val="clear" w:color="auto" w:fill="F0F3F6"/>
          </w:tcPr>
          <w:p>
            <w:pPr>
              <w:spacing w:after="0"/>
              <w:rPr>
                <w:sz w:val="19"/>
                <w:szCs w:val="19"/>
                <w:color w:val="auto"/>
              </w:rPr>
            </w:pPr>
          </w:p>
        </w:tc>
        <w:tc>
          <w:tcPr>
            <w:tcW w:w="2320" w:type="dxa"/>
            <w:vAlign w:val="bottom"/>
            <w:shd w:val="clear" w:color="auto" w:fill="F0F3F6"/>
          </w:tcPr>
          <w:p>
            <w:pPr>
              <w:ind w:left="60"/>
              <w:spacing w:after="0"/>
              <w:rPr>
                <w:sz w:val="20"/>
                <w:szCs w:val="20"/>
                <w:color w:val="auto"/>
              </w:rPr>
            </w:pPr>
            <w:r>
              <w:rPr>
                <w:rFonts w:ascii="Arial" w:cs="Arial" w:eastAsia="Arial" w:hAnsi="Arial"/>
                <w:sz w:val="16"/>
                <w:szCs w:val="16"/>
                <w:b w:val="1"/>
                <w:bCs w:val="1"/>
                <w:color w:val="3D3935"/>
              </w:rPr>
              <w:t>Committee</w:t>
            </w:r>
          </w:p>
        </w:tc>
        <w:tc>
          <w:tcPr>
            <w:tcW w:w="6560" w:type="dxa"/>
            <w:vAlign w:val="bottom"/>
          </w:tcPr>
          <w:p>
            <w:pPr>
              <w:ind w:left="380"/>
              <w:spacing w:after="0"/>
              <w:rPr>
                <w:sz w:val="20"/>
                <w:szCs w:val="20"/>
                <w:color w:val="auto"/>
              </w:rPr>
            </w:pPr>
            <w:r>
              <w:rPr>
                <w:rFonts w:ascii="Arial" w:cs="Arial" w:eastAsia="Arial" w:hAnsi="Arial"/>
                <w:sz w:val="14"/>
                <w:szCs w:val="14"/>
                <w:color w:val="3D3935"/>
              </w:rPr>
              <w:t>including artificial intelligence, climate change, workplace and product safety, and privacy;</w:t>
            </w:r>
          </w:p>
        </w:tc>
      </w:tr>
      <w:tr>
        <w:trPr>
          <w:trHeight w:val="201"/>
        </w:trPr>
        <w:tc>
          <w:tcPr>
            <w:tcW w:w="180" w:type="dxa"/>
            <w:vAlign w:val="bottom"/>
            <w:shd w:val="clear" w:color="auto" w:fill="F0F3F6"/>
          </w:tcPr>
          <w:p>
            <w:pPr>
              <w:spacing w:after="0"/>
              <w:rPr>
                <w:sz w:val="17"/>
                <w:szCs w:val="17"/>
                <w:color w:val="auto"/>
              </w:rPr>
            </w:pPr>
          </w:p>
        </w:tc>
        <w:tc>
          <w:tcPr>
            <w:tcW w:w="2320" w:type="dxa"/>
            <w:vAlign w:val="bottom"/>
            <w:shd w:val="clear" w:color="auto" w:fill="F0F3F6"/>
          </w:tcPr>
          <w:p>
            <w:pPr>
              <w:spacing w:after="0"/>
              <w:rPr>
                <w:sz w:val="17"/>
                <w:szCs w:val="17"/>
                <w:color w:val="auto"/>
              </w:rPr>
            </w:pPr>
          </w:p>
        </w:tc>
        <w:tc>
          <w:tcPr>
            <w:tcW w:w="6560" w:type="dxa"/>
            <w:vAlign w:val="bottom"/>
          </w:tcPr>
          <w:p>
            <w:pPr>
              <w:ind w:left="18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4"/>
                <w:szCs w:val="14"/>
                <w:color w:val="3D3935"/>
              </w:rPr>
              <w:t>Coordinates with the chairs of the other committees to support them in managing the</w:t>
            </w:r>
          </w:p>
        </w:tc>
      </w:tr>
      <w:tr>
        <w:trPr>
          <w:trHeight w:val="190"/>
        </w:trPr>
        <w:tc>
          <w:tcPr>
            <w:tcW w:w="180" w:type="dxa"/>
            <w:vAlign w:val="bottom"/>
            <w:shd w:val="clear" w:color="auto" w:fill="F0F3F6"/>
          </w:tcPr>
          <w:p>
            <w:pPr>
              <w:spacing w:after="0"/>
              <w:rPr>
                <w:sz w:val="16"/>
                <w:szCs w:val="16"/>
                <w:color w:val="auto"/>
              </w:rPr>
            </w:pPr>
          </w:p>
        </w:tc>
        <w:tc>
          <w:tcPr>
            <w:tcW w:w="2320" w:type="dxa"/>
            <w:vAlign w:val="bottom"/>
            <w:shd w:val="clear" w:color="auto" w:fill="F0F3F6"/>
          </w:tcPr>
          <w:p>
            <w:pPr>
              <w:spacing w:after="0"/>
              <w:rPr>
                <w:sz w:val="16"/>
                <w:szCs w:val="16"/>
                <w:color w:val="auto"/>
              </w:rPr>
            </w:pPr>
          </w:p>
        </w:tc>
        <w:tc>
          <w:tcPr>
            <w:tcW w:w="6560" w:type="dxa"/>
            <w:vAlign w:val="bottom"/>
          </w:tcPr>
          <w:p>
            <w:pPr>
              <w:ind w:left="380"/>
              <w:spacing w:after="0"/>
              <w:rPr>
                <w:sz w:val="20"/>
                <w:szCs w:val="20"/>
                <w:color w:val="auto"/>
              </w:rPr>
            </w:pPr>
            <w:r>
              <w:rPr>
                <w:rFonts w:ascii="Arial" w:cs="Arial" w:eastAsia="Arial" w:hAnsi="Arial"/>
                <w:sz w:val="14"/>
                <w:szCs w:val="14"/>
                <w:color w:val="3D3935"/>
              </w:rPr>
              <w:t>relationship between risk management policies and practices and their respective</w:t>
            </w:r>
          </w:p>
        </w:tc>
      </w:tr>
      <w:tr>
        <w:trPr>
          <w:trHeight w:val="203"/>
        </w:trPr>
        <w:tc>
          <w:tcPr>
            <w:tcW w:w="180" w:type="dxa"/>
            <w:vAlign w:val="bottom"/>
            <w:shd w:val="clear" w:color="auto" w:fill="F0F3F6"/>
          </w:tcPr>
          <w:p>
            <w:pPr>
              <w:spacing w:after="0"/>
              <w:rPr>
                <w:sz w:val="17"/>
                <w:szCs w:val="17"/>
                <w:color w:val="auto"/>
              </w:rPr>
            </w:pPr>
          </w:p>
        </w:tc>
        <w:tc>
          <w:tcPr>
            <w:tcW w:w="2320" w:type="dxa"/>
            <w:vAlign w:val="bottom"/>
            <w:shd w:val="clear" w:color="auto" w:fill="F0F3F6"/>
          </w:tcPr>
          <w:p>
            <w:pPr>
              <w:spacing w:after="0"/>
              <w:rPr>
                <w:sz w:val="17"/>
                <w:szCs w:val="17"/>
                <w:color w:val="auto"/>
              </w:rPr>
            </w:pPr>
          </w:p>
        </w:tc>
        <w:tc>
          <w:tcPr>
            <w:tcW w:w="6560" w:type="dxa"/>
            <w:vAlign w:val="bottom"/>
          </w:tcPr>
          <w:p>
            <w:pPr>
              <w:ind w:left="380"/>
              <w:spacing w:after="0"/>
              <w:rPr>
                <w:sz w:val="20"/>
                <w:szCs w:val="20"/>
                <w:color w:val="auto"/>
              </w:rPr>
            </w:pPr>
            <w:r>
              <w:rPr>
                <w:rFonts w:ascii="Arial" w:cs="Arial" w:eastAsia="Arial" w:hAnsi="Arial"/>
                <w:sz w:val="14"/>
                <w:szCs w:val="14"/>
                <w:color w:val="3D3935"/>
              </w:rPr>
              <w:t>oversight responsibilities; and</w:t>
            </w:r>
          </w:p>
        </w:tc>
      </w:tr>
      <w:tr>
        <w:trPr>
          <w:trHeight w:val="228"/>
        </w:trPr>
        <w:tc>
          <w:tcPr>
            <w:tcW w:w="180" w:type="dxa"/>
            <w:vAlign w:val="bottom"/>
            <w:shd w:val="clear" w:color="auto" w:fill="F0F3F6"/>
          </w:tcPr>
          <w:p>
            <w:pPr>
              <w:spacing w:after="0"/>
              <w:rPr>
                <w:sz w:val="19"/>
                <w:szCs w:val="19"/>
                <w:color w:val="auto"/>
              </w:rPr>
            </w:pPr>
          </w:p>
        </w:tc>
        <w:tc>
          <w:tcPr>
            <w:tcW w:w="2320" w:type="dxa"/>
            <w:vAlign w:val="bottom"/>
            <w:shd w:val="clear" w:color="auto" w:fill="F0F3F6"/>
          </w:tcPr>
          <w:p>
            <w:pPr>
              <w:spacing w:after="0"/>
              <w:rPr>
                <w:sz w:val="19"/>
                <w:szCs w:val="19"/>
                <w:color w:val="auto"/>
              </w:rPr>
            </w:pPr>
          </w:p>
        </w:tc>
        <w:tc>
          <w:tcPr>
            <w:tcW w:w="6560" w:type="dxa"/>
            <w:vAlign w:val="bottom"/>
          </w:tcPr>
          <w:p>
            <w:pPr>
              <w:ind w:left="18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4"/>
                <w:szCs w:val="14"/>
                <w:color w:val="3D3935"/>
              </w:rPr>
              <w:t>Assists the Board by monitoring the overall effectiveness of the Company’s risk</w:t>
            </w:r>
          </w:p>
        </w:tc>
      </w:tr>
      <w:tr>
        <w:trPr>
          <w:trHeight w:val="239"/>
        </w:trPr>
        <w:tc>
          <w:tcPr>
            <w:tcW w:w="180" w:type="dxa"/>
            <w:vAlign w:val="bottom"/>
            <w:tcBorders>
              <w:bottom w:val="single" w:sz="8" w:color="F0F3F6"/>
            </w:tcBorders>
            <w:shd w:val="clear" w:color="auto" w:fill="F0F3F6"/>
          </w:tcPr>
          <w:p>
            <w:pPr>
              <w:spacing w:after="0"/>
              <w:rPr>
                <w:sz w:val="20"/>
                <w:szCs w:val="20"/>
                <w:color w:val="auto"/>
              </w:rPr>
            </w:pPr>
          </w:p>
        </w:tc>
        <w:tc>
          <w:tcPr>
            <w:tcW w:w="2320" w:type="dxa"/>
            <w:vAlign w:val="bottom"/>
            <w:tcBorders>
              <w:bottom w:val="single" w:sz="8" w:color="F0F3F6"/>
            </w:tcBorders>
            <w:shd w:val="clear" w:color="auto" w:fill="F0F3F6"/>
          </w:tcPr>
          <w:p>
            <w:pPr>
              <w:spacing w:after="0"/>
              <w:rPr>
                <w:sz w:val="20"/>
                <w:szCs w:val="20"/>
                <w:color w:val="auto"/>
              </w:rPr>
            </w:pPr>
          </w:p>
        </w:tc>
        <w:tc>
          <w:tcPr>
            <w:tcW w:w="6560" w:type="dxa"/>
            <w:vAlign w:val="bottom"/>
          </w:tcPr>
          <w:p>
            <w:pPr>
              <w:ind w:left="380"/>
              <w:spacing w:after="0"/>
              <w:rPr>
                <w:sz w:val="20"/>
                <w:szCs w:val="20"/>
                <w:color w:val="auto"/>
              </w:rPr>
            </w:pPr>
            <w:r>
              <w:rPr>
                <w:rFonts w:ascii="Arial" w:cs="Arial" w:eastAsia="Arial" w:hAnsi="Arial"/>
                <w:sz w:val="14"/>
                <w:szCs w:val="14"/>
                <w:color w:val="3D3935"/>
              </w:rPr>
              <w:t>management framework and processes.</w:t>
            </w:r>
          </w:p>
        </w:tc>
      </w:tr>
      <w:tr>
        <w:trPr>
          <w:trHeight w:val="237"/>
        </w:trPr>
        <w:tc>
          <w:tcPr>
            <w:tcW w:w="180" w:type="dxa"/>
            <w:vAlign w:val="bottom"/>
            <w:tcBorders>
              <w:top w:val="single" w:sz="8" w:color="0072CE"/>
            </w:tcBorders>
          </w:tcPr>
          <w:p>
            <w:pPr>
              <w:spacing w:after="0"/>
              <w:rPr>
                <w:sz w:val="20"/>
                <w:szCs w:val="20"/>
                <w:color w:val="auto"/>
              </w:rPr>
            </w:pPr>
          </w:p>
        </w:tc>
        <w:tc>
          <w:tcPr>
            <w:tcW w:w="2320" w:type="dxa"/>
            <w:vAlign w:val="bottom"/>
            <w:tcBorders>
              <w:top w:val="single" w:sz="8" w:color="0072CE"/>
            </w:tcBorders>
          </w:tcPr>
          <w:p>
            <w:pPr>
              <w:spacing w:after="0"/>
              <w:rPr>
                <w:sz w:val="20"/>
                <w:szCs w:val="20"/>
                <w:color w:val="auto"/>
              </w:rPr>
            </w:pPr>
          </w:p>
        </w:tc>
        <w:tc>
          <w:tcPr>
            <w:tcW w:w="6560" w:type="dxa"/>
            <w:vAlign w:val="bottom"/>
            <w:tcBorders>
              <w:top w:val="single" w:sz="8" w:color="0072CE"/>
            </w:tcBorders>
          </w:tcPr>
          <w:p>
            <w:pPr>
              <w:spacing w:after="0"/>
              <w:rPr>
                <w:sz w:val="20"/>
                <w:szCs w:val="20"/>
                <w:color w:val="auto"/>
              </w:rPr>
            </w:pPr>
          </w:p>
        </w:tc>
      </w:tr>
      <w:tr>
        <w:trPr>
          <w:trHeight w:val="94"/>
        </w:trPr>
        <w:tc>
          <w:tcPr>
            <w:tcW w:w="180" w:type="dxa"/>
            <w:vAlign w:val="bottom"/>
          </w:tcPr>
          <w:p>
            <w:pPr>
              <w:spacing w:after="0"/>
              <w:rPr>
                <w:sz w:val="8"/>
                <w:szCs w:val="8"/>
                <w:color w:val="auto"/>
              </w:rPr>
            </w:pPr>
          </w:p>
        </w:tc>
        <w:tc>
          <w:tcPr>
            <w:tcW w:w="2320" w:type="dxa"/>
            <w:vAlign w:val="bottom"/>
            <w:shd w:val="clear" w:color="auto" w:fill="F0F3F6"/>
          </w:tcPr>
          <w:p>
            <w:pPr>
              <w:spacing w:after="0"/>
              <w:rPr>
                <w:sz w:val="8"/>
                <w:szCs w:val="8"/>
                <w:color w:val="auto"/>
              </w:rPr>
            </w:pPr>
          </w:p>
        </w:tc>
        <w:tc>
          <w:tcPr>
            <w:tcW w:w="6560" w:type="dxa"/>
            <w:vAlign w:val="bottom"/>
            <w:shd w:val="clear" w:color="auto" w:fill="F0F3F6"/>
          </w:tcPr>
          <w:p>
            <w:pPr>
              <w:spacing w:after="0"/>
              <w:rPr>
                <w:sz w:val="8"/>
                <w:szCs w:val="8"/>
                <w:color w:val="auto"/>
              </w:rPr>
            </w:pPr>
          </w:p>
        </w:tc>
      </w:tr>
    </w:tbl>
    <w:p>
      <w:pPr>
        <w:spacing w:after="0" w:line="40"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3D3935"/>
        </w:rPr>
        <w:t>Senior Leadership Team</w:t>
      </w:r>
    </w:p>
    <w:p>
      <w:pPr>
        <w:spacing w:after="0" w:line="39" w:lineRule="exact"/>
        <w:rPr>
          <w:sz w:val="20"/>
          <w:szCs w:val="20"/>
          <w:color w:val="auto"/>
        </w:rPr>
      </w:pPr>
    </w:p>
    <w:p>
      <w:pPr>
        <w:ind w:left="240" w:right="640"/>
        <w:spacing w:after="0" w:line="302" w:lineRule="auto"/>
        <w:rPr>
          <w:sz w:val="20"/>
          <w:szCs w:val="20"/>
          <w:color w:val="auto"/>
        </w:rPr>
      </w:pPr>
      <w:r>
        <w:rPr>
          <w:rFonts w:ascii="Arial" w:cs="Arial" w:eastAsia="Arial" w:hAnsi="Arial"/>
          <w:sz w:val="14"/>
          <w:szCs w:val="14"/>
          <w:color w:val="3D3935"/>
        </w:rPr>
        <w:t>The Company’s risk governance is facilitated through a top-down and bottom-up structure, with the tone established at the top by Ms. Barra, our Board Chair and CEO, and other members of management, specifically the Senior Leadership Team.</w:t>
      </w:r>
    </w:p>
    <w:p>
      <w:pPr>
        <w:spacing w:after="0" w:line="200" w:lineRule="exact"/>
        <w:rPr>
          <w:sz w:val="20"/>
          <w:szCs w:val="20"/>
          <w:color w:val="auto"/>
        </w:rPr>
      </w:pP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3D3935"/>
        </w:rPr>
        <w:t>Risk Advisory Council</w:t>
      </w:r>
    </w:p>
    <w:p>
      <w:pPr>
        <w:spacing w:after="0" w:line="39" w:lineRule="exact"/>
        <w:rPr>
          <w:sz w:val="20"/>
          <w:szCs w:val="20"/>
          <w:color w:val="auto"/>
        </w:rPr>
      </w:pPr>
    </w:p>
    <w:p>
      <w:pPr>
        <w:ind w:left="240" w:right="440"/>
        <w:spacing w:after="0" w:line="282" w:lineRule="auto"/>
        <w:rPr>
          <w:sz w:val="20"/>
          <w:szCs w:val="20"/>
          <w:color w:val="auto"/>
        </w:rPr>
      </w:pPr>
      <w:r>
        <w:rPr>
          <w:rFonts w:ascii="Arial" w:cs="Arial" w:eastAsia="Arial" w:hAnsi="Arial"/>
          <w:sz w:val="14"/>
          <w:szCs w:val="14"/>
          <w:color w:val="3D3935"/>
        </w:rPr>
        <w:t>An executive-level body with delegates from each business unit to discuss and monitor the most significant enterprise and emerging risks in a cross-functional setting. They are tasked with championing risk management practices and integrating them into their functional or regional business units.</w:t>
      </w:r>
    </w:p>
    <w:p>
      <w:pPr>
        <w:spacing w:after="0" w:line="200" w:lineRule="exact"/>
        <w:rPr>
          <w:sz w:val="20"/>
          <w:szCs w:val="20"/>
          <w:color w:val="auto"/>
        </w:rPr>
      </w:pP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3D3935"/>
        </w:rPr>
        <w:t>Risk Management Team</w:t>
      </w:r>
    </w:p>
    <w:p>
      <w:pPr>
        <w:sectPr>
          <w:pgSz w:w="11900" w:h="16838" w:orient="portrait"/>
          <w:cols w:equalWidth="0" w:num="1">
            <w:col w:w="9060"/>
          </w:cols>
          <w:pgMar w:left="1400" w:top="11" w:right="1439" w:bottom="0" w:gutter="0" w:footer="0" w:header="0"/>
        </w:sectPr>
      </w:pPr>
    </w:p>
    <w:p>
      <w:pPr>
        <w:spacing w:after="0" w:line="39" w:lineRule="exact"/>
        <w:rPr>
          <w:sz w:val="20"/>
          <w:szCs w:val="20"/>
          <w:color w:val="auto"/>
        </w:rPr>
      </w:pPr>
    </w:p>
    <w:p>
      <w:pPr>
        <w:ind w:left="240" w:right="340"/>
        <w:spacing w:after="0" w:line="282" w:lineRule="auto"/>
        <w:rPr>
          <w:sz w:val="20"/>
          <w:szCs w:val="20"/>
          <w:color w:val="auto"/>
        </w:rPr>
      </w:pPr>
      <w:r>
        <w:rPr>
          <w:rFonts w:ascii="Arial" w:cs="Arial" w:eastAsia="Arial" w:hAnsi="Arial"/>
          <w:sz w:val="14"/>
          <w:szCs w:val="14"/>
          <w:color w:val="3D3935"/>
        </w:rPr>
        <w:t>GM’s Strategic Risk Management team executes a dynamic risk assessment process throughout the year and provides regular updates on enterprise and emerging risks to our Senior Leadership Team and the Risk and Cybersecurity Committee. The Committee also receives detailed management updates on critical risks throughout the year.</w:t>
      </w:r>
    </w:p>
    <w:p>
      <w:pPr>
        <w:sectPr>
          <w:pgSz w:w="11900" w:h="16838" w:orient="portrait"/>
          <w:cols w:equalWidth="0" w:num="1">
            <w:col w:w="9060"/>
          </w:cols>
          <w:pgMar w:left="1400" w:top="11" w:right="1439" w:bottom="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4"/>
          <w:szCs w:val="14"/>
          <w:b w:val="1"/>
          <w:bCs w:val="1"/>
          <w:color w:val="3D3935"/>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5848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10375" cy="584835"/>
                    </a:xfrm>
                    <a:prstGeom prst="rect">
                      <a:avLst/>
                    </a:prstGeom>
                    <a:noFill/>
                  </pic:spPr>
                </pic:pic>
              </a:graphicData>
            </a:graphic>
          </wp:anchor>
        </w:drawing>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88677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Corporate Governance</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Enterprise Risk Management</w:t>
      </w:r>
    </w:p>
    <w:p>
      <w:pPr>
        <w:spacing w:after="0" w:line="114" w:lineRule="exact"/>
        <w:rPr>
          <w:sz w:val="20"/>
          <w:szCs w:val="20"/>
          <w:color w:val="auto"/>
        </w:rPr>
      </w:pPr>
    </w:p>
    <w:p>
      <w:pPr>
        <w:ind w:right="480"/>
        <w:spacing w:after="0" w:line="321" w:lineRule="auto"/>
        <w:rPr>
          <w:sz w:val="20"/>
          <w:szCs w:val="20"/>
          <w:color w:val="auto"/>
        </w:rPr>
      </w:pPr>
      <w:r>
        <w:rPr>
          <w:rFonts w:ascii="Arial" w:cs="Arial" w:eastAsia="Arial" w:hAnsi="Arial"/>
          <w:sz w:val="16"/>
          <w:szCs w:val="16"/>
          <w:color w:val="3D3935"/>
        </w:rPr>
        <w:t>The selected areas of risk oversight highlighted below were identified by the Risk and Cybersecurity Committee as focus areas in 2025. These topics are continuously reviewed to ensure effective oversight of emerging and inherent risks.</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Selected Areas of Risk Oversight</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ind w:left="60"/>
              <w:spacing w:after="0"/>
              <w:rPr>
                <w:sz w:val="20"/>
                <w:szCs w:val="20"/>
                <w:color w:val="auto"/>
              </w:rPr>
            </w:pPr>
            <w:r>
              <w:rPr>
                <w:rFonts w:ascii="Arial" w:cs="Arial" w:eastAsia="Arial" w:hAnsi="Arial"/>
                <w:sz w:val="16"/>
                <w:szCs w:val="16"/>
                <w:b w:val="1"/>
                <w:bCs w:val="1"/>
                <w:color w:val="0072CE"/>
              </w:rPr>
              <w:t>Workforce Strategy</w:t>
            </w:r>
          </w:p>
        </w:tc>
        <w:tc>
          <w:tcPr>
            <w:tcW w:w="7380" w:type="dxa"/>
            <w:vAlign w:val="bottom"/>
          </w:tcPr>
          <w:p>
            <w:pPr>
              <w:ind w:left="160"/>
              <w:spacing w:after="0"/>
              <w:rPr>
                <w:sz w:val="20"/>
                <w:szCs w:val="20"/>
                <w:color w:val="auto"/>
              </w:rPr>
            </w:pPr>
            <w:r>
              <w:rPr>
                <w:rFonts w:ascii="Arial" w:cs="Arial" w:eastAsia="Arial" w:hAnsi="Arial"/>
                <w:sz w:val="16"/>
                <w:szCs w:val="16"/>
                <w:color w:val="3D3935"/>
              </w:rPr>
              <w:t>The Board along with the Compensation Committee oversees matters related to the Company’s</w:t>
            </w:r>
          </w:p>
        </w:tc>
      </w:tr>
      <w:tr>
        <w:trPr>
          <w:trHeight w:val="215"/>
        </w:trPr>
        <w:tc>
          <w:tcPr>
            <w:tcW w:w="170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6"/>
                <w:szCs w:val="16"/>
                <w:color w:val="3D3935"/>
              </w:rPr>
              <w:t>workforce strategy, including attraction of critical skill sets, incentive compensation structure,</w:t>
            </w:r>
          </w:p>
        </w:tc>
      </w:tr>
      <w:tr>
        <w:trPr>
          <w:trHeight w:val="216"/>
        </w:trPr>
        <w:tc>
          <w:tcPr>
            <w:tcW w:w="170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6"/>
                <w:szCs w:val="16"/>
                <w:color w:val="3D3935"/>
              </w:rPr>
              <w:t>enhancements to organizational design, and labor relations.</w:t>
            </w:r>
          </w:p>
        </w:tc>
      </w:tr>
      <w:tr>
        <w:trPr>
          <w:trHeight w:val="56"/>
        </w:trPr>
        <w:tc>
          <w:tcPr>
            <w:tcW w:w="1700" w:type="dxa"/>
            <w:vAlign w:val="bottom"/>
            <w:tcBorders>
              <w:bottom w:val="single" w:sz="8" w:color="D9D9D6"/>
            </w:tcBorders>
          </w:tcPr>
          <w:p>
            <w:pPr>
              <w:spacing w:after="0"/>
              <w:rPr>
                <w:sz w:val="4"/>
                <w:szCs w:val="4"/>
                <w:color w:val="auto"/>
              </w:rPr>
            </w:pPr>
          </w:p>
        </w:tc>
        <w:tc>
          <w:tcPr>
            <w:tcW w:w="7380" w:type="dxa"/>
            <w:vAlign w:val="bottom"/>
            <w:tcBorders>
              <w:bottom w:val="single" w:sz="8" w:color="D9D9D6"/>
            </w:tcBorders>
          </w:tcPr>
          <w:p>
            <w:pPr>
              <w:spacing w:after="0"/>
              <w:rPr>
                <w:sz w:val="4"/>
                <w:szCs w:val="4"/>
                <w:color w:val="auto"/>
              </w:rPr>
            </w:pPr>
          </w:p>
        </w:tc>
      </w:tr>
      <w:tr>
        <w:trPr>
          <w:trHeight w:val="290"/>
        </w:trPr>
        <w:tc>
          <w:tcPr>
            <w:tcW w:w="1700" w:type="dxa"/>
            <w:vAlign w:val="bottom"/>
          </w:tcPr>
          <w:p>
            <w:pPr>
              <w:ind w:left="60"/>
              <w:spacing w:after="0"/>
              <w:rPr>
                <w:sz w:val="20"/>
                <w:szCs w:val="20"/>
                <w:color w:val="auto"/>
              </w:rPr>
            </w:pPr>
            <w:r>
              <w:rPr>
                <w:rFonts w:ascii="Arial" w:cs="Arial" w:eastAsia="Arial" w:hAnsi="Arial"/>
                <w:sz w:val="16"/>
                <w:szCs w:val="16"/>
                <w:b w:val="1"/>
                <w:bCs w:val="1"/>
                <w:color w:val="0072CE"/>
              </w:rPr>
              <w:t>Core Operations</w:t>
            </w:r>
          </w:p>
        </w:tc>
        <w:tc>
          <w:tcPr>
            <w:tcW w:w="7380" w:type="dxa"/>
            <w:vAlign w:val="bottom"/>
          </w:tcPr>
          <w:p>
            <w:pPr>
              <w:ind w:left="160"/>
              <w:spacing w:after="0"/>
              <w:rPr>
                <w:sz w:val="20"/>
                <w:szCs w:val="20"/>
                <w:color w:val="auto"/>
              </w:rPr>
            </w:pPr>
            <w:r>
              <w:rPr>
                <w:rFonts w:ascii="Arial" w:cs="Arial" w:eastAsia="Arial" w:hAnsi="Arial"/>
                <w:sz w:val="16"/>
                <w:szCs w:val="16"/>
                <w:color w:val="3D3935"/>
              </w:rPr>
              <w:t>The Board directly oversees matters related to the Company’s core operations, including</w:t>
            </w:r>
          </w:p>
        </w:tc>
      </w:tr>
      <w:tr>
        <w:trPr>
          <w:trHeight w:val="215"/>
        </w:trPr>
        <w:tc>
          <w:tcPr>
            <w:tcW w:w="170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6"/>
                <w:szCs w:val="16"/>
                <w:color w:val="3D3935"/>
              </w:rPr>
              <w:t>workplace safety, sustainability initiatives, asset and plant management, and GM’s</w:t>
            </w:r>
          </w:p>
        </w:tc>
      </w:tr>
      <w:tr>
        <w:trPr>
          <w:trHeight w:val="216"/>
        </w:trPr>
        <w:tc>
          <w:tcPr>
            <w:tcW w:w="170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6"/>
                <w:szCs w:val="16"/>
                <w:color w:val="3D3935"/>
              </w:rPr>
              <w:t>overall reputation.</w:t>
            </w:r>
          </w:p>
        </w:tc>
      </w:tr>
      <w:tr>
        <w:trPr>
          <w:trHeight w:val="56"/>
        </w:trPr>
        <w:tc>
          <w:tcPr>
            <w:tcW w:w="1700" w:type="dxa"/>
            <w:vAlign w:val="bottom"/>
            <w:tcBorders>
              <w:bottom w:val="single" w:sz="8" w:color="D9D9D6"/>
            </w:tcBorders>
          </w:tcPr>
          <w:p>
            <w:pPr>
              <w:spacing w:after="0"/>
              <w:rPr>
                <w:sz w:val="4"/>
                <w:szCs w:val="4"/>
                <w:color w:val="auto"/>
              </w:rPr>
            </w:pPr>
          </w:p>
        </w:tc>
        <w:tc>
          <w:tcPr>
            <w:tcW w:w="7380" w:type="dxa"/>
            <w:vAlign w:val="bottom"/>
            <w:tcBorders>
              <w:bottom w:val="single" w:sz="8" w:color="D9D9D6"/>
            </w:tcBorders>
          </w:tcPr>
          <w:p>
            <w:pPr>
              <w:spacing w:after="0"/>
              <w:rPr>
                <w:sz w:val="4"/>
                <w:szCs w:val="4"/>
                <w:color w:val="auto"/>
              </w:rPr>
            </w:pPr>
          </w:p>
        </w:tc>
      </w:tr>
      <w:tr>
        <w:trPr>
          <w:trHeight w:val="290"/>
        </w:trPr>
        <w:tc>
          <w:tcPr>
            <w:tcW w:w="1700" w:type="dxa"/>
            <w:vAlign w:val="bottom"/>
          </w:tcPr>
          <w:p>
            <w:pPr>
              <w:ind w:left="60"/>
              <w:spacing w:after="0"/>
              <w:rPr>
                <w:sz w:val="20"/>
                <w:szCs w:val="20"/>
                <w:color w:val="auto"/>
              </w:rPr>
            </w:pPr>
            <w:r>
              <w:rPr>
                <w:rFonts w:ascii="Arial" w:cs="Arial" w:eastAsia="Arial" w:hAnsi="Arial"/>
                <w:sz w:val="16"/>
                <w:szCs w:val="16"/>
                <w:b w:val="1"/>
                <w:bCs w:val="1"/>
                <w:color w:val="0072CE"/>
              </w:rPr>
              <w:t>Product Execution</w:t>
            </w:r>
          </w:p>
        </w:tc>
        <w:tc>
          <w:tcPr>
            <w:tcW w:w="7380" w:type="dxa"/>
            <w:vAlign w:val="bottom"/>
          </w:tcPr>
          <w:p>
            <w:pPr>
              <w:ind w:left="160"/>
              <w:spacing w:after="0"/>
              <w:rPr>
                <w:sz w:val="20"/>
                <w:szCs w:val="20"/>
                <w:color w:val="auto"/>
              </w:rPr>
            </w:pPr>
            <w:r>
              <w:rPr>
                <w:rFonts w:ascii="Arial" w:cs="Arial" w:eastAsia="Arial" w:hAnsi="Arial"/>
                <w:sz w:val="16"/>
                <w:szCs w:val="16"/>
                <w:color w:val="3D3935"/>
              </w:rPr>
              <w:t>GM’s full Board directly oversees product strategy and execution and receives regular updates on</w:t>
            </w:r>
          </w:p>
        </w:tc>
      </w:tr>
      <w:tr>
        <w:trPr>
          <w:trHeight w:val="215"/>
        </w:trPr>
        <w:tc>
          <w:tcPr>
            <w:tcW w:w="170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6"/>
                <w:szCs w:val="16"/>
                <w:color w:val="3D3935"/>
              </w:rPr>
              <w:t>product safety, software and services, and U.S. regulations related to product development. In</w:t>
            </w:r>
          </w:p>
        </w:tc>
      </w:tr>
      <w:tr>
        <w:trPr>
          <w:trHeight w:val="216"/>
        </w:trPr>
        <w:tc>
          <w:tcPr>
            <w:tcW w:w="170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6"/>
                <w:szCs w:val="16"/>
                <w:color w:val="3D3935"/>
              </w:rPr>
              <w:t>addition, the Board directly engages with the Company’s brand leads to discuss and review</w:t>
            </w:r>
          </w:p>
        </w:tc>
      </w:tr>
      <w:tr>
        <w:trPr>
          <w:trHeight w:val="216"/>
        </w:trPr>
        <w:tc>
          <w:tcPr>
            <w:tcW w:w="170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6"/>
                <w:szCs w:val="16"/>
                <w:color w:val="3D3935"/>
              </w:rPr>
              <w:t>product updates.</w:t>
            </w:r>
          </w:p>
        </w:tc>
      </w:tr>
      <w:tr>
        <w:trPr>
          <w:trHeight w:val="56"/>
        </w:trPr>
        <w:tc>
          <w:tcPr>
            <w:tcW w:w="1700" w:type="dxa"/>
            <w:vAlign w:val="bottom"/>
            <w:tcBorders>
              <w:bottom w:val="single" w:sz="8" w:color="D9D9D6"/>
            </w:tcBorders>
          </w:tcPr>
          <w:p>
            <w:pPr>
              <w:spacing w:after="0"/>
              <w:rPr>
                <w:sz w:val="4"/>
                <w:szCs w:val="4"/>
                <w:color w:val="auto"/>
              </w:rPr>
            </w:pPr>
          </w:p>
        </w:tc>
        <w:tc>
          <w:tcPr>
            <w:tcW w:w="7380" w:type="dxa"/>
            <w:vAlign w:val="bottom"/>
            <w:tcBorders>
              <w:bottom w:val="single" w:sz="8" w:color="D9D9D6"/>
            </w:tcBorders>
          </w:tcPr>
          <w:p>
            <w:pPr>
              <w:spacing w:after="0"/>
              <w:rPr>
                <w:sz w:val="4"/>
                <w:szCs w:val="4"/>
                <w:color w:val="auto"/>
              </w:rPr>
            </w:pPr>
          </w:p>
        </w:tc>
      </w:tr>
      <w:tr>
        <w:trPr>
          <w:trHeight w:val="276"/>
        </w:trPr>
        <w:tc>
          <w:tcPr>
            <w:tcW w:w="1700" w:type="dxa"/>
            <w:vAlign w:val="bottom"/>
          </w:tcPr>
          <w:p>
            <w:pPr>
              <w:ind w:left="60"/>
              <w:spacing w:after="0"/>
              <w:rPr>
                <w:sz w:val="20"/>
                <w:szCs w:val="20"/>
                <w:color w:val="auto"/>
              </w:rPr>
            </w:pPr>
            <w:r>
              <w:rPr>
                <w:rFonts w:ascii="Arial" w:cs="Arial" w:eastAsia="Arial" w:hAnsi="Arial"/>
                <w:sz w:val="16"/>
                <w:szCs w:val="16"/>
                <w:b w:val="1"/>
                <w:bCs w:val="1"/>
                <w:color w:val="0072CE"/>
              </w:rPr>
              <w:t>Market and</w:t>
            </w:r>
          </w:p>
        </w:tc>
        <w:tc>
          <w:tcPr>
            <w:tcW w:w="7380" w:type="dxa"/>
            <w:vAlign w:val="bottom"/>
          </w:tcPr>
          <w:p>
            <w:pPr>
              <w:ind w:left="160"/>
              <w:spacing w:after="0"/>
              <w:rPr>
                <w:sz w:val="20"/>
                <w:szCs w:val="20"/>
                <w:color w:val="auto"/>
              </w:rPr>
            </w:pPr>
            <w:r>
              <w:rPr>
                <w:rFonts w:ascii="Arial" w:cs="Arial" w:eastAsia="Arial" w:hAnsi="Arial"/>
                <w:sz w:val="16"/>
                <w:szCs w:val="16"/>
                <w:color w:val="3D3935"/>
              </w:rPr>
              <w:t>The Board reviews and discusses updates on global market competition with members of the</w:t>
            </w:r>
          </w:p>
        </w:tc>
      </w:tr>
      <w:tr>
        <w:trPr>
          <w:trHeight w:val="228"/>
        </w:trPr>
        <w:tc>
          <w:tcPr>
            <w:tcW w:w="1700" w:type="dxa"/>
            <w:vAlign w:val="bottom"/>
          </w:tcPr>
          <w:p>
            <w:pPr>
              <w:ind w:left="60"/>
              <w:spacing w:after="0"/>
              <w:rPr>
                <w:sz w:val="20"/>
                <w:szCs w:val="20"/>
                <w:color w:val="auto"/>
              </w:rPr>
            </w:pPr>
            <w:r>
              <w:rPr>
                <w:rFonts w:ascii="Arial" w:cs="Arial" w:eastAsia="Arial" w:hAnsi="Arial"/>
                <w:sz w:val="16"/>
                <w:szCs w:val="16"/>
                <w:b w:val="1"/>
                <w:bCs w:val="1"/>
                <w:color w:val="0072CE"/>
              </w:rPr>
              <w:t>Competition</w:t>
            </w:r>
          </w:p>
        </w:tc>
        <w:tc>
          <w:tcPr>
            <w:tcW w:w="7380" w:type="dxa"/>
            <w:vAlign w:val="bottom"/>
          </w:tcPr>
          <w:p>
            <w:pPr>
              <w:ind w:left="160"/>
              <w:spacing w:after="0"/>
              <w:rPr>
                <w:sz w:val="20"/>
                <w:szCs w:val="20"/>
                <w:color w:val="auto"/>
              </w:rPr>
            </w:pPr>
            <w:r>
              <w:rPr>
                <w:rFonts w:ascii="Arial" w:cs="Arial" w:eastAsia="Arial" w:hAnsi="Arial"/>
                <w:sz w:val="16"/>
                <w:szCs w:val="16"/>
                <w:color w:val="3D3935"/>
              </w:rPr>
              <w:t>Senior Leadership Team. These reports include updates on industry partnerships, infrastructure</w:t>
            </w:r>
          </w:p>
        </w:tc>
      </w:tr>
      <w:tr>
        <w:trPr>
          <w:trHeight w:val="216"/>
        </w:trPr>
        <w:tc>
          <w:tcPr>
            <w:tcW w:w="170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6"/>
                <w:szCs w:val="16"/>
                <w:color w:val="3D3935"/>
              </w:rPr>
              <w:t>and adoption rates of electric vehicles, and analyses of competitive landscapes.</w:t>
            </w:r>
          </w:p>
        </w:tc>
      </w:tr>
      <w:tr>
        <w:trPr>
          <w:trHeight w:val="56"/>
        </w:trPr>
        <w:tc>
          <w:tcPr>
            <w:tcW w:w="1700" w:type="dxa"/>
            <w:vAlign w:val="bottom"/>
            <w:tcBorders>
              <w:bottom w:val="single" w:sz="8" w:color="D9D9D6"/>
            </w:tcBorders>
          </w:tcPr>
          <w:p>
            <w:pPr>
              <w:spacing w:after="0"/>
              <w:rPr>
                <w:sz w:val="4"/>
                <w:szCs w:val="4"/>
                <w:color w:val="auto"/>
              </w:rPr>
            </w:pPr>
          </w:p>
        </w:tc>
        <w:tc>
          <w:tcPr>
            <w:tcW w:w="7380" w:type="dxa"/>
            <w:vAlign w:val="bottom"/>
            <w:tcBorders>
              <w:bottom w:val="single" w:sz="8" w:color="D9D9D6"/>
            </w:tcBorders>
          </w:tcPr>
          <w:p>
            <w:pPr>
              <w:spacing w:after="0"/>
              <w:rPr>
                <w:sz w:val="4"/>
                <w:szCs w:val="4"/>
                <w:color w:val="auto"/>
              </w:rPr>
            </w:pPr>
          </w:p>
        </w:tc>
      </w:tr>
      <w:tr>
        <w:trPr>
          <w:trHeight w:val="276"/>
        </w:trPr>
        <w:tc>
          <w:tcPr>
            <w:tcW w:w="1700" w:type="dxa"/>
            <w:vAlign w:val="bottom"/>
          </w:tcPr>
          <w:p>
            <w:pPr>
              <w:ind w:left="60"/>
              <w:spacing w:after="0"/>
              <w:rPr>
                <w:sz w:val="20"/>
                <w:szCs w:val="20"/>
                <w:color w:val="auto"/>
              </w:rPr>
            </w:pPr>
            <w:r>
              <w:rPr>
                <w:rFonts w:ascii="Arial" w:cs="Arial" w:eastAsia="Arial" w:hAnsi="Arial"/>
                <w:sz w:val="16"/>
                <w:szCs w:val="16"/>
                <w:b w:val="1"/>
                <w:bCs w:val="1"/>
                <w:color w:val="0072CE"/>
              </w:rPr>
              <w:t>New Ventures and</w:t>
            </w:r>
          </w:p>
        </w:tc>
        <w:tc>
          <w:tcPr>
            <w:tcW w:w="7380" w:type="dxa"/>
            <w:vAlign w:val="bottom"/>
          </w:tcPr>
          <w:p>
            <w:pPr>
              <w:ind w:left="160"/>
              <w:spacing w:after="0"/>
              <w:rPr>
                <w:sz w:val="20"/>
                <w:szCs w:val="20"/>
                <w:color w:val="auto"/>
              </w:rPr>
            </w:pPr>
            <w:r>
              <w:rPr>
                <w:rFonts w:ascii="Arial" w:cs="Arial" w:eastAsia="Arial" w:hAnsi="Arial"/>
                <w:sz w:val="16"/>
                <w:szCs w:val="16"/>
                <w:color w:val="3D3935"/>
              </w:rPr>
              <w:t>The Finance Committee, along with the Board, regularly reviews and discusses with the Senior</w:t>
            </w:r>
          </w:p>
        </w:tc>
      </w:tr>
      <w:tr>
        <w:trPr>
          <w:trHeight w:val="228"/>
        </w:trPr>
        <w:tc>
          <w:tcPr>
            <w:tcW w:w="1700" w:type="dxa"/>
            <w:vAlign w:val="bottom"/>
          </w:tcPr>
          <w:p>
            <w:pPr>
              <w:ind w:left="60"/>
              <w:spacing w:after="0"/>
              <w:rPr>
                <w:sz w:val="20"/>
                <w:szCs w:val="20"/>
                <w:color w:val="auto"/>
              </w:rPr>
            </w:pPr>
            <w:r>
              <w:rPr>
                <w:rFonts w:ascii="Arial" w:cs="Arial" w:eastAsia="Arial" w:hAnsi="Arial"/>
                <w:sz w:val="16"/>
                <w:szCs w:val="16"/>
                <w:b w:val="1"/>
                <w:bCs w:val="1"/>
                <w:color w:val="0072CE"/>
              </w:rPr>
              <w:t>Innovation</w:t>
            </w:r>
          </w:p>
        </w:tc>
        <w:tc>
          <w:tcPr>
            <w:tcW w:w="7380" w:type="dxa"/>
            <w:vAlign w:val="bottom"/>
          </w:tcPr>
          <w:p>
            <w:pPr>
              <w:ind w:left="160"/>
              <w:spacing w:after="0"/>
              <w:rPr>
                <w:sz w:val="20"/>
                <w:szCs w:val="20"/>
                <w:color w:val="auto"/>
              </w:rPr>
            </w:pPr>
            <w:r>
              <w:rPr>
                <w:rFonts w:ascii="Arial" w:cs="Arial" w:eastAsia="Arial" w:hAnsi="Arial"/>
                <w:sz w:val="16"/>
                <w:szCs w:val="16"/>
                <w:color w:val="3D3935"/>
              </w:rPr>
              <w:t>Leadership Team GM’s diverse product portfolio, including the Company’s strategies for future</w:t>
            </w:r>
          </w:p>
        </w:tc>
      </w:tr>
      <w:tr>
        <w:trPr>
          <w:trHeight w:val="216"/>
        </w:trPr>
        <w:tc>
          <w:tcPr>
            <w:tcW w:w="170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6"/>
                <w:szCs w:val="16"/>
                <w:color w:val="3D3935"/>
              </w:rPr>
              <w:t>retail models, new ventures, and innovation, ensuring alignment with long-term</w:t>
            </w:r>
          </w:p>
        </w:tc>
      </w:tr>
      <w:tr>
        <w:trPr>
          <w:trHeight w:val="216"/>
        </w:trPr>
        <w:tc>
          <w:tcPr>
            <w:tcW w:w="170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6"/>
                <w:szCs w:val="16"/>
                <w:color w:val="3D3935"/>
              </w:rPr>
              <w:t>business objectives.</w:t>
            </w:r>
          </w:p>
        </w:tc>
      </w:tr>
      <w:tr>
        <w:trPr>
          <w:trHeight w:val="56"/>
        </w:trPr>
        <w:tc>
          <w:tcPr>
            <w:tcW w:w="1700" w:type="dxa"/>
            <w:vAlign w:val="bottom"/>
            <w:tcBorders>
              <w:bottom w:val="single" w:sz="8" w:color="D9D9D6"/>
            </w:tcBorders>
          </w:tcPr>
          <w:p>
            <w:pPr>
              <w:spacing w:after="0"/>
              <w:rPr>
                <w:sz w:val="4"/>
                <w:szCs w:val="4"/>
                <w:color w:val="auto"/>
              </w:rPr>
            </w:pPr>
          </w:p>
        </w:tc>
        <w:tc>
          <w:tcPr>
            <w:tcW w:w="7380" w:type="dxa"/>
            <w:vAlign w:val="bottom"/>
            <w:tcBorders>
              <w:bottom w:val="single" w:sz="8" w:color="D9D9D6"/>
            </w:tcBorders>
          </w:tcPr>
          <w:p>
            <w:pPr>
              <w:spacing w:after="0"/>
              <w:rPr>
                <w:sz w:val="4"/>
                <w:szCs w:val="4"/>
                <w:color w:val="auto"/>
              </w:rPr>
            </w:pPr>
          </w:p>
        </w:tc>
      </w:tr>
      <w:tr>
        <w:trPr>
          <w:trHeight w:val="290"/>
        </w:trPr>
        <w:tc>
          <w:tcPr>
            <w:tcW w:w="1700" w:type="dxa"/>
            <w:vAlign w:val="bottom"/>
          </w:tcPr>
          <w:p>
            <w:pPr>
              <w:ind w:left="60"/>
              <w:spacing w:after="0"/>
              <w:rPr>
                <w:sz w:val="20"/>
                <w:szCs w:val="20"/>
                <w:color w:val="auto"/>
              </w:rPr>
            </w:pPr>
            <w:r>
              <w:rPr>
                <w:rFonts w:ascii="Arial" w:cs="Arial" w:eastAsia="Arial" w:hAnsi="Arial"/>
                <w:sz w:val="16"/>
                <w:szCs w:val="16"/>
                <w:b w:val="1"/>
                <w:bCs w:val="1"/>
                <w:color w:val="0072CE"/>
              </w:rPr>
              <w:t>Financial</w:t>
            </w:r>
          </w:p>
        </w:tc>
        <w:tc>
          <w:tcPr>
            <w:tcW w:w="7380" w:type="dxa"/>
            <w:vAlign w:val="bottom"/>
          </w:tcPr>
          <w:p>
            <w:pPr>
              <w:ind w:left="160"/>
              <w:spacing w:after="0"/>
              <w:rPr>
                <w:sz w:val="20"/>
                <w:szCs w:val="20"/>
                <w:color w:val="auto"/>
              </w:rPr>
            </w:pPr>
            <w:r>
              <w:rPr>
                <w:rFonts w:ascii="Arial" w:cs="Arial" w:eastAsia="Arial" w:hAnsi="Arial"/>
                <w:sz w:val="16"/>
                <w:szCs w:val="16"/>
                <w:color w:val="3D3935"/>
              </w:rPr>
              <w:t>The Audit and Finance Committees review and discuss with management financial reporting from</w:t>
            </w:r>
          </w:p>
        </w:tc>
      </w:tr>
      <w:tr>
        <w:trPr>
          <w:trHeight w:val="215"/>
        </w:trPr>
        <w:tc>
          <w:tcPr>
            <w:tcW w:w="170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6"/>
                <w:szCs w:val="16"/>
                <w:color w:val="3D3935"/>
              </w:rPr>
              <w:t>the Chief Financial Officer, Compliance, and Internal Audit, as well as GM’s external independent</w:t>
            </w:r>
          </w:p>
        </w:tc>
      </w:tr>
      <w:tr>
        <w:trPr>
          <w:trHeight w:val="216"/>
        </w:trPr>
        <w:tc>
          <w:tcPr>
            <w:tcW w:w="170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6"/>
                <w:szCs w:val="16"/>
                <w:color w:val="3D3935"/>
              </w:rPr>
              <w:t>auditor. These reports include updates on significant financial developments, financial policy, and</w:t>
            </w:r>
          </w:p>
        </w:tc>
      </w:tr>
      <w:tr>
        <w:trPr>
          <w:trHeight w:val="216"/>
        </w:trPr>
        <w:tc>
          <w:tcPr>
            <w:tcW w:w="170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6"/>
                <w:szCs w:val="16"/>
                <w:color w:val="3D3935"/>
              </w:rPr>
              <w:t>cost discipline measures.</w:t>
            </w:r>
          </w:p>
        </w:tc>
      </w:tr>
      <w:tr>
        <w:trPr>
          <w:trHeight w:val="56"/>
        </w:trPr>
        <w:tc>
          <w:tcPr>
            <w:tcW w:w="1700" w:type="dxa"/>
            <w:vAlign w:val="bottom"/>
            <w:tcBorders>
              <w:bottom w:val="single" w:sz="8" w:color="D9D9D6"/>
            </w:tcBorders>
          </w:tcPr>
          <w:p>
            <w:pPr>
              <w:spacing w:after="0"/>
              <w:rPr>
                <w:sz w:val="4"/>
                <w:szCs w:val="4"/>
                <w:color w:val="auto"/>
              </w:rPr>
            </w:pPr>
          </w:p>
        </w:tc>
        <w:tc>
          <w:tcPr>
            <w:tcW w:w="7380" w:type="dxa"/>
            <w:vAlign w:val="bottom"/>
            <w:tcBorders>
              <w:bottom w:val="single" w:sz="8" w:color="D9D9D6"/>
            </w:tcBorders>
          </w:tcPr>
          <w:p>
            <w:pPr>
              <w:spacing w:after="0"/>
              <w:rPr>
                <w:sz w:val="4"/>
                <w:szCs w:val="4"/>
                <w:color w:val="auto"/>
              </w:rPr>
            </w:pPr>
          </w:p>
        </w:tc>
      </w:tr>
      <w:tr>
        <w:trPr>
          <w:trHeight w:val="290"/>
        </w:trPr>
        <w:tc>
          <w:tcPr>
            <w:tcW w:w="1700" w:type="dxa"/>
            <w:vAlign w:val="bottom"/>
          </w:tcPr>
          <w:p>
            <w:pPr>
              <w:ind w:left="60"/>
              <w:spacing w:after="0"/>
              <w:rPr>
                <w:sz w:val="20"/>
                <w:szCs w:val="20"/>
                <w:color w:val="auto"/>
              </w:rPr>
            </w:pPr>
            <w:r>
              <w:rPr>
                <w:rFonts w:ascii="Arial" w:cs="Arial" w:eastAsia="Arial" w:hAnsi="Arial"/>
                <w:sz w:val="16"/>
                <w:szCs w:val="16"/>
                <w:b w:val="1"/>
                <w:bCs w:val="1"/>
                <w:color w:val="0072CE"/>
              </w:rPr>
              <w:t>Regulatory</w:t>
            </w:r>
          </w:p>
        </w:tc>
        <w:tc>
          <w:tcPr>
            <w:tcW w:w="7380" w:type="dxa"/>
            <w:vAlign w:val="bottom"/>
          </w:tcPr>
          <w:p>
            <w:pPr>
              <w:ind w:left="160"/>
              <w:spacing w:after="0"/>
              <w:rPr>
                <w:sz w:val="20"/>
                <w:szCs w:val="20"/>
                <w:color w:val="auto"/>
              </w:rPr>
            </w:pPr>
            <w:r>
              <w:rPr>
                <w:rFonts w:ascii="Arial" w:cs="Arial" w:eastAsia="Arial" w:hAnsi="Arial"/>
                <w:sz w:val="16"/>
                <w:szCs w:val="16"/>
                <w:color w:val="3D3935"/>
              </w:rPr>
              <w:t>Each of the Committees has direct oversight of specific legal and regulatory risks related to GM’s</w:t>
            </w:r>
          </w:p>
        </w:tc>
      </w:tr>
      <w:tr>
        <w:trPr>
          <w:trHeight w:val="215"/>
        </w:trPr>
        <w:tc>
          <w:tcPr>
            <w:tcW w:w="170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6"/>
                <w:szCs w:val="16"/>
                <w:color w:val="3D3935"/>
              </w:rPr>
              <w:t>business. The Company’s full Board also receives regular updates on legal and regulatory</w:t>
            </w:r>
          </w:p>
        </w:tc>
      </w:tr>
      <w:tr>
        <w:trPr>
          <w:trHeight w:val="216"/>
        </w:trPr>
        <w:tc>
          <w:tcPr>
            <w:tcW w:w="170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6"/>
                <w:szCs w:val="16"/>
                <w:color w:val="3D3935"/>
              </w:rPr>
              <w:t>developments, including updates on legislative developments, government investigations,</w:t>
            </w:r>
          </w:p>
        </w:tc>
      </w:tr>
      <w:tr>
        <w:trPr>
          <w:trHeight w:val="216"/>
        </w:trPr>
        <w:tc>
          <w:tcPr>
            <w:tcW w:w="170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6"/>
                <w:szCs w:val="16"/>
                <w:color w:val="3D3935"/>
              </w:rPr>
              <w:t>litigation, and other legal proceedings.</w:t>
            </w:r>
          </w:p>
        </w:tc>
      </w:tr>
      <w:tr>
        <w:trPr>
          <w:trHeight w:val="56"/>
        </w:trPr>
        <w:tc>
          <w:tcPr>
            <w:tcW w:w="1700" w:type="dxa"/>
            <w:vAlign w:val="bottom"/>
            <w:tcBorders>
              <w:bottom w:val="single" w:sz="8" w:color="D9D9D6"/>
            </w:tcBorders>
          </w:tcPr>
          <w:p>
            <w:pPr>
              <w:spacing w:after="0"/>
              <w:rPr>
                <w:sz w:val="4"/>
                <w:szCs w:val="4"/>
                <w:color w:val="auto"/>
              </w:rPr>
            </w:pPr>
          </w:p>
        </w:tc>
        <w:tc>
          <w:tcPr>
            <w:tcW w:w="7380" w:type="dxa"/>
            <w:vAlign w:val="bottom"/>
            <w:tcBorders>
              <w:bottom w:val="single" w:sz="8" w:color="D9D9D6"/>
            </w:tcBorders>
          </w:tcPr>
          <w:p>
            <w:pPr>
              <w:spacing w:after="0"/>
              <w:rPr>
                <w:sz w:val="4"/>
                <w:szCs w:val="4"/>
                <w:color w:val="auto"/>
              </w:rPr>
            </w:pPr>
          </w:p>
        </w:tc>
      </w:tr>
      <w:tr>
        <w:trPr>
          <w:trHeight w:val="290"/>
        </w:trPr>
        <w:tc>
          <w:tcPr>
            <w:tcW w:w="1700" w:type="dxa"/>
            <w:vAlign w:val="bottom"/>
          </w:tcPr>
          <w:p>
            <w:pPr>
              <w:ind w:left="60"/>
              <w:spacing w:after="0"/>
              <w:rPr>
                <w:sz w:val="20"/>
                <w:szCs w:val="20"/>
                <w:color w:val="auto"/>
              </w:rPr>
            </w:pPr>
            <w:r>
              <w:rPr>
                <w:rFonts w:ascii="Arial" w:cs="Arial" w:eastAsia="Arial" w:hAnsi="Arial"/>
                <w:sz w:val="16"/>
                <w:szCs w:val="16"/>
                <w:b w:val="1"/>
                <w:bCs w:val="1"/>
                <w:color w:val="0072CE"/>
              </w:rPr>
              <w:t>Geopolitical</w:t>
            </w:r>
          </w:p>
        </w:tc>
        <w:tc>
          <w:tcPr>
            <w:tcW w:w="7380" w:type="dxa"/>
            <w:vAlign w:val="bottom"/>
          </w:tcPr>
          <w:p>
            <w:pPr>
              <w:ind w:left="160"/>
              <w:spacing w:after="0"/>
              <w:rPr>
                <w:sz w:val="20"/>
                <w:szCs w:val="20"/>
                <w:color w:val="auto"/>
              </w:rPr>
            </w:pPr>
            <w:r>
              <w:rPr>
                <w:rFonts w:ascii="Arial" w:cs="Arial" w:eastAsia="Arial" w:hAnsi="Arial"/>
                <w:sz w:val="16"/>
                <w:szCs w:val="16"/>
                <w:color w:val="3D3935"/>
              </w:rPr>
              <w:t>The Senior Leadership Team addresses geopolitical risks, including conflicts and shifting trade</w:t>
            </w:r>
          </w:p>
        </w:tc>
      </w:tr>
      <w:tr>
        <w:trPr>
          <w:trHeight w:val="215"/>
        </w:trPr>
        <w:tc>
          <w:tcPr>
            <w:tcW w:w="170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6"/>
                <w:szCs w:val="16"/>
                <w:color w:val="3D3935"/>
              </w:rPr>
              <w:t>policies, by managing relationships with customers, employees, business partners, and</w:t>
            </w:r>
          </w:p>
        </w:tc>
      </w:tr>
      <w:tr>
        <w:trPr>
          <w:trHeight w:val="216"/>
        </w:trPr>
        <w:tc>
          <w:tcPr>
            <w:tcW w:w="170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6"/>
                <w:szCs w:val="16"/>
                <w:color w:val="3D3935"/>
              </w:rPr>
              <w:t>stakeholders across our supply chain. The Board oversees these efforts and receives regular</w:t>
            </w:r>
          </w:p>
        </w:tc>
      </w:tr>
      <w:tr>
        <w:trPr>
          <w:trHeight w:val="216"/>
        </w:trPr>
        <w:tc>
          <w:tcPr>
            <w:tcW w:w="170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6"/>
                <w:szCs w:val="16"/>
                <w:color w:val="3D3935"/>
              </w:rPr>
              <w:t>updates regarding ongoing implementation and reporting on significant issues and progress.</w:t>
            </w:r>
          </w:p>
        </w:tc>
      </w:tr>
      <w:tr>
        <w:trPr>
          <w:trHeight w:val="56"/>
        </w:trPr>
        <w:tc>
          <w:tcPr>
            <w:tcW w:w="1700" w:type="dxa"/>
            <w:vAlign w:val="bottom"/>
            <w:tcBorders>
              <w:bottom w:val="single" w:sz="8" w:color="0072CE"/>
            </w:tcBorders>
          </w:tcPr>
          <w:p>
            <w:pPr>
              <w:spacing w:after="0"/>
              <w:rPr>
                <w:sz w:val="4"/>
                <w:szCs w:val="4"/>
                <w:color w:val="auto"/>
              </w:rPr>
            </w:pPr>
          </w:p>
        </w:tc>
        <w:tc>
          <w:tcPr>
            <w:tcW w:w="7380" w:type="dxa"/>
            <w:vAlign w:val="bottom"/>
            <w:tcBorders>
              <w:bottom w:val="single" w:sz="8" w:color="0072CE"/>
            </w:tcBorders>
          </w:tcPr>
          <w:p>
            <w:pPr>
              <w:spacing w:after="0"/>
              <w:rPr>
                <w:sz w:val="4"/>
                <w:szCs w:val="4"/>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Cybersecurity Risk Oversight</w:t>
      </w:r>
    </w:p>
    <w:p>
      <w:pPr>
        <w:spacing w:after="0" w:line="99" w:lineRule="exact"/>
        <w:rPr>
          <w:sz w:val="20"/>
          <w:szCs w:val="20"/>
          <w:color w:val="auto"/>
        </w:rPr>
      </w:pPr>
    </w:p>
    <w:p>
      <w:pPr>
        <w:ind w:right="580"/>
        <w:spacing w:after="0" w:line="281" w:lineRule="auto"/>
        <w:rPr>
          <w:sz w:val="20"/>
          <w:szCs w:val="20"/>
          <w:color w:val="auto"/>
        </w:rPr>
      </w:pPr>
      <w:r>
        <w:rPr>
          <w:rFonts w:ascii="Arial" w:cs="Arial" w:eastAsia="Arial" w:hAnsi="Arial"/>
          <w:sz w:val="16"/>
          <w:szCs w:val="16"/>
          <w:color w:val="3D3935"/>
        </w:rPr>
        <w:t>In addition to the selected areas above, the Board has assigned its Risk and Cybersecurity Committee with the specific responsibility for overseeing cybersecurity threats. Material risks from cybersecurity threats are managed across GM,</w:t>
      </w:r>
    </w:p>
    <w:p>
      <w:pPr>
        <w:spacing w:after="0" w:line="1"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3D3935"/>
        </w:rPr>
        <w:t>GM Financial, Cruise, service providers such as data processors, third-party suppliers, dealers and vendors, and monitoring such risks and threats is integrated into the Company’s overall risk management program, described above. The Company’s</w:t>
      </w:r>
    </w:p>
    <w:p>
      <w:pPr>
        <w:spacing w:after="0" w:line="1"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3D3935"/>
        </w:rPr>
        <w:t>cybersecurity organization is led by the Company’s Chief Information Security Officer (“ CISO”), who is responsible for assessing and managing material risks from cybersecurity threats and reports to the Risk and Cybersecurity Committee. GM also has a Cybersecurity Management Board that brings together representatives from senior management across the Company’s Software and Services, Product Development, Information Technology, Manufacturing, Finance, Communications, Human Resources, and Legal and Public Policy organizations to provide guidance and monitor overall company cybersecurity risk.</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3D3935"/>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899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10375" cy="899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Corporate Governance</w:t>
      </w:r>
    </w:p>
    <w:p>
      <w:pPr>
        <w:sectPr>
          <w:pgSz w:w="11900" w:h="16838" w:orient="portrait"/>
          <w:cols w:equalWidth="0" w:num="1">
            <w:col w:w="9100"/>
          </w:cols>
          <w:pgMar w:left="1400" w:top="508" w:right="1399" w:bottom="0" w:gutter="0" w:footer="0" w:header="0"/>
        </w:sect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3D3935"/>
        </w:rPr>
        <w:t>The Company’s cybersecurity maturity scorecard, cybersecurity threats, and certain incident information are reviewed by</w:t>
      </w:r>
    </w:p>
    <w:p>
      <w:pPr>
        <w:sectPr>
          <w:pgSz w:w="11900" w:h="16838" w:orient="portrait"/>
          <w:cols w:equalWidth="0" w:num="1">
            <w:col w:w="9100"/>
          </w:cols>
          <w:pgMar w:left="1400" w:top="508" w:right="1399" w:bottom="0" w:gutter="0" w:footer="0" w:header="0"/>
          <w:type w:val="continuous"/>
        </w:sectPr>
      </w:pPr>
    </w:p>
    <w:bookmarkStart w:id="29" w:name="page30"/>
    <w:bookmarkEnd w:id="29"/>
    <w:p>
      <w:pPr>
        <w:ind w:right="320"/>
        <w:spacing w:after="0" w:line="235" w:lineRule="auto"/>
        <w:rPr>
          <w:sz w:val="20"/>
          <w:szCs w:val="20"/>
          <w:color w:val="auto"/>
        </w:rPr>
      </w:pPr>
      <w:r>
        <w:rPr>
          <w:rFonts w:ascii="Arial" w:cs="Arial" w:eastAsia="Arial" w:hAnsi="Arial"/>
          <w:sz w:val="16"/>
          <w:szCs w:val="16"/>
          <w:color w:val="3D3935"/>
        </w:rPr>
        <w:t>the CISO, the Cybersecurity Management Board, and the Risk and Cybersecurity Committee during standing meetings, as well as in special sessions, when appropriate. During the reviews, various topics are discussed, which may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-211455</wp:posOffset>
            </wp:positionV>
            <wp:extent cx="6810375" cy="79571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10375" cy="795718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147"/>
        </w:trPr>
        <w:tc>
          <w:tcPr>
            <w:tcW w:w="2240" w:type="dxa"/>
            <w:vAlign w:val="bottom"/>
            <w:shd w:val="clear" w:color="auto" w:fill="0072CE"/>
          </w:tcPr>
          <w:p>
            <w:pPr>
              <w:ind w:left="240"/>
              <w:spacing w:after="0"/>
              <w:rPr>
                <w:sz w:val="20"/>
                <w:szCs w:val="20"/>
                <w:color w:val="auto"/>
              </w:rPr>
            </w:pPr>
            <w:r>
              <w:rPr>
                <w:rFonts w:ascii="Arial" w:cs="Arial" w:eastAsia="Arial" w:hAnsi="Arial"/>
                <w:sz w:val="16"/>
                <w:szCs w:val="16"/>
                <w:color w:val="FFFFFF"/>
              </w:rPr>
              <w:t>implementation and</w:t>
            </w:r>
          </w:p>
        </w:tc>
        <w:tc>
          <w:tcPr>
            <w:tcW w:w="40" w:type="dxa"/>
            <w:vAlign w:val="bottom"/>
          </w:tcPr>
          <w:p>
            <w:pPr>
              <w:spacing w:after="0"/>
              <w:rPr>
                <w:sz w:val="24"/>
                <w:szCs w:val="24"/>
                <w:color w:val="auto"/>
              </w:rPr>
            </w:pPr>
          </w:p>
        </w:tc>
        <w:tc>
          <w:tcPr>
            <w:tcW w:w="2240" w:type="dxa"/>
            <w:vAlign w:val="bottom"/>
            <w:shd w:val="clear" w:color="auto" w:fill="0072CE"/>
          </w:tcPr>
          <w:p>
            <w:pPr>
              <w:ind w:left="240"/>
              <w:spacing w:after="0"/>
              <w:rPr>
                <w:sz w:val="20"/>
                <w:szCs w:val="20"/>
                <w:color w:val="auto"/>
              </w:rPr>
            </w:pPr>
            <w:r>
              <w:rPr>
                <w:rFonts w:ascii="Arial" w:cs="Arial" w:eastAsia="Arial" w:hAnsi="Arial"/>
                <w:sz w:val="16"/>
                <w:szCs w:val="16"/>
                <w:color w:val="FFFFFF"/>
              </w:rPr>
              <w:t>cybersecurity and</w:t>
            </w:r>
          </w:p>
        </w:tc>
        <w:tc>
          <w:tcPr>
            <w:tcW w:w="60" w:type="dxa"/>
            <w:vAlign w:val="bottom"/>
          </w:tcPr>
          <w:p>
            <w:pPr>
              <w:spacing w:after="0"/>
              <w:rPr>
                <w:sz w:val="24"/>
                <w:szCs w:val="24"/>
                <w:color w:val="auto"/>
              </w:rPr>
            </w:pPr>
          </w:p>
        </w:tc>
        <w:tc>
          <w:tcPr>
            <w:tcW w:w="2220" w:type="dxa"/>
            <w:vAlign w:val="bottom"/>
            <w:shd w:val="clear" w:color="auto" w:fill="0072CE"/>
          </w:tcPr>
          <w:p>
            <w:pPr>
              <w:ind w:left="220"/>
              <w:spacing w:after="0"/>
              <w:rPr>
                <w:sz w:val="20"/>
                <w:szCs w:val="20"/>
                <w:color w:val="auto"/>
              </w:rPr>
            </w:pPr>
            <w:r>
              <w:rPr>
                <w:rFonts w:ascii="Arial" w:cs="Arial" w:eastAsia="Arial" w:hAnsi="Arial"/>
                <w:sz w:val="16"/>
                <w:szCs w:val="16"/>
                <w:color w:val="FFFFFF"/>
              </w:rPr>
              <w:t>intelligence briefings</w:t>
            </w:r>
          </w:p>
        </w:tc>
        <w:tc>
          <w:tcPr>
            <w:tcW w:w="60" w:type="dxa"/>
            <w:vAlign w:val="bottom"/>
          </w:tcPr>
          <w:p>
            <w:pPr>
              <w:spacing w:after="0"/>
              <w:rPr>
                <w:sz w:val="24"/>
                <w:szCs w:val="24"/>
                <w:color w:val="auto"/>
              </w:rPr>
            </w:pPr>
          </w:p>
        </w:tc>
        <w:tc>
          <w:tcPr>
            <w:tcW w:w="2220" w:type="dxa"/>
            <w:vAlign w:val="bottom"/>
            <w:shd w:val="clear" w:color="auto" w:fill="0072CE"/>
          </w:tcPr>
          <w:p>
            <w:pPr>
              <w:ind w:left="220"/>
              <w:spacing w:after="0"/>
              <w:rPr>
                <w:sz w:val="20"/>
                <w:szCs w:val="20"/>
                <w:color w:val="auto"/>
              </w:rPr>
            </w:pPr>
            <w:r>
              <w:rPr>
                <w:rFonts w:ascii="Arial" w:cs="Arial" w:eastAsia="Arial" w:hAnsi="Arial"/>
                <w:sz w:val="16"/>
                <w:szCs w:val="16"/>
                <w:color w:val="FFFFFF"/>
              </w:rPr>
              <w:t>cybersecurity budget</w:t>
            </w:r>
          </w:p>
        </w:tc>
      </w:tr>
      <w:tr>
        <w:trPr>
          <w:trHeight w:val="203"/>
        </w:trPr>
        <w:tc>
          <w:tcPr>
            <w:tcW w:w="2240" w:type="dxa"/>
            <w:vAlign w:val="bottom"/>
            <w:shd w:val="clear" w:color="auto" w:fill="0072CE"/>
          </w:tcPr>
          <w:p>
            <w:pPr>
              <w:ind w:left="240"/>
              <w:spacing w:after="0"/>
              <w:rPr>
                <w:sz w:val="20"/>
                <w:szCs w:val="20"/>
                <w:color w:val="auto"/>
              </w:rPr>
            </w:pPr>
            <w:r>
              <w:rPr>
                <w:rFonts w:ascii="Arial" w:cs="Arial" w:eastAsia="Arial" w:hAnsi="Arial"/>
                <w:sz w:val="16"/>
                <w:szCs w:val="16"/>
                <w:color w:val="FFFFFF"/>
              </w:rPr>
              <w:t>maturity of the</w:t>
            </w:r>
          </w:p>
        </w:tc>
        <w:tc>
          <w:tcPr>
            <w:tcW w:w="40" w:type="dxa"/>
            <w:vAlign w:val="bottom"/>
          </w:tcPr>
          <w:p>
            <w:pPr>
              <w:spacing w:after="0"/>
              <w:rPr>
                <w:sz w:val="17"/>
                <w:szCs w:val="17"/>
                <w:color w:val="auto"/>
              </w:rPr>
            </w:pPr>
          </w:p>
        </w:tc>
        <w:tc>
          <w:tcPr>
            <w:tcW w:w="2240" w:type="dxa"/>
            <w:vAlign w:val="bottom"/>
            <w:shd w:val="clear" w:color="auto" w:fill="0072CE"/>
          </w:tcPr>
          <w:p>
            <w:pPr>
              <w:ind w:left="240"/>
              <w:spacing w:after="0"/>
              <w:rPr>
                <w:sz w:val="20"/>
                <w:szCs w:val="20"/>
                <w:color w:val="auto"/>
              </w:rPr>
            </w:pPr>
            <w:r>
              <w:rPr>
                <w:rFonts w:ascii="Arial" w:cs="Arial" w:eastAsia="Arial" w:hAnsi="Arial"/>
                <w:sz w:val="16"/>
                <w:szCs w:val="16"/>
                <w:color w:val="FFFFFF"/>
              </w:rPr>
              <w:t>privacy risk, including</w:t>
            </w:r>
          </w:p>
        </w:tc>
        <w:tc>
          <w:tcPr>
            <w:tcW w:w="60" w:type="dxa"/>
            <w:vAlign w:val="bottom"/>
          </w:tcPr>
          <w:p>
            <w:pPr>
              <w:spacing w:after="0"/>
              <w:rPr>
                <w:sz w:val="17"/>
                <w:szCs w:val="17"/>
                <w:color w:val="auto"/>
              </w:rPr>
            </w:pPr>
          </w:p>
        </w:tc>
        <w:tc>
          <w:tcPr>
            <w:tcW w:w="2220" w:type="dxa"/>
            <w:vAlign w:val="bottom"/>
            <w:shd w:val="clear" w:color="auto" w:fill="0072CE"/>
          </w:tcPr>
          <w:p>
            <w:pPr>
              <w:ind w:left="220"/>
              <w:spacing w:after="0"/>
              <w:rPr>
                <w:sz w:val="20"/>
                <w:szCs w:val="20"/>
                <w:color w:val="auto"/>
              </w:rPr>
            </w:pPr>
            <w:r>
              <w:rPr>
                <w:rFonts w:ascii="Arial" w:cs="Arial" w:eastAsia="Arial" w:hAnsi="Arial"/>
                <w:sz w:val="16"/>
                <w:szCs w:val="16"/>
                <w:color w:val="FFFFFF"/>
              </w:rPr>
              <w:t>on notable cyber events</w:t>
            </w:r>
          </w:p>
        </w:tc>
        <w:tc>
          <w:tcPr>
            <w:tcW w:w="60" w:type="dxa"/>
            <w:vAlign w:val="bottom"/>
          </w:tcPr>
          <w:p>
            <w:pPr>
              <w:spacing w:after="0"/>
              <w:rPr>
                <w:sz w:val="17"/>
                <w:szCs w:val="17"/>
                <w:color w:val="auto"/>
              </w:rPr>
            </w:pPr>
          </w:p>
        </w:tc>
        <w:tc>
          <w:tcPr>
            <w:tcW w:w="2220" w:type="dxa"/>
            <w:vAlign w:val="bottom"/>
            <w:shd w:val="clear" w:color="auto" w:fill="0072CE"/>
          </w:tcPr>
          <w:p>
            <w:pPr>
              <w:ind w:left="220"/>
              <w:spacing w:after="0"/>
              <w:rPr>
                <w:sz w:val="20"/>
                <w:szCs w:val="20"/>
                <w:color w:val="auto"/>
              </w:rPr>
            </w:pPr>
            <w:r>
              <w:rPr>
                <w:rFonts w:ascii="Arial" w:cs="Arial" w:eastAsia="Arial" w:hAnsi="Arial"/>
                <w:sz w:val="16"/>
                <w:szCs w:val="16"/>
                <w:color w:val="FFFFFF"/>
              </w:rPr>
              <w:t>and resource allocation,</w:t>
            </w:r>
          </w:p>
        </w:tc>
      </w:tr>
      <w:tr>
        <w:trPr>
          <w:trHeight w:val="189"/>
        </w:trPr>
        <w:tc>
          <w:tcPr>
            <w:tcW w:w="2240" w:type="dxa"/>
            <w:vAlign w:val="bottom"/>
            <w:shd w:val="clear" w:color="auto" w:fill="0072CE"/>
          </w:tcPr>
          <w:p>
            <w:pPr>
              <w:ind w:left="240"/>
              <w:spacing w:after="0"/>
              <w:rPr>
                <w:sz w:val="20"/>
                <w:szCs w:val="20"/>
                <w:color w:val="auto"/>
              </w:rPr>
            </w:pPr>
            <w:r>
              <w:rPr>
                <w:rFonts w:ascii="Arial" w:cs="Arial" w:eastAsia="Arial" w:hAnsi="Arial"/>
                <w:sz w:val="16"/>
                <w:szCs w:val="16"/>
                <w:color w:val="FFFFFF"/>
              </w:rPr>
              <w:t>cybersecurity program,</w:t>
            </w:r>
          </w:p>
        </w:tc>
        <w:tc>
          <w:tcPr>
            <w:tcW w:w="40" w:type="dxa"/>
            <w:vAlign w:val="bottom"/>
          </w:tcPr>
          <w:p>
            <w:pPr>
              <w:spacing w:after="0"/>
              <w:rPr>
                <w:sz w:val="16"/>
                <w:szCs w:val="16"/>
                <w:color w:val="auto"/>
              </w:rPr>
            </w:pPr>
          </w:p>
        </w:tc>
        <w:tc>
          <w:tcPr>
            <w:tcW w:w="2240" w:type="dxa"/>
            <w:vAlign w:val="bottom"/>
            <w:shd w:val="clear" w:color="auto" w:fill="0072CE"/>
          </w:tcPr>
          <w:p>
            <w:pPr>
              <w:ind w:left="240"/>
              <w:spacing w:after="0"/>
              <w:rPr>
                <w:sz w:val="20"/>
                <w:szCs w:val="20"/>
                <w:color w:val="auto"/>
              </w:rPr>
            </w:pPr>
            <w:r>
              <w:rPr>
                <w:rFonts w:ascii="Arial" w:cs="Arial" w:eastAsia="Arial" w:hAnsi="Arial"/>
                <w:sz w:val="16"/>
                <w:szCs w:val="16"/>
                <w:color w:val="FFFFFF"/>
              </w:rPr>
              <w:t>potential impact to our</w:t>
            </w:r>
          </w:p>
        </w:tc>
        <w:tc>
          <w:tcPr>
            <w:tcW w:w="60" w:type="dxa"/>
            <w:vAlign w:val="bottom"/>
          </w:tcPr>
          <w:p>
            <w:pPr>
              <w:spacing w:after="0"/>
              <w:rPr>
                <w:sz w:val="16"/>
                <w:szCs w:val="16"/>
                <w:color w:val="auto"/>
              </w:rPr>
            </w:pPr>
          </w:p>
        </w:tc>
        <w:tc>
          <w:tcPr>
            <w:tcW w:w="2220" w:type="dxa"/>
            <w:vAlign w:val="bottom"/>
            <w:shd w:val="clear" w:color="auto" w:fill="0072CE"/>
          </w:tcPr>
          <w:p>
            <w:pPr>
              <w:spacing w:after="0"/>
              <w:rPr>
                <w:sz w:val="16"/>
                <w:szCs w:val="16"/>
                <w:color w:val="auto"/>
              </w:rPr>
            </w:pPr>
          </w:p>
        </w:tc>
        <w:tc>
          <w:tcPr>
            <w:tcW w:w="60" w:type="dxa"/>
            <w:vAlign w:val="bottom"/>
          </w:tcPr>
          <w:p>
            <w:pPr>
              <w:spacing w:after="0"/>
              <w:rPr>
                <w:sz w:val="16"/>
                <w:szCs w:val="16"/>
                <w:color w:val="auto"/>
              </w:rPr>
            </w:pPr>
          </w:p>
        </w:tc>
        <w:tc>
          <w:tcPr>
            <w:tcW w:w="2220" w:type="dxa"/>
            <w:vAlign w:val="bottom"/>
            <w:shd w:val="clear" w:color="auto" w:fill="0072CE"/>
          </w:tcPr>
          <w:p>
            <w:pPr>
              <w:ind w:left="220"/>
              <w:spacing w:after="0"/>
              <w:rPr>
                <w:sz w:val="20"/>
                <w:szCs w:val="20"/>
                <w:color w:val="auto"/>
              </w:rPr>
            </w:pPr>
            <w:r>
              <w:rPr>
                <w:rFonts w:ascii="Arial" w:cs="Arial" w:eastAsia="Arial" w:hAnsi="Arial"/>
                <w:sz w:val="16"/>
                <w:szCs w:val="16"/>
                <w:color w:val="FFFFFF"/>
              </w:rPr>
              <w:t>including industry</w:t>
            </w:r>
          </w:p>
        </w:tc>
      </w:tr>
      <w:tr>
        <w:trPr>
          <w:trHeight w:val="189"/>
        </w:trPr>
        <w:tc>
          <w:tcPr>
            <w:tcW w:w="2240" w:type="dxa"/>
            <w:vAlign w:val="bottom"/>
            <w:shd w:val="clear" w:color="auto" w:fill="0072CE"/>
          </w:tcPr>
          <w:p>
            <w:pPr>
              <w:ind w:left="240"/>
              <w:spacing w:after="0"/>
              <w:rPr>
                <w:sz w:val="20"/>
                <w:szCs w:val="20"/>
                <w:color w:val="auto"/>
              </w:rPr>
            </w:pPr>
            <w:r>
              <w:rPr>
                <w:rFonts w:ascii="Arial" w:cs="Arial" w:eastAsia="Arial" w:hAnsi="Arial"/>
                <w:sz w:val="16"/>
                <w:szCs w:val="16"/>
                <w:color w:val="FFFFFF"/>
              </w:rPr>
              <w:t>risk management</w:t>
            </w:r>
          </w:p>
        </w:tc>
        <w:tc>
          <w:tcPr>
            <w:tcW w:w="40" w:type="dxa"/>
            <w:vAlign w:val="bottom"/>
          </w:tcPr>
          <w:p>
            <w:pPr>
              <w:spacing w:after="0"/>
              <w:rPr>
                <w:sz w:val="16"/>
                <w:szCs w:val="16"/>
                <w:color w:val="auto"/>
              </w:rPr>
            </w:pPr>
          </w:p>
        </w:tc>
        <w:tc>
          <w:tcPr>
            <w:tcW w:w="2240" w:type="dxa"/>
            <w:vAlign w:val="bottom"/>
            <w:shd w:val="clear" w:color="auto" w:fill="0072CE"/>
          </w:tcPr>
          <w:p>
            <w:pPr>
              <w:ind w:left="240"/>
              <w:spacing w:after="0"/>
              <w:rPr>
                <w:sz w:val="20"/>
                <w:szCs w:val="20"/>
                <w:color w:val="auto"/>
              </w:rPr>
            </w:pPr>
            <w:r>
              <w:rPr>
                <w:rFonts w:ascii="Arial" w:cs="Arial" w:eastAsia="Arial" w:hAnsi="Arial"/>
                <w:sz w:val="16"/>
                <w:szCs w:val="16"/>
                <w:color w:val="FFFFFF"/>
              </w:rPr>
              <w:t>employees, customers,</w:t>
            </w:r>
          </w:p>
        </w:tc>
        <w:tc>
          <w:tcPr>
            <w:tcW w:w="60" w:type="dxa"/>
            <w:vAlign w:val="bottom"/>
          </w:tcPr>
          <w:p>
            <w:pPr>
              <w:spacing w:after="0"/>
              <w:rPr>
                <w:sz w:val="16"/>
                <w:szCs w:val="16"/>
                <w:color w:val="auto"/>
              </w:rPr>
            </w:pPr>
          </w:p>
        </w:tc>
        <w:tc>
          <w:tcPr>
            <w:tcW w:w="2220" w:type="dxa"/>
            <w:vAlign w:val="bottom"/>
            <w:shd w:val="clear" w:color="auto" w:fill="0072CE"/>
          </w:tcPr>
          <w:p>
            <w:pPr>
              <w:spacing w:after="0"/>
              <w:rPr>
                <w:sz w:val="16"/>
                <w:szCs w:val="16"/>
                <w:color w:val="auto"/>
              </w:rPr>
            </w:pPr>
          </w:p>
        </w:tc>
        <w:tc>
          <w:tcPr>
            <w:tcW w:w="60" w:type="dxa"/>
            <w:vAlign w:val="bottom"/>
          </w:tcPr>
          <w:p>
            <w:pPr>
              <w:spacing w:after="0"/>
              <w:rPr>
                <w:sz w:val="16"/>
                <w:szCs w:val="16"/>
                <w:color w:val="auto"/>
              </w:rPr>
            </w:pPr>
          </w:p>
        </w:tc>
        <w:tc>
          <w:tcPr>
            <w:tcW w:w="2220" w:type="dxa"/>
            <w:vAlign w:val="bottom"/>
            <w:shd w:val="clear" w:color="auto" w:fill="0072CE"/>
          </w:tcPr>
          <w:p>
            <w:pPr>
              <w:ind w:left="220"/>
              <w:spacing w:after="0"/>
              <w:rPr>
                <w:sz w:val="20"/>
                <w:szCs w:val="20"/>
                <w:color w:val="auto"/>
              </w:rPr>
            </w:pPr>
            <w:r>
              <w:rPr>
                <w:rFonts w:ascii="Arial" w:cs="Arial" w:eastAsia="Arial" w:hAnsi="Arial"/>
                <w:sz w:val="16"/>
                <w:szCs w:val="16"/>
                <w:color w:val="FFFFFF"/>
              </w:rPr>
              <w:t>benchmarking and</w:t>
            </w:r>
          </w:p>
        </w:tc>
      </w:tr>
      <w:tr>
        <w:trPr>
          <w:trHeight w:val="203"/>
        </w:trPr>
        <w:tc>
          <w:tcPr>
            <w:tcW w:w="2240" w:type="dxa"/>
            <w:vAlign w:val="bottom"/>
            <w:shd w:val="clear" w:color="auto" w:fill="0072CE"/>
          </w:tcPr>
          <w:p>
            <w:pPr>
              <w:ind w:left="240"/>
              <w:spacing w:after="0"/>
              <w:rPr>
                <w:sz w:val="20"/>
                <w:szCs w:val="20"/>
                <w:color w:val="auto"/>
              </w:rPr>
            </w:pPr>
            <w:r>
              <w:rPr>
                <w:rFonts w:ascii="Arial" w:cs="Arial" w:eastAsia="Arial" w:hAnsi="Arial"/>
                <w:sz w:val="16"/>
                <w:szCs w:val="16"/>
                <w:color w:val="FFFFFF"/>
              </w:rPr>
              <w:t>framework, including</w:t>
            </w:r>
          </w:p>
        </w:tc>
        <w:tc>
          <w:tcPr>
            <w:tcW w:w="40" w:type="dxa"/>
            <w:vAlign w:val="bottom"/>
          </w:tcPr>
          <w:p>
            <w:pPr>
              <w:spacing w:after="0"/>
              <w:rPr>
                <w:sz w:val="17"/>
                <w:szCs w:val="17"/>
                <w:color w:val="auto"/>
              </w:rPr>
            </w:pPr>
          </w:p>
        </w:tc>
        <w:tc>
          <w:tcPr>
            <w:tcW w:w="2240" w:type="dxa"/>
            <w:vAlign w:val="bottom"/>
            <w:shd w:val="clear" w:color="auto" w:fill="0072CE"/>
          </w:tcPr>
          <w:p>
            <w:pPr>
              <w:ind w:left="240"/>
              <w:spacing w:after="0"/>
              <w:rPr>
                <w:sz w:val="20"/>
                <w:szCs w:val="20"/>
                <w:color w:val="auto"/>
              </w:rPr>
            </w:pPr>
            <w:r>
              <w:rPr>
                <w:rFonts w:ascii="Arial" w:cs="Arial" w:eastAsia="Arial" w:hAnsi="Arial"/>
                <w:sz w:val="16"/>
                <w:szCs w:val="16"/>
                <w:color w:val="FFFFFF"/>
              </w:rPr>
              <w:t>supply chain, joint</w:t>
            </w:r>
          </w:p>
        </w:tc>
        <w:tc>
          <w:tcPr>
            <w:tcW w:w="60" w:type="dxa"/>
            <w:vAlign w:val="bottom"/>
          </w:tcPr>
          <w:p>
            <w:pPr>
              <w:spacing w:after="0"/>
              <w:rPr>
                <w:sz w:val="17"/>
                <w:szCs w:val="17"/>
                <w:color w:val="auto"/>
              </w:rPr>
            </w:pPr>
          </w:p>
        </w:tc>
        <w:tc>
          <w:tcPr>
            <w:tcW w:w="2220" w:type="dxa"/>
            <w:vAlign w:val="bottom"/>
            <w:shd w:val="clear" w:color="auto" w:fill="0072CE"/>
          </w:tcPr>
          <w:p>
            <w:pPr>
              <w:spacing w:after="0"/>
              <w:rPr>
                <w:sz w:val="17"/>
                <w:szCs w:val="17"/>
                <w:color w:val="auto"/>
              </w:rPr>
            </w:pPr>
          </w:p>
        </w:tc>
        <w:tc>
          <w:tcPr>
            <w:tcW w:w="60" w:type="dxa"/>
            <w:vAlign w:val="bottom"/>
          </w:tcPr>
          <w:p>
            <w:pPr>
              <w:spacing w:after="0"/>
              <w:rPr>
                <w:sz w:val="17"/>
                <w:szCs w:val="17"/>
                <w:color w:val="auto"/>
              </w:rPr>
            </w:pPr>
          </w:p>
        </w:tc>
        <w:tc>
          <w:tcPr>
            <w:tcW w:w="2220" w:type="dxa"/>
            <w:vAlign w:val="bottom"/>
            <w:shd w:val="clear" w:color="auto" w:fill="0072CE"/>
          </w:tcPr>
          <w:p>
            <w:pPr>
              <w:ind w:left="220"/>
              <w:spacing w:after="0"/>
              <w:rPr>
                <w:sz w:val="20"/>
                <w:szCs w:val="20"/>
                <w:color w:val="auto"/>
              </w:rPr>
            </w:pPr>
            <w:r>
              <w:rPr>
                <w:rFonts w:ascii="Arial" w:cs="Arial" w:eastAsia="Arial" w:hAnsi="Arial"/>
                <w:sz w:val="16"/>
                <w:szCs w:val="16"/>
                <w:color w:val="FFFFFF"/>
              </w:rPr>
              <w:t>economic modeling of</w:t>
            </w:r>
          </w:p>
        </w:tc>
      </w:tr>
      <w:tr>
        <w:trPr>
          <w:trHeight w:val="189"/>
        </w:trPr>
        <w:tc>
          <w:tcPr>
            <w:tcW w:w="2240" w:type="dxa"/>
            <w:vAlign w:val="bottom"/>
            <w:shd w:val="clear" w:color="auto" w:fill="0072CE"/>
          </w:tcPr>
          <w:p>
            <w:pPr>
              <w:ind w:left="240"/>
              <w:spacing w:after="0"/>
              <w:rPr>
                <w:sz w:val="20"/>
                <w:szCs w:val="20"/>
                <w:color w:val="auto"/>
              </w:rPr>
            </w:pPr>
            <w:r>
              <w:rPr>
                <w:rFonts w:ascii="Arial" w:cs="Arial" w:eastAsia="Arial" w:hAnsi="Arial"/>
                <w:sz w:val="16"/>
                <w:szCs w:val="16"/>
                <w:color w:val="FFFFFF"/>
              </w:rPr>
              <w:t>cybersecurity risk</w:t>
            </w:r>
          </w:p>
        </w:tc>
        <w:tc>
          <w:tcPr>
            <w:tcW w:w="40" w:type="dxa"/>
            <w:vAlign w:val="bottom"/>
          </w:tcPr>
          <w:p>
            <w:pPr>
              <w:spacing w:after="0"/>
              <w:rPr>
                <w:sz w:val="16"/>
                <w:szCs w:val="16"/>
                <w:color w:val="auto"/>
              </w:rPr>
            </w:pPr>
          </w:p>
        </w:tc>
        <w:tc>
          <w:tcPr>
            <w:tcW w:w="2240" w:type="dxa"/>
            <w:vAlign w:val="bottom"/>
            <w:shd w:val="clear" w:color="auto" w:fill="0072CE"/>
          </w:tcPr>
          <w:p>
            <w:pPr>
              <w:ind w:left="240"/>
              <w:spacing w:after="0"/>
              <w:rPr>
                <w:sz w:val="20"/>
                <w:szCs w:val="20"/>
                <w:color w:val="auto"/>
              </w:rPr>
            </w:pPr>
            <w:r>
              <w:rPr>
                <w:rFonts w:ascii="Arial" w:cs="Arial" w:eastAsia="Arial" w:hAnsi="Arial"/>
                <w:sz w:val="16"/>
                <w:szCs w:val="16"/>
                <w:color w:val="FFFFFF"/>
              </w:rPr>
              <w:t>ventures, and other</w:t>
            </w:r>
          </w:p>
        </w:tc>
        <w:tc>
          <w:tcPr>
            <w:tcW w:w="60" w:type="dxa"/>
            <w:vAlign w:val="bottom"/>
          </w:tcPr>
          <w:p>
            <w:pPr>
              <w:spacing w:after="0"/>
              <w:rPr>
                <w:sz w:val="16"/>
                <w:szCs w:val="16"/>
                <w:color w:val="auto"/>
              </w:rPr>
            </w:pPr>
          </w:p>
        </w:tc>
        <w:tc>
          <w:tcPr>
            <w:tcW w:w="2220" w:type="dxa"/>
            <w:vAlign w:val="bottom"/>
            <w:shd w:val="clear" w:color="auto" w:fill="0072CE"/>
          </w:tcPr>
          <w:p>
            <w:pPr>
              <w:spacing w:after="0"/>
              <w:rPr>
                <w:sz w:val="16"/>
                <w:szCs w:val="16"/>
                <w:color w:val="auto"/>
              </w:rPr>
            </w:pPr>
          </w:p>
        </w:tc>
        <w:tc>
          <w:tcPr>
            <w:tcW w:w="60" w:type="dxa"/>
            <w:vAlign w:val="bottom"/>
          </w:tcPr>
          <w:p>
            <w:pPr>
              <w:spacing w:after="0"/>
              <w:rPr>
                <w:sz w:val="16"/>
                <w:szCs w:val="16"/>
                <w:color w:val="auto"/>
              </w:rPr>
            </w:pPr>
          </w:p>
        </w:tc>
        <w:tc>
          <w:tcPr>
            <w:tcW w:w="2220" w:type="dxa"/>
            <w:vAlign w:val="bottom"/>
            <w:shd w:val="clear" w:color="auto" w:fill="0072CE"/>
          </w:tcPr>
          <w:p>
            <w:pPr>
              <w:ind w:left="220"/>
              <w:spacing w:after="0"/>
              <w:rPr>
                <w:sz w:val="20"/>
                <w:szCs w:val="20"/>
                <w:color w:val="auto"/>
              </w:rPr>
            </w:pPr>
            <w:r>
              <w:rPr>
                <w:rFonts w:ascii="Arial" w:cs="Arial" w:eastAsia="Arial" w:hAnsi="Arial"/>
                <w:sz w:val="16"/>
                <w:szCs w:val="16"/>
                <w:color w:val="FFFFFF"/>
              </w:rPr>
              <w:t>various potential</w:t>
            </w:r>
          </w:p>
        </w:tc>
      </w:tr>
      <w:tr>
        <w:trPr>
          <w:trHeight w:val="203"/>
        </w:trPr>
        <w:tc>
          <w:tcPr>
            <w:tcW w:w="2240" w:type="dxa"/>
            <w:vAlign w:val="bottom"/>
            <w:shd w:val="clear" w:color="auto" w:fill="0072CE"/>
          </w:tcPr>
          <w:p>
            <w:pPr>
              <w:ind w:left="240"/>
              <w:spacing w:after="0"/>
              <w:rPr>
                <w:sz w:val="20"/>
                <w:szCs w:val="20"/>
                <w:color w:val="auto"/>
              </w:rPr>
            </w:pPr>
            <w:r>
              <w:rPr>
                <w:rFonts w:ascii="Arial" w:cs="Arial" w:eastAsia="Arial" w:hAnsi="Arial"/>
                <w:sz w:val="16"/>
                <w:szCs w:val="16"/>
                <w:color w:val="FFFFFF"/>
              </w:rPr>
              <w:t>policies, procedures,</w:t>
            </w:r>
          </w:p>
        </w:tc>
        <w:tc>
          <w:tcPr>
            <w:tcW w:w="40" w:type="dxa"/>
            <w:vAlign w:val="bottom"/>
          </w:tcPr>
          <w:p>
            <w:pPr>
              <w:spacing w:after="0"/>
              <w:rPr>
                <w:sz w:val="17"/>
                <w:szCs w:val="17"/>
                <w:color w:val="auto"/>
              </w:rPr>
            </w:pPr>
          </w:p>
        </w:tc>
        <w:tc>
          <w:tcPr>
            <w:tcW w:w="2240" w:type="dxa"/>
            <w:vAlign w:val="bottom"/>
            <w:shd w:val="clear" w:color="auto" w:fill="0072CE"/>
          </w:tcPr>
          <w:p>
            <w:pPr>
              <w:ind w:left="240"/>
              <w:spacing w:after="0"/>
              <w:rPr>
                <w:sz w:val="20"/>
                <w:szCs w:val="20"/>
                <w:color w:val="auto"/>
              </w:rPr>
            </w:pPr>
            <w:r>
              <w:rPr>
                <w:rFonts w:ascii="Arial" w:cs="Arial" w:eastAsia="Arial" w:hAnsi="Arial"/>
                <w:sz w:val="16"/>
                <w:szCs w:val="16"/>
                <w:color w:val="FFFFFF"/>
              </w:rPr>
              <w:t>stakeholders</w:t>
            </w:r>
          </w:p>
        </w:tc>
        <w:tc>
          <w:tcPr>
            <w:tcW w:w="60" w:type="dxa"/>
            <w:vAlign w:val="bottom"/>
          </w:tcPr>
          <w:p>
            <w:pPr>
              <w:spacing w:after="0"/>
              <w:rPr>
                <w:sz w:val="17"/>
                <w:szCs w:val="17"/>
                <w:color w:val="auto"/>
              </w:rPr>
            </w:pPr>
          </w:p>
        </w:tc>
        <w:tc>
          <w:tcPr>
            <w:tcW w:w="2220" w:type="dxa"/>
            <w:vAlign w:val="bottom"/>
            <w:shd w:val="clear" w:color="auto" w:fill="0072CE"/>
          </w:tcPr>
          <w:p>
            <w:pPr>
              <w:spacing w:after="0"/>
              <w:rPr>
                <w:sz w:val="17"/>
                <w:szCs w:val="17"/>
                <w:color w:val="auto"/>
              </w:rPr>
            </w:pPr>
          </w:p>
        </w:tc>
        <w:tc>
          <w:tcPr>
            <w:tcW w:w="60" w:type="dxa"/>
            <w:vAlign w:val="bottom"/>
          </w:tcPr>
          <w:p>
            <w:pPr>
              <w:spacing w:after="0"/>
              <w:rPr>
                <w:sz w:val="17"/>
                <w:szCs w:val="17"/>
                <w:color w:val="auto"/>
              </w:rPr>
            </w:pPr>
          </w:p>
        </w:tc>
        <w:tc>
          <w:tcPr>
            <w:tcW w:w="2220" w:type="dxa"/>
            <w:vAlign w:val="bottom"/>
            <w:shd w:val="clear" w:color="auto" w:fill="0072CE"/>
          </w:tcPr>
          <w:p>
            <w:pPr>
              <w:ind w:left="220"/>
              <w:spacing w:after="0"/>
              <w:rPr>
                <w:sz w:val="20"/>
                <w:szCs w:val="20"/>
                <w:color w:val="auto"/>
              </w:rPr>
            </w:pPr>
            <w:r>
              <w:rPr>
                <w:rFonts w:ascii="Arial" w:cs="Arial" w:eastAsia="Arial" w:hAnsi="Arial"/>
                <w:sz w:val="16"/>
                <w:szCs w:val="16"/>
                <w:color w:val="FFFFFF"/>
              </w:rPr>
              <w:t>cybersecurity events</w:t>
            </w:r>
          </w:p>
        </w:tc>
      </w:tr>
      <w:tr>
        <w:trPr>
          <w:trHeight w:val="215"/>
        </w:trPr>
        <w:tc>
          <w:tcPr>
            <w:tcW w:w="2240" w:type="dxa"/>
            <w:vAlign w:val="bottom"/>
            <w:shd w:val="clear" w:color="auto" w:fill="0072CE"/>
          </w:tcPr>
          <w:p>
            <w:pPr>
              <w:ind w:left="240"/>
              <w:spacing w:after="0"/>
              <w:rPr>
                <w:sz w:val="20"/>
                <w:szCs w:val="20"/>
                <w:color w:val="auto"/>
              </w:rPr>
            </w:pPr>
            <w:r>
              <w:rPr>
                <w:rFonts w:ascii="Arial" w:cs="Arial" w:eastAsia="Arial" w:hAnsi="Arial"/>
                <w:sz w:val="16"/>
                <w:szCs w:val="16"/>
                <w:color w:val="FFFFFF"/>
              </w:rPr>
              <w:t>and governance</w:t>
            </w:r>
          </w:p>
        </w:tc>
        <w:tc>
          <w:tcPr>
            <w:tcW w:w="40" w:type="dxa"/>
            <w:vAlign w:val="bottom"/>
          </w:tcPr>
          <w:p>
            <w:pPr>
              <w:spacing w:after="0"/>
              <w:rPr>
                <w:sz w:val="18"/>
                <w:szCs w:val="18"/>
                <w:color w:val="auto"/>
              </w:rPr>
            </w:pPr>
          </w:p>
        </w:tc>
        <w:tc>
          <w:tcPr>
            <w:tcW w:w="2240" w:type="dxa"/>
            <w:vAlign w:val="bottom"/>
            <w:shd w:val="clear" w:color="auto" w:fill="0072CE"/>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shd w:val="clear" w:color="auto" w:fill="0072CE"/>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shd w:val="clear" w:color="auto" w:fill="0072CE"/>
          </w:tcPr>
          <w:p>
            <w:pPr>
              <w:spacing w:after="0"/>
              <w:rPr>
                <w:sz w:val="18"/>
                <w:szCs w:val="18"/>
                <w:color w:val="auto"/>
              </w:rPr>
            </w:pPr>
          </w:p>
        </w:tc>
      </w:tr>
      <w:tr>
        <w:trPr>
          <w:trHeight w:val="232"/>
        </w:trPr>
        <w:tc>
          <w:tcPr>
            <w:tcW w:w="2240" w:type="dxa"/>
            <w:vAlign w:val="bottom"/>
            <w:shd w:val="clear" w:color="auto" w:fill="0072CE"/>
          </w:tcPr>
          <w:p>
            <w:pPr>
              <w:spacing w:after="0"/>
              <w:rPr>
                <w:sz w:val="20"/>
                <w:szCs w:val="20"/>
                <w:color w:val="auto"/>
              </w:rPr>
            </w:pPr>
          </w:p>
        </w:tc>
        <w:tc>
          <w:tcPr>
            <w:tcW w:w="40" w:type="dxa"/>
            <w:vAlign w:val="bottom"/>
          </w:tcPr>
          <w:p>
            <w:pPr>
              <w:spacing w:after="0"/>
              <w:rPr>
                <w:sz w:val="20"/>
                <w:szCs w:val="20"/>
                <w:color w:val="auto"/>
              </w:rPr>
            </w:pPr>
          </w:p>
        </w:tc>
        <w:tc>
          <w:tcPr>
            <w:tcW w:w="2240" w:type="dxa"/>
            <w:vAlign w:val="bottom"/>
            <w:shd w:val="clear" w:color="auto" w:fill="0072CE"/>
          </w:tcPr>
          <w:p>
            <w:pPr>
              <w:spacing w:after="0"/>
              <w:rPr>
                <w:sz w:val="20"/>
                <w:szCs w:val="20"/>
                <w:color w:val="auto"/>
              </w:rPr>
            </w:pPr>
          </w:p>
        </w:tc>
        <w:tc>
          <w:tcPr>
            <w:tcW w:w="60" w:type="dxa"/>
            <w:vAlign w:val="bottom"/>
          </w:tcPr>
          <w:p>
            <w:pPr>
              <w:spacing w:after="0"/>
              <w:rPr>
                <w:sz w:val="20"/>
                <w:szCs w:val="20"/>
                <w:color w:val="auto"/>
              </w:rPr>
            </w:pPr>
          </w:p>
        </w:tc>
        <w:tc>
          <w:tcPr>
            <w:tcW w:w="2220" w:type="dxa"/>
            <w:vAlign w:val="bottom"/>
            <w:shd w:val="clear" w:color="auto" w:fill="0072CE"/>
          </w:tcPr>
          <w:p>
            <w:pPr>
              <w:spacing w:after="0"/>
              <w:rPr>
                <w:sz w:val="20"/>
                <w:szCs w:val="20"/>
                <w:color w:val="auto"/>
              </w:rPr>
            </w:pPr>
          </w:p>
        </w:tc>
        <w:tc>
          <w:tcPr>
            <w:tcW w:w="60" w:type="dxa"/>
            <w:vAlign w:val="bottom"/>
          </w:tcPr>
          <w:p>
            <w:pPr>
              <w:spacing w:after="0"/>
              <w:rPr>
                <w:sz w:val="20"/>
                <w:szCs w:val="20"/>
                <w:color w:val="auto"/>
              </w:rPr>
            </w:pPr>
          </w:p>
        </w:tc>
        <w:tc>
          <w:tcPr>
            <w:tcW w:w="2220" w:type="dxa"/>
            <w:vAlign w:val="bottom"/>
            <w:shd w:val="clear" w:color="auto" w:fill="0072CE"/>
          </w:tcPr>
          <w:p>
            <w:pPr>
              <w:spacing w:after="0"/>
              <w:rPr>
                <w:sz w:val="20"/>
                <w:szCs w:val="20"/>
                <w:color w:val="auto"/>
              </w:rPr>
            </w:pPr>
          </w:p>
        </w:tc>
      </w:tr>
      <w:tr>
        <w:trPr>
          <w:trHeight w:val="311"/>
        </w:trPr>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75"/>
        </w:trPr>
        <w:tc>
          <w:tcPr>
            <w:tcW w:w="2240" w:type="dxa"/>
            <w:vAlign w:val="bottom"/>
            <w:shd w:val="clear" w:color="auto" w:fill="F0F3F5"/>
          </w:tcPr>
          <w:p>
            <w:pPr>
              <w:spacing w:after="0"/>
              <w:rPr>
                <w:sz w:val="15"/>
                <w:szCs w:val="15"/>
                <w:color w:val="auto"/>
              </w:rPr>
            </w:pPr>
          </w:p>
        </w:tc>
        <w:tc>
          <w:tcPr>
            <w:tcW w:w="40" w:type="dxa"/>
            <w:vAlign w:val="bottom"/>
            <w:shd w:val="clear" w:color="auto" w:fill="F0F3F5"/>
          </w:tcPr>
          <w:p>
            <w:pPr>
              <w:spacing w:after="0"/>
              <w:rPr>
                <w:sz w:val="15"/>
                <w:szCs w:val="15"/>
                <w:color w:val="auto"/>
              </w:rPr>
            </w:pPr>
          </w:p>
        </w:tc>
        <w:tc>
          <w:tcPr>
            <w:tcW w:w="2240" w:type="dxa"/>
            <w:vAlign w:val="bottom"/>
            <w:shd w:val="clear" w:color="auto" w:fill="F0F3F5"/>
          </w:tcPr>
          <w:p>
            <w:pPr>
              <w:spacing w:after="0"/>
              <w:rPr>
                <w:sz w:val="15"/>
                <w:szCs w:val="15"/>
                <w:color w:val="auto"/>
              </w:rPr>
            </w:pPr>
          </w:p>
        </w:tc>
        <w:tc>
          <w:tcPr>
            <w:tcW w:w="60" w:type="dxa"/>
            <w:vAlign w:val="bottom"/>
            <w:shd w:val="clear" w:color="auto" w:fill="F0F3F5"/>
          </w:tcPr>
          <w:p>
            <w:pPr>
              <w:spacing w:after="0"/>
              <w:rPr>
                <w:sz w:val="15"/>
                <w:szCs w:val="15"/>
                <w:color w:val="auto"/>
              </w:rPr>
            </w:pPr>
          </w:p>
        </w:tc>
        <w:tc>
          <w:tcPr>
            <w:tcW w:w="2220" w:type="dxa"/>
            <w:vAlign w:val="bottom"/>
            <w:shd w:val="clear" w:color="auto" w:fill="F0F3F5"/>
          </w:tcPr>
          <w:p>
            <w:pPr>
              <w:spacing w:after="0"/>
              <w:rPr>
                <w:sz w:val="15"/>
                <w:szCs w:val="15"/>
                <w:color w:val="auto"/>
              </w:rPr>
            </w:pPr>
          </w:p>
        </w:tc>
        <w:tc>
          <w:tcPr>
            <w:tcW w:w="60" w:type="dxa"/>
            <w:vAlign w:val="bottom"/>
            <w:shd w:val="clear" w:color="auto" w:fill="F0F3F5"/>
          </w:tcPr>
          <w:p>
            <w:pPr>
              <w:spacing w:after="0"/>
              <w:rPr>
                <w:sz w:val="15"/>
                <w:szCs w:val="15"/>
                <w:color w:val="auto"/>
              </w:rPr>
            </w:pPr>
          </w:p>
        </w:tc>
        <w:tc>
          <w:tcPr>
            <w:tcW w:w="2220" w:type="dxa"/>
            <w:vAlign w:val="bottom"/>
            <w:shd w:val="clear" w:color="auto" w:fill="F0F3F5"/>
          </w:tcPr>
          <w:p>
            <w:pPr>
              <w:spacing w:after="0"/>
              <w:rPr>
                <w:sz w:val="15"/>
                <w:szCs w:val="15"/>
                <w:color w:val="auto"/>
              </w:rPr>
            </w:pPr>
          </w:p>
        </w:tc>
      </w:tr>
    </w:tbl>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72CE"/>
        </w:rPr>
        <w:t>Cybersecurity Spotlight</w:t>
      </w:r>
    </w:p>
    <w:p>
      <w:pPr>
        <w:spacing w:after="0" w:line="95" w:lineRule="exact"/>
        <w:rPr>
          <w:sz w:val="20"/>
          <w:szCs w:val="20"/>
          <w:color w:val="auto"/>
        </w:rPr>
      </w:pPr>
    </w:p>
    <w:p>
      <w:pPr>
        <w:ind w:left="240" w:right="500"/>
        <w:spacing w:after="0" w:line="289" w:lineRule="auto"/>
        <w:rPr>
          <w:sz w:val="20"/>
          <w:szCs w:val="20"/>
          <w:color w:val="auto"/>
        </w:rPr>
      </w:pPr>
      <w:r>
        <w:rPr>
          <w:rFonts w:ascii="Arial" w:cs="Arial" w:eastAsia="Arial" w:hAnsi="Arial"/>
          <w:sz w:val="16"/>
          <w:szCs w:val="16"/>
          <w:color w:val="3D3935"/>
        </w:rPr>
        <w:t>In September 2024 members of the Board and Senior Leadership Team participated in a cyber crisis simulation with outside counsel, third-party technical support, and the FBI to work through a hypothetical supply chain ransomware attack. Key findings from the simulation led to continued improvement action items, which are being monitored by the Risk and Cybersecurity Committee.</w:t>
      </w:r>
    </w:p>
    <w:p>
      <w:pPr>
        <w:spacing w:after="0" w:line="309"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CEO Succession Planning</w:t>
      </w:r>
    </w:p>
    <w:p>
      <w:pPr>
        <w:spacing w:after="0" w:line="11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3D3935"/>
        </w:rPr>
        <w:t>Our Independent Lead Director oversees the CEO succession planning process, which includes the Board’s discussion of CEO succession planning at least annually. During this review, our CEO provides the Board with recommendations for, and evaluations of, potential CEO successors and discusses developmental plans for these successors. Directors engage with CEO candidates and senior management talent at Board and committee meetings and other forums to enable directors to personally assess candidates. The Board reviews management succession planning in the ordinary course of business as well as contingency planning in the event of an emergency or unanticipated event.</w:t>
      </w: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72CE"/>
        </w:rPr>
        <w:t>Focus on Next-Generation Talent</w:t>
      </w:r>
    </w:p>
    <w:p>
      <w:pPr>
        <w:spacing w:after="0" w:line="95" w:lineRule="exact"/>
        <w:rPr>
          <w:sz w:val="20"/>
          <w:szCs w:val="20"/>
          <w:color w:val="auto"/>
        </w:rPr>
      </w:pPr>
    </w:p>
    <w:p>
      <w:pPr>
        <w:ind w:left="240" w:right="520"/>
        <w:spacing w:after="0" w:line="295" w:lineRule="auto"/>
        <w:rPr>
          <w:sz w:val="20"/>
          <w:szCs w:val="20"/>
          <w:color w:val="auto"/>
        </w:rPr>
      </w:pPr>
      <w:r>
        <w:rPr>
          <w:rFonts w:ascii="Arial" w:cs="Arial" w:eastAsia="Arial" w:hAnsi="Arial"/>
          <w:sz w:val="16"/>
          <w:szCs w:val="16"/>
          <w:color w:val="3D3935"/>
        </w:rPr>
        <w:t>Throughout 2024, the Board met with Company executives during meetings and other events, demonstrating the ongoing integration of talent management into board oversight. These interactions are designed to expose the Board to the next generation of leaders. For instance, the Board had dinner with new software hires in June 2024 and high performers in Detroit in December 2024.</w:t>
      </w:r>
    </w:p>
    <w:p>
      <w:pPr>
        <w:spacing w:after="0" w:line="290"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Annual Evaluation of CEO</w:t>
      </w:r>
    </w:p>
    <w:p>
      <w:pPr>
        <w:spacing w:after="0" w:line="132"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3D3935"/>
        </w:rPr>
        <w:t>Each year, the Board reviews the CEO’s performance against her annual strategic goals. The non-management directors, meeting separately in executive session, annually conduct a formal evaluation of the CEO, and the results are communicated to the CEO by the Independent Lead Director and Compensation Committee Chair. The evaluation is based on both objective and subjective criteria, including, but not limited to, the Company’s financial performance, accomplishment of ongoing initiatives in furtherance of the Company’s long-term strategic objectives, and development of the Company’s senior management talent. The results of the evaluation are considered by the Compensation Committee in determining the compensation of the CEO as further described in the “Compensation Discussion and Analysis” section beginning on page 45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24765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10375" cy="2476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Corporate Governance</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Board Processes and Insights</w:t>
      </w:r>
    </w:p>
    <w:p>
      <w:pPr>
        <w:spacing w:after="0" w:line="120"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Board and Committee Meetings and Attendance</w:t>
      </w:r>
    </w:p>
    <w:p>
      <w:pPr>
        <w:spacing w:after="0" w:line="132" w:lineRule="exact"/>
        <w:rPr>
          <w:sz w:val="20"/>
          <w:szCs w:val="20"/>
          <w:color w:val="auto"/>
        </w:rPr>
      </w:pPr>
    </w:p>
    <w:p>
      <w:pPr>
        <w:ind w:right="460"/>
        <w:spacing w:after="0" w:line="295" w:lineRule="auto"/>
        <w:rPr>
          <w:sz w:val="20"/>
          <w:szCs w:val="20"/>
          <w:color w:val="auto"/>
        </w:rPr>
      </w:pPr>
      <w:r>
        <w:rPr>
          <w:rFonts w:ascii="Arial" w:cs="Arial" w:eastAsia="Arial" w:hAnsi="Arial"/>
          <w:sz w:val="16"/>
          <w:szCs w:val="16"/>
          <w:color w:val="3D3935"/>
        </w:rPr>
        <w:t>In 2024, the Board conducted eleven meetings and held regular informational sessions between formal meetings. In addition, the Board’s committees held a combined 24 meetings throughout the year. The average director attendance at Board and committee meetings was 98 percent. Each director standing for re-election attended at least 94 percent of the total meetings of the Board and the respective committees on which they served in 2024.</w:t>
      </w:r>
    </w:p>
    <w:p>
      <w:pPr>
        <w:spacing w:after="0" w:line="94" w:lineRule="exact"/>
        <w:rPr>
          <w:sz w:val="20"/>
          <w:szCs w:val="20"/>
          <w:color w:val="auto"/>
        </w:rPr>
      </w:pPr>
    </w:p>
    <w:p>
      <w:pPr>
        <w:ind w:right="800"/>
        <w:spacing w:after="0" w:line="321" w:lineRule="auto"/>
        <w:rPr>
          <w:sz w:val="20"/>
          <w:szCs w:val="20"/>
          <w:color w:val="auto"/>
        </w:rPr>
      </w:pPr>
      <w:r>
        <w:rPr>
          <w:rFonts w:ascii="Arial" w:cs="Arial" w:eastAsia="Arial" w:hAnsi="Arial"/>
          <w:sz w:val="16"/>
          <w:szCs w:val="16"/>
          <w:color w:val="3D3935"/>
        </w:rPr>
        <w:t>Directors are encouraged to attend our annual meetings of shareholders. All directors that stood for election in 2024 attended the 2024 annual meeting.</w:t>
      </w:r>
    </w:p>
    <w:p>
      <w:pPr>
        <w:sectPr>
          <w:pgSz w:w="11900" w:h="16838" w:orient="portrait"/>
          <w:cols w:equalWidth="0" w:num="1">
            <w:col w:w="9100"/>
          </w:cols>
          <w:pgMar w:left="1400" w:top="114" w:right="1399" w:bottom="0" w:gutter="0" w:footer="0" w:header="0"/>
        </w:sectPr>
      </w:pPr>
    </w:p>
    <w:bookmarkStart w:id="30" w:name="page31"/>
    <w:bookmarkEnd w:id="30"/>
    <w:p>
      <w:pPr>
        <w:spacing w:after="0" w:line="25"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Executive Sessions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-146050</wp:posOffset>
            </wp:positionV>
            <wp:extent cx="6810375" cy="637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10375" cy="6379845"/>
                    </a:xfrm>
                    <a:prstGeom prst="rect">
                      <a:avLst/>
                    </a:prstGeom>
                    <a:noFill/>
                  </pic:spPr>
                </pic:pic>
              </a:graphicData>
            </a:graphic>
          </wp:anchor>
        </w:drawing>
      </w:r>
    </w:p>
    <w:p>
      <w:pPr>
        <w:ind w:right="199"/>
        <w:spacing w:after="0" w:line="291" w:lineRule="auto"/>
        <w:rPr>
          <w:sz w:val="20"/>
          <w:szCs w:val="20"/>
          <w:color w:val="auto"/>
        </w:rPr>
      </w:pPr>
      <w:r>
        <w:rPr>
          <w:rFonts w:ascii="Arial" w:cs="Arial" w:eastAsia="Arial" w:hAnsi="Arial"/>
          <w:sz w:val="16"/>
          <w:szCs w:val="16"/>
          <w:color w:val="3D3935"/>
        </w:rPr>
        <w:t>Independent directors have an opportunity to meet in executive session without management present as part of each regularly scheduled Board and committee meeting. Executive sessions are chaired by our Independent Lead Director or the respective committee chair.</w:t>
      </w:r>
    </w:p>
    <w:p>
      <w:pPr>
        <w:spacing w:after="0" w:line="111" w:lineRule="exact"/>
        <w:rPr>
          <w:sz w:val="20"/>
          <w:szCs w:val="20"/>
          <w:color w:val="auto"/>
        </w:rPr>
      </w:pPr>
    </w:p>
    <w:p>
      <w:pPr>
        <w:ind w:right="219"/>
        <w:spacing w:after="0" w:line="295" w:lineRule="auto"/>
        <w:rPr>
          <w:sz w:val="20"/>
          <w:szCs w:val="20"/>
          <w:color w:val="auto"/>
        </w:rPr>
      </w:pPr>
      <w:r>
        <w:rPr>
          <w:rFonts w:ascii="Arial" w:cs="Arial" w:eastAsia="Arial" w:hAnsi="Arial"/>
          <w:sz w:val="16"/>
          <w:szCs w:val="16"/>
          <w:color w:val="3D3935"/>
        </w:rPr>
        <w:t>During executive sessions of the Board, the independent directors may review CEO performance, compensation, and succession planning; strategy; key enterprise risks; future Board agendas and the flow of information to directors; corporate governance matters; and any other matters of importance to the Company raised during a meeting or otherwise presented by the independent directors.</w:t>
      </w:r>
    </w:p>
    <w:p>
      <w:pPr>
        <w:spacing w:after="0" w:line="108" w:lineRule="exact"/>
        <w:rPr>
          <w:sz w:val="20"/>
          <w:szCs w:val="20"/>
          <w:color w:val="auto"/>
        </w:rPr>
      </w:pPr>
    </w:p>
    <w:p>
      <w:pPr>
        <w:ind w:right="439"/>
        <w:spacing w:after="0" w:line="321" w:lineRule="auto"/>
        <w:rPr>
          <w:sz w:val="20"/>
          <w:szCs w:val="20"/>
          <w:color w:val="auto"/>
        </w:rPr>
      </w:pPr>
      <w:r>
        <w:rPr>
          <w:rFonts w:ascii="Arial" w:cs="Arial" w:eastAsia="Arial" w:hAnsi="Arial"/>
          <w:sz w:val="16"/>
          <w:szCs w:val="16"/>
          <w:color w:val="3D3935"/>
        </w:rPr>
        <w:t>The non-management directors, all of whom are independent, met in executive session of the Board 10 times in 2024, in addition to numerous executive sessions of the committees.</w:t>
      </w:r>
    </w:p>
    <w:p>
      <w:pPr>
        <w:spacing w:after="0" w:line="41"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Director Orientation and Continuing Education</w:t>
      </w:r>
    </w:p>
    <w:p>
      <w:pPr>
        <w:spacing w:after="0" w:line="132" w:lineRule="exact"/>
        <w:rPr>
          <w:sz w:val="20"/>
          <w:szCs w:val="20"/>
          <w:color w:val="auto"/>
        </w:rPr>
      </w:pPr>
    </w:p>
    <w:p>
      <w:pPr>
        <w:ind w:right="119"/>
        <w:spacing w:after="0" w:line="289" w:lineRule="auto"/>
        <w:rPr>
          <w:sz w:val="20"/>
          <w:szCs w:val="20"/>
          <w:color w:val="auto"/>
        </w:rPr>
      </w:pPr>
      <w:r>
        <w:rPr>
          <w:rFonts w:ascii="Arial" w:cs="Arial" w:eastAsia="Arial" w:hAnsi="Arial"/>
          <w:sz w:val="16"/>
          <w:szCs w:val="16"/>
          <w:color w:val="3D3935"/>
        </w:rPr>
        <w:t>All new directors complete the Company’s director orientation program within the first year of their election. The orientation enables new directors to become familiar with the Company’s business and strategic plans, significant financial matters, core values and behaviors, compliance programs, corporate governance practices, and other key policies and practices. As part of the orientation, they meet individually with the Board Chair and CEO, President, and other key members of the Senior Leadership Team. They also attend a meeting of each Board committee at least once before being assigned to committees by the Board.</w:t>
      </w:r>
    </w:p>
    <w:p>
      <w:pPr>
        <w:spacing w:after="0" w:line="102" w:lineRule="exact"/>
        <w:rPr>
          <w:sz w:val="20"/>
          <w:szCs w:val="20"/>
          <w:color w:val="auto"/>
        </w:rPr>
      </w:pPr>
    </w:p>
    <w:p>
      <w:pPr>
        <w:ind w:right="159"/>
        <w:spacing w:after="0" w:line="291" w:lineRule="auto"/>
        <w:rPr>
          <w:sz w:val="20"/>
          <w:szCs w:val="20"/>
          <w:color w:val="auto"/>
        </w:rPr>
      </w:pPr>
      <w:r>
        <w:rPr>
          <w:rFonts w:ascii="Arial" w:cs="Arial" w:eastAsia="Arial" w:hAnsi="Arial"/>
          <w:sz w:val="16"/>
          <w:szCs w:val="16"/>
          <w:color w:val="3D3935"/>
        </w:rPr>
        <w:t>Continuing education opportunities are also provided to keep directors updated with information about the Company and its strategy, operations, products, and other matters relevant to Board service. Board members are also encouraged to visit GM facilities and dealers and attend auto shows and other key corporate and industry events to enhance their understanding of the Company and its competitors. In addition, all directors are encouraged to attend, at our expense, director continuing education programs sponsored by governance organizations and other institutions.</w:t>
      </w: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72CE"/>
        </w:rPr>
        <w:t>Hands-On Director Education Opportunities</w:t>
      </w:r>
    </w:p>
    <w:p>
      <w:pPr>
        <w:spacing w:after="0" w:line="71" w:lineRule="exact"/>
        <w:rPr>
          <w:sz w:val="20"/>
          <w:szCs w:val="20"/>
          <w:color w:val="auto"/>
        </w:rPr>
      </w:pPr>
    </w:p>
    <w:p>
      <w:pPr>
        <w:ind w:left="420" w:right="339" w:hanging="189"/>
        <w:spacing w:after="0" w:line="275" w:lineRule="auto"/>
        <w:tabs>
          <w:tab w:leader="none" w:pos="420" w:val="left"/>
        </w:tabs>
        <w:numPr>
          <w:ilvl w:val="0"/>
          <w:numId w:val="59"/>
        </w:numPr>
        <w:rPr>
          <w:rFonts w:ascii="Arial" w:cs="Arial" w:eastAsia="Arial" w:hAnsi="Arial"/>
          <w:sz w:val="14"/>
          <w:szCs w:val="14"/>
          <w:color w:val="0072CE"/>
        </w:rPr>
      </w:pPr>
      <w:r>
        <w:rPr>
          <w:rFonts w:ascii="Arial" w:cs="Arial" w:eastAsia="Arial" w:hAnsi="Arial"/>
          <w:sz w:val="16"/>
          <w:szCs w:val="16"/>
          <w:color w:val="3D3935"/>
        </w:rPr>
        <w:t xml:space="preserve">In 2024, the GM Milford Proving Grounds celebrated its 100 </w:t>
      </w:r>
      <w:r>
        <w:rPr>
          <w:rFonts w:ascii="Arial" w:cs="Arial" w:eastAsia="Arial" w:hAnsi="Arial"/>
          <w:sz w:val="21"/>
          <w:szCs w:val="21"/>
          <w:color w:val="3D3935"/>
          <w:vertAlign w:val="superscript"/>
        </w:rPr>
        <w:t>th</w:t>
      </w:r>
      <w:r>
        <w:rPr>
          <w:rFonts w:ascii="Arial" w:cs="Arial" w:eastAsia="Arial" w:hAnsi="Arial"/>
          <w:sz w:val="16"/>
          <w:szCs w:val="16"/>
          <w:color w:val="3D3935"/>
        </w:rPr>
        <w:t xml:space="preserve"> anniversary as the world’s first dedicated automotive testing facility. Today, it remains one of the largest testing grounds globally. Every GM vehicle platform, from around the world, undergoes testing at this facility at some point during its lifecycle. In August 2024, the Board had the opportunity to experience learning demonstrations at the Milford Proving Grounds. These demonstrations showcased aspects of GM’s evolving vehicle portfolio and provided insights into international competitor strategies through hands-on experiences.</w:t>
      </w:r>
    </w:p>
    <w:p>
      <w:pPr>
        <w:spacing w:after="0" w:line="29" w:lineRule="exact"/>
        <w:rPr>
          <w:rFonts w:ascii="Arial" w:cs="Arial" w:eastAsia="Arial" w:hAnsi="Arial"/>
          <w:sz w:val="14"/>
          <w:szCs w:val="14"/>
          <w:color w:val="0072CE"/>
        </w:rPr>
      </w:pPr>
    </w:p>
    <w:p>
      <w:pPr>
        <w:ind w:left="420" w:right="419" w:hanging="189"/>
        <w:spacing w:after="0" w:line="291" w:lineRule="auto"/>
        <w:tabs>
          <w:tab w:leader="none" w:pos="420" w:val="left"/>
        </w:tabs>
        <w:numPr>
          <w:ilvl w:val="0"/>
          <w:numId w:val="59"/>
        </w:numPr>
        <w:rPr>
          <w:rFonts w:ascii="Arial" w:cs="Arial" w:eastAsia="Arial" w:hAnsi="Arial"/>
          <w:sz w:val="14"/>
          <w:szCs w:val="14"/>
          <w:color w:val="0072CE"/>
        </w:rPr>
      </w:pPr>
      <w:r>
        <w:rPr>
          <w:rFonts w:ascii="Arial" w:cs="Arial" w:eastAsia="Arial" w:hAnsi="Arial"/>
          <w:sz w:val="16"/>
          <w:szCs w:val="16"/>
          <w:color w:val="3D3935"/>
        </w:rPr>
        <w:t>The Board actively seeks feedback from every aspect of the business to effectively drive strategy. In October 2024, they met with members of the diverse GM dealer partnership from various dealer councils, including the National Dealer Council, Dealer Executive Board, and the Women’s Dealer and Minority Dealer Advisory Councils. These groups provided direct feedback to the Board, helping to understand consumer sentiment and market concerns and ensure the Board stays attuned to the evolving market dynamics and industry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3D3935"/>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40538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10375" cy="4053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Corporate Governance</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Board and Committee Evaluations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3D3935"/>
        </w:rPr>
        <w:t>The Board’s evaluation process is based on extensive benchmarking, engagement with shareholders, and internal discussion.</w:t>
      </w:r>
    </w:p>
    <w:p>
      <w:pPr>
        <w:sectPr>
          <w:pgSz w:w="11900" w:h="16863" w:orient="portrait"/>
          <w:cols w:equalWidth="0" w:num="1">
            <w:col w:w="9059"/>
          </w:cols>
          <w:pgMar w:left="1400" w:top="37" w:right="1440" w:bottom="0" w:gutter="0" w:footer="0" w:header="0"/>
        </w:sectPr>
      </w:pPr>
    </w:p>
    <w:p>
      <w:pPr>
        <w:spacing w:after="0" w:line="211" w:lineRule="exact"/>
        <w:rPr>
          <w:sz w:val="20"/>
          <w:szCs w:val="20"/>
          <w:color w:val="auto"/>
        </w:rPr>
      </w:pPr>
    </w:p>
    <w:p>
      <w:pPr>
        <w:spacing w:after="0"/>
        <w:rPr>
          <w:sz w:val="20"/>
          <w:szCs w:val="20"/>
          <w:color w:val="auto"/>
        </w:rPr>
      </w:pPr>
      <w:r>
        <w:rPr>
          <w:sz w:val="1"/>
          <w:szCs w:val="1"/>
          <w:color w:val="auto"/>
        </w:rPr>
        <w:drawing>
          <wp:inline distT="0" distB="0" distL="0" distR="0">
            <wp:extent cx="76835" cy="36830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368300"/>
                    </a:xfrm>
                    <a:prstGeom prst="rect">
                      <a:avLst/>
                    </a:prstGeom>
                    <a:noFill/>
                    <a:ln>
                      <a:noFill/>
                    </a:ln>
                  </pic:spPr>
                </pic:pic>
              </a:graphicData>
            </a:graphic>
          </wp:inline>
        </w:drawing>
      </w:r>
      <w:r>
        <w:rPr>
          <w:rFonts w:ascii="Arial" w:cs="Arial" w:eastAsia="Arial" w:hAnsi="Arial"/>
          <w:sz w:val="43"/>
          <w:szCs w:val="43"/>
          <w:b w:val="1"/>
          <w:bCs w:val="1"/>
          <w:color w:val="0072CE"/>
        </w:rPr>
        <w:t xml:space="preserve"> 1</w:t>
      </w:r>
    </w:p>
    <w:p>
      <w:pPr>
        <w:spacing w:after="0" w:line="157" w:lineRule="exact"/>
        <w:rPr>
          <w:sz w:val="20"/>
          <w:szCs w:val="20"/>
          <w:color w:val="auto"/>
        </w:rPr>
      </w:pPr>
    </w:p>
    <w:p>
      <w:pPr>
        <w:ind w:left="180"/>
        <w:spacing w:after="0" w:line="317" w:lineRule="auto"/>
        <w:rPr>
          <w:sz w:val="20"/>
          <w:szCs w:val="20"/>
          <w:color w:val="auto"/>
        </w:rPr>
      </w:pPr>
      <w:r>
        <w:rPr>
          <w:rFonts w:ascii="Arial" w:cs="Arial" w:eastAsia="Arial" w:hAnsi="Arial"/>
          <w:sz w:val="17"/>
          <w:szCs w:val="17"/>
          <w:b w:val="1"/>
          <w:bCs w:val="1"/>
          <w:color w:val="0072CE"/>
        </w:rPr>
        <w:t>Review of Evaluation Forms</w:t>
      </w:r>
    </w:p>
    <w:p>
      <w:pPr>
        <w:spacing w:after="0" w:line="1" w:lineRule="exact"/>
        <w:rPr>
          <w:sz w:val="20"/>
          <w:szCs w:val="20"/>
          <w:color w:val="auto"/>
        </w:rPr>
      </w:pPr>
    </w:p>
    <w:p>
      <w:pPr>
        <w:ind w:left="180" w:right="40"/>
        <w:spacing w:after="0" w:line="308" w:lineRule="auto"/>
        <w:rPr>
          <w:sz w:val="20"/>
          <w:szCs w:val="20"/>
          <w:color w:val="auto"/>
        </w:rPr>
      </w:pPr>
      <w:r>
        <w:rPr>
          <w:rFonts w:ascii="Arial" w:cs="Arial" w:eastAsia="Arial" w:hAnsi="Arial"/>
          <w:sz w:val="15"/>
          <w:szCs w:val="15"/>
          <w:color w:val="3D3935"/>
        </w:rPr>
        <w:t>The Governance Committee annually reviews the form and process for Board and committee self-evaluations.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sz w:val="1"/>
          <w:szCs w:val="1"/>
          <w:color w:val="auto"/>
        </w:rPr>
        <w:drawing>
          <wp:inline distT="0" distB="0" distL="0" distR="0">
            <wp:extent cx="76835" cy="36830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368300"/>
                    </a:xfrm>
                    <a:prstGeom prst="rect">
                      <a:avLst/>
                    </a:prstGeom>
                    <a:noFill/>
                    <a:ln>
                      <a:noFill/>
                    </a:ln>
                  </pic:spPr>
                </pic:pic>
              </a:graphicData>
            </a:graphic>
          </wp:inline>
        </w:drawing>
      </w:r>
      <w:r>
        <w:rPr>
          <w:rFonts w:ascii="Arial" w:cs="Arial" w:eastAsia="Arial" w:hAnsi="Arial"/>
          <w:sz w:val="43"/>
          <w:szCs w:val="43"/>
          <w:b w:val="1"/>
          <w:bCs w:val="1"/>
          <w:color w:val="0072CE"/>
        </w:rPr>
        <w:t xml:space="preserve"> 2</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0072CE"/>
        </w:rPr>
        <w:t>Self-Evaluation</w:t>
      </w:r>
    </w:p>
    <w:p>
      <w:pPr>
        <w:spacing w:after="0" w:line="95" w:lineRule="exact"/>
        <w:rPr>
          <w:sz w:val="20"/>
          <w:szCs w:val="20"/>
          <w:color w:val="auto"/>
        </w:rPr>
      </w:pPr>
    </w:p>
    <w:p>
      <w:pPr>
        <w:ind w:left="180" w:right="40"/>
        <w:spacing w:after="0" w:line="308" w:lineRule="auto"/>
        <w:rPr>
          <w:sz w:val="20"/>
          <w:szCs w:val="20"/>
          <w:color w:val="auto"/>
        </w:rPr>
      </w:pPr>
      <w:r>
        <w:rPr>
          <w:rFonts w:ascii="Arial" w:cs="Arial" w:eastAsia="Arial" w:hAnsi="Arial"/>
          <w:sz w:val="16"/>
          <w:szCs w:val="16"/>
          <w:color w:val="3D3935"/>
        </w:rPr>
        <w:t>In 2024, the self-evaluation process for the Board and its committees included:</w:t>
      </w:r>
    </w:p>
    <w:p>
      <w:pPr>
        <w:ind w:left="380" w:hanging="203"/>
        <w:spacing w:after="0"/>
        <w:tabs>
          <w:tab w:leader="none" w:pos="380" w:val="left"/>
        </w:tabs>
        <w:numPr>
          <w:ilvl w:val="0"/>
          <w:numId w:val="60"/>
        </w:numPr>
        <w:rPr>
          <w:rFonts w:ascii="Arial" w:cs="Arial" w:eastAsia="Arial" w:hAnsi="Arial"/>
          <w:sz w:val="16"/>
          <w:szCs w:val="16"/>
          <w:color w:val="0072CE"/>
        </w:rPr>
      </w:pPr>
      <w:r>
        <w:rPr>
          <w:rFonts w:ascii="Arial" w:cs="Arial" w:eastAsia="Arial" w:hAnsi="Arial"/>
          <w:sz w:val="16"/>
          <w:szCs w:val="16"/>
          <w:color w:val="3D3935"/>
        </w:rPr>
        <w:t>committee evaluations led by each committee chair;</w:t>
      </w:r>
    </w:p>
    <w:p>
      <w:pPr>
        <w:spacing w:after="0" w:line="86" w:lineRule="exact"/>
        <w:rPr>
          <w:rFonts w:ascii="Arial" w:cs="Arial" w:eastAsia="Arial" w:hAnsi="Arial"/>
          <w:sz w:val="16"/>
          <w:szCs w:val="16"/>
          <w:color w:val="0072CE"/>
        </w:rPr>
      </w:pPr>
    </w:p>
    <w:p>
      <w:pPr>
        <w:ind w:left="380" w:right="120" w:hanging="203"/>
        <w:spacing w:after="0" w:line="316" w:lineRule="auto"/>
        <w:tabs>
          <w:tab w:leader="none" w:pos="380" w:val="left"/>
        </w:tabs>
        <w:numPr>
          <w:ilvl w:val="0"/>
          <w:numId w:val="60"/>
        </w:numPr>
        <w:rPr>
          <w:rFonts w:ascii="Arial" w:cs="Arial" w:eastAsia="Arial" w:hAnsi="Arial"/>
          <w:sz w:val="16"/>
          <w:szCs w:val="16"/>
          <w:color w:val="0072CE"/>
        </w:rPr>
      </w:pPr>
      <w:r>
        <w:rPr>
          <w:rFonts w:ascii="Arial" w:cs="Arial" w:eastAsia="Arial" w:hAnsi="Arial"/>
          <w:sz w:val="16"/>
          <w:szCs w:val="16"/>
          <w:color w:val="3D3935"/>
        </w:rPr>
        <w:t>interviews between the Board Chair and CEO and each director; and</w:t>
      </w:r>
    </w:p>
    <w:p>
      <w:pPr>
        <w:spacing w:after="0" w:line="1" w:lineRule="exact"/>
        <w:rPr>
          <w:rFonts w:ascii="Arial" w:cs="Arial" w:eastAsia="Arial" w:hAnsi="Arial"/>
          <w:sz w:val="16"/>
          <w:szCs w:val="16"/>
          <w:color w:val="0072CE"/>
        </w:rPr>
      </w:pPr>
    </w:p>
    <w:p>
      <w:pPr>
        <w:ind w:left="380" w:right="240" w:hanging="203"/>
        <w:spacing w:after="0" w:line="321" w:lineRule="auto"/>
        <w:tabs>
          <w:tab w:leader="none" w:pos="380" w:val="left"/>
        </w:tabs>
        <w:numPr>
          <w:ilvl w:val="0"/>
          <w:numId w:val="60"/>
        </w:numPr>
        <w:rPr>
          <w:rFonts w:ascii="Arial" w:cs="Arial" w:eastAsia="Arial" w:hAnsi="Arial"/>
          <w:sz w:val="16"/>
          <w:szCs w:val="16"/>
          <w:color w:val="0072CE"/>
        </w:rPr>
      </w:pPr>
      <w:r>
        <w:rPr>
          <w:rFonts w:ascii="Arial" w:cs="Arial" w:eastAsia="Arial" w:hAnsi="Arial"/>
          <w:sz w:val="16"/>
          <w:szCs w:val="16"/>
          <w:color w:val="3D3935"/>
        </w:rPr>
        <w:t>an executive session of the Board to review the feedback received by the Board Chair and CEO.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sz w:val="1"/>
          <w:szCs w:val="1"/>
          <w:color w:val="auto"/>
        </w:rPr>
        <w:drawing>
          <wp:inline distT="0" distB="0" distL="0" distR="0">
            <wp:extent cx="76835" cy="36830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368300"/>
                    </a:xfrm>
                    <a:prstGeom prst="rect">
                      <a:avLst/>
                    </a:prstGeom>
                    <a:noFill/>
                    <a:ln>
                      <a:noFill/>
                    </a:ln>
                  </pic:spPr>
                </pic:pic>
              </a:graphicData>
            </a:graphic>
          </wp:inline>
        </w:drawing>
      </w:r>
      <w:r>
        <w:rPr>
          <w:rFonts w:ascii="Arial" w:cs="Arial" w:eastAsia="Arial" w:hAnsi="Arial"/>
          <w:sz w:val="43"/>
          <w:szCs w:val="43"/>
          <w:b w:val="1"/>
          <w:bCs w:val="1"/>
          <w:color w:val="0072CE"/>
        </w:rPr>
        <w:t xml:space="preserve"> 3</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72CE"/>
        </w:rPr>
        <w:t>Gathering Feedback</w:t>
      </w:r>
    </w:p>
    <w:p>
      <w:pPr>
        <w:spacing w:after="0" w:line="95" w:lineRule="exact"/>
        <w:rPr>
          <w:sz w:val="20"/>
          <w:szCs w:val="20"/>
          <w:color w:val="auto"/>
        </w:rPr>
      </w:pPr>
    </w:p>
    <w:p>
      <w:pPr>
        <w:ind w:left="160" w:right="199"/>
        <w:spacing w:after="0" w:line="284" w:lineRule="auto"/>
        <w:rPr>
          <w:sz w:val="20"/>
          <w:szCs w:val="20"/>
          <w:color w:val="auto"/>
        </w:rPr>
      </w:pPr>
      <w:r>
        <w:rPr>
          <w:rFonts w:ascii="Arial" w:cs="Arial" w:eastAsia="Arial" w:hAnsi="Arial"/>
          <w:sz w:val="16"/>
          <w:szCs w:val="16"/>
          <w:color w:val="3D3935"/>
        </w:rPr>
        <w:t>The Independent Lead Director met in executive session after each Board meeting without the Board Chair and CEO to gather feedback from the other non-employee directors.</w:t>
      </w:r>
    </w:p>
    <w:p>
      <w:pPr>
        <w:spacing w:after="0" w:line="200" w:lineRule="exact"/>
        <w:rPr>
          <w:sz w:val="20"/>
          <w:szCs w:val="20"/>
          <w:color w:val="auto"/>
        </w:rPr>
      </w:pPr>
    </w:p>
    <w:p>
      <w:pPr>
        <w:sectPr>
          <w:pgSz w:w="11900" w:h="16863" w:orient="portrait"/>
          <w:cols w:equalWidth="0" w:num="3">
            <w:col w:w="1680" w:space="480"/>
            <w:col w:w="4080" w:space="720"/>
            <w:col w:w="2099"/>
          </w:cols>
          <w:pgMar w:left="1400" w:top="37" w:right="1440" w:bottom="0" w:gutter="0" w:footer="0" w:header="0"/>
          <w:type w:val="continuous"/>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3D3935"/>
        </w:rPr>
        <w:t>The Board believes this process provides ample opportunity to provide feedback on Board, committee, and individual</w:t>
      </w:r>
    </w:p>
    <w:p>
      <w:pPr>
        <w:spacing w:after="0" w:line="32" w:lineRule="exact"/>
        <w:rPr>
          <w:sz w:val="20"/>
          <w:szCs w:val="20"/>
          <w:color w:val="auto"/>
        </w:rPr>
      </w:pPr>
    </w:p>
    <w:p>
      <w:pPr>
        <w:ind w:right="59"/>
        <w:spacing w:after="0" w:line="295" w:lineRule="auto"/>
        <w:rPr>
          <w:sz w:val="20"/>
          <w:szCs w:val="20"/>
          <w:color w:val="auto"/>
        </w:rPr>
      </w:pPr>
      <w:r>
        <w:rPr>
          <w:rFonts w:ascii="Arial" w:cs="Arial" w:eastAsia="Arial" w:hAnsi="Arial"/>
          <w:sz w:val="16"/>
          <w:szCs w:val="16"/>
          <w:color w:val="3D3935"/>
        </w:rPr>
        <w:t>director performance. The Board is committed to implementing feedback from its self-evaluations. Recent examples of changes to practices include evolving the composition of the Board, conducting extensive reviews of the Company’s marketing, software and digital strategies, focusing on supply chain sustainability and battery raw material costs, and prioritizing Board meetings outside Company headquarters to increase interaction with employees and experience the</w:t>
      </w:r>
    </w:p>
    <w:p>
      <w:pPr>
        <w:sectPr>
          <w:pgSz w:w="11900" w:h="16863" w:orient="portrait"/>
          <w:cols w:equalWidth="0" w:num="1">
            <w:col w:w="9059"/>
          </w:cols>
          <w:pgMar w:left="1400" w:top="37" w:right="1440" w:bottom="0" w:gutter="0" w:footer="0" w:header="0"/>
          <w:type w:val="continuous"/>
        </w:sectPr>
      </w:pPr>
    </w:p>
    <w:bookmarkStart w:id="31" w:name="page32"/>
    <w:bookmarkEnd w:id="31"/>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3D3935"/>
        </w:rPr>
        <w:t>Company’s transformation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-99695</wp:posOffset>
            </wp:positionV>
            <wp:extent cx="6810375" cy="48025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10375" cy="4802505"/>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Corporate Governance Guidelines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3D3935"/>
        </w:rPr>
        <w:t>Our Corporate Governance Guidelines form a transparent framework for the effective governance of the Company.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Corporate Governance Guidelines address matters such as the respective roles and responsibilities of the Board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management, the Board’s leadership structure, the responsibilities of the Independent Lead Director, director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independence, Board membership criteria, Board committees, and Board and CEO evaluations. The Governance Committee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annually reviews the Corporate Governance Guidelines and periodically recommends to the Board the adoption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amendments in response to changing regulations, evolving best practices, and shareholder concerns. No changes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made to our Corporate Governance Guidelines as a result of this review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5631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10375" cy="5631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Corporate Governance</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Oversight of Other Stewardship Topics</w:t>
      </w:r>
    </w:p>
    <w:p>
      <w:pPr>
        <w:spacing w:after="0" w:line="93"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Code of Conduct: “Winning with Integrity”</w:t>
      </w:r>
    </w:p>
    <w:p>
      <w:pPr>
        <w:spacing w:after="0" w:line="132"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3D3935"/>
        </w:rPr>
        <w:t xml:space="preserve">The Board is committed to the highest legal and ethical standards in fulfilling its responsibilities. We have adopted a code of business conduct and ethics, “Winning with Integrity,” that applies to everyone in our Company, at every level, including employees, executives, Board members and, as applicable, subsidiaries that GM controls. This Code of Conduct forms the foundation for compliance with corporate policies and procedures and creates a Company-wide focus on uncompromising integrity in every aspect of our operations. In 2025, Ethisphere recognized GM for the sixth consecutive year as one of the World’s Most Ethical Companies. This award highlights how “Winning with Integrity” embodies our expectations on a number of topics, including workplace and vehicle safety; conflicts of interest; protection of confidential information; insider trading; competition and fair dealing; human rights; community involvement and corporate citizenship; political activities and lobbying; preservation and use of Company assets; and compliance with laws and regulations. The Code of Conduct is available at </w:t>
      </w:r>
      <w:r>
        <w:rPr>
          <w:rFonts w:ascii="Arial" w:cs="Arial" w:eastAsia="Arial" w:hAnsi="Arial"/>
          <w:sz w:val="16"/>
          <w:szCs w:val="16"/>
          <w:u w:val="single" w:color="auto"/>
          <w:color w:val="0072CE"/>
        </w:rPr>
        <w:t>investor.gm.com/governanceandsustainability.</w:t>
      </w:r>
    </w:p>
    <w:p>
      <w:pPr>
        <w:spacing w:after="0" w:line="265" w:lineRule="exact"/>
        <w:rPr>
          <w:sz w:val="20"/>
          <w:szCs w:val="20"/>
          <w:color w:val="auto"/>
        </w:rPr>
      </w:pPr>
    </w:p>
    <w:p>
      <w:pPr>
        <w:ind w:left="240" w:right="740"/>
        <w:spacing w:after="0" w:line="314" w:lineRule="auto"/>
        <w:rPr>
          <w:sz w:val="20"/>
          <w:szCs w:val="20"/>
          <w:color w:val="auto"/>
        </w:rPr>
      </w:pPr>
      <w:r>
        <w:rPr>
          <w:rFonts w:ascii="Arial" w:cs="Arial" w:eastAsia="Arial" w:hAnsi="Arial"/>
          <w:sz w:val="16"/>
          <w:szCs w:val="16"/>
          <w:b w:val="1"/>
          <w:bCs w:val="1"/>
          <w:color w:val="0072CE"/>
        </w:rPr>
        <w:t>In 2024, the Board and its Committees met with the Chief Compliance Officer four times and also received in-person annual compliance training.</w:t>
      </w:r>
    </w:p>
    <w:p>
      <w:pPr>
        <w:spacing w:after="0" w:line="147"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Human Capital</w:t>
      </w:r>
    </w:p>
    <w:p>
      <w:pPr>
        <w:spacing w:after="0" w:line="92"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3D3935"/>
        </w:rPr>
        <w:t>The Board strives to create a Workplace of Choice to attract, retain, motivate and develop top talent by adhering to a responsible employer philosophy, which includes, among other things, commitments to create job opportunities, pay workers fairly, ensure safety and well-being, and foster an inclusive work environment in which all employees can perform at their best. You can view more information on this topic in our Sustainability Report on our website at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72CE"/>
        </w:rPr>
        <w:t>investor.gm.com/governanceandsustainability.</w:t>
      </w:r>
    </w:p>
    <w:p>
      <w:pPr>
        <w:spacing w:after="0" w:line="236" w:lineRule="exact"/>
        <w:rPr>
          <w:sz w:val="20"/>
          <w:szCs w:val="20"/>
          <w:color w:val="auto"/>
        </w:rPr>
      </w:pPr>
    </w:p>
    <w:p>
      <w:pPr>
        <w:ind w:left="240" w:right="240"/>
        <w:spacing w:after="0" w:line="332" w:lineRule="auto"/>
        <w:rPr>
          <w:sz w:val="20"/>
          <w:szCs w:val="20"/>
          <w:color w:val="auto"/>
        </w:rPr>
      </w:pPr>
      <w:r>
        <w:rPr>
          <w:rFonts w:ascii="Arial" w:cs="Arial" w:eastAsia="Arial" w:hAnsi="Arial"/>
          <w:sz w:val="16"/>
          <w:szCs w:val="16"/>
          <w:b w:val="1"/>
          <w:bCs w:val="1"/>
          <w:color w:val="0072CE"/>
        </w:rPr>
        <w:t>In 2024, the Board and its Committees discussed human capital management issues at every meeting, including topics such as culture and charitable giving priorities.</w:t>
      </w:r>
    </w:p>
    <w:p>
      <w:pPr>
        <w:spacing w:after="0" w:line="173"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Political Contributions and Lobbying Expenditures</w:t>
      </w:r>
    </w:p>
    <w:p>
      <w:pPr>
        <w:spacing w:after="0" w:line="92" w:lineRule="exact"/>
        <w:rPr>
          <w:sz w:val="20"/>
          <w:szCs w:val="20"/>
          <w:color w:val="auto"/>
        </w:rPr>
      </w:pPr>
    </w:p>
    <w:p>
      <w:pPr>
        <w:ind w:right="260"/>
        <w:spacing w:after="0" w:line="261" w:lineRule="auto"/>
        <w:rPr>
          <w:sz w:val="20"/>
          <w:szCs w:val="20"/>
          <w:color w:val="auto"/>
        </w:rPr>
      </w:pPr>
      <w:r>
        <w:rPr>
          <w:rFonts w:ascii="Arial" w:cs="Arial" w:eastAsia="Arial" w:hAnsi="Arial"/>
          <w:sz w:val="16"/>
          <w:szCs w:val="16"/>
          <w:color w:val="3D3935"/>
        </w:rPr>
        <w:t>The Board believes it is important for the Company to participate in the legislative, regulatory, and political processes to help shape public policy that supports our industry, reflects our values and principles, and advances our vision for the future of mobility. To guide our activities and ensure compliance with applicable laws and regulations, the Board has adopted a Company Policy on Corporate Political Contributions and Expenditures. Since 2022, the CPA-Zicklin Index of Corporate Political Disclosure and Accountability, which benchmarks the political disclosure and accountability policies and practices of leading U.S. public companies, has recognized the quality of our disclosure and ranked GM a “trendsetter” among the</w:t>
      </w:r>
    </w:p>
    <w:p>
      <w:pPr>
        <w:sectPr>
          <w:pgSz w:w="11900" w:h="16943" w:orient="portrait"/>
          <w:cols w:equalWidth="0" w:num="1">
            <w:col w:w="9100"/>
          </w:cols>
          <w:pgMar w:left="1400" w:top="114" w:right="1399" w:bottom="0" w:gutter="0" w:footer="0" w:header="0"/>
        </w:sectPr>
      </w:pPr>
    </w:p>
    <w:bookmarkStart w:id="32" w:name="page33"/>
    <w:bookmarkEnd w:id="32"/>
    <w:p>
      <w:pPr>
        <w:spacing w:after="0" w:line="36" w:lineRule="exact"/>
        <w:rPr>
          <w:sz w:val="20"/>
          <w:szCs w:val="20"/>
          <w:color w:val="auto"/>
        </w:rPr>
      </w:pPr>
    </w:p>
    <w:p>
      <w:pPr>
        <w:ind w:right="1260"/>
        <w:spacing w:after="0" w:line="286" w:lineRule="auto"/>
        <w:rPr>
          <w:sz w:val="20"/>
          <w:szCs w:val="20"/>
          <w:color w:val="auto"/>
        </w:rPr>
      </w:pPr>
      <w:r>
        <w:rPr>
          <w:rFonts w:ascii="Arial" w:cs="Arial" w:eastAsia="Arial" w:hAnsi="Arial"/>
          <w:sz w:val="16"/>
          <w:szCs w:val="16"/>
          <w:color w:val="3D3935"/>
        </w:rPr>
        <w:t xml:space="preserve">First Tier of S&amp;P 500 companies. You can view our U.S. Political Engagement Overview, Priorities, and Trade Association Disclosures on our website at </w:t>
      </w:r>
      <w:r>
        <w:rPr>
          <w:rFonts w:ascii="Arial" w:cs="Arial" w:eastAsia="Arial" w:hAnsi="Arial"/>
          <w:sz w:val="16"/>
          <w:szCs w:val="16"/>
          <w:u w:val="single" w:color="auto"/>
          <w:color w:val="0072CE"/>
        </w:rPr>
        <w:t>investor.gm.com/governanceandsustainability.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-268605</wp:posOffset>
            </wp:positionV>
            <wp:extent cx="6810375" cy="32251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10375" cy="3225165"/>
                    </a:xfrm>
                    <a:prstGeom prst="rect">
                      <a:avLst/>
                    </a:prstGeom>
                    <a:noFill/>
                  </pic:spPr>
                </pic:pic>
              </a:graphicData>
            </a:graphic>
          </wp:anchor>
        </w:drawing>
      </w:r>
    </w:p>
    <w:p>
      <w:pPr>
        <w:spacing w:after="0" w:line="190" w:lineRule="exact"/>
        <w:rPr>
          <w:sz w:val="20"/>
          <w:szCs w:val="20"/>
          <w:color w:val="auto"/>
        </w:rPr>
      </w:pPr>
    </w:p>
    <w:p>
      <w:pPr>
        <w:ind w:left="240" w:right="120"/>
        <w:spacing w:after="0" w:line="314" w:lineRule="auto"/>
        <w:rPr>
          <w:sz w:val="20"/>
          <w:szCs w:val="20"/>
          <w:color w:val="auto"/>
        </w:rPr>
      </w:pPr>
      <w:r>
        <w:rPr>
          <w:rFonts w:ascii="Arial" w:cs="Arial" w:eastAsia="Arial" w:hAnsi="Arial"/>
          <w:sz w:val="16"/>
          <w:szCs w:val="16"/>
          <w:b w:val="1"/>
          <w:bCs w:val="1"/>
          <w:color w:val="0072CE"/>
        </w:rPr>
        <w:t>In 2024, the Board reviewed public policy priorities at every meeting, in addition to delegating annual oversight of political contributions and lobbying to its Governance Committee.</w:t>
      </w:r>
    </w:p>
    <w:p>
      <w:pPr>
        <w:spacing w:after="0" w:line="120"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Sustainability Alignment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3D3935"/>
        </w:rPr>
        <w:t>The Board has encouraged management to integrate sustainability principles into its daily operations to align the Company’s</w:t>
      </w:r>
    </w:p>
    <w:p>
      <w:pPr>
        <w:spacing w:after="0" w:line="21" w:lineRule="exact"/>
        <w:rPr>
          <w:sz w:val="20"/>
          <w:szCs w:val="20"/>
          <w:color w:val="auto"/>
        </w:rPr>
      </w:pPr>
    </w:p>
    <w:p>
      <w:pPr>
        <w:spacing w:after="0" w:line="264" w:lineRule="auto"/>
        <w:rPr>
          <w:sz w:val="20"/>
          <w:szCs w:val="20"/>
          <w:color w:val="auto"/>
        </w:rPr>
      </w:pPr>
      <w:r>
        <w:rPr>
          <w:rFonts w:ascii="Arial" w:cs="Arial" w:eastAsia="Arial" w:hAnsi="Arial"/>
          <w:sz w:val="16"/>
          <w:szCs w:val="16"/>
          <w:color w:val="3D3935"/>
        </w:rPr>
        <w:t xml:space="preserve">sustainability journey with the strategic pillars. We center efforts around purposeful actions where we believe we can have the biggest impact. You can view more information regarding our Sustainability strategy in the Sustainability Report on our website at </w:t>
      </w:r>
      <w:r>
        <w:rPr>
          <w:rFonts w:ascii="Arial" w:cs="Arial" w:eastAsia="Arial" w:hAnsi="Arial"/>
          <w:sz w:val="16"/>
          <w:szCs w:val="16"/>
          <w:u w:val="single" w:color="auto"/>
          <w:color w:val="0072CE"/>
        </w:rPr>
        <w:t>investor.gm.com/governanceandsustainability.</w:t>
      </w:r>
    </w:p>
    <w:p>
      <w:pPr>
        <w:spacing w:after="0" w:line="281" w:lineRule="exact"/>
        <w:rPr>
          <w:sz w:val="20"/>
          <w:szCs w:val="20"/>
          <w:color w:val="auto"/>
        </w:rPr>
      </w:pPr>
    </w:p>
    <w:p>
      <w:pPr>
        <w:ind w:left="240" w:right="260"/>
        <w:spacing w:after="0" w:line="314" w:lineRule="auto"/>
        <w:rPr>
          <w:sz w:val="20"/>
          <w:szCs w:val="20"/>
          <w:color w:val="auto"/>
        </w:rPr>
      </w:pPr>
      <w:r>
        <w:rPr>
          <w:rFonts w:ascii="Arial" w:cs="Arial" w:eastAsia="Arial" w:hAnsi="Arial"/>
          <w:sz w:val="16"/>
          <w:szCs w:val="16"/>
          <w:b w:val="1"/>
          <w:bCs w:val="1"/>
          <w:color w:val="0072CE"/>
        </w:rPr>
        <w:t>In 2024, the Board and its Committees reviewed a variety of sustainability related topics, including supply chain resiliency, battery strategy, and GHG emissions.</w:t>
      </w:r>
    </w:p>
    <w:p>
      <w:pPr>
        <w:spacing w:after="0" w:line="322" w:lineRule="exact"/>
        <w:rPr>
          <w:sz w:val="20"/>
          <w:szCs w:val="20"/>
          <w:color w:val="auto"/>
        </w:rPr>
      </w:pPr>
    </w:p>
    <w:p>
      <w:pPr>
        <w:jc w:val="center"/>
        <w:ind w:right="-239"/>
        <w:spacing w:after="0"/>
        <w:rPr>
          <w:sz w:val="20"/>
          <w:szCs w:val="20"/>
          <w:color w:val="auto"/>
        </w:rPr>
      </w:pPr>
      <w:r>
        <w:rPr>
          <w:rFonts w:ascii="Arial" w:cs="Arial" w:eastAsia="Arial" w:hAnsi="Arial"/>
          <w:sz w:val="14"/>
          <w:szCs w:val="14"/>
          <w:i w:val="1"/>
          <w:iCs w:val="1"/>
          <w:color w:val="3D3935"/>
        </w:rPr>
        <w:t>Nothing on our website, including the aforementioned reports or documents, or sections thereof,</w:t>
      </w:r>
    </w:p>
    <w:p>
      <w:pPr>
        <w:spacing w:after="0" w:line="42" w:lineRule="exact"/>
        <w:rPr>
          <w:sz w:val="20"/>
          <w:szCs w:val="20"/>
          <w:color w:val="auto"/>
        </w:rPr>
      </w:pPr>
    </w:p>
    <w:p>
      <w:pPr>
        <w:jc w:val="center"/>
        <w:ind w:right="-179"/>
        <w:spacing w:after="0"/>
        <w:rPr>
          <w:sz w:val="20"/>
          <w:szCs w:val="20"/>
          <w:color w:val="auto"/>
        </w:rPr>
      </w:pPr>
      <w:r>
        <w:rPr>
          <w:rFonts w:ascii="Arial" w:cs="Arial" w:eastAsia="Arial" w:hAnsi="Arial"/>
          <w:sz w:val="14"/>
          <w:szCs w:val="14"/>
          <w:i w:val="1"/>
          <w:iCs w:val="1"/>
          <w:color w:val="3D3935"/>
        </w:rPr>
        <w:t>shall be deemed incorporated by reference into this Proxy Statement.</w:t>
      </w:r>
    </w:p>
    <w:p>
      <w:pPr>
        <w:spacing w:after="0" w:line="200" w:lineRule="exact"/>
        <w:rPr>
          <w:sz w:val="20"/>
          <w:szCs w:val="20"/>
          <w:color w:val="auto"/>
        </w:rPr>
      </w:pPr>
    </w:p>
    <w:p>
      <w:pPr>
        <w:spacing w:after="0" w:line="366"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70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3D3935"/>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72085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10375" cy="7208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Corporate Governance</w:t>
      </w:r>
    </w:p>
    <w:p>
      <w:pPr>
        <w:spacing w:after="0" w:line="200" w:lineRule="exact"/>
        <w:rPr>
          <w:sz w:val="20"/>
          <w:szCs w:val="20"/>
          <w:color w:val="auto"/>
        </w:rPr>
      </w:pPr>
    </w:p>
    <w:p>
      <w:pPr>
        <w:spacing w:after="0" w:line="343" w:lineRule="exact"/>
        <w:rPr>
          <w:sz w:val="20"/>
          <w:szCs w:val="20"/>
          <w:color w:val="auto"/>
        </w:rPr>
      </w:pPr>
    </w:p>
    <w:p>
      <w:pPr>
        <w:ind w:right="1400"/>
        <w:spacing w:after="0" w:line="276" w:lineRule="auto"/>
        <w:rPr>
          <w:sz w:val="20"/>
          <w:szCs w:val="20"/>
          <w:color w:val="auto"/>
        </w:rPr>
      </w:pPr>
      <w:r>
        <w:rPr>
          <w:rFonts w:ascii="Arial" w:cs="Arial" w:eastAsia="Arial" w:hAnsi="Arial"/>
          <w:sz w:val="40"/>
          <w:szCs w:val="40"/>
          <w:b w:val="1"/>
          <w:bCs w:val="1"/>
          <w:color w:val="0072CE"/>
        </w:rPr>
        <w:t>Related Party Transactions and Potential Conflicts of Interest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3D3935"/>
        </w:rPr>
        <w:t>Our Code of Conduct requires all of our employees and directors to avoid any activity that is in conflict with our business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interests. In addition, the Board has adopted a Related Party Transactions Policy regarding the review and approval of</w:t>
      </w:r>
    </w:p>
    <w:p>
      <w:pPr>
        <w:spacing w:after="0" w:line="32" w:lineRule="exact"/>
        <w:rPr>
          <w:sz w:val="20"/>
          <w:szCs w:val="20"/>
          <w:color w:val="auto"/>
        </w:rPr>
      </w:pPr>
    </w:p>
    <w:p>
      <w:pPr>
        <w:spacing w:after="0"/>
        <w:tabs>
          <w:tab w:leader="none" w:pos="2000" w:val="left"/>
        </w:tabs>
        <w:rPr>
          <w:sz w:val="20"/>
          <w:szCs w:val="20"/>
          <w:color w:val="auto"/>
        </w:rPr>
      </w:pPr>
      <w:r>
        <w:rPr>
          <w:rFonts w:ascii="Arial" w:cs="Arial" w:eastAsia="Arial" w:hAnsi="Arial"/>
          <w:sz w:val="16"/>
          <w:szCs w:val="16"/>
          <w:color w:val="3D3935"/>
        </w:rPr>
        <w:t>related party transactions</w:t>
        <w:tab/>
        <w:t>. Under the Related Party Transactions Policy, which is administered by our Governance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Committee, directors and executive officers must report any potential related party transactions on an annual basis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(including transactions involving immediate family members) to the Executive Vice President, Chief Legal, Public Policy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Officer and Corporate Secretary to determine whether the transaction constitutes a related party transaction. If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member of the Governance Committee has a potential interest in any related party transaction, such member is recused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will abstain from voting on the approval of the related party transaction.</w:t>
      </w:r>
    </w:p>
    <w:p>
      <w:pPr>
        <w:spacing w:after="0" w:line="181"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3D3935"/>
        </w:rPr>
        <w:t>For purposes of our Related Party Transactions Policy, a related party transaction includes transactions in which our Company (or a subsidiary) is a participant, the amount involved exceeds $120,000, and the related party has or will have a direct or indirect material interest. Related parties of our Company consist of directors (including nominees for election as directors), executive officers, shareholders beneficially owning more than 5 percent of the Company’s voting securities, and the immediate family members of these individuals. Once a potential related party transaction has been identified, the Governance Committee reviews all of the relevant facts and circumstances and approves or disapproves entry into the transaction. As required under SEC rules, we disclose all related party transactions annually in our proxy statement. When a transaction is ongoing, the transactions are reviewed annually for reasonableness and fairness to the Company.</w:t>
      </w:r>
    </w:p>
    <w:p>
      <w:pPr>
        <w:spacing w:after="0" w:line="88"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Factors Used in Assessing Related Party Transactions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430"/>
        </w:trPr>
        <w:tc>
          <w:tcPr>
            <w:tcW w:w="4540" w:type="dxa"/>
            <w:vAlign w:val="bottom"/>
            <w:shd w:val="clear" w:color="auto" w:fill="F0F3F5"/>
          </w:tcPr>
          <w:p>
            <w:pPr>
              <w:ind w:left="24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Whether the terms of the related party transaction</w:t>
            </w:r>
          </w:p>
        </w:tc>
        <w:tc>
          <w:tcPr>
            <w:tcW w:w="4540" w:type="dxa"/>
            <w:vAlign w:val="bottom"/>
            <w:shd w:val="clear" w:color="auto" w:fill="F0F3F5"/>
          </w:tcPr>
          <w:p>
            <w:pPr>
              <w:ind w:left="24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Whether the related party transaction would impair</w:t>
            </w:r>
          </w:p>
        </w:tc>
        <w:tc>
          <w:tcPr>
            <w:tcW w:w="0" w:type="dxa"/>
            <w:vAlign w:val="bottom"/>
          </w:tcPr>
          <w:p>
            <w:pPr>
              <w:spacing w:after="0"/>
              <w:rPr>
                <w:sz w:val="1"/>
                <w:szCs w:val="1"/>
                <w:color w:val="auto"/>
              </w:rPr>
            </w:pPr>
          </w:p>
        </w:tc>
      </w:tr>
      <w:tr>
        <w:trPr>
          <w:trHeight w:val="216"/>
        </w:trPr>
        <w:tc>
          <w:tcPr>
            <w:tcW w:w="4540" w:type="dxa"/>
            <w:vAlign w:val="bottom"/>
            <w:shd w:val="clear" w:color="auto" w:fill="F0F3F5"/>
          </w:tcPr>
          <w:p>
            <w:pPr>
              <w:ind w:left="420"/>
              <w:spacing w:after="0"/>
              <w:rPr>
                <w:sz w:val="20"/>
                <w:szCs w:val="20"/>
                <w:color w:val="auto"/>
              </w:rPr>
            </w:pPr>
            <w:r>
              <w:rPr>
                <w:rFonts w:ascii="Arial" w:cs="Arial" w:eastAsia="Arial" w:hAnsi="Arial"/>
                <w:sz w:val="16"/>
                <w:szCs w:val="16"/>
                <w:color w:val="3D3935"/>
              </w:rPr>
              <w:t>are fair to the Company and on the same basis as if</w:t>
            </w:r>
          </w:p>
        </w:tc>
        <w:tc>
          <w:tcPr>
            <w:tcW w:w="4540" w:type="dxa"/>
            <w:vAlign w:val="bottom"/>
            <w:shd w:val="clear" w:color="auto" w:fill="F0F3F5"/>
          </w:tcPr>
          <w:p>
            <w:pPr>
              <w:ind w:left="440"/>
              <w:spacing w:after="0"/>
              <w:rPr>
                <w:sz w:val="20"/>
                <w:szCs w:val="20"/>
                <w:color w:val="auto"/>
              </w:rPr>
            </w:pPr>
            <w:r>
              <w:rPr>
                <w:rFonts w:ascii="Arial" w:cs="Arial" w:eastAsia="Arial" w:hAnsi="Arial"/>
                <w:sz w:val="16"/>
                <w:szCs w:val="16"/>
                <w:color w:val="3D3935"/>
              </w:rPr>
              <w:t>the independence of an otherwise independent</w:t>
            </w:r>
          </w:p>
        </w:tc>
        <w:tc>
          <w:tcPr>
            <w:tcW w:w="0" w:type="dxa"/>
            <w:vAlign w:val="bottom"/>
          </w:tcPr>
          <w:p>
            <w:pPr>
              <w:spacing w:after="0"/>
              <w:rPr>
                <w:sz w:val="1"/>
                <w:szCs w:val="1"/>
                <w:color w:val="auto"/>
              </w:rPr>
            </w:pPr>
          </w:p>
        </w:tc>
      </w:tr>
      <w:tr>
        <w:trPr>
          <w:trHeight w:val="216"/>
        </w:trPr>
        <w:tc>
          <w:tcPr>
            <w:tcW w:w="4540" w:type="dxa"/>
            <w:vAlign w:val="bottom"/>
            <w:shd w:val="clear" w:color="auto" w:fill="F0F3F5"/>
          </w:tcPr>
          <w:p>
            <w:pPr>
              <w:ind w:left="420"/>
              <w:spacing w:after="0"/>
              <w:rPr>
                <w:sz w:val="20"/>
                <w:szCs w:val="20"/>
                <w:color w:val="auto"/>
              </w:rPr>
            </w:pPr>
            <w:r>
              <w:rPr>
                <w:rFonts w:ascii="Arial" w:cs="Arial" w:eastAsia="Arial" w:hAnsi="Arial"/>
                <w:sz w:val="16"/>
                <w:szCs w:val="16"/>
                <w:color w:val="3D3935"/>
              </w:rPr>
              <w:t>the transaction had occurred on an</w:t>
            </w:r>
          </w:p>
        </w:tc>
        <w:tc>
          <w:tcPr>
            <w:tcW w:w="4540" w:type="dxa"/>
            <w:vAlign w:val="bottom"/>
            <w:shd w:val="clear" w:color="auto" w:fill="F0F3F5"/>
          </w:tcPr>
          <w:p>
            <w:pPr>
              <w:ind w:left="440"/>
              <w:spacing w:after="0"/>
              <w:rPr>
                <w:sz w:val="20"/>
                <w:szCs w:val="20"/>
                <w:color w:val="auto"/>
              </w:rPr>
            </w:pPr>
            <w:r>
              <w:rPr>
                <w:rFonts w:ascii="Arial" w:cs="Arial" w:eastAsia="Arial" w:hAnsi="Arial"/>
                <w:sz w:val="16"/>
                <w:szCs w:val="16"/>
                <w:color w:val="3D3935"/>
              </w:rPr>
              <w:t>director; and</w:t>
            </w:r>
          </w:p>
        </w:tc>
        <w:tc>
          <w:tcPr>
            <w:tcW w:w="0" w:type="dxa"/>
            <w:vAlign w:val="bottom"/>
          </w:tcPr>
          <w:p>
            <w:pPr>
              <w:spacing w:after="0"/>
              <w:rPr>
                <w:sz w:val="1"/>
                <w:szCs w:val="1"/>
                <w:color w:val="auto"/>
              </w:rPr>
            </w:pPr>
          </w:p>
        </w:tc>
      </w:tr>
      <w:tr>
        <w:trPr>
          <w:trHeight w:val="216"/>
        </w:trPr>
        <w:tc>
          <w:tcPr>
            <w:tcW w:w="4540" w:type="dxa"/>
            <w:vAlign w:val="bottom"/>
            <w:shd w:val="clear" w:color="auto" w:fill="F0F3F5"/>
          </w:tcPr>
          <w:p>
            <w:pPr>
              <w:ind w:left="420"/>
              <w:spacing w:after="0"/>
              <w:rPr>
                <w:sz w:val="20"/>
                <w:szCs w:val="20"/>
                <w:color w:val="auto"/>
              </w:rPr>
            </w:pPr>
            <w:r>
              <w:rPr>
                <w:rFonts w:ascii="Arial" w:cs="Arial" w:eastAsia="Arial" w:hAnsi="Arial"/>
                <w:sz w:val="16"/>
                <w:szCs w:val="16"/>
                <w:color w:val="3D3935"/>
              </w:rPr>
              <w:t>arm’s-length basis;</w:t>
            </w:r>
          </w:p>
        </w:tc>
        <w:tc>
          <w:tcPr>
            <w:tcW w:w="4540" w:type="dxa"/>
            <w:vAlign w:val="bottom"/>
            <w:vMerge w:val="restart"/>
            <w:shd w:val="clear" w:color="auto" w:fill="F0F3F5"/>
          </w:tcPr>
          <w:p>
            <w:pPr>
              <w:ind w:left="24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Whether the related party transaction would present</w:t>
            </w:r>
          </w:p>
        </w:tc>
        <w:tc>
          <w:tcPr>
            <w:tcW w:w="0" w:type="dxa"/>
            <w:vAlign w:val="bottom"/>
          </w:tcPr>
          <w:p>
            <w:pPr>
              <w:spacing w:after="0"/>
              <w:rPr>
                <w:sz w:val="1"/>
                <w:szCs w:val="1"/>
                <w:color w:val="auto"/>
              </w:rPr>
            </w:pPr>
          </w:p>
        </w:tc>
      </w:tr>
      <w:tr>
        <w:trPr>
          <w:trHeight w:val="54"/>
        </w:trPr>
        <w:tc>
          <w:tcPr>
            <w:tcW w:w="4540" w:type="dxa"/>
            <w:vAlign w:val="bottom"/>
            <w:shd w:val="clear" w:color="auto" w:fill="F0F3F5"/>
          </w:tcPr>
          <w:p>
            <w:pPr>
              <w:spacing w:after="0"/>
              <w:rPr>
                <w:sz w:val="4"/>
                <w:szCs w:val="4"/>
                <w:color w:val="auto"/>
              </w:rPr>
            </w:pPr>
          </w:p>
        </w:tc>
        <w:tc>
          <w:tcPr>
            <w:tcW w:w="4540" w:type="dxa"/>
            <w:vAlign w:val="bottom"/>
            <w:vMerge w:val="continue"/>
            <w:shd w:val="clear" w:color="auto" w:fill="F0F3F5"/>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F0F3F5"/>
          </w:tcPr>
          <w:p>
            <w:pPr>
              <w:ind w:left="24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Whether there are any compelling business reasons</w:t>
            </w:r>
          </w:p>
        </w:tc>
        <w:tc>
          <w:tcPr>
            <w:tcW w:w="4540" w:type="dxa"/>
            <w:vAlign w:val="bottom"/>
            <w:shd w:val="clear" w:color="auto" w:fill="F0F3F5"/>
          </w:tcPr>
          <w:p>
            <w:pPr>
              <w:ind w:left="440"/>
              <w:spacing w:after="0"/>
              <w:rPr>
                <w:sz w:val="20"/>
                <w:szCs w:val="20"/>
                <w:color w:val="auto"/>
              </w:rPr>
            </w:pPr>
            <w:r>
              <w:rPr>
                <w:rFonts w:ascii="Arial" w:cs="Arial" w:eastAsia="Arial" w:hAnsi="Arial"/>
                <w:sz w:val="16"/>
                <w:szCs w:val="16"/>
                <w:color w:val="3D3935"/>
              </w:rPr>
              <w:t>an improper conflict of interest for any director or</w:t>
            </w:r>
          </w:p>
        </w:tc>
        <w:tc>
          <w:tcPr>
            <w:tcW w:w="0" w:type="dxa"/>
            <w:vAlign w:val="bottom"/>
          </w:tcPr>
          <w:p>
            <w:pPr>
              <w:spacing w:after="0"/>
              <w:rPr>
                <w:sz w:val="1"/>
                <w:szCs w:val="1"/>
                <w:color w:val="auto"/>
              </w:rPr>
            </w:pPr>
          </w:p>
        </w:tc>
      </w:tr>
      <w:tr>
        <w:trPr>
          <w:trHeight w:val="216"/>
        </w:trPr>
        <w:tc>
          <w:tcPr>
            <w:tcW w:w="4540" w:type="dxa"/>
            <w:vAlign w:val="bottom"/>
            <w:shd w:val="clear" w:color="auto" w:fill="F0F3F5"/>
          </w:tcPr>
          <w:p>
            <w:pPr>
              <w:ind w:left="420"/>
              <w:spacing w:after="0"/>
              <w:rPr>
                <w:sz w:val="20"/>
                <w:szCs w:val="20"/>
                <w:color w:val="auto"/>
              </w:rPr>
            </w:pPr>
            <w:r>
              <w:rPr>
                <w:rFonts w:ascii="Arial" w:cs="Arial" w:eastAsia="Arial" w:hAnsi="Arial"/>
                <w:sz w:val="16"/>
                <w:szCs w:val="16"/>
                <w:color w:val="3D3935"/>
              </w:rPr>
              <w:t>for the Company to enter into the related party</w:t>
            </w:r>
          </w:p>
        </w:tc>
        <w:tc>
          <w:tcPr>
            <w:tcW w:w="4540" w:type="dxa"/>
            <w:vAlign w:val="bottom"/>
            <w:shd w:val="clear" w:color="auto" w:fill="F0F3F5"/>
          </w:tcPr>
          <w:p>
            <w:pPr>
              <w:ind w:left="440"/>
              <w:spacing w:after="0"/>
              <w:rPr>
                <w:sz w:val="20"/>
                <w:szCs w:val="20"/>
                <w:color w:val="auto"/>
              </w:rPr>
            </w:pPr>
            <w:r>
              <w:rPr>
                <w:rFonts w:ascii="Arial" w:cs="Arial" w:eastAsia="Arial" w:hAnsi="Arial"/>
                <w:sz w:val="16"/>
                <w:szCs w:val="16"/>
                <w:color w:val="3D3935"/>
              </w:rPr>
              <w:t>executive officer of the Company, taking into</w:t>
            </w:r>
          </w:p>
        </w:tc>
        <w:tc>
          <w:tcPr>
            <w:tcW w:w="0" w:type="dxa"/>
            <w:vAlign w:val="bottom"/>
          </w:tcPr>
          <w:p>
            <w:pPr>
              <w:spacing w:after="0"/>
              <w:rPr>
                <w:sz w:val="1"/>
                <w:szCs w:val="1"/>
                <w:color w:val="auto"/>
              </w:rPr>
            </w:pPr>
          </w:p>
        </w:tc>
      </w:tr>
      <w:tr>
        <w:trPr>
          <w:trHeight w:val="216"/>
        </w:trPr>
        <w:tc>
          <w:tcPr>
            <w:tcW w:w="4540" w:type="dxa"/>
            <w:vAlign w:val="bottom"/>
            <w:shd w:val="clear" w:color="auto" w:fill="F0F3F5"/>
          </w:tcPr>
          <w:p>
            <w:pPr>
              <w:ind w:left="420"/>
              <w:spacing w:after="0"/>
              <w:rPr>
                <w:sz w:val="20"/>
                <w:szCs w:val="20"/>
                <w:color w:val="auto"/>
              </w:rPr>
            </w:pPr>
            <w:r>
              <w:rPr>
                <w:rFonts w:ascii="Arial" w:cs="Arial" w:eastAsia="Arial" w:hAnsi="Arial"/>
                <w:sz w:val="16"/>
                <w:szCs w:val="16"/>
                <w:color w:val="3D3935"/>
              </w:rPr>
              <w:t>transaction and the nature of alternative</w:t>
            </w:r>
          </w:p>
        </w:tc>
        <w:tc>
          <w:tcPr>
            <w:tcW w:w="4540" w:type="dxa"/>
            <w:vAlign w:val="bottom"/>
            <w:shd w:val="clear" w:color="auto" w:fill="F0F3F5"/>
          </w:tcPr>
          <w:p>
            <w:pPr>
              <w:ind w:left="440"/>
              <w:spacing w:after="0"/>
              <w:rPr>
                <w:sz w:val="20"/>
                <w:szCs w:val="20"/>
                <w:color w:val="auto"/>
              </w:rPr>
            </w:pPr>
            <w:r>
              <w:rPr>
                <w:rFonts w:ascii="Arial" w:cs="Arial" w:eastAsia="Arial" w:hAnsi="Arial"/>
                <w:sz w:val="16"/>
                <w:szCs w:val="16"/>
                <w:color w:val="3D3935"/>
              </w:rPr>
              <w:t>account the specific facts and circumstances of</w:t>
            </w:r>
          </w:p>
        </w:tc>
        <w:tc>
          <w:tcPr>
            <w:tcW w:w="0" w:type="dxa"/>
            <w:vAlign w:val="bottom"/>
          </w:tcPr>
          <w:p>
            <w:pPr>
              <w:spacing w:after="0"/>
              <w:rPr>
                <w:sz w:val="1"/>
                <w:szCs w:val="1"/>
                <w:color w:val="auto"/>
              </w:rPr>
            </w:pPr>
          </w:p>
        </w:tc>
      </w:tr>
      <w:tr>
        <w:trPr>
          <w:trHeight w:val="216"/>
        </w:trPr>
        <w:tc>
          <w:tcPr>
            <w:tcW w:w="4540" w:type="dxa"/>
            <w:vAlign w:val="bottom"/>
            <w:shd w:val="clear" w:color="auto" w:fill="F0F3F5"/>
          </w:tcPr>
          <w:p>
            <w:pPr>
              <w:ind w:left="420"/>
              <w:spacing w:after="0"/>
              <w:rPr>
                <w:sz w:val="20"/>
                <w:szCs w:val="20"/>
                <w:color w:val="auto"/>
              </w:rPr>
            </w:pPr>
            <w:r>
              <w:rPr>
                <w:rFonts w:ascii="Arial" w:cs="Arial" w:eastAsia="Arial" w:hAnsi="Arial"/>
                <w:sz w:val="16"/>
                <w:szCs w:val="16"/>
                <w:color w:val="3D3935"/>
              </w:rPr>
              <w:t>transactions, if any;</w:t>
            </w:r>
          </w:p>
        </w:tc>
        <w:tc>
          <w:tcPr>
            <w:tcW w:w="4540" w:type="dxa"/>
            <w:vAlign w:val="bottom"/>
            <w:shd w:val="clear" w:color="auto" w:fill="F0F3F5"/>
          </w:tcPr>
          <w:p>
            <w:pPr>
              <w:ind w:left="440"/>
              <w:spacing w:after="0"/>
              <w:rPr>
                <w:sz w:val="20"/>
                <w:szCs w:val="20"/>
                <w:color w:val="auto"/>
              </w:rPr>
            </w:pPr>
            <w:r>
              <w:rPr>
                <w:rFonts w:ascii="Arial" w:cs="Arial" w:eastAsia="Arial" w:hAnsi="Arial"/>
                <w:sz w:val="16"/>
                <w:szCs w:val="16"/>
                <w:color w:val="3D3935"/>
              </w:rPr>
              <w:t>such transaction.</w:t>
            </w:r>
          </w:p>
        </w:tc>
        <w:tc>
          <w:tcPr>
            <w:tcW w:w="0" w:type="dxa"/>
            <w:vAlign w:val="bottom"/>
          </w:tcPr>
          <w:p>
            <w:pPr>
              <w:spacing w:after="0"/>
              <w:rPr>
                <w:sz w:val="1"/>
                <w:szCs w:val="1"/>
                <w:color w:val="auto"/>
              </w:rPr>
            </w:pPr>
          </w:p>
        </w:tc>
      </w:tr>
      <w:tr>
        <w:trPr>
          <w:trHeight w:val="270"/>
        </w:trPr>
        <w:tc>
          <w:tcPr>
            <w:tcW w:w="4540" w:type="dxa"/>
            <w:vAlign w:val="bottom"/>
            <w:shd w:val="clear" w:color="auto" w:fill="F0F3F5"/>
          </w:tcPr>
          <w:p>
            <w:pPr>
              <w:ind w:left="24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Whether grants or contributions made by the</w:t>
            </w:r>
          </w:p>
        </w:tc>
        <w:tc>
          <w:tcPr>
            <w:tcW w:w="4540" w:type="dxa"/>
            <w:vAlign w:val="bottom"/>
            <w:shd w:val="clear" w:color="auto" w:fill="F0F3F5"/>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F0F3F5"/>
          </w:tcPr>
          <w:p>
            <w:pPr>
              <w:ind w:left="420"/>
              <w:spacing w:after="0"/>
              <w:rPr>
                <w:sz w:val="20"/>
                <w:szCs w:val="20"/>
                <w:color w:val="auto"/>
              </w:rPr>
            </w:pPr>
            <w:r>
              <w:rPr>
                <w:rFonts w:ascii="Arial" w:cs="Arial" w:eastAsia="Arial" w:hAnsi="Arial"/>
                <w:sz w:val="16"/>
                <w:szCs w:val="16"/>
                <w:color w:val="3D3935"/>
              </w:rPr>
              <w:t>Company under one of its grant programs are in</w:t>
            </w:r>
          </w:p>
        </w:tc>
        <w:tc>
          <w:tcPr>
            <w:tcW w:w="4540" w:type="dxa"/>
            <w:vAlign w:val="bottom"/>
            <w:shd w:val="clear" w:color="auto" w:fill="F0F3F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F0F3F5"/>
          </w:tcPr>
          <w:p>
            <w:pPr>
              <w:ind w:left="420"/>
              <w:spacing w:after="0"/>
              <w:rPr>
                <w:sz w:val="20"/>
                <w:szCs w:val="20"/>
                <w:color w:val="auto"/>
              </w:rPr>
            </w:pPr>
            <w:r>
              <w:rPr>
                <w:rFonts w:ascii="Arial" w:cs="Arial" w:eastAsia="Arial" w:hAnsi="Arial"/>
                <w:sz w:val="16"/>
                <w:szCs w:val="16"/>
                <w:color w:val="3D3935"/>
              </w:rPr>
              <w:t>accordance with the Company’s corporate</w:t>
            </w:r>
          </w:p>
        </w:tc>
        <w:tc>
          <w:tcPr>
            <w:tcW w:w="4540" w:type="dxa"/>
            <w:vAlign w:val="bottom"/>
            <w:shd w:val="clear" w:color="auto" w:fill="F0F3F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F0F3F5"/>
          </w:tcPr>
          <w:p>
            <w:pPr>
              <w:ind w:left="420"/>
              <w:spacing w:after="0"/>
              <w:rPr>
                <w:sz w:val="20"/>
                <w:szCs w:val="20"/>
                <w:color w:val="auto"/>
              </w:rPr>
            </w:pPr>
            <w:r>
              <w:rPr>
                <w:rFonts w:ascii="Arial" w:cs="Arial" w:eastAsia="Arial" w:hAnsi="Arial"/>
                <w:sz w:val="16"/>
                <w:szCs w:val="16"/>
                <w:color w:val="3D3935"/>
              </w:rPr>
              <w:t>contribution guidelines;</w:t>
            </w:r>
          </w:p>
        </w:tc>
        <w:tc>
          <w:tcPr>
            <w:tcW w:w="4540" w:type="dxa"/>
            <w:vAlign w:val="bottom"/>
            <w:shd w:val="clear" w:color="auto" w:fill="F0F3F5"/>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540" w:type="dxa"/>
            <w:vAlign w:val="bottom"/>
            <w:shd w:val="clear" w:color="auto" w:fill="F0F3F5"/>
          </w:tcPr>
          <w:p>
            <w:pPr>
              <w:spacing w:after="0"/>
              <w:rPr>
                <w:sz w:val="15"/>
                <w:szCs w:val="15"/>
                <w:color w:val="auto"/>
              </w:rPr>
            </w:pPr>
          </w:p>
        </w:tc>
        <w:tc>
          <w:tcPr>
            <w:tcW w:w="4540" w:type="dxa"/>
            <w:vAlign w:val="bottom"/>
            <w:shd w:val="clear" w:color="auto" w:fill="F0F3F5"/>
          </w:tcPr>
          <w:p>
            <w:pPr>
              <w:spacing w:after="0"/>
              <w:rPr>
                <w:sz w:val="15"/>
                <w:szCs w:val="15"/>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Related Party Transactions</w:t>
      </w:r>
    </w:p>
    <w:p>
      <w:pPr>
        <w:spacing w:after="0" w:line="132" w:lineRule="exact"/>
        <w:rPr>
          <w:sz w:val="20"/>
          <w:szCs w:val="20"/>
          <w:color w:val="auto"/>
        </w:rPr>
      </w:pPr>
    </w:p>
    <w:p>
      <w:pPr>
        <w:ind w:right="180"/>
        <w:spacing w:after="0" w:line="243" w:lineRule="auto"/>
        <w:rPr>
          <w:sz w:val="20"/>
          <w:szCs w:val="20"/>
          <w:color w:val="auto"/>
        </w:rPr>
      </w:pPr>
      <w:r>
        <w:rPr>
          <w:rFonts w:ascii="Arial" w:cs="Arial" w:eastAsia="Arial" w:hAnsi="Arial"/>
          <w:sz w:val="16"/>
          <w:szCs w:val="16"/>
          <w:color w:val="3D3935"/>
        </w:rPr>
        <w:t>In 2024, three holders of 5 percent or more of the Company’s common stock (BlackRock, Inc., State Street, and The Vanguard Group) provided investment management services to Company-sponsored pension plans. In 2022, GM entered into a real estate contract for design studio space in the United Kingdom that is owned by a subsidiary of BlackRock. The contract value is under $5 million for the duration of the ten-yea r lease. In addition, in 2024, the Company approved the acquisition the minority equity interests in GM Cruise Holdings LLC, the Company’s wholly owned subsidiary, which included those held by BlackRock.</w:t>
      </w:r>
    </w:p>
    <w:p>
      <w:pPr>
        <w:sectPr>
          <w:pgSz w:w="11900" w:h="16874" w:orient="portrait"/>
          <w:cols w:equalWidth="0" w:num="1">
            <w:col w:w="9080"/>
          </w:cols>
          <w:pgMar w:left="1400" w:top="125" w:right="1419" w:bottom="0" w:gutter="0" w:footer="0" w:header="0"/>
        </w:sectPr>
      </w:pPr>
    </w:p>
    <w:bookmarkStart w:id="33" w:name="page34"/>
    <w:bookmarkEnd w:id="33"/>
    <w:p>
      <w:pPr>
        <w:ind w:right="220"/>
        <w:spacing w:after="0" w:line="242" w:lineRule="auto"/>
        <w:rPr>
          <w:sz w:val="20"/>
          <w:szCs w:val="20"/>
          <w:color w:val="auto"/>
        </w:rPr>
      </w:pPr>
      <w:r>
        <w:rPr>
          <w:rFonts w:ascii="Arial" w:cs="Arial" w:eastAsia="Arial" w:hAnsi="Arial"/>
          <w:sz w:val="16"/>
          <w:szCs w:val="16"/>
          <w:color w:val="3D3935"/>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16478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10375" cy="1647825"/>
                    </a:xfrm>
                    <a:prstGeom prst="rect">
                      <a:avLst/>
                    </a:prstGeom>
                    <a:noFill/>
                  </pic:spPr>
                </pic:pic>
              </a:graphicData>
            </a:graphic>
          </wp:anchor>
        </w:drawing>
        <w:t>The SEC has identified employment of immediate family members of directors and executive officers as per-se related party transactions and subject to disclosure if the $120,000 threshold is met. In 2024, the following immediate family members of executive officers were employed by General Motors or its subsidiaries and had total compensation in excess of $120,000: the daughter of Mark L. Reuss, our President, is employed by GM in the Marketing organization; and the son of</w:t>
      </w:r>
    </w:p>
    <w:p>
      <w:pPr>
        <w:spacing w:after="0" w:line="3" w:lineRule="exact"/>
        <w:rPr>
          <w:sz w:val="20"/>
          <w:szCs w:val="20"/>
          <w:color w:val="auto"/>
        </w:rPr>
      </w:pPr>
    </w:p>
    <w:p>
      <w:pPr>
        <w:ind w:right="380"/>
        <w:spacing w:after="0" w:line="247" w:lineRule="auto"/>
        <w:rPr>
          <w:sz w:val="20"/>
          <w:szCs w:val="20"/>
          <w:color w:val="auto"/>
        </w:rPr>
      </w:pPr>
      <w:r>
        <w:rPr>
          <w:rFonts w:ascii="Arial" w:cs="Arial" w:eastAsia="Arial" w:hAnsi="Arial"/>
          <w:sz w:val="16"/>
          <w:szCs w:val="16"/>
          <w:color w:val="3D3935"/>
        </w:rPr>
        <w:t>Craig B. Glidden, our former Strategic Advisor and former Executive Vice President, was employed by Cruise LLC, the Company’s wholly owned subsidiary. The compensation of these individuals was comparable to other employees at a similar level.</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87858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10375" cy="878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Corporate Governance</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3D3935"/>
        </w:rPr>
        <w:t>NEOs may be eligible to reimburse personal travel expenses pursuant to time-sharing agreements that the Company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enter into from time to time, subject to Federal Aviation Administration regulations. In 2024, pursuant to such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agreement, Mr. Reuss reimbursed the Company $160,000 for his personal use of corporate aircraft, including certain taxes.</w:t>
      </w:r>
    </w:p>
    <w:p>
      <w:pPr>
        <w:spacing w:after="0" w:line="32" w:lineRule="exact"/>
        <w:rPr>
          <w:sz w:val="20"/>
          <w:szCs w:val="20"/>
          <w:color w:val="auto"/>
        </w:rPr>
      </w:pPr>
    </w:p>
    <w:p>
      <w:pPr>
        <w:ind w:right="280"/>
        <w:spacing w:after="0" w:line="321" w:lineRule="auto"/>
        <w:rPr>
          <w:sz w:val="20"/>
          <w:szCs w:val="20"/>
          <w:color w:val="auto"/>
        </w:rPr>
      </w:pPr>
      <w:r>
        <w:rPr>
          <w:rFonts w:ascii="Arial" w:cs="Arial" w:eastAsia="Arial" w:hAnsi="Arial"/>
          <w:sz w:val="16"/>
          <w:szCs w:val="16"/>
          <w:color w:val="3D3935"/>
        </w:rPr>
        <w:t>For additional information about NEOs personal use of corporate aircraft, see page 60 under “Perquisites and Other Compensation” of this Proxy Statement.</w:t>
      </w:r>
    </w:p>
    <w:p>
      <w:pPr>
        <w:spacing w:after="0" w:line="41"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Compensation Committee Interlocks and Insider Participation</w:t>
      </w:r>
    </w:p>
    <w:p>
      <w:pPr>
        <w:spacing w:after="0" w:line="132" w:lineRule="exact"/>
        <w:rPr>
          <w:sz w:val="20"/>
          <w:szCs w:val="20"/>
          <w:color w:val="auto"/>
        </w:rPr>
      </w:pPr>
    </w:p>
    <w:p>
      <w:pPr>
        <w:ind w:right="260"/>
        <w:spacing w:after="0" w:line="295" w:lineRule="auto"/>
        <w:rPr>
          <w:sz w:val="20"/>
          <w:szCs w:val="20"/>
          <w:color w:val="auto"/>
        </w:rPr>
      </w:pPr>
      <w:r>
        <w:rPr>
          <w:rFonts w:ascii="Arial" w:cs="Arial" w:eastAsia="Arial" w:hAnsi="Arial"/>
          <w:sz w:val="16"/>
          <w:szCs w:val="16"/>
          <w:color w:val="3D3935"/>
        </w:rPr>
        <w:t>Ms. Russo and Messrs. Bush, Jimenez, and Wenig serve on the Compensation Committee. As of the date of this Proxy Statement, no member of the Compensation Committee was or is a GM officer or employee, and no executive officer of the Company served or serves on a compensation committee or board of any company that employed or employs any member of the Company’s Compensation Committee or Board.</w:t>
      </w:r>
    </w:p>
    <w:p>
      <w:pPr>
        <w:spacing w:after="0" w:line="74"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Insider Trading Oversight</w:t>
      </w:r>
    </w:p>
    <w:p>
      <w:pPr>
        <w:spacing w:after="0" w:line="119"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3D3935"/>
        </w:rPr>
        <w:t>As part of our commitment to sound corporate governance policies and practices, we have adopted our Insider Trading Policy and procedures governing the purchase, sale, and/or other dispositions of our securities by our directors, officers, employees, and designated contractors, as well as by the Company itself, that we believe are reasonably designed to promote compliance with insider trading laws, rules and regulations, and the exchange listing standards applicable to us.</w:t>
      </w:r>
    </w:p>
    <w:p>
      <w:pPr>
        <w:spacing w:after="0" w:line="2" w:lineRule="exact"/>
        <w:rPr>
          <w:sz w:val="20"/>
          <w:szCs w:val="20"/>
          <w:color w:val="auto"/>
        </w:rPr>
      </w:pPr>
    </w:p>
    <w:p>
      <w:pPr>
        <w:ind w:right="1140"/>
        <w:spacing w:after="0" w:line="321" w:lineRule="auto"/>
        <w:rPr>
          <w:sz w:val="20"/>
          <w:szCs w:val="20"/>
          <w:color w:val="auto"/>
        </w:rPr>
      </w:pPr>
      <w:r>
        <w:rPr>
          <w:rFonts w:ascii="Arial" w:cs="Arial" w:eastAsia="Arial" w:hAnsi="Arial"/>
          <w:sz w:val="16"/>
          <w:szCs w:val="16"/>
          <w:color w:val="3D3935"/>
        </w:rPr>
        <w:t>A copy of our Insider Trading Policy is filed as Exhibit 19 to our Annual Report on Form 10-K for the year ended December 31, 2024.</w:t>
      </w:r>
    </w:p>
    <w:p>
      <w:pPr>
        <w:sectPr>
          <w:pgSz w:w="11900" w:h="16838" w:orient="portrait"/>
          <w:cols w:equalWidth="0" w:num="1">
            <w:col w:w="9100"/>
          </w:cols>
          <w:pgMar w:left="1400" w:top="206" w:right="1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7000"/>
        <w:spacing w:after="0"/>
        <w:tabs>
          <w:tab w:leader="none" w:pos="8840" w:val="left"/>
        </w:tabs>
        <w:rPr>
          <w:sz w:val="20"/>
          <w:szCs w:val="20"/>
          <w:color w:val="auto"/>
        </w:rPr>
      </w:pPr>
      <w:r>
        <w:rPr>
          <w:rFonts w:ascii="Arial" w:cs="Arial" w:eastAsia="Arial" w:hAnsi="Arial"/>
          <w:sz w:val="14"/>
          <w:szCs w:val="14"/>
          <w:b w:val="1"/>
          <w:bCs w:val="1"/>
          <w:color w:val="0072CE"/>
        </w:rPr>
        <w:t>2025 Proxy Statement</w:t>
      </w:r>
      <w:r>
        <w:rPr>
          <w:sz w:val="20"/>
          <w:szCs w:val="20"/>
          <w:color w:val="auto"/>
        </w:rPr>
        <w:tab/>
      </w:r>
      <w:r>
        <w:rPr>
          <w:rFonts w:ascii="Arial" w:cs="Arial" w:eastAsia="Arial" w:hAnsi="Arial"/>
          <w:sz w:val="14"/>
          <w:szCs w:val="14"/>
          <w:b w:val="1"/>
          <w:bCs w:val="1"/>
          <w:color w:val="3D3935"/>
        </w:rPr>
        <w:t>33</w:t>
      </w:r>
    </w:p>
    <w:p>
      <w:pPr>
        <w:sectPr>
          <w:pgSz w:w="11900" w:h="16838" w:orient="portrait"/>
          <w:cols w:equalWidth="0" w:num="1">
            <w:col w:w="9100"/>
          </w:cols>
          <w:pgMar w:left="1400" w:top="206" w:right="1399" w:bottom="0" w:gutter="0" w:footer="0" w:header="0"/>
          <w:type w:val="continuous"/>
        </w:sectPr>
      </w:pPr>
    </w:p>
    <w:bookmarkStart w:id="34" w:name="page35"/>
    <w:bookmarkEnd w:id="34"/>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90201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10375" cy="9020175"/>
                    </a:xfrm>
                    <a:prstGeom prst="rect">
                      <a:avLst/>
                    </a:prstGeom>
                    <a:noFill/>
                  </pic:spPr>
                </pic:pic>
              </a:graphicData>
            </a:graphic>
          </wp:anchor>
        </w:drawing>
      </w:r>
    </w:p>
    <w:p>
      <w:pPr>
        <w:ind w:left="60"/>
        <w:spacing w:after="0"/>
        <w:rPr>
          <w:sz w:val="20"/>
          <w:szCs w:val="20"/>
          <w:color w:val="auto"/>
        </w:rPr>
      </w:pPr>
      <w:r>
        <w:rPr>
          <w:rFonts w:ascii="Arial" w:cs="Arial" w:eastAsia="Arial" w:hAnsi="Arial"/>
          <w:sz w:val="49"/>
          <w:szCs w:val="49"/>
          <w:b w:val="1"/>
          <w:bCs w:val="1"/>
          <w:color w:val="3D3935"/>
        </w:rPr>
        <w:t>Non-Employee Director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3D3935"/>
        </w:rPr>
        <w:t>Our non-employee directors receive cash compensation as well as equity compensation in the form of GM Deferred Share Units (“DSUs”) for their Board service under the Company’s Director Compensation Plan. Compensation for our non-employee directors is set annually by the Board at the recommendation of the Governance Committee.</w:t>
      </w:r>
    </w:p>
    <w:p>
      <w:pPr>
        <w:spacing w:after="0" w:line="58"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Guiding Principles</w:t>
      </w:r>
    </w:p>
    <w:p>
      <w:pPr>
        <w:spacing w:after="0" w:line="200" w:lineRule="exact"/>
        <w:rPr>
          <w:sz w:val="20"/>
          <w:szCs w:val="20"/>
          <w:color w:val="auto"/>
        </w:rPr>
      </w:pPr>
    </w:p>
    <w:p>
      <w:pPr>
        <w:spacing w:after="0" w:line="237" w:lineRule="exact"/>
        <w:rPr>
          <w:sz w:val="20"/>
          <w:szCs w:val="20"/>
          <w:color w:val="auto"/>
        </w:rPr>
      </w:pPr>
    </w:p>
    <w:p>
      <w:pPr>
        <w:ind w:left="420" w:hanging="189"/>
        <w:spacing w:after="0"/>
        <w:tabs>
          <w:tab w:leader="none" w:pos="420" w:val="left"/>
        </w:tabs>
        <w:numPr>
          <w:ilvl w:val="0"/>
          <w:numId w:val="61"/>
        </w:numPr>
        <w:rPr>
          <w:rFonts w:ascii="Arial" w:cs="Arial" w:eastAsia="Arial" w:hAnsi="Arial"/>
          <w:sz w:val="16"/>
          <w:szCs w:val="16"/>
          <w:color w:val="0072CE"/>
        </w:rPr>
      </w:pPr>
      <w:r>
        <w:rPr>
          <w:rFonts w:ascii="Arial" w:cs="Arial" w:eastAsia="Arial" w:hAnsi="Arial"/>
          <w:sz w:val="16"/>
          <w:szCs w:val="16"/>
          <w:color w:val="3D3935"/>
        </w:rPr>
        <w:t> Fairly compensate directors for their responsibilities and time commitments.</w:t>
      </w:r>
    </w:p>
    <w:p>
      <w:pPr>
        <w:spacing w:after="0" w:line="86" w:lineRule="exact"/>
        <w:rPr>
          <w:rFonts w:ascii="Arial" w:cs="Arial" w:eastAsia="Arial" w:hAnsi="Arial"/>
          <w:sz w:val="16"/>
          <w:szCs w:val="16"/>
          <w:color w:val="0072CE"/>
        </w:rPr>
      </w:pPr>
    </w:p>
    <w:p>
      <w:pPr>
        <w:ind w:left="420" w:right="1300" w:hanging="189"/>
        <w:spacing w:after="0" w:line="316" w:lineRule="auto"/>
        <w:tabs>
          <w:tab w:leader="none" w:pos="420" w:val="left"/>
        </w:tabs>
        <w:numPr>
          <w:ilvl w:val="0"/>
          <w:numId w:val="61"/>
        </w:numPr>
        <w:rPr>
          <w:rFonts w:ascii="Arial" w:cs="Arial" w:eastAsia="Arial" w:hAnsi="Arial"/>
          <w:sz w:val="16"/>
          <w:szCs w:val="16"/>
          <w:color w:val="0072CE"/>
        </w:rPr>
      </w:pPr>
      <w:r>
        <w:rPr>
          <w:rFonts w:ascii="Arial" w:cs="Arial" w:eastAsia="Arial" w:hAnsi="Arial"/>
          <w:sz w:val="16"/>
          <w:szCs w:val="16"/>
          <w:color w:val="3D3935"/>
        </w:rPr>
        <w:t>Attract and retain highly qualified directors by offering a compensation program consistent with those at companies of similar size, scope, and complexity.</w:t>
      </w:r>
    </w:p>
    <w:p>
      <w:pPr>
        <w:spacing w:after="0" w:line="1" w:lineRule="exact"/>
        <w:rPr>
          <w:rFonts w:ascii="Arial" w:cs="Arial" w:eastAsia="Arial" w:hAnsi="Arial"/>
          <w:sz w:val="16"/>
          <w:szCs w:val="16"/>
          <w:color w:val="0072CE"/>
        </w:rPr>
      </w:pPr>
    </w:p>
    <w:p>
      <w:pPr>
        <w:ind w:left="420" w:right="700" w:hanging="189"/>
        <w:spacing w:after="0" w:line="301" w:lineRule="auto"/>
        <w:tabs>
          <w:tab w:leader="none" w:pos="420" w:val="left"/>
        </w:tabs>
        <w:numPr>
          <w:ilvl w:val="0"/>
          <w:numId w:val="61"/>
        </w:numPr>
        <w:rPr>
          <w:rFonts w:ascii="Arial" w:cs="Arial" w:eastAsia="Arial" w:hAnsi="Arial"/>
          <w:sz w:val="16"/>
          <w:szCs w:val="16"/>
          <w:color w:val="0072CE"/>
        </w:rPr>
      </w:pPr>
      <w:r>
        <w:rPr>
          <w:rFonts w:ascii="Arial" w:cs="Arial" w:eastAsia="Arial" w:hAnsi="Arial"/>
          <w:sz w:val="16"/>
          <w:szCs w:val="16"/>
          <w:color w:val="3D3935"/>
        </w:rPr>
        <w:t>Align the interests of directors with our shareholders by providing a significant portion of compensation in equity and requiring directors to continue to own our common stock (or common stock equivalents) throughout their tenure on the Board.</w:t>
      </w:r>
    </w:p>
    <w:p>
      <w:pPr>
        <w:spacing w:after="0" w:line="9" w:lineRule="exact"/>
        <w:rPr>
          <w:rFonts w:ascii="Arial" w:cs="Arial" w:eastAsia="Arial" w:hAnsi="Arial"/>
          <w:sz w:val="16"/>
          <w:szCs w:val="16"/>
          <w:color w:val="0072CE"/>
        </w:rPr>
      </w:pPr>
    </w:p>
    <w:p>
      <w:pPr>
        <w:ind w:left="420" w:hanging="189"/>
        <w:spacing w:after="0"/>
        <w:tabs>
          <w:tab w:leader="none" w:pos="420" w:val="left"/>
        </w:tabs>
        <w:numPr>
          <w:ilvl w:val="0"/>
          <w:numId w:val="61"/>
        </w:numPr>
        <w:rPr>
          <w:rFonts w:ascii="Arial" w:cs="Arial" w:eastAsia="Arial" w:hAnsi="Arial"/>
          <w:sz w:val="16"/>
          <w:szCs w:val="16"/>
          <w:color w:val="0072CE"/>
        </w:rPr>
      </w:pPr>
      <w:r>
        <w:rPr>
          <w:rFonts w:ascii="Arial" w:cs="Arial" w:eastAsia="Arial" w:hAnsi="Arial"/>
          <w:sz w:val="16"/>
          <w:szCs w:val="16"/>
          <w:color w:val="3D3935"/>
        </w:rPr>
        <w:t>Provide compensation that is simple and transparent to shareholders.</w:t>
      </w:r>
    </w:p>
    <w:p>
      <w:pPr>
        <w:spacing w:after="0" w:line="377"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Annual Review Process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3D3935"/>
        </w:rPr>
        <w:t>The Governance Committee annually assesses the form and amount of non-employee director compensation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recommends changes, if appropriate, to the Board. As part of its annual review in 2024, the Governance Committee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benchmarked the current compensation structure against the executive compensation peer group described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“Peer Group for Compensation Benchmarking” section of this Proxy Statement. Based on this review,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Governance Committee recommended, and the Board approved, maintaining the current level of compensation and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ownership requirements for 2025.</w:t>
      </w:r>
    </w:p>
    <w:p>
      <w:pPr>
        <w:spacing w:after="0" w:line="167" w:lineRule="exact"/>
        <w:rPr>
          <w:sz w:val="20"/>
          <w:szCs w:val="20"/>
          <w:color w:val="auto"/>
        </w:rPr>
      </w:pPr>
    </w:p>
    <w:p>
      <w:pPr>
        <w:ind w:right="700"/>
        <w:spacing w:after="0" w:line="321" w:lineRule="auto"/>
        <w:rPr>
          <w:sz w:val="20"/>
          <w:szCs w:val="20"/>
          <w:color w:val="auto"/>
        </w:rPr>
      </w:pPr>
      <w:r>
        <w:rPr>
          <w:rFonts w:ascii="Arial" w:cs="Arial" w:eastAsia="Arial" w:hAnsi="Arial"/>
          <w:sz w:val="16"/>
          <w:szCs w:val="16"/>
          <w:color w:val="3D3935"/>
        </w:rPr>
        <w:t>Non-employee director compensation for 2024 is set forth in detail below. The Board believes this structure aligns the non-employee director compensation program with shareholder interests through greater stock ownership.</w:t>
      </w:r>
    </w:p>
    <w:p>
      <w:pPr>
        <w:spacing w:after="0" w:line="55"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Annual Compensation</w:t>
      </w:r>
    </w:p>
    <w:p>
      <w:pPr>
        <w:spacing w:after="0" w:line="132"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3D3935"/>
        </w:rPr>
        <w:t>The 2024 and 2025 compensation for non-employee directors is described in the table below. The Independent Lead Director and committee chairs receive additional compensation due to the increased workload and additional responsibilities associated with these positions. In particular, Ms. Russo’s compensation as Independent Lead Director reflects the additional time commitment for this role, which includes, among other responsibilities, attending all committee meetings and attending meetings with the Company’s CEO. For additional information about the roles and responsibilities of our Independent Lead Director, see “The Role of the Independent Lead Director” on page 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shd w:val="clear" w:color="auto" w:fill="F0F3F6"/>
          </w:tcPr>
          <w:p>
            <w:pPr>
              <w:spacing w:after="0"/>
              <w:rPr>
                <w:sz w:val="20"/>
                <w:szCs w:val="20"/>
                <w:color w:val="auto"/>
              </w:rPr>
            </w:pPr>
          </w:p>
        </w:tc>
        <w:tc>
          <w:tcPr>
            <w:tcW w:w="1980" w:type="dxa"/>
            <w:vAlign w:val="bottom"/>
            <w:shd w:val="clear" w:color="auto" w:fill="F0F3F6"/>
          </w:tcPr>
          <w:p>
            <w:pPr>
              <w:jc w:val="right"/>
              <w:ind w:right="163"/>
              <w:spacing w:after="0"/>
              <w:rPr>
                <w:sz w:val="20"/>
                <w:szCs w:val="20"/>
                <w:color w:val="auto"/>
              </w:rPr>
            </w:pPr>
            <w:r>
              <w:rPr>
                <w:rFonts w:ascii="Arial" w:cs="Arial" w:eastAsia="Arial" w:hAnsi="Arial"/>
                <w:sz w:val="14"/>
                <w:szCs w:val="14"/>
                <w:b w:val="1"/>
                <w:bCs w:val="1"/>
                <w:color w:val="3D3935"/>
              </w:rPr>
              <w:t>2024</w:t>
            </w:r>
          </w:p>
        </w:tc>
        <w:tc>
          <w:tcPr>
            <w:tcW w:w="940" w:type="dxa"/>
            <w:vAlign w:val="bottom"/>
            <w:shd w:val="clear" w:color="auto" w:fill="F0F3F6"/>
          </w:tcPr>
          <w:p>
            <w:pPr>
              <w:jc w:val="right"/>
              <w:ind w:right="3"/>
              <w:spacing w:after="0"/>
              <w:rPr>
                <w:sz w:val="20"/>
                <w:szCs w:val="20"/>
                <w:color w:val="auto"/>
              </w:rPr>
            </w:pPr>
            <w:r>
              <w:rPr>
                <w:rFonts w:ascii="Arial" w:cs="Arial" w:eastAsia="Arial" w:hAnsi="Arial"/>
                <w:sz w:val="14"/>
                <w:szCs w:val="14"/>
                <w:b w:val="1"/>
                <w:bCs w:val="1"/>
                <w:color w:val="3D3935"/>
              </w:rPr>
              <w:t>2025</w:t>
            </w:r>
          </w:p>
        </w:tc>
      </w:tr>
      <w:tr>
        <w:trPr>
          <w:trHeight w:val="175"/>
        </w:trPr>
        <w:tc>
          <w:tcPr>
            <w:tcW w:w="6160" w:type="dxa"/>
            <w:vAlign w:val="bottom"/>
            <w:shd w:val="clear" w:color="auto" w:fill="F0F3F6"/>
          </w:tcPr>
          <w:p>
            <w:pPr>
              <w:spacing w:after="0"/>
              <w:rPr>
                <w:sz w:val="15"/>
                <w:szCs w:val="15"/>
                <w:color w:val="auto"/>
              </w:rPr>
            </w:pPr>
          </w:p>
        </w:tc>
        <w:tc>
          <w:tcPr>
            <w:tcW w:w="1980" w:type="dxa"/>
            <w:vAlign w:val="bottom"/>
            <w:shd w:val="clear" w:color="auto" w:fill="F0F3F6"/>
          </w:tcPr>
          <w:p>
            <w:pPr>
              <w:jc w:val="right"/>
              <w:ind w:right="123"/>
              <w:spacing w:after="0"/>
              <w:rPr>
                <w:sz w:val="20"/>
                <w:szCs w:val="20"/>
                <w:color w:val="auto"/>
              </w:rPr>
            </w:pPr>
            <w:r>
              <w:rPr>
                <w:rFonts w:ascii="Arial" w:cs="Arial" w:eastAsia="Arial" w:hAnsi="Arial"/>
                <w:sz w:val="14"/>
                <w:szCs w:val="14"/>
                <w:b w:val="1"/>
                <w:bCs w:val="1"/>
                <w:color w:val="3D3935"/>
              </w:rPr>
              <w:t>Structure</w:t>
            </w:r>
          </w:p>
        </w:tc>
        <w:tc>
          <w:tcPr>
            <w:tcW w:w="940" w:type="dxa"/>
            <w:vAlign w:val="bottom"/>
            <w:shd w:val="clear" w:color="auto" w:fill="F0F3F6"/>
          </w:tcPr>
          <w:p>
            <w:pPr>
              <w:jc w:val="right"/>
              <w:spacing w:after="0"/>
              <w:rPr>
                <w:sz w:val="20"/>
                <w:szCs w:val="20"/>
                <w:color w:val="auto"/>
              </w:rPr>
            </w:pPr>
            <w:r>
              <w:rPr>
                <w:rFonts w:ascii="Arial" w:cs="Arial" w:eastAsia="Arial" w:hAnsi="Arial"/>
                <w:sz w:val="14"/>
                <w:szCs w:val="14"/>
                <w:b w:val="1"/>
                <w:bCs w:val="1"/>
                <w:color w:val="3D3935"/>
              </w:rPr>
              <w:t>Structure</w:t>
            </w:r>
          </w:p>
        </w:tc>
      </w:tr>
      <w:tr>
        <w:trPr>
          <w:trHeight w:val="185"/>
        </w:trPr>
        <w:tc>
          <w:tcPr>
            <w:tcW w:w="6160" w:type="dxa"/>
            <w:vAlign w:val="bottom"/>
            <w:tcBorders>
              <w:bottom w:val="single" w:sz="8" w:color="0072CE"/>
            </w:tcBorders>
            <w:shd w:val="clear" w:color="auto" w:fill="F0F3F6"/>
          </w:tcPr>
          <w:p>
            <w:pPr>
              <w:ind w:left="60"/>
              <w:spacing w:after="0"/>
              <w:rPr>
                <w:sz w:val="20"/>
                <w:szCs w:val="20"/>
                <w:color w:val="auto"/>
              </w:rPr>
            </w:pPr>
            <w:r>
              <w:rPr>
                <w:rFonts w:ascii="Arial" w:cs="Arial" w:eastAsia="Arial" w:hAnsi="Arial"/>
                <w:sz w:val="14"/>
                <w:szCs w:val="14"/>
                <w:b w:val="1"/>
                <w:bCs w:val="1"/>
                <w:color w:val="3D3935"/>
              </w:rPr>
              <w:t>Compensation Element</w:t>
            </w:r>
          </w:p>
        </w:tc>
        <w:tc>
          <w:tcPr>
            <w:tcW w:w="1980" w:type="dxa"/>
            <w:vAlign w:val="bottom"/>
            <w:tcBorders>
              <w:bottom w:val="single" w:sz="8" w:color="0072CE"/>
            </w:tcBorders>
            <w:shd w:val="clear" w:color="auto" w:fill="F0F3F6"/>
          </w:tcPr>
          <w:p>
            <w:pPr>
              <w:jc w:val="right"/>
              <w:ind w:right="123"/>
              <w:spacing w:after="0"/>
              <w:rPr>
                <w:sz w:val="20"/>
                <w:szCs w:val="20"/>
                <w:color w:val="auto"/>
              </w:rPr>
            </w:pPr>
            <w:r>
              <w:rPr>
                <w:rFonts w:ascii="Arial" w:cs="Arial" w:eastAsia="Arial" w:hAnsi="Arial"/>
                <w:sz w:val="14"/>
                <w:szCs w:val="14"/>
                <w:b w:val="1"/>
                <w:bCs w:val="1"/>
                <w:color w:val="3D3935"/>
              </w:rPr>
              <w:t>($)</w:t>
            </w:r>
          </w:p>
        </w:tc>
        <w:tc>
          <w:tcPr>
            <w:tcW w:w="940" w:type="dxa"/>
            <w:vAlign w:val="bottom"/>
            <w:tcBorders>
              <w:bottom w:val="single" w:sz="8" w:color="0072CE"/>
            </w:tcBorders>
            <w:shd w:val="clear" w:color="auto" w:fill="F0F3F6"/>
          </w:tcPr>
          <w:p>
            <w:pPr>
              <w:jc w:val="right"/>
              <w:spacing w:after="0"/>
              <w:rPr>
                <w:sz w:val="20"/>
                <w:szCs w:val="20"/>
                <w:color w:val="auto"/>
              </w:rPr>
            </w:pPr>
            <w:r>
              <w:rPr>
                <w:rFonts w:ascii="Arial" w:cs="Arial" w:eastAsia="Arial" w:hAnsi="Arial"/>
                <w:sz w:val="14"/>
                <w:szCs w:val="14"/>
                <w:b w:val="1"/>
                <w:bCs w:val="1"/>
                <w:color w:val="3D3935"/>
              </w:rPr>
              <w:t>($)</w:t>
            </w:r>
          </w:p>
        </w:tc>
      </w:tr>
      <w:tr>
        <w:trPr>
          <w:trHeight w:val="249"/>
        </w:trPr>
        <w:tc>
          <w:tcPr>
            <w:tcW w:w="616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Board Retainer</w:t>
            </w:r>
          </w:p>
        </w:tc>
        <w:tc>
          <w:tcPr>
            <w:tcW w:w="1980" w:type="dxa"/>
            <w:vAlign w:val="bottom"/>
            <w:tcBorders>
              <w:bottom w:val="single" w:sz="8" w:color="D9D9D6"/>
            </w:tcBorders>
          </w:tcPr>
          <w:p>
            <w:pPr>
              <w:jc w:val="right"/>
              <w:ind w:right="203"/>
              <w:spacing w:after="0"/>
              <w:rPr>
                <w:sz w:val="20"/>
                <w:szCs w:val="20"/>
                <w:color w:val="auto"/>
              </w:rPr>
            </w:pPr>
            <w:r>
              <w:rPr>
                <w:rFonts w:ascii="Arial" w:cs="Arial" w:eastAsia="Arial" w:hAnsi="Arial"/>
                <w:sz w:val="16"/>
                <w:szCs w:val="16"/>
                <w:color w:val="3D3935"/>
              </w:rPr>
              <w:t>325,000</w:t>
            </w:r>
          </w:p>
        </w:tc>
        <w:tc>
          <w:tcPr>
            <w:tcW w:w="940" w:type="dxa"/>
            <w:vAlign w:val="bottom"/>
            <w:tcBorders>
              <w:bottom w:val="single" w:sz="8" w:color="D9D9D6"/>
            </w:tcBorders>
          </w:tcPr>
          <w:p>
            <w:pPr>
              <w:jc w:val="right"/>
              <w:ind w:right="63"/>
              <w:spacing w:after="0"/>
              <w:rPr>
                <w:sz w:val="20"/>
                <w:szCs w:val="20"/>
                <w:color w:val="auto"/>
              </w:rPr>
            </w:pPr>
            <w:r>
              <w:rPr>
                <w:rFonts w:ascii="Arial" w:cs="Arial" w:eastAsia="Arial" w:hAnsi="Arial"/>
                <w:sz w:val="16"/>
                <w:szCs w:val="16"/>
                <w:color w:val="3D3935"/>
              </w:rPr>
              <w:t>325,000</w:t>
            </w:r>
          </w:p>
        </w:tc>
      </w:tr>
      <w:tr>
        <w:trPr>
          <w:trHeight w:val="250"/>
        </w:trPr>
        <w:tc>
          <w:tcPr>
            <w:tcW w:w="616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Independent Lead Director Fee</w:t>
            </w:r>
          </w:p>
        </w:tc>
        <w:tc>
          <w:tcPr>
            <w:tcW w:w="1980" w:type="dxa"/>
            <w:vAlign w:val="bottom"/>
            <w:tcBorders>
              <w:bottom w:val="single" w:sz="8" w:color="D9D9D6"/>
            </w:tcBorders>
          </w:tcPr>
          <w:p>
            <w:pPr>
              <w:jc w:val="right"/>
              <w:ind w:right="183"/>
              <w:spacing w:after="0"/>
              <w:rPr>
                <w:sz w:val="20"/>
                <w:szCs w:val="20"/>
                <w:color w:val="auto"/>
              </w:rPr>
            </w:pPr>
            <w:r>
              <w:rPr>
                <w:rFonts w:ascii="Arial" w:cs="Arial" w:eastAsia="Arial" w:hAnsi="Arial"/>
                <w:sz w:val="16"/>
                <w:szCs w:val="16"/>
                <w:color w:val="3D3935"/>
              </w:rPr>
              <w:t>100,000</w:t>
            </w:r>
          </w:p>
        </w:tc>
        <w:tc>
          <w:tcPr>
            <w:tcW w:w="940" w:type="dxa"/>
            <w:vAlign w:val="bottom"/>
            <w:tcBorders>
              <w:bottom w:val="single" w:sz="8" w:color="D9D9D6"/>
            </w:tcBorders>
          </w:tcPr>
          <w:p>
            <w:pPr>
              <w:jc w:val="right"/>
              <w:ind w:right="43"/>
              <w:spacing w:after="0"/>
              <w:rPr>
                <w:sz w:val="20"/>
                <w:szCs w:val="20"/>
                <w:color w:val="auto"/>
              </w:rPr>
            </w:pPr>
            <w:r>
              <w:rPr>
                <w:rFonts w:ascii="Arial" w:cs="Arial" w:eastAsia="Arial" w:hAnsi="Arial"/>
                <w:sz w:val="16"/>
                <w:szCs w:val="16"/>
                <w:color w:val="3D3935"/>
              </w:rPr>
              <w:t>100,000</w:t>
            </w:r>
          </w:p>
        </w:tc>
      </w:tr>
      <w:tr>
        <w:trPr>
          <w:trHeight w:val="250"/>
        </w:trPr>
        <w:tc>
          <w:tcPr>
            <w:tcW w:w="616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Audit Committee Chair Fee</w:t>
            </w:r>
          </w:p>
        </w:tc>
        <w:tc>
          <w:tcPr>
            <w:tcW w:w="1980" w:type="dxa"/>
            <w:vAlign w:val="bottom"/>
            <w:tcBorders>
              <w:bottom w:val="single" w:sz="8" w:color="D9D9D6"/>
            </w:tcBorders>
          </w:tcPr>
          <w:p>
            <w:pPr>
              <w:jc w:val="right"/>
              <w:ind w:right="183"/>
              <w:spacing w:after="0"/>
              <w:rPr>
                <w:sz w:val="20"/>
                <w:szCs w:val="20"/>
                <w:color w:val="auto"/>
              </w:rPr>
            </w:pPr>
            <w:r>
              <w:rPr>
                <w:rFonts w:ascii="Arial" w:cs="Arial" w:eastAsia="Arial" w:hAnsi="Arial"/>
                <w:sz w:val="16"/>
                <w:szCs w:val="16"/>
                <w:color w:val="3D3935"/>
              </w:rPr>
              <w:t>35,000</w:t>
            </w:r>
          </w:p>
        </w:tc>
        <w:tc>
          <w:tcPr>
            <w:tcW w:w="940" w:type="dxa"/>
            <w:vAlign w:val="bottom"/>
            <w:tcBorders>
              <w:bottom w:val="single" w:sz="8" w:color="D9D9D6"/>
            </w:tcBorders>
          </w:tcPr>
          <w:p>
            <w:pPr>
              <w:jc w:val="right"/>
              <w:ind w:right="43"/>
              <w:spacing w:after="0"/>
              <w:rPr>
                <w:sz w:val="20"/>
                <w:szCs w:val="20"/>
                <w:color w:val="auto"/>
              </w:rPr>
            </w:pPr>
            <w:r>
              <w:rPr>
                <w:rFonts w:ascii="Arial" w:cs="Arial" w:eastAsia="Arial" w:hAnsi="Arial"/>
                <w:sz w:val="16"/>
                <w:szCs w:val="16"/>
                <w:color w:val="3D3935"/>
              </w:rPr>
              <w:t>35,000</w:t>
            </w:r>
          </w:p>
        </w:tc>
      </w:tr>
      <w:tr>
        <w:trPr>
          <w:trHeight w:val="250"/>
        </w:trPr>
        <w:tc>
          <w:tcPr>
            <w:tcW w:w="6160" w:type="dxa"/>
            <w:vAlign w:val="bottom"/>
            <w:tcBorders>
              <w:bottom w:val="single" w:sz="8" w:color="0072CE"/>
            </w:tcBorders>
          </w:tcPr>
          <w:p>
            <w:pPr>
              <w:ind w:left="60"/>
              <w:spacing w:after="0"/>
              <w:rPr>
                <w:sz w:val="20"/>
                <w:szCs w:val="20"/>
                <w:color w:val="auto"/>
              </w:rPr>
            </w:pPr>
            <w:r>
              <w:rPr>
                <w:rFonts w:ascii="Arial" w:cs="Arial" w:eastAsia="Arial" w:hAnsi="Arial"/>
                <w:sz w:val="16"/>
                <w:szCs w:val="16"/>
                <w:color w:val="3D3935"/>
              </w:rPr>
              <w:t>All Other Committee Chair Fees (excluding the Executive Committee)</w:t>
            </w:r>
          </w:p>
        </w:tc>
        <w:tc>
          <w:tcPr>
            <w:tcW w:w="1980" w:type="dxa"/>
            <w:vAlign w:val="bottom"/>
            <w:tcBorders>
              <w:bottom w:val="single" w:sz="8" w:color="0072CE"/>
            </w:tcBorders>
          </w:tcPr>
          <w:p>
            <w:pPr>
              <w:jc w:val="right"/>
              <w:ind w:right="183"/>
              <w:spacing w:after="0"/>
              <w:rPr>
                <w:sz w:val="20"/>
                <w:szCs w:val="20"/>
                <w:color w:val="auto"/>
              </w:rPr>
            </w:pPr>
            <w:r>
              <w:rPr>
                <w:rFonts w:ascii="Arial" w:cs="Arial" w:eastAsia="Arial" w:hAnsi="Arial"/>
                <w:sz w:val="16"/>
                <w:szCs w:val="16"/>
                <w:color w:val="3D3935"/>
              </w:rPr>
              <w:t>25,000</w:t>
            </w:r>
          </w:p>
        </w:tc>
        <w:tc>
          <w:tcPr>
            <w:tcW w:w="940" w:type="dxa"/>
            <w:vAlign w:val="bottom"/>
            <w:tcBorders>
              <w:bottom w:val="single" w:sz="8" w:color="0072CE"/>
            </w:tcBorders>
          </w:tcPr>
          <w:p>
            <w:pPr>
              <w:jc w:val="right"/>
              <w:ind w:right="43"/>
              <w:spacing w:after="0"/>
              <w:rPr>
                <w:sz w:val="20"/>
                <w:szCs w:val="20"/>
                <w:color w:val="auto"/>
              </w:rPr>
            </w:pPr>
            <w:r>
              <w:rPr>
                <w:rFonts w:ascii="Arial" w:cs="Arial" w:eastAsia="Arial" w:hAnsi="Arial"/>
                <w:sz w:val="16"/>
                <w:szCs w:val="16"/>
                <w:color w:val="3D3935"/>
              </w:rPr>
              <w:t>25,000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1413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10375" cy="141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Non-Employee Director Compensation</w:t>
      </w:r>
    </w:p>
    <w:p>
      <w:pPr>
        <w:spacing w:after="0" w:line="200" w:lineRule="exact"/>
        <w:rPr>
          <w:sz w:val="20"/>
          <w:szCs w:val="20"/>
          <w:color w:val="auto"/>
        </w:rPr>
      </w:pPr>
    </w:p>
    <w:p>
      <w:pPr>
        <w:spacing w:after="0" w:line="377" w:lineRule="exact"/>
        <w:rPr>
          <w:sz w:val="20"/>
          <w:szCs w:val="20"/>
          <w:color w:val="auto"/>
        </w:rPr>
      </w:pPr>
    </w:p>
    <w:p>
      <w:pPr>
        <w:ind w:right="260"/>
        <w:spacing w:after="0" w:line="295" w:lineRule="auto"/>
        <w:rPr>
          <w:sz w:val="20"/>
          <w:szCs w:val="20"/>
          <w:color w:val="auto"/>
        </w:rPr>
      </w:pPr>
      <w:r>
        <w:rPr>
          <w:rFonts w:ascii="Arial" w:cs="Arial" w:eastAsia="Arial" w:hAnsi="Arial"/>
          <w:sz w:val="16"/>
          <w:szCs w:val="16"/>
          <w:color w:val="3D3935"/>
        </w:rPr>
        <w:t>Non-employee directors are required to defer at least 60 percent of their annual Board retainer into DSUs under the Director Compensation Plan. Directors may elect to defer their remaining Board retainer or amounts payable (if any) for serving as a committee chair or Independent Lead Director into additional DSUs. The fees for a director who joins or leaves the Board or assumes additional responsibilities during the year are prorated for the director’s period of service.</w:t>
      </w:r>
    </w:p>
    <w:p>
      <w:pPr>
        <w:sectPr>
          <w:pgSz w:w="11900" w:h="16838" w:orient="portrait"/>
          <w:cols w:equalWidth="0" w:num="1">
            <w:col w:w="9100"/>
          </w:cols>
          <w:pgMar w:left="1400" w:top="1440" w:right="1399" w:bottom="0" w:gutter="0" w:footer="0" w:header="0"/>
        </w:sectPr>
      </w:pPr>
    </w:p>
    <w:bookmarkStart w:id="35" w:name="page36"/>
    <w:bookmarkEnd w:id="35"/>
    <w:p>
      <w:pPr>
        <w:spacing w:after="0"/>
        <w:rPr>
          <w:sz w:val="20"/>
          <w:szCs w:val="20"/>
          <w:color w:val="auto"/>
        </w:rPr>
      </w:pPr>
      <w:r>
        <w:rPr>
          <w:rFonts w:ascii="Arial" w:cs="Arial" w:eastAsia="Arial" w:hAnsi="Arial"/>
          <w:sz w:val="29"/>
          <w:szCs w:val="29"/>
          <w:b w:val="1"/>
          <w:bCs w:val="1"/>
          <w:color w:val="3D3935"/>
        </w:rPr>
        <w:t>How Deferred Share Units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-172720</wp:posOffset>
            </wp:positionV>
            <wp:extent cx="6810375" cy="74428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10375" cy="7442835"/>
                    </a:xfrm>
                    <a:prstGeom prst="rect">
                      <a:avLst/>
                    </a:prstGeom>
                    <a:noFill/>
                  </pic:spPr>
                </pic:pic>
              </a:graphicData>
            </a:graphic>
          </wp:anchor>
        </w:drawing>
      </w:r>
    </w:p>
    <w:p>
      <w:pPr>
        <w:spacing w:after="0" w:line="32" w:lineRule="exact"/>
        <w:rPr>
          <w:sz w:val="20"/>
          <w:szCs w:val="20"/>
          <w:color w:val="auto"/>
        </w:rPr>
      </w:pPr>
    </w:p>
    <w:p>
      <w:pPr>
        <w:ind w:right="119"/>
        <w:spacing w:after="0" w:line="284" w:lineRule="auto"/>
        <w:rPr>
          <w:sz w:val="20"/>
          <w:szCs w:val="20"/>
          <w:color w:val="auto"/>
        </w:rPr>
      </w:pPr>
      <w:r>
        <w:rPr>
          <w:rFonts w:ascii="Arial" w:cs="Arial" w:eastAsia="Arial" w:hAnsi="Arial"/>
          <w:sz w:val="16"/>
          <w:szCs w:val="16"/>
          <w:color w:val="3D3935"/>
        </w:rPr>
        <w:t>Each DSU is equal in value to one share of GM common stock and is fully vested upon grant but does not have voting rights. DSUs will not be available for disposition until after the director leaves the Board. After leaving the Board, the director will receive a cash payment or payments based on the number of DSUs in the director’s account valued at the average daily closing market price for the quarter immediately preceding payment. Directors will be paid in a lump sum or in annual installments for up to five years, based on their deferral elections. All DSUs granted are rounded up to the nearest whole unit. Any portion of the retainer that is deferred into DSUs may also earn dividend equivalents, which are credited at the end of each calendar year to each director’s account in the form of additional DSUs. DSUs granted are determined as follows:</w:t>
      </w:r>
    </w:p>
    <w:p>
      <w:pPr>
        <w:sectPr>
          <w:pgSz w:w="11900" w:h="16838" w:orient="portrait"/>
          <w:cols w:equalWidth="0" w:num="1">
            <w:col w:w="9059"/>
          </w:cols>
          <w:pgMar w:left="1400" w:top="80" w:right="1440" w:bottom="0" w:gutter="0" w:footer="0" w:header="0"/>
        </w:sectPr>
      </w:pPr>
    </w:p>
    <w:p>
      <w:pPr>
        <w:spacing w:after="0" w:line="196" w:lineRule="exact"/>
        <w:rPr>
          <w:sz w:val="20"/>
          <w:szCs w:val="20"/>
          <w:color w:val="auto"/>
        </w:rPr>
      </w:pPr>
    </w:p>
    <w:tbl>
      <w:tblPr>
        <w:tblLayout w:type="fixed"/>
        <w:tblInd w:w="240" w:type="dxa"/>
        <w:tblCellMar>
          <w:top w:w="0" w:type="dxa"/>
          <w:left w:w="0" w:type="dxa"/>
          <w:bottom w:w="0" w:type="dxa"/>
          <w:right w:w="0" w:type="dxa"/>
        </w:tblCellMar>
      </w:tblPr>
      <w:tr>
        <w:trPr>
          <w:trHeight w:val="363"/>
        </w:trPr>
        <w:tc>
          <w:tcPr>
            <w:tcW w:w="1860" w:type="dxa"/>
            <w:vAlign w:val="bottom"/>
          </w:tcPr>
          <w:p>
            <w:pPr>
              <w:spacing w:after="0"/>
              <w:rPr>
                <w:sz w:val="20"/>
                <w:szCs w:val="20"/>
                <w:color w:val="auto"/>
              </w:rPr>
            </w:pPr>
            <w:r>
              <w:rPr>
                <w:rFonts w:ascii="Arial" w:cs="Arial" w:eastAsia="Arial" w:hAnsi="Arial"/>
                <w:sz w:val="16"/>
                <w:szCs w:val="16"/>
                <w:color w:val="3D3935"/>
              </w:rPr>
              <w:t>Amount of</w:t>
            </w:r>
          </w:p>
        </w:tc>
        <w:tc>
          <w:tcPr>
            <w:tcW w:w="1960" w:type="dxa"/>
            <w:vAlign w:val="bottom"/>
          </w:tcPr>
          <w:p>
            <w:pPr>
              <w:spacing w:after="0"/>
              <w:rPr>
                <w:sz w:val="24"/>
                <w:szCs w:val="24"/>
                <w:color w:val="auto"/>
              </w:rPr>
            </w:pPr>
          </w:p>
        </w:tc>
        <w:tc>
          <w:tcPr>
            <w:tcW w:w="200" w:type="dxa"/>
            <w:vAlign w:val="bottom"/>
            <w:tcBorders>
              <w:top w:val="single" w:sz="8" w:color="D9D9D6"/>
              <w:right w:val="single" w:sz="8" w:color="D9D9D6"/>
            </w:tcBorders>
          </w:tcPr>
          <w:p>
            <w:pPr>
              <w:spacing w:after="0"/>
              <w:rPr>
                <w:sz w:val="24"/>
                <w:szCs w:val="24"/>
                <w:color w:val="auto"/>
              </w:rPr>
            </w:pPr>
          </w:p>
        </w:tc>
        <w:tc>
          <w:tcPr>
            <w:tcW w:w="2040" w:type="dxa"/>
            <w:vAlign w:val="bottom"/>
            <w:vMerge w:val="restart"/>
          </w:tcPr>
          <w:p>
            <w:pPr>
              <w:ind w:left="760"/>
              <w:spacing w:after="0"/>
              <w:rPr>
                <w:sz w:val="20"/>
                <w:szCs w:val="20"/>
                <w:color w:val="auto"/>
              </w:rPr>
            </w:pPr>
            <w:r>
              <w:rPr>
                <w:rFonts w:ascii="Arial" w:cs="Arial" w:eastAsia="Arial" w:hAnsi="Arial"/>
                <w:sz w:val="16"/>
                <w:szCs w:val="16"/>
                <w:color w:val="3D3935"/>
              </w:rPr>
              <w:t>Average daily</w:t>
            </w:r>
          </w:p>
        </w:tc>
        <w:tc>
          <w:tcPr>
            <w:tcW w:w="0" w:type="dxa"/>
            <w:vAlign w:val="bottom"/>
          </w:tcPr>
          <w:p>
            <w:pPr>
              <w:spacing w:after="0"/>
              <w:rPr>
                <w:sz w:val="1"/>
                <w:szCs w:val="1"/>
                <w:color w:val="auto"/>
              </w:rPr>
            </w:pPr>
          </w:p>
        </w:tc>
      </w:tr>
      <w:tr>
        <w:trPr>
          <w:trHeight w:val="108"/>
        </w:trPr>
        <w:tc>
          <w:tcPr>
            <w:tcW w:w="1860" w:type="dxa"/>
            <w:vAlign w:val="bottom"/>
            <w:vMerge w:val="restart"/>
          </w:tcPr>
          <w:p>
            <w:pPr>
              <w:spacing w:after="0"/>
              <w:rPr>
                <w:sz w:val="20"/>
                <w:szCs w:val="20"/>
                <w:color w:val="auto"/>
              </w:rPr>
            </w:pPr>
            <w:r>
              <w:rPr>
                <w:rFonts w:ascii="Arial" w:cs="Arial" w:eastAsia="Arial" w:hAnsi="Arial"/>
                <w:sz w:val="16"/>
                <w:szCs w:val="16"/>
                <w:color w:val="3D3935"/>
              </w:rPr>
              <w:t>compensation</w:t>
            </w:r>
          </w:p>
        </w:tc>
        <w:tc>
          <w:tcPr>
            <w:tcW w:w="1960" w:type="dxa"/>
            <w:vAlign w:val="bottom"/>
          </w:tcPr>
          <w:p>
            <w:pPr>
              <w:spacing w:after="0"/>
              <w:rPr>
                <w:sz w:val="9"/>
                <w:szCs w:val="9"/>
                <w:color w:val="auto"/>
              </w:rPr>
            </w:pPr>
          </w:p>
        </w:tc>
        <w:tc>
          <w:tcPr>
            <w:tcW w:w="200" w:type="dxa"/>
            <w:vAlign w:val="bottom"/>
            <w:tcBorders>
              <w:right w:val="single" w:sz="8" w:color="D9D9D6"/>
            </w:tcBorders>
          </w:tcPr>
          <w:p>
            <w:pPr>
              <w:spacing w:after="0"/>
              <w:rPr>
                <w:sz w:val="9"/>
                <w:szCs w:val="9"/>
                <w:color w:val="auto"/>
              </w:rPr>
            </w:pPr>
          </w:p>
        </w:tc>
        <w:tc>
          <w:tcPr>
            <w:tcW w:w="2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60" w:type="dxa"/>
            <w:vAlign w:val="bottom"/>
            <w:vMerge w:val="continue"/>
          </w:tcPr>
          <w:p>
            <w:pPr>
              <w:spacing w:after="0"/>
              <w:rPr>
                <w:sz w:val="9"/>
                <w:szCs w:val="9"/>
                <w:color w:val="auto"/>
              </w:rPr>
            </w:pPr>
          </w:p>
        </w:tc>
        <w:tc>
          <w:tcPr>
            <w:tcW w:w="1960" w:type="dxa"/>
            <w:vAlign w:val="bottom"/>
            <w:vMerge w:val="restart"/>
          </w:tcPr>
          <w:p>
            <w:pPr>
              <w:ind w:left="440"/>
              <w:spacing w:after="0"/>
              <w:rPr>
                <w:sz w:val="20"/>
                <w:szCs w:val="20"/>
                <w:color w:val="auto"/>
              </w:rPr>
            </w:pPr>
            <w:r>
              <w:rPr>
                <w:rFonts w:ascii="Arial" w:cs="Arial" w:eastAsia="Arial" w:hAnsi="Arial"/>
                <w:sz w:val="16"/>
                <w:szCs w:val="16"/>
                <w:color w:val="3D3935"/>
              </w:rPr>
              <w:t>Amount of dividend</w:t>
            </w:r>
          </w:p>
        </w:tc>
        <w:tc>
          <w:tcPr>
            <w:tcW w:w="200" w:type="dxa"/>
            <w:vAlign w:val="bottom"/>
            <w:tcBorders>
              <w:right w:val="single" w:sz="8" w:color="D9D9D6"/>
            </w:tcBorders>
          </w:tcPr>
          <w:p>
            <w:pPr>
              <w:spacing w:after="0"/>
              <w:rPr>
                <w:sz w:val="9"/>
                <w:szCs w:val="9"/>
                <w:color w:val="auto"/>
              </w:rPr>
            </w:pPr>
          </w:p>
        </w:tc>
        <w:tc>
          <w:tcPr>
            <w:tcW w:w="2040" w:type="dxa"/>
            <w:vAlign w:val="bottom"/>
            <w:vMerge w:val="restart"/>
          </w:tcPr>
          <w:p>
            <w:pPr>
              <w:ind w:left="760"/>
              <w:spacing w:after="0"/>
              <w:rPr>
                <w:sz w:val="20"/>
                <w:szCs w:val="20"/>
                <w:color w:val="auto"/>
              </w:rPr>
            </w:pPr>
            <w:r>
              <w:rPr>
                <w:rFonts w:ascii="Arial" w:cs="Arial" w:eastAsia="Arial" w:hAnsi="Arial"/>
                <w:sz w:val="16"/>
                <w:szCs w:val="16"/>
                <w:color w:val="3D3935"/>
              </w:rPr>
              <w:t>closing market</w:t>
            </w:r>
          </w:p>
        </w:tc>
        <w:tc>
          <w:tcPr>
            <w:tcW w:w="0" w:type="dxa"/>
            <w:vAlign w:val="bottom"/>
          </w:tcPr>
          <w:p>
            <w:pPr>
              <w:spacing w:after="0"/>
              <w:rPr>
                <w:sz w:val="1"/>
                <w:szCs w:val="1"/>
                <w:color w:val="auto"/>
              </w:rPr>
            </w:pPr>
          </w:p>
        </w:tc>
      </w:tr>
      <w:tr>
        <w:trPr>
          <w:trHeight w:val="108"/>
        </w:trPr>
        <w:tc>
          <w:tcPr>
            <w:tcW w:w="1860" w:type="dxa"/>
            <w:vAlign w:val="bottom"/>
            <w:vMerge w:val="restart"/>
          </w:tcPr>
          <w:p>
            <w:pPr>
              <w:spacing w:after="0"/>
              <w:rPr>
                <w:sz w:val="20"/>
                <w:szCs w:val="20"/>
                <w:color w:val="auto"/>
              </w:rPr>
            </w:pPr>
            <w:r>
              <w:rPr>
                <w:rFonts w:ascii="Arial" w:cs="Arial" w:eastAsia="Arial" w:hAnsi="Arial"/>
                <w:sz w:val="16"/>
                <w:szCs w:val="16"/>
                <w:color w:val="3D3935"/>
              </w:rPr>
              <w:t>required or elected</w:t>
            </w:r>
          </w:p>
        </w:tc>
        <w:tc>
          <w:tcPr>
            <w:tcW w:w="1960" w:type="dxa"/>
            <w:vAlign w:val="bottom"/>
            <w:vMerge w:val="continue"/>
          </w:tcPr>
          <w:p>
            <w:pPr>
              <w:spacing w:after="0"/>
              <w:rPr>
                <w:sz w:val="9"/>
                <w:szCs w:val="9"/>
                <w:color w:val="auto"/>
              </w:rPr>
            </w:pPr>
          </w:p>
        </w:tc>
        <w:tc>
          <w:tcPr>
            <w:tcW w:w="200" w:type="dxa"/>
            <w:vAlign w:val="bottom"/>
            <w:tcBorders>
              <w:right w:val="single" w:sz="8" w:color="D9D9D6"/>
            </w:tcBorders>
          </w:tcPr>
          <w:p>
            <w:pPr>
              <w:spacing w:after="0"/>
              <w:rPr>
                <w:sz w:val="9"/>
                <w:szCs w:val="9"/>
                <w:color w:val="auto"/>
              </w:rPr>
            </w:pPr>
          </w:p>
        </w:tc>
        <w:tc>
          <w:tcPr>
            <w:tcW w:w="2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60" w:type="dxa"/>
            <w:vAlign w:val="bottom"/>
            <w:vMerge w:val="continue"/>
          </w:tcPr>
          <w:p>
            <w:pPr>
              <w:spacing w:after="0"/>
              <w:rPr>
                <w:sz w:val="9"/>
                <w:szCs w:val="9"/>
                <w:color w:val="auto"/>
              </w:rPr>
            </w:pPr>
          </w:p>
        </w:tc>
        <w:tc>
          <w:tcPr>
            <w:tcW w:w="1960" w:type="dxa"/>
            <w:vAlign w:val="bottom"/>
            <w:vMerge w:val="restart"/>
          </w:tcPr>
          <w:p>
            <w:pPr>
              <w:ind w:left="440"/>
              <w:spacing w:after="0"/>
              <w:rPr>
                <w:sz w:val="20"/>
                <w:szCs w:val="20"/>
                <w:color w:val="auto"/>
              </w:rPr>
            </w:pPr>
            <w:r>
              <w:rPr>
                <w:rFonts w:ascii="Arial" w:cs="Arial" w:eastAsia="Arial" w:hAnsi="Arial"/>
                <w:sz w:val="16"/>
                <w:szCs w:val="16"/>
                <w:color w:val="3D3935"/>
              </w:rPr>
              <w:t>equivalents earned</w:t>
            </w:r>
          </w:p>
        </w:tc>
        <w:tc>
          <w:tcPr>
            <w:tcW w:w="200" w:type="dxa"/>
            <w:vAlign w:val="bottom"/>
            <w:tcBorders>
              <w:right w:val="single" w:sz="8" w:color="D9D9D6"/>
            </w:tcBorders>
          </w:tcPr>
          <w:p>
            <w:pPr>
              <w:spacing w:after="0"/>
              <w:rPr>
                <w:sz w:val="9"/>
                <w:szCs w:val="9"/>
                <w:color w:val="auto"/>
              </w:rPr>
            </w:pPr>
          </w:p>
        </w:tc>
        <w:tc>
          <w:tcPr>
            <w:tcW w:w="2040" w:type="dxa"/>
            <w:vAlign w:val="bottom"/>
            <w:vMerge w:val="restart"/>
          </w:tcPr>
          <w:p>
            <w:pPr>
              <w:ind w:left="760"/>
              <w:spacing w:after="0"/>
              <w:rPr>
                <w:sz w:val="20"/>
                <w:szCs w:val="20"/>
                <w:color w:val="auto"/>
              </w:rPr>
            </w:pPr>
            <w:r>
              <w:rPr>
                <w:rFonts w:ascii="Arial" w:cs="Arial" w:eastAsia="Arial" w:hAnsi="Arial"/>
                <w:sz w:val="16"/>
                <w:szCs w:val="16"/>
                <w:color w:val="3D3935"/>
              </w:rPr>
              <w:t>price of our</w:t>
            </w:r>
          </w:p>
        </w:tc>
        <w:tc>
          <w:tcPr>
            <w:tcW w:w="0" w:type="dxa"/>
            <w:vAlign w:val="bottom"/>
          </w:tcPr>
          <w:p>
            <w:pPr>
              <w:spacing w:after="0"/>
              <w:rPr>
                <w:sz w:val="1"/>
                <w:szCs w:val="1"/>
                <w:color w:val="auto"/>
              </w:rPr>
            </w:pPr>
          </w:p>
        </w:tc>
      </w:tr>
      <w:tr>
        <w:trPr>
          <w:trHeight w:val="108"/>
        </w:trPr>
        <w:tc>
          <w:tcPr>
            <w:tcW w:w="1860" w:type="dxa"/>
            <w:vAlign w:val="bottom"/>
            <w:vMerge w:val="restart"/>
          </w:tcPr>
          <w:p>
            <w:pPr>
              <w:spacing w:after="0"/>
              <w:rPr>
                <w:sz w:val="20"/>
                <w:szCs w:val="20"/>
                <w:color w:val="auto"/>
              </w:rPr>
            </w:pPr>
            <w:r>
              <w:rPr>
                <w:rFonts w:ascii="Arial" w:cs="Arial" w:eastAsia="Arial" w:hAnsi="Arial"/>
                <w:sz w:val="16"/>
                <w:szCs w:val="16"/>
                <w:color w:val="3D3935"/>
              </w:rPr>
              <w:t>to be deferred each</w:t>
            </w:r>
          </w:p>
        </w:tc>
        <w:tc>
          <w:tcPr>
            <w:tcW w:w="1960" w:type="dxa"/>
            <w:vAlign w:val="bottom"/>
            <w:vMerge w:val="continue"/>
          </w:tcPr>
          <w:p>
            <w:pPr>
              <w:spacing w:after="0"/>
              <w:rPr>
                <w:sz w:val="9"/>
                <w:szCs w:val="9"/>
                <w:color w:val="auto"/>
              </w:rPr>
            </w:pPr>
          </w:p>
        </w:tc>
        <w:tc>
          <w:tcPr>
            <w:tcW w:w="200" w:type="dxa"/>
            <w:vAlign w:val="bottom"/>
            <w:tcBorders>
              <w:right w:val="single" w:sz="8" w:color="D9D9D6"/>
            </w:tcBorders>
          </w:tcPr>
          <w:p>
            <w:pPr>
              <w:spacing w:after="0"/>
              <w:rPr>
                <w:sz w:val="9"/>
                <w:szCs w:val="9"/>
                <w:color w:val="auto"/>
              </w:rPr>
            </w:pPr>
          </w:p>
        </w:tc>
        <w:tc>
          <w:tcPr>
            <w:tcW w:w="2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60" w:type="dxa"/>
            <w:vAlign w:val="bottom"/>
            <w:vMerge w:val="continue"/>
          </w:tcPr>
          <w:p>
            <w:pPr>
              <w:spacing w:after="0"/>
              <w:rPr>
                <w:sz w:val="9"/>
                <w:szCs w:val="9"/>
                <w:color w:val="auto"/>
              </w:rPr>
            </w:pPr>
          </w:p>
        </w:tc>
        <w:tc>
          <w:tcPr>
            <w:tcW w:w="1960" w:type="dxa"/>
            <w:vAlign w:val="bottom"/>
            <w:vMerge w:val="restart"/>
          </w:tcPr>
          <w:p>
            <w:pPr>
              <w:ind w:left="440"/>
              <w:spacing w:after="0"/>
              <w:rPr>
                <w:sz w:val="20"/>
                <w:szCs w:val="20"/>
                <w:color w:val="auto"/>
              </w:rPr>
            </w:pPr>
            <w:r>
              <w:rPr>
                <w:rFonts w:ascii="Arial" w:cs="Arial" w:eastAsia="Arial" w:hAnsi="Arial"/>
                <w:sz w:val="16"/>
                <w:szCs w:val="16"/>
                <w:color w:val="3D3935"/>
              </w:rPr>
              <w:t>during the</w:t>
            </w:r>
          </w:p>
        </w:tc>
        <w:tc>
          <w:tcPr>
            <w:tcW w:w="200" w:type="dxa"/>
            <w:vAlign w:val="bottom"/>
            <w:tcBorders>
              <w:right w:val="single" w:sz="8" w:color="D9D9D6"/>
            </w:tcBorders>
          </w:tcPr>
          <w:p>
            <w:pPr>
              <w:spacing w:after="0"/>
              <w:rPr>
                <w:sz w:val="9"/>
                <w:szCs w:val="9"/>
                <w:color w:val="auto"/>
              </w:rPr>
            </w:pPr>
          </w:p>
        </w:tc>
        <w:tc>
          <w:tcPr>
            <w:tcW w:w="2040" w:type="dxa"/>
            <w:vAlign w:val="bottom"/>
            <w:vMerge w:val="restart"/>
          </w:tcPr>
          <w:p>
            <w:pPr>
              <w:ind w:left="760"/>
              <w:spacing w:after="0"/>
              <w:rPr>
                <w:sz w:val="20"/>
                <w:szCs w:val="20"/>
                <w:color w:val="auto"/>
              </w:rPr>
            </w:pPr>
            <w:r>
              <w:rPr>
                <w:rFonts w:ascii="Arial" w:cs="Arial" w:eastAsia="Arial" w:hAnsi="Arial"/>
                <w:sz w:val="16"/>
                <w:szCs w:val="16"/>
                <w:color w:val="3D3935"/>
                <w:w w:val="99"/>
              </w:rPr>
              <w:t>common stock for</w:t>
            </w:r>
          </w:p>
        </w:tc>
        <w:tc>
          <w:tcPr>
            <w:tcW w:w="0" w:type="dxa"/>
            <w:vAlign w:val="bottom"/>
          </w:tcPr>
          <w:p>
            <w:pPr>
              <w:spacing w:after="0"/>
              <w:rPr>
                <w:sz w:val="1"/>
                <w:szCs w:val="1"/>
                <w:color w:val="auto"/>
              </w:rPr>
            </w:pPr>
          </w:p>
        </w:tc>
      </w:tr>
      <w:tr>
        <w:trPr>
          <w:trHeight w:val="108"/>
        </w:trPr>
        <w:tc>
          <w:tcPr>
            <w:tcW w:w="1860" w:type="dxa"/>
            <w:vAlign w:val="bottom"/>
            <w:vMerge w:val="restart"/>
          </w:tcPr>
          <w:p>
            <w:pPr>
              <w:spacing w:after="0"/>
              <w:rPr>
                <w:sz w:val="20"/>
                <w:szCs w:val="20"/>
                <w:color w:val="auto"/>
              </w:rPr>
            </w:pPr>
            <w:r>
              <w:rPr>
                <w:rFonts w:ascii="Arial" w:cs="Arial" w:eastAsia="Arial" w:hAnsi="Arial"/>
                <w:sz w:val="16"/>
                <w:szCs w:val="16"/>
                <w:color w:val="3D3935"/>
              </w:rPr>
              <w:t>calendar year under</w:t>
            </w:r>
          </w:p>
        </w:tc>
        <w:tc>
          <w:tcPr>
            <w:tcW w:w="1960" w:type="dxa"/>
            <w:vAlign w:val="bottom"/>
            <w:vMerge w:val="continue"/>
          </w:tcPr>
          <w:p>
            <w:pPr>
              <w:spacing w:after="0"/>
              <w:rPr>
                <w:sz w:val="9"/>
                <w:szCs w:val="9"/>
                <w:color w:val="auto"/>
              </w:rPr>
            </w:pPr>
          </w:p>
        </w:tc>
        <w:tc>
          <w:tcPr>
            <w:tcW w:w="200" w:type="dxa"/>
            <w:vAlign w:val="bottom"/>
            <w:tcBorders>
              <w:right w:val="single" w:sz="8" w:color="D9D9D6"/>
            </w:tcBorders>
          </w:tcPr>
          <w:p>
            <w:pPr>
              <w:spacing w:after="0"/>
              <w:rPr>
                <w:sz w:val="9"/>
                <w:szCs w:val="9"/>
                <w:color w:val="auto"/>
              </w:rPr>
            </w:pPr>
          </w:p>
        </w:tc>
        <w:tc>
          <w:tcPr>
            <w:tcW w:w="2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60" w:type="dxa"/>
            <w:vAlign w:val="bottom"/>
            <w:vMerge w:val="continue"/>
          </w:tcPr>
          <w:p>
            <w:pPr>
              <w:spacing w:after="0"/>
              <w:rPr>
                <w:sz w:val="9"/>
                <w:szCs w:val="9"/>
                <w:color w:val="auto"/>
              </w:rPr>
            </w:pPr>
          </w:p>
        </w:tc>
        <w:tc>
          <w:tcPr>
            <w:tcW w:w="1960" w:type="dxa"/>
            <w:vAlign w:val="bottom"/>
            <w:vMerge w:val="restart"/>
          </w:tcPr>
          <w:p>
            <w:pPr>
              <w:ind w:left="440"/>
              <w:spacing w:after="0"/>
              <w:rPr>
                <w:sz w:val="20"/>
                <w:szCs w:val="20"/>
                <w:color w:val="auto"/>
              </w:rPr>
            </w:pPr>
            <w:r>
              <w:rPr>
                <w:rFonts w:ascii="Arial" w:cs="Arial" w:eastAsia="Arial" w:hAnsi="Arial"/>
                <w:sz w:val="16"/>
                <w:szCs w:val="16"/>
                <w:color w:val="3D3935"/>
              </w:rPr>
              <w:t>calendar year</w:t>
            </w:r>
          </w:p>
        </w:tc>
        <w:tc>
          <w:tcPr>
            <w:tcW w:w="200" w:type="dxa"/>
            <w:vAlign w:val="bottom"/>
            <w:tcBorders>
              <w:right w:val="single" w:sz="8" w:color="D9D9D6"/>
            </w:tcBorders>
          </w:tcPr>
          <w:p>
            <w:pPr>
              <w:spacing w:after="0"/>
              <w:rPr>
                <w:sz w:val="9"/>
                <w:szCs w:val="9"/>
                <w:color w:val="auto"/>
              </w:rPr>
            </w:pPr>
          </w:p>
        </w:tc>
        <w:tc>
          <w:tcPr>
            <w:tcW w:w="2040" w:type="dxa"/>
            <w:vAlign w:val="bottom"/>
            <w:vMerge w:val="restart"/>
          </w:tcPr>
          <w:p>
            <w:pPr>
              <w:ind w:left="760"/>
              <w:spacing w:after="0"/>
              <w:rPr>
                <w:sz w:val="20"/>
                <w:szCs w:val="20"/>
                <w:color w:val="auto"/>
              </w:rPr>
            </w:pPr>
            <w:r>
              <w:rPr>
                <w:rFonts w:ascii="Arial" w:cs="Arial" w:eastAsia="Arial" w:hAnsi="Arial"/>
                <w:sz w:val="16"/>
                <w:szCs w:val="16"/>
                <w:color w:val="3D3935"/>
              </w:rPr>
              <w:t>the applicable</w:t>
            </w:r>
          </w:p>
        </w:tc>
        <w:tc>
          <w:tcPr>
            <w:tcW w:w="0" w:type="dxa"/>
            <w:vAlign w:val="bottom"/>
          </w:tcPr>
          <w:p>
            <w:pPr>
              <w:spacing w:after="0"/>
              <w:rPr>
                <w:sz w:val="1"/>
                <w:szCs w:val="1"/>
                <w:color w:val="auto"/>
              </w:rPr>
            </w:pPr>
          </w:p>
        </w:tc>
      </w:tr>
      <w:tr>
        <w:trPr>
          <w:trHeight w:val="108"/>
        </w:trPr>
        <w:tc>
          <w:tcPr>
            <w:tcW w:w="1860" w:type="dxa"/>
            <w:vAlign w:val="bottom"/>
            <w:vMerge w:val="restart"/>
          </w:tcPr>
          <w:p>
            <w:pPr>
              <w:spacing w:after="0"/>
              <w:rPr>
                <w:sz w:val="20"/>
                <w:szCs w:val="20"/>
                <w:color w:val="auto"/>
              </w:rPr>
            </w:pPr>
            <w:r>
              <w:rPr>
                <w:rFonts w:ascii="Arial" w:cs="Arial" w:eastAsia="Arial" w:hAnsi="Arial"/>
                <w:sz w:val="16"/>
                <w:szCs w:val="16"/>
                <w:color w:val="3D3935"/>
              </w:rPr>
              <w:t>the Director</w:t>
            </w:r>
          </w:p>
        </w:tc>
        <w:tc>
          <w:tcPr>
            <w:tcW w:w="1960" w:type="dxa"/>
            <w:vAlign w:val="bottom"/>
            <w:vMerge w:val="continue"/>
          </w:tcPr>
          <w:p>
            <w:pPr>
              <w:spacing w:after="0"/>
              <w:rPr>
                <w:sz w:val="9"/>
                <w:szCs w:val="9"/>
                <w:color w:val="auto"/>
              </w:rPr>
            </w:pPr>
          </w:p>
        </w:tc>
        <w:tc>
          <w:tcPr>
            <w:tcW w:w="200" w:type="dxa"/>
            <w:vAlign w:val="bottom"/>
            <w:tcBorders>
              <w:right w:val="single" w:sz="8" w:color="D9D9D6"/>
            </w:tcBorders>
          </w:tcPr>
          <w:p>
            <w:pPr>
              <w:spacing w:after="0"/>
              <w:rPr>
                <w:sz w:val="9"/>
                <w:szCs w:val="9"/>
                <w:color w:val="auto"/>
              </w:rPr>
            </w:pPr>
          </w:p>
        </w:tc>
        <w:tc>
          <w:tcPr>
            <w:tcW w:w="2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60" w:type="dxa"/>
            <w:vAlign w:val="bottom"/>
            <w:vMerge w:val="continue"/>
          </w:tcPr>
          <w:p>
            <w:pPr>
              <w:spacing w:after="0"/>
              <w:rPr>
                <w:sz w:val="9"/>
                <w:szCs w:val="9"/>
                <w:color w:val="auto"/>
              </w:rPr>
            </w:pPr>
          </w:p>
        </w:tc>
        <w:tc>
          <w:tcPr>
            <w:tcW w:w="1960" w:type="dxa"/>
            <w:vAlign w:val="bottom"/>
          </w:tcPr>
          <w:p>
            <w:pPr>
              <w:spacing w:after="0"/>
              <w:rPr>
                <w:sz w:val="9"/>
                <w:szCs w:val="9"/>
                <w:color w:val="auto"/>
              </w:rPr>
            </w:pPr>
          </w:p>
        </w:tc>
        <w:tc>
          <w:tcPr>
            <w:tcW w:w="200" w:type="dxa"/>
            <w:vAlign w:val="bottom"/>
            <w:tcBorders>
              <w:right w:val="single" w:sz="8" w:color="D9D9D6"/>
            </w:tcBorders>
          </w:tcPr>
          <w:p>
            <w:pPr>
              <w:spacing w:after="0"/>
              <w:rPr>
                <w:sz w:val="9"/>
                <w:szCs w:val="9"/>
                <w:color w:val="auto"/>
              </w:rPr>
            </w:pPr>
          </w:p>
        </w:tc>
        <w:tc>
          <w:tcPr>
            <w:tcW w:w="2040" w:type="dxa"/>
            <w:vAlign w:val="bottom"/>
            <w:vMerge w:val="restart"/>
          </w:tcPr>
          <w:p>
            <w:pPr>
              <w:ind w:left="760"/>
              <w:spacing w:after="0"/>
              <w:rPr>
                <w:sz w:val="20"/>
                <w:szCs w:val="20"/>
                <w:color w:val="auto"/>
              </w:rPr>
            </w:pPr>
            <w:r>
              <w:rPr>
                <w:rFonts w:ascii="Arial" w:cs="Arial" w:eastAsia="Arial" w:hAnsi="Arial"/>
                <w:sz w:val="16"/>
                <w:szCs w:val="16"/>
                <w:color w:val="3D3935"/>
              </w:rPr>
              <w:t>calendar year</w:t>
            </w:r>
          </w:p>
        </w:tc>
        <w:tc>
          <w:tcPr>
            <w:tcW w:w="0" w:type="dxa"/>
            <w:vAlign w:val="bottom"/>
          </w:tcPr>
          <w:p>
            <w:pPr>
              <w:spacing w:after="0"/>
              <w:rPr>
                <w:sz w:val="1"/>
                <w:szCs w:val="1"/>
                <w:color w:val="auto"/>
              </w:rPr>
            </w:pPr>
          </w:p>
        </w:tc>
      </w:tr>
      <w:tr>
        <w:trPr>
          <w:trHeight w:val="108"/>
        </w:trPr>
        <w:tc>
          <w:tcPr>
            <w:tcW w:w="1860" w:type="dxa"/>
            <w:vAlign w:val="bottom"/>
            <w:vMerge w:val="restart"/>
          </w:tcPr>
          <w:p>
            <w:pPr>
              <w:spacing w:after="0"/>
              <w:rPr>
                <w:sz w:val="20"/>
                <w:szCs w:val="20"/>
                <w:color w:val="auto"/>
              </w:rPr>
            </w:pPr>
            <w:r>
              <w:rPr>
                <w:rFonts w:ascii="Arial" w:cs="Arial" w:eastAsia="Arial" w:hAnsi="Arial"/>
                <w:sz w:val="16"/>
                <w:szCs w:val="16"/>
                <w:color w:val="3D3935"/>
              </w:rPr>
              <w:t>Compensation Plan</w:t>
            </w:r>
          </w:p>
        </w:tc>
        <w:tc>
          <w:tcPr>
            <w:tcW w:w="1960" w:type="dxa"/>
            <w:vAlign w:val="bottom"/>
          </w:tcPr>
          <w:p>
            <w:pPr>
              <w:spacing w:after="0"/>
              <w:rPr>
                <w:sz w:val="9"/>
                <w:szCs w:val="9"/>
                <w:color w:val="auto"/>
              </w:rPr>
            </w:pPr>
          </w:p>
        </w:tc>
        <w:tc>
          <w:tcPr>
            <w:tcW w:w="200" w:type="dxa"/>
            <w:vAlign w:val="bottom"/>
            <w:tcBorders>
              <w:right w:val="single" w:sz="8" w:color="D9D9D6"/>
            </w:tcBorders>
          </w:tcPr>
          <w:p>
            <w:pPr>
              <w:spacing w:after="0"/>
              <w:rPr>
                <w:sz w:val="9"/>
                <w:szCs w:val="9"/>
                <w:color w:val="auto"/>
              </w:rPr>
            </w:pPr>
          </w:p>
        </w:tc>
        <w:tc>
          <w:tcPr>
            <w:tcW w:w="2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60" w:type="dxa"/>
            <w:vAlign w:val="bottom"/>
            <w:vMerge w:val="continue"/>
          </w:tcPr>
          <w:p>
            <w:pPr>
              <w:spacing w:after="0"/>
              <w:rPr>
                <w:sz w:val="9"/>
                <w:szCs w:val="9"/>
                <w:color w:val="auto"/>
              </w:rPr>
            </w:pPr>
          </w:p>
        </w:tc>
        <w:tc>
          <w:tcPr>
            <w:tcW w:w="1960" w:type="dxa"/>
            <w:vAlign w:val="bottom"/>
          </w:tcPr>
          <w:p>
            <w:pPr>
              <w:spacing w:after="0"/>
              <w:rPr>
                <w:sz w:val="9"/>
                <w:szCs w:val="9"/>
                <w:color w:val="auto"/>
              </w:rPr>
            </w:pPr>
          </w:p>
        </w:tc>
        <w:tc>
          <w:tcPr>
            <w:tcW w:w="200" w:type="dxa"/>
            <w:vAlign w:val="bottom"/>
            <w:tcBorders>
              <w:right w:val="single" w:sz="8" w:color="D9D9D6"/>
            </w:tcBorders>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200" w:type="dxa"/>
            <w:vAlign w:val="bottom"/>
            <w:tcBorders>
              <w:bottom w:val="single" w:sz="8" w:color="D9D9D6"/>
              <w:right w:val="single" w:sz="8" w:color="D9D9D6"/>
            </w:tcBorders>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5"/>
          <w:szCs w:val="25"/>
          <w:color w:val="FFFFFF"/>
        </w:rPr>
        <w:t>DSUs</w:t>
      </w:r>
    </w:p>
    <w:p>
      <w:pPr>
        <w:spacing w:after="0" w:line="50" w:lineRule="exact"/>
        <w:rPr>
          <w:sz w:val="20"/>
          <w:szCs w:val="20"/>
          <w:color w:val="auto"/>
        </w:rPr>
      </w:pPr>
    </w:p>
    <w:p>
      <w:pPr>
        <w:spacing w:after="0"/>
        <w:rPr>
          <w:sz w:val="20"/>
          <w:szCs w:val="20"/>
          <w:color w:val="auto"/>
        </w:rPr>
      </w:pPr>
      <w:r>
        <w:rPr>
          <w:rFonts w:ascii="Arial" w:cs="Arial" w:eastAsia="Arial" w:hAnsi="Arial"/>
          <w:sz w:val="25"/>
          <w:szCs w:val="25"/>
          <w:color w:val="FFFFFF"/>
        </w:rPr>
        <w:t>Granted</w:t>
      </w:r>
    </w:p>
    <w:p>
      <w:pPr>
        <w:spacing w:after="0" w:line="799" w:lineRule="exact"/>
        <w:rPr>
          <w:sz w:val="20"/>
          <w:szCs w:val="20"/>
          <w:color w:val="auto"/>
        </w:rPr>
      </w:pPr>
    </w:p>
    <w:p>
      <w:pPr>
        <w:sectPr>
          <w:pgSz w:w="11900" w:h="16838" w:orient="portrait"/>
          <w:cols w:equalWidth="0" w:num="2">
            <w:col w:w="6900" w:space="720"/>
            <w:col w:w="1439"/>
          </w:cols>
          <w:pgMar w:left="1400" w:top="80" w:right="1440" w:bottom="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Director Stock Ownership and Holding Requirements</w:t>
      </w:r>
    </w:p>
    <w:p>
      <w:pPr>
        <w:spacing w:after="0" w:line="200" w:lineRule="exact"/>
        <w:rPr>
          <w:sz w:val="20"/>
          <w:szCs w:val="20"/>
          <w:color w:val="auto"/>
        </w:rPr>
      </w:pPr>
    </w:p>
    <w:p>
      <w:pPr>
        <w:spacing w:after="0" w:line="202" w:lineRule="exact"/>
        <w:rPr>
          <w:sz w:val="20"/>
          <w:szCs w:val="20"/>
          <w:color w:val="auto"/>
        </w:rPr>
      </w:pPr>
    </w:p>
    <w:p>
      <w:pPr>
        <w:ind w:left="420" w:right="1079" w:hanging="189"/>
        <w:spacing w:after="0" w:line="301" w:lineRule="auto"/>
        <w:tabs>
          <w:tab w:leader="none" w:pos="420" w:val="left"/>
        </w:tabs>
        <w:numPr>
          <w:ilvl w:val="0"/>
          <w:numId w:val="62"/>
        </w:numPr>
        <w:rPr>
          <w:rFonts w:ascii="Arial" w:cs="Arial" w:eastAsia="Arial" w:hAnsi="Arial"/>
          <w:sz w:val="16"/>
          <w:szCs w:val="16"/>
          <w:color w:val="0072CE"/>
        </w:rPr>
      </w:pPr>
      <w:r>
        <w:rPr>
          <w:rFonts w:ascii="Arial" w:cs="Arial" w:eastAsia="Arial" w:hAnsi="Arial"/>
          <w:sz w:val="16"/>
          <w:szCs w:val="16"/>
          <w:color w:val="3D3935"/>
        </w:rPr>
        <w:t>Each non-employee director is required to own our common stock or DSUs with a market value of at least $650,000 and has up to five years from the date they are first elected to the Board to meet this ownership requirement.</w:t>
      </w:r>
    </w:p>
    <w:p>
      <w:pPr>
        <w:spacing w:after="0" w:line="9" w:lineRule="exact"/>
        <w:rPr>
          <w:rFonts w:ascii="Arial" w:cs="Arial" w:eastAsia="Arial" w:hAnsi="Arial"/>
          <w:sz w:val="16"/>
          <w:szCs w:val="16"/>
          <w:color w:val="0072CE"/>
        </w:rPr>
      </w:pPr>
    </w:p>
    <w:p>
      <w:pPr>
        <w:ind w:left="420" w:right="279" w:hanging="189"/>
        <w:spacing w:after="0" w:line="316" w:lineRule="auto"/>
        <w:tabs>
          <w:tab w:leader="none" w:pos="420" w:val="left"/>
        </w:tabs>
        <w:numPr>
          <w:ilvl w:val="0"/>
          <w:numId w:val="62"/>
        </w:numPr>
        <w:rPr>
          <w:rFonts w:ascii="Arial" w:cs="Arial" w:eastAsia="Arial" w:hAnsi="Arial"/>
          <w:sz w:val="16"/>
          <w:szCs w:val="16"/>
          <w:color w:val="0072CE"/>
        </w:rPr>
      </w:pPr>
      <w:r>
        <w:rPr>
          <w:rFonts w:ascii="Arial" w:cs="Arial" w:eastAsia="Arial" w:hAnsi="Arial"/>
          <w:sz w:val="16"/>
          <w:szCs w:val="16"/>
          <w:color w:val="3D3935"/>
        </w:rPr>
        <w:t>Non-employee directors are prohibited from selling any GM securities or derivatives of GM securities, such as DSUs, while they are members of the Board.</w:t>
      </w:r>
    </w:p>
    <w:p>
      <w:pPr>
        <w:spacing w:after="0" w:line="1" w:lineRule="exact"/>
        <w:rPr>
          <w:rFonts w:ascii="Arial" w:cs="Arial" w:eastAsia="Arial" w:hAnsi="Arial"/>
          <w:sz w:val="16"/>
          <w:szCs w:val="16"/>
          <w:color w:val="0072CE"/>
        </w:rPr>
      </w:pPr>
    </w:p>
    <w:p>
      <w:pPr>
        <w:ind w:left="420" w:right="659" w:hanging="189"/>
        <w:spacing w:after="0" w:line="321" w:lineRule="auto"/>
        <w:tabs>
          <w:tab w:leader="none" w:pos="420" w:val="left"/>
        </w:tabs>
        <w:numPr>
          <w:ilvl w:val="0"/>
          <w:numId w:val="62"/>
        </w:numPr>
        <w:rPr>
          <w:rFonts w:ascii="Arial" w:cs="Arial" w:eastAsia="Arial" w:hAnsi="Arial"/>
          <w:sz w:val="16"/>
          <w:szCs w:val="16"/>
          <w:color w:val="0072CE"/>
        </w:rPr>
      </w:pPr>
      <w:r>
        <w:rPr>
          <w:rFonts w:ascii="Arial" w:cs="Arial" w:eastAsia="Arial" w:hAnsi="Arial"/>
          <w:sz w:val="16"/>
          <w:szCs w:val="16"/>
          <w:color w:val="3D3935"/>
        </w:rPr>
        <w:t>Ownership guidelines are reviewed each year to confirm they continue to be effective in aligning the interests of the Board and our shareholders.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3D3935"/>
        </w:rPr>
        <w:t>All of our non-employee directors are in compliance with our stock retention requirements.</w:t>
      </w:r>
    </w:p>
    <w:p>
      <w:pPr>
        <w:spacing w:after="0" w:line="134"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Other Compensation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3D3935"/>
        </w:rPr>
        <w:t>We provide certain additional benefits to non-employee directors.</w:t>
      </w:r>
    </w:p>
    <w:p>
      <w:pPr>
        <w:spacing w:after="0" w:line="266" w:lineRule="exact"/>
        <w:rPr>
          <w:sz w:val="20"/>
          <w:szCs w:val="20"/>
          <w:color w:val="auto"/>
        </w:rPr>
      </w:pPr>
    </w:p>
    <w:p>
      <w:pPr>
        <w:ind w:left="60"/>
        <w:spacing w:after="0"/>
        <w:tabs>
          <w:tab w:leader="none" w:pos="1740" w:val="left"/>
        </w:tabs>
        <w:rPr>
          <w:sz w:val="20"/>
          <w:szCs w:val="20"/>
          <w:color w:val="auto"/>
        </w:rPr>
      </w:pPr>
      <w:r>
        <w:rPr>
          <w:rFonts w:ascii="Arial" w:cs="Arial" w:eastAsia="Arial" w:hAnsi="Arial"/>
          <w:sz w:val="14"/>
          <w:szCs w:val="14"/>
          <w:b w:val="1"/>
          <w:bCs w:val="1"/>
          <w:color w:val="3D3935"/>
        </w:rPr>
        <w:t>Type</w:t>
      </w:r>
      <w:r>
        <w:rPr>
          <w:sz w:val="20"/>
          <w:szCs w:val="20"/>
          <w:color w:val="auto"/>
        </w:rPr>
        <w:tab/>
      </w:r>
      <w:r>
        <w:rPr>
          <w:rFonts w:ascii="Arial" w:cs="Arial" w:eastAsia="Arial" w:hAnsi="Arial"/>
          <w:sz w:val="14"/>
          <w:szCs w:val="14"/>
          <w:b w:val="1"/>
          <w:bCs w:val="1"/>
          <w:color w:val="3D3935"/>
        </w:rPr>
        <w:t>Purpose</w:t>
      </w:r>
    </w:p>
    <w:p>
      <w:pPr>
        <w:spacing w:after="0" w:line="64" w:lineRule="exact"/>
        <w:rPr>
          <w:sz w:val="20"/>
          <w:szCs w:val="20"/>
          <w:color w:val="auto"/>
        </w:rPr>
      </w:pPr>
    </w:p>
    <w:p>
      <w:pPr>
        <w:ind w:left="1760" w:right="339" w:hanging="1714"/>
        <w:spacing w:after="0" w:line="291" w:lineRule="auto"/>
        <w:tabs>
          <w:tab w:leader="none" w:pos="1740" w:val="left"/>
        </w:tabs>
        <w:rPr>
          <w:sz w:val="20"/>
          <w:szCs w:val="20"/>
          <w:color w:val="auto"/>
        </w:rPr>
      </w:pPr>
      <w:r>
        <w:rPr>
          <w:rFonts w:ascii="Arial" w:cs="Arial" w:eastAsia="Arial" w:hAnsi="Arial"/>
          <w:sz w:val="16"/>
          <w:szCs w:val="16"/>
          <w:b w:val="1"/>
          <w:bCs w:val="1"/>
          <w:color w:val="3D3935"/>
        </w:rPr>
        <w:t>Company Vehicles</w:t>
      </w:r>
      <w:r>
        <w:rPr>
          <w:sz w:val="20"/>
          <w:szCs w:val="20"/>
          <w:color w:val="auto"/>
        </w:rPr>
        <w:tab/>
      </w:r>
      <w:r>
        <w:rPr>
          <w:rFonts w:ascii="Arial" w:cs="Arial" w:eastAsia="Arial" w:hAnsi="Arial"/>
          <w:sz w:val="16"/>
          <w:szCs w:val="16"/>
          <w:color w:val="3D3935"/>
        </w:rPr>
        <w:t>We provide directors with the use of Company vehicles and electric vehicle charging stations to provide feedback on our products as well as enhance the public image of our vehicles. Retired directors also receive the use of a Company vehicle for a period of time. Participants are charged with imputed income based on the lease value of the vehicles and are responsible for associated taxes.</w:t>
      </w:r>
    </w:p>
    <w:p>
      <w:pPr>
        <w:spacing w:after="0" w:line="5" w:lineRule="exact"/>
        <w:rPr>
          <w:sz w:val="20"/>
          <w:szCs w:val="20"/>
          <w:color w:val="auto"/>
        </w:rPr>
      </w:pPr>
    </w:p>
    <w:p>
      <w:pPr>
        <w:ind w:left="60"/>
        <w:spacing w:after="0"/>
        <w:tabs>
          <w:tab w:leader="none" w:pos="1740" w:val="left"/>
        </w:tabs>
        <w:rPr>
          <w:sz w:val="20"/>
          <w:szCs w:val="20"/>
          <w:color w:val="auto"/>
        </w:rPr>
      </w:pPr>
      <w:r>
        <w:rPr>
          <w:rFonts w:ascii="Arial" w:cs="Arial" w:eastAsia="Arial" w:hAnsi="Arial"/>
          <w:sz w:val="16"/>
          <w:szCs w:val="16"/>
          <w:b w:val="1"/>
          <w:bCs w:val="1"/>
          <w:color w:val="3D3935"/>
        </w:rPr>
        <w:t>Personal Accident</w:t>
      </w:r>
      <w:r>
        <w:rPr>
          <w:sz w:val="20"/>
          <w:szCs w:val="20"/>
          <w:color w:val="auto"/>
        </w:rPr>
        <w:tab/>
      </w:r>
      <w:r>
        <w:rPr>
          <w:rFonts w:ascii="Arial" w:cs="Arial" w:eastAsia="Arial" w:hAnsi="Arial"/>
          <w:sz w:val="16"/>
          <w:szCs w:val="16"/>
          <w:color w:val="3D3935"/>
        </w:rPr>
        <w:t>We provide personal accident insurance coverage in the event of accidental death or</w:t>
      </w:r>
    </w:p>
    <w:p>
      <w:pPr>
        <w:spacing w:after="0" w:line="32" w:lineRule="exact"/>
        <w:rPr>
          <w:sz w:val="20"/>
          <w:szCs w:val="20"/>
          <w:color w:val="auto"/>
        </w:rPr>
      </w:pPr>
    </w:p>
    <w:p>
      <w:pPr>
        <w:ind w:left="1760" w:right="699" w:hanging="1714"/>
        <w:spacing w:after="0" w:line="321" w:lineRule="auto"/>
        <w:tabs>
          <w:tab w:leader="none" w:pos="1740" w:val="left"/>
        </w:tabs>
        <w:rPr>
          <w:sz w:val="20"/>
          <w:szCs w:val="20"/>
          <w:color w:val="auto"/>
        </w:rPr>
      </w:pPr>
      <w:r>
        <w:rPr>
          <w:rFonts w:ascii="Arial" w:cs="Arial" w:eastAsia="Arial" w:hAnsi="Arial"/>
          <w:sz w:val="16"/>
          <w:szCs w:val="16"/>
          <w:b w:val="1"/>
          <w:bCs w:val="1"/>
          <w:color w:val="3D3935"/>
        </w:rPr>
        <w:t>Insurance</w:t>
      </w:r>
      <w:r>
        <w:rPr>
          <w:rFonts w:ascii="Arial" w:cs="Arial" w:eastAsia="Arial" w:hAnsi="Arial"/>
          <w:sz w:val="21"/>
          <w:szCs w:val="21"/>
          <w:b w:val="1"/>
          <w:bCs w:val="1"/>
          <w:color w:val="3D3935"/>
          <w:vertAlign w:val="superscript"/>
        </w:rPr>
        <w:t>(1)</w:t>
      </w:r>
      <w:r>
        <w:rPr>
          <w:sz w:val="20"/>
          <w:szCs w:val="20"/>
          <w:color w:val="auto"/>
        </w:rPr>
        <w:tab/>
      </w:r>
      <w:r>
        <w:rPr>
          <w:rFonts w:ascii="Arial" w:cs="Arial" w:eastAsia="Arial" w:hAnsi="Arial"/>
          <w:sz w:val="16"/>
          <w:szCs w:val="16"/>
          <w:color w:val="3D3935"/>
        </w:rPr>
        <w:t>dismemberment. Directors are responsible for associated taxes on the imputed income from the coverage.</w:t>
      </w:r>
    </w:p>
    <w:p>
      <w:pPr>
        <w:spacing w:after="0" w:line="120" w:lineRule="exact"/>
        <w:rPr>
          <w:sz w:val="20"/>
          <w:szCs w:val="20"/>
          <w:color w:val="auto"/>
        </w:rPr>
      </w:pPr>
    </w:p>
    <w:p>
      <w:pPr>
        <w:ind w:left="200" w:right="259" w:hanging="192"/>
        <w:spacing w:after="0" w:line="239" w:lineRule="auto"/>
        <w:tabs>
          <w:tab w:leader="none" w:pos="200" w:val="left"/>
        </w:tabs>
        <w:numPr>
          <w:ilvl w:val="0"/>
          <w:numId w:val="63"/>
        </w:numPr>
        <w:rPr>
          <w:rFonts w:ascii="Arial" w:cs="Arial" w:eastAsia="Arial" w:hAnsi="Arial"/>
          <w:sz w:val="19"/>
          <w:szCs w:val="19"/>
          <w:color w:val="3D3935"/>
          <w:vertAlign w:val="superscript"/>
        </w:rPr>
      </w:pPr>
      <w:r>
        <w:rPr>
          <w:rFonts w:ascii="Arial" w:cs="Arial" w:eastAsia="Arial" w:hAnsi="Arial"/>
          <w:sz w:val="14"/>
          <w:szCs w:val="14"/>
          <w:color w:val="3D3935"/>
        </w:rPr>
        <w:t>Ms. Barra, our sole employee director, does not receive additional compensation for her Board service other than the personal accident insurance benefit described above, the value of which is reported for Ms. Barra in the Summary Compensation Table on page 68.</w:t>
      </w:r>
    </w:p>
    <w:p>
      <w:pPr>
        <w:spacing w:after="0" w:line="200" w:lineRule="exact"/>
        <w:rPr>
          <w:sz w:val="20"/>
          <w:szCs w:val="20"/>
          <w:color w:val="auto"/>
        </w:rPr>
      </w:pPr>
    </w:p>
    <w:p>
      <w:pPr>
        <w:spacing w:after="0" w:line="273"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3D3935"/>
              </w:rPr>
              <w:t>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29908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10375" cy="2990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Non-Employee Director Compensation</w:t>
      </w:r>
    </w:p>
    <w:p>
      <w:pPr>
        <w:spacing w:after="0" w:line="200" w:lineRule="exact"/>
        <w:rPr>
          <w:sz w:val="20"/>
          <w:szCs w:val="20"/>
          <w:color w:val="auto"/>
        </w:rPr>
      </w:pPr>
    </w:p>
    <w:p>
      <w:pPr>
        <w:spacing w:after="0" w:line="377" w:lineRule="exact"/>
        <w:rPr>
          <w:sz w:val="20"/>
          <w:szCs w:val="20"/>
          <w:color w:val="auto"/>
        </w:rPr>
      </w:pPr>
    </w:p>
    <w:p>
      <w:pPr>
        <w:ind w:right="899"/>
        <w:spacing w:after="0" w:line="321" w:lineRule="auto"/>
        <w:rPr>
          <w:sz w:val="20"/>
          <w:szCs w:val="20"/>
          <w:color w:val="auto"/>
        </w:rPr>
      </w:pPr>
      <w:r>
        <w:rPr>
          <w:rFonts w:ascii="Arial" w:cs="Arial" w:eastAsia="Arial" w:hAnsi="Arial"/>
          <w:sz w:val="16"/>
          <w:szCs w:val="16"/>
          <w:color w:val="3D3935"/>
        </w:rPr>
        <w:t>Non-employee directors are not eligible to participate in any of the savings or retirement programs available to our employees. Other than as described in this section, there are no separate benefit plans for directors.</w:t>
      </w:r>
    </w:p>
    <w:p>
      <w:pPr>
        <w:spacing w:after="0" w:line="123" w:lineRule="exact"/>
        <w:rPr>
          <w:sz w:val="20"/>
          <w:szCs w:val="20"/>
          <w:color w:val="auto"/>
        </w:rPr>
      </w:pPr>
    </w:p>
    <w:p>
      <w:pPr>
        <w:ind w:right="3659"/>
        <w:spacing w:after="0" w:line="283" w:lineRule="auto"/>
        <w:rPr>
          <w:sz w:val="20"/>
          <w:szCs w:val="20"/>
          <w:color w:val="auto"/>
        </w:rPr>
      </w:pPr>
      <w:r>
        <w:rPr>
          <w:rFonts w:ascii="Arial" w:cs="Arial" w:eastAsia="Arial" w:hAnsi="Arial"/>
          <w:sz w:val="39"/>
          <w:szCs w:val="39"/>
          <w:b w:val="1"/>
          <w:bCs w:val="1"/>
          <w:color w:val="0072CE"/>
        </w:rPr>
        <w:t>2024 Non-Employee Director Compensation Table</w:t>
      </w:r>
    </w:p>
    <w:p>
      <w:pPr>
        <w:spacing w:after="0" w:line="2" w:lineRule="exact"/>
        <w:rPr>
          <w:sz w:val="20"/>
          <w:szCs w:val="20"/>
          <w:color w:val="auto"/>
        </w:rPr>
      </w:pPr>
    </w:p>
    <w:p>
      <w:pPr>
        <w:ind w:right="1259"/>
        <w:spacing w:after="0" w:line="321" w:lineRule="auto"/>
        <w:rPr>
          <w:sz w:val="20"/>
          <w:szCs w:val="20"/>
          <w:color w:val="auto"/>
        </w:rPr>
      </w:pPr>
      <w:r>
        <w:rPr>
          <w:rFonts w:ascii="Arial" w:cs="Arial" w:eastAsia="Arial" w:hAnsi="Arial"/>
          <w:sz w:val="16"/>
          <w:szCs w:val="16"/>
          <w:color w:val="3D3935"/>
        </w:rPr>
        <w:t>The table below shows the compensation that each non-employee director received for their 2024 Board and committee service.</w:t>
      </w:r>
    </w:p>
    <w:p>
      <w:pPr>
        <w:spacing w:after="0" w:line="24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2880" w:type="dxa"/>
            <w:vAlign w:val="bottom"/>
          </w:tcPr>
          <w:p>
            <w:pPr>
              <w:jc w:val="right"/>
              <w:ind w:right="64"/>
              <w:spacing w:after="0"/>
              <w:rPr>
                <w:sz w:val="20"/>
                <w:szCs w:val="20"/>
                <w:color w:val="auto"/>
              </w:rPr>
            </w:pPr>
            <w:r>
              <w:rPr>
                <w:rFonts w:ascii="Arial" w:cs="Arial" w:eastAsia="Arial" w:hAnsi="Arial"/>
                <w:sz w:val="14"/>
                <w:szCs w:val="14"/>
                <w:b w:val="1"/>
                <w:bCs w:val="1"/>
                <w:color w:val="3D3935"/>
              </w:rPr>
              <w:t>Fees Earned or</w:t>
            </w:r>
          </w:p>
        </w:tc>
        <w:tc>
          <w:tcPr>
            <w:tcW w:w="960" w:type="dxa"/>
            <w:vAlign w:val="bottom"/>
          </w:tcPr>
          <w:p>
            <w:pPr>
              <w:jc w:val="right"/>
              <w:ind w:right="104"/>
              <w:spacing w:after="0"/>
              <w:rPr>
                <w:sz w:val="20"/>
                <w:szCs w:val="20"/>
                <w:color w:val="auto"/>
              </w:rPr>
            </w:pPr>
            <w:r>
              <w:rPr>
                <w:rFonts w:ascii="Arial" w:cs="Arial" w:eastAsia="Arial" w:hAnsi="Arial"/>
                <w:sz w:val="14"/>
                <w:szCs w:val="14"/>
                <w:b w:val="1"/>
                <w:bCs w:val="1"/>
                <w:color w:val="3D3935"/>
              </w:rPr>
              <w:t>Stock</w:t>
            </w:r>
          </w:p>
        </w:tc>
        <w:tc>
          <w:tcPr>
            <w:tcW w:w="1420" w:type="dxa"/>
            <w:vAlign w:val="bottom"/>
          </w:tcPr>
          <w:p>
            <w:pPr>
              <w:jc w:val="right"/>
              <w:ind w:right="64"/>
              <w:spacing w:after="0"/>
              <w:rPr>
                <w:sz w:val="20"/>
                <w:szCs w:val="20"/>
                <w:color w:val="auto"/>
              </w:rPr>
            </w:pPr>
            <w:r>
              <w:rPr>
                <w:rFonts w:ascii="Arial" w:cs="Arial" w:eastAsia="Arial" w:hAnsi="Arial"/>
                <w:sz w:val="14"/>
                <w:szCs w:val="14"/>
                <w:b w:val="1"/>
                <w:bCs w:val="1"/>
                <w:color w:val="3D3935"/>
              </w:rPr>
              <w:t>All Other</w:t>
            </w:r>
          </w:p>
        </w:tc>
        <w:tc>
          <w:tcPr>
            <w:tcW w:w="780" w:type="dxa"/>
            <w:vAlign w:val="bottom"/>
          </w:tcPr>
          <w:p>
            <w:pPr>
              <w:spacing w:after="0"/>
              <w:rPr>
                <w:sz w:val="14"/>
                <w:szCs w:val="14"/>
                <w:color w:val="auto"/>
              </w:rPr>
            </w:pPr>
          </w:p>
        </w:tc>
      </w:tr>
      <w:tr>
        <w:trPr>
          <w:trHeight w:val="191"/>
        </w:trPr>
        <w:tc>
          <w:tcPr>
            <w:tcW w:w="2920" w:type="dxa"/>
            <w:vAlign w:val="bottom"/>
          </w:tcPr>
          <w:p>
            <w:pPr>
              <w:spacing w:after="0"/>
              <w:rPr>
                <w:sz w:val="16"/>
                <w:szCs w:val="16"/>
                <w:color w:val="auto"/>
              </w:rPr>
            </w:pPr>
          </w:p>
        </w:tc>
        <w:tc>
          <w:tcPr>
            <w:tcW w:w="2880" w:type="dxa"/>
            <w:vAlign w:val="bottom"/>
          </w:tcPr>
          <w:p>
            <w:pPr>
              <w:jc w:val="right"/>
              <w:ind w:right="84"/>
              <w:spacing w:after="0" w:line="191" w:lineRule="exact"/>
              <w:rPr>
                <w:sz w:val="20"/>
                <w:szCs w:val="20"/>
                <w:color w:val="auto"/>
              </w:rPr>
            </w:pPr>
            <w:r>
              <w:rPr>
                <w:rFonts w:ascii="Arial" w:cs="Arial" w:eastAsia="Arial" w:hAnsi="Arial"/>
                <w:sz w:val="14"/>
                <w:szCs w:val="14"/>
                <w:b w:val="1"/>
                <w:bCs w:val="1"/>
                <w:color w:val="3D3935"/>
              </w:rPr>
              <w:t>Paid in Cash</w:t>
            </w:r>
            <w:r>
              <w:rPr>
                <w:rFonts w:ascii="Arial" w:cs="Arial" w:eastAsia="Arial" w:hAnsi="Arial"/>
                <w:sz w:val="18"/>
                <w:szCs w:val="18"/>
                <w:b w:val="1"/>
                <w:bCs w:val="1"/>
                <w:color w:val="3D3935"/>
                <w:vertAlign w:val="superscript"/>
              </w:rPr>
              <w:t>(1)</w:t>
            </w:r>
          </w:p>
        </w:tc>
        <w:tc>
          <w:tcPr>
            <w:tcW w:w="960" w:type="dxa"/>
            <w:vAlign w:val="bottom"/>
          </w:tcPr>
          <w:p>
            <w:pPr>
              <w:jc w:val="right"/>
              <w:ind w:right="124"/>
              <w:spacing w:after="0" w:line="191" w:lineRule="exact"/>
              <w:rPr>
                <w:sz w:val="20"/>
                <w:szCs w:val="20"/>
                <w:color w:val="auto"/>
              </w:rPr>
            </w:pPr>
            <w:r>
              <w:rPr>
                <w:rFonts w:ascii="Arial" w:cs="Arial" w:eastAsia="Arial" w:hAnsi="Arial"/>
                <w:sz w:val="14"/>
                <w:szCs w:val="14"/>
                <w:b w:val="1"/>
                <w:bCs w:val="1"/>
                <w:color w:val="3D3935"/>
              </w:rPr>
              <w:t>Awards</w:t>
            </w:r>
            <w:r>
              <w:rPr>
                <w:rFonts w:ascii="Arial" w:cs="Arial" w:eastAsia="Arial" w:hAnsi="Arial"/>
                <w:sz w:val="18"/>
                <w:szCs w:val="18"/>
                <w:b w:val="1"/>
                <w:bCs w:val="1"/>
                <w:color w:val="3D3935"/>
                <w:vertAlign w:val="superscript"/>
              </w:rPr>
              <w:t>(2)</w:t>
            </w:r>
          </w:p>
        </w:tc>
        <w:tc>
          <w:tcPr>
            <w:tcW w:w="1420" w:type="dxa"/>
            <w:vAlign w:val="bottom"/>
          </w:tcPr>
          <w:p>
            <w:pPr>
              <w:jc w:val="right"/>
              <w:ind w:right="84"/>
              <w:spacing w:after="0" w:line="191" w:lineRule="exact"/>
              <w:rPr>
                <w:sz w:val="20"/>
                <w:szCs w:val="20"/>
                <w:color w:val="auto"/>
              </w:rPr>
            </w:pPr>
            <w:r>
              <w:rPr>
                <w:rFonts w:ascii="Arial" w:cs="Arial" w:eastAsia="Arial" w:hAnsi="Arial"/>
                <w:sz w:val="14"/>
                <w:szCs w:val="14"/>
                <w:b w:val="1"/>
                <w:bCs w:val="1"/>
                <w:color w:val="3D3935"/>
              </w:rPr>
              <w:t>Compensation</w:t>
            </w:r>
            <w:r>
              <w:rPr>
                <w:rFonts w:ascii="Arial" w:cs="Arial" w:eastAsia="Arial" w:hAnsi="Arial"/>
                <w:sz w:val="18"/>
                <w:szCs w:val="18"/>
                <w:b w:val="1"/>
                <w:bCs w:val="1"/>
                <w:color w:val="3D3935"/>
                <w:vertAlign w:val="superscript"/>
              </w:rPr>
              <w:t>(3)</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3D3935"/>
              </w:rPr>
              <w:t>Total</w:t>
            </w:r>
          </w:p>
        </w:tc>
      </w:tr>
      <w:tr>
        <w:trPr>
          <w:trHeight w:val="196"/>
        </w:trPr>
        <w:tc>
          <w:tcPr>
            <w:tcW w:w="2920" w:type="dxa"/>
            <w:vAlign w:val="bottom"/>
          </w:tcPr>
          <w:p>
            <w:pPr>
              <w:spacing w:after="0"/>
              <w:rPr>
                <w:sz w:val="20"/>
                <w:szCs w:val="20"/>
                <w:color w:val="auto"/>
              </w:rPr>
            </w:pPr>
            <w:r>
              <w:rPr>
                <w:rFonts w:ascii="Arial" w:cs="Arial" w:eastAsia="Arial" w:hAnsi="Arial"/>
                <w:sz w:val="14"/>
                <w:szCs w:val="14"/>
                <w:b w:val="1"/>
                <w:bCs w:val="1"/>
                <w:color w:val="3D3935"/>
              </w:rPr>
              <w:t>Director</w:t>
            </w:r>
          </w:p>
        </w:tc>
        <w:tc>
          <w:tcPr>
            <w:tcW w:w="2880" w:type="dxa"/>
            <w:vAlign w:val="bottom"/>
          </w:tcPr>
          <w:p>
            <w:pPr>
              <w:jc w:val="right"/>
              <w:ind w:right="104"/>
              <w:spacing w:after="0"/>
              <w:rPr>
                <w:sz w:val="20"/>
                <w:szCs w:val="20"/>
                <w:color w:val="auto"/>
              </w:rPr>
            </w:pPr>
            <w:r>
              <w:rPr>
                <w:rFonts w:ascii="Arial" w:cs="Arial" w:eastAsia="Arial" w:hAnsi="Arial"/>
                <w:sz w:val="14"/>
                <w:szCs w:val="14"/>
                <w:b w:val="1"/>
                <w:bCs w:val="1"/>
                <w:color w:val="3D3935"/>
              </w:rPr>
              <w:t>($)</w:t>
            </w:r>
          </w:p>
        </w:tc>
        <w:tc>
          <w:tcPr>
            <w:tcW w:w="960" w:type="dxa"/>
            <w:vAlign w:val="bottom"/>
          </w:tcPr>
          <w:p>
            <w:pPr>
              <w:jc w:val="right"/>
              <w:ind w:right="124"/>
              <w:spacing w:after="0"/>
              <w:rPr>
                <w:sz w:val="20"/>
                <w:szCs w:val="20"/>
                <w:color w:val="auto"/>
              </w:rPr>
            </w:pPr>
            <w:r>
              <w:rPr>
                <w:rFonts w:ascii="Arial" w:cs="Arial" w:eastAsia="Arial" w:hAnsi="Arial"/>
                <w:sz w:val="14"/>
                <w:szCs w:val="14"/>
                <w:b w:val="1"/>
                <w:bCs w:val="1"/>
                <w:color w:val="3D3935"/>
              </w:rPr>
              <w:t>($)</w:t>
            </w:r>
          </w:p>
        </w:tc>
        <w:tc>
          <w:tcPr>
            <w:tcW w:w="1420" w:type="dxa"/>
            <w:vAlign w:val="bottom"/>
          </w:tcPr>
          <w:p>
            <w:pPr>
              <w:jc w:val="right"/>
              <w:ind w:right="84"/>
              <w:spacing w:after="0"/>
              <w:rPr>
                <w:sz w:val="20"/>
                <w:szCs w:val="20"/>
                <w:color w:val="auto"/>
              </w:rPr>
            </w:pPr>
            <w:r>
              <w:rPr>
                <w:rFonts w:ascii="Arial" w:cs="Arial" w:eastAsia="Arial" w:hAnsi="Arial"/>
                <w:sz w:val="14"/>
                <w:szCs w:val="14"/>
                <w:b w:val="1"/>
                <w:bCs w:val="1"/>
                <w:color w:val="3D3935"/>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3D3935"/>
              </w:rPr>
              <w:t>($)</w:t>
            </w:r>
          </w:p>
        </w:tc>
      </w:tr>
      <w:tr>
        <w:trPr>
          <w:trHeight w:val="298"/>
        </w:trPr>
        <w:tc>
          <w:tcPr>
            <w:tcW w:w="2920" w:type="dxa"/>
            <w:vAlign w:val="bottom"/>
          </w:tcPr>
          <w:p>
            <w:pPr>
              <w:spacing w:after="0"/>
              <w:rPr>
                <w:sz w:val="20"/>
                <w:szCs w:val="20"/>
                <w:color w:val="auto"/>
              </w:rPr>
            </w:pPr>
            <w:r>
              <w:rPr>
                <w:rFonts w:ascii="Arial" w:cs="Arial" w:eastAsia="Arial" w:hAnsi="Arial"/>
                <w:sz w:val="16"/>
                <w:szCs w:val="16"/>
                <w:b w:val="1"/>
                <w:bCs w:val="1"/>
                <w:color w:val="0072CE"/>
              </w:rPr>
              <w:t>Aneel Bhusri</w:t>
            </w:r>
            <w:r>
              <w:rPr>
                <w:rFonts w:ascii="Arial" w:cs="Arial" w:eastAsia="Arial" w:hAnsi="Arial"/>
                <w:sz w:val="21"/>
                <w:szCs w:val="21"/>
                <w:b w:val="1"/>
                <w:bCs w:val="1"/>
                <w:color w:val="0072CE"/>
                <w:vertAlign w:val="superscript"/>
              </w:rPr>
              <w:t>(4)</w:t>
            </w:r>
          </w:p>
        </w:tc>
        <w:tc>
          <w:tcPr>
            <w:tcW w:w="2880" w:type="dxa"/>
            <w:vAlign w:val="bottom"/>
          </w:tcPr>
          <w:p>
            <w:pPr>
              <w:jc w:val="right"/>
              <w:ind w:right="124"/>
              <w:spacing w:after="0"/>
              <w:rPr>
                <w:sz w:val="20"/>
                <w:szCs w:val="20"/>
                <w:color w:val="auto"/>
              </w:rPr>
            </w:pPr>
            <w:r>
              <w:rPr>
                <w:rFonts w:ascii="Arial" w:cs="Arial" w:eastAsia="Arial" w:hAnsi="Arial"/>
                <w:sz w:val="16"/>
                <w:szCs w:val="16"/>
                <w:color w:val="3D3935"/>
              </w:rPr>
              <w:t>55,900</w:t>
            </w:r>
          </w:p>
        </w:tc>
        <w:tc>
          <w:tcPr>
            <w:tcW w:w="960" w:type="dxa"/>
            <w:vAlign w:val="bottom"/>
          </w:tcPr>
          <w:p>
            <w:pPr>
              <w:jc w:val="right"/>
              <w:ind w:right="164"/>
              <w:spacing w:after="0"/>
              <w:rPr>
                <w:sz w:val="20"/>
                <w:szCs w:val="20"/>
                <w:color w:val="auto"/>
              </w:rPr>
            </w:pPr>
            <w:r>
              <w:rPr>
                <w:rFonts w:ascii="Arial" w:cs="Arial" w:eastAsia="Arial" w:hAnsi="Arial"/>
                <w:sz w:val="16"/>
                <w:szCs w:val="16"/>
                <w:color w:val="3D3935"/>
              </w:rPr>
              <w:t>83,900</w:t>
            </w:r>
          </w:p>
        </w:tc>
        <w:tc>
          <w:tcPr>
            <w:tcW w:w="1420" w:type="dxa"/>
            <w:vAlign w:val="bottom"/>
          </w:tcPr>
          <w:p>
            <w:pPr>
              <w:jc w:val="right"/>
              <w:ind w:right="84"/>
              <w:spacing w:after="0"/>
              <w:rPr>
                <w:sz w:val="20"/>
                <w:szCs w:val="20"/>
                <w:color w:val="auto"/>
              </w:rPr>
            </w:pPr>
            <w:r>
              <w:rPr>
                <w:rFonts w:ascii="Arial" w:cs="Arial" w:eastAsia="Arial" w:hAnsi="Arial"/>
                <w:sz w:val="16"/>
                <w:szCs w:val="16"/>
                <w:color w:val="3D3935"/>
              </w:rPr>
              <w:t>17,407</w:t>
            </w:r>
          </w:p>
        </w:tc>
        <w:tc>
          <w:tcPr>
            <w:tcW w:w="780" w:type="dxa"/>
            <w:vAlign w:val="bottom"/>
          </w:tcPr>
          <w:p>
            <w:pPr>
              <w:jc w:val="right"/>
              <w:spacing w:after="0"/>
              <w:rPr>
                <w:sz w:val="20"/>
                <w:szCs w:val="20"/>
                <w:color w:val="auto"/>
              </w:rPr>
            </w:pPr>
            <w:r>
              <w:rPr>
                <w:rFonts w:ascii="Arial" w:cs="Arial" w:eastAsia="Arial" w:hAnsi="Arial"/>
                <w:sz w:val="16"/>
                <w:szCs w:val="16"/>
                <w:color w:val="3D3935"/>
              </w:rPr>
              <w:t>157,207</w:t>
            </w:r>
          </w:p>
        </w:tc>
      </w:tr>
      <w:tr>
        <w:trPr>
          <w:trHeight w:val="228"/>
        </w:trPr>
        <w:tc>
          <w:tcPr>
            <w:tcW w:w="2920" w:type="dxa"/>
            <w:vAlign w:val="bottom"/>
          </w:tcPr>
          <w:p>
            <w:pPr>
              <w:spacing w:after="0"/>
              <w:rPr>
                <w:sz w:val="20"/>
                <w:szCs w:val="20"/>
                <w:color w:val="auto"/>
              </w:rPr>
            </w:pPr>
            <w:r>
              <w:rPr>
                <w:rFonts w:ascii="Arial" w:cs="Arial" w:eastAsia="Arial" w:hAnsi="Arial"/>
                <w:sz w:val="16"/>
                <w:szCs w:val="16"/>
                <w:b w:val="1"/>
                <w:bCs w:val="1"/>
                <w:color w:val="0072CE"/>
              </w:rPr>
              <w:t>Wesley G. Bush</w:t>
            </w:r>
          </w:p>
        </w:tc>
        <w:tc>
          <w:tcPr>
            <w:tcW w:w="2880" w:type="dxa"/>
            <w:vAlign w:val="bottom"/>
          </w:tcPr>
          <w:p>
            <w:pPr>
              <w:jc w:val="right"/>
              <w:ind w:right="124"/>
              <w:spacing w:after="0"/>
              <w:rPr>
                <w:sz w:val="20"/>
                <w:szCs w:val="20"/>
                <w:color w:val="auto"/>
              </w:rPr>
            </w:pPr>
            <w:r>
              <w:rPr>
                <w:rFonts w:ascii="Arial" w:cs="Arial" w:eastAsia="Arial" w:hAnsi="Arial"/>
                <w:sz w:val="16"/>
                <w:szCs w:val="16"/>
                <w:color w:val="3D3935"/>
              </w:rPr>
              <w:t>185,000</w:t>
            </w:r>
          </w:p>
        </w:tc>
        <w:tc>
          <w:tcPr>
            <w:tcW w:w="960" w:type="dxa"/>
            <w:vAlign w:val="bottom"/>
          </w:tcPr>
          <w:p>
            <w:pPr>
              <w:jc w:val="right"/>
              <w:ind w:right="104"/>
              <w:spacing w:after="0"/>
              <w:rPr>
                <w:sz w:val="20"/>
                <w:szCs w:val="20"/>
                <w:color w:val="auto"/>
              </w:rPr>
            </w:pPr>
            <w:r>
              <w:rPr>
                <w:rFonts w:ascii="Arial" w:cs="Arial" w:eastAsia="Arial" w:hAnsi="Arial"/>
                <w:sz w:val="16"/>
                <w:szCs w:val="16"/>
                <w:color w:val="3D3935"/>
              </w:rPr>
              <w:t>195,021</w:t>
            </w:r>
          </w:p>
        </w:tc>
        <w:tc>
          <w:tcPr>
            <w:tcW w:w="1420" w:type="dxa"/>
            <w:vAlign w:val="bottom"/>
          </w:tcPr>
          <w:p>
            <w:pPr>
              <w:jc w:val="right"/>
              <w:ind w:right="124"/>
              <w:spacing w:after="0"/>
              <w:rPr>
                <w:sz w:val="20"/>
                <w:szCs w:val="20"/>
                <w:color w:val="auto"/>
              </w:rPr>
            </w:pPr>
            <w:r>
              <w:rPr>
                <w:rFonts w:ascii="Arial" w:cs="Arial" w:eastAsia="Arial" w:hAnsi="Arial"/>
                <w:sz w:val="16"/>
                <w:szCs w:val="16"/>
                <w:color w:val="3D3935"/>
              </w:rPr>
              <w:t>33,032</w:t>
            </w:r>
          </w:p>
        </w:tc>
        <w:tc>
          <w:tcPr>
            <w:tcW w:w="780" w:type="dxa"/>
            <w:vAlign w:val="bottom"/>
          </w:tcPr>
          <w:p>
            <w:pPr>
              <w:jc w:val="right"/>
              <w:spacing w:after="0"/>
              <w:rPr>
                <w:sz w:val="20"/>
                <w:szCs w:val="20"/>
                <w:color w:val="auto"/>
              </w:rPr>
            </w:pPr>
            <w:r>
              <w:rPr>
                <w:rFonts w:ascii="Arial" w:cs="Arial" w:eastAsia="Arial" w:hAnsi="Arial"/>
                <w:sz w:val="16"/>
                <w:szCs w:val="16"/>
                <w:color w:val="3D3935"/>
              </w:rPr>
              <w:t>413,053</w:t>
            </w:r>
          </w:p>
        </w:tc>
      </w:tr>
    </w:tbl>
    <w:p>
      <w:pPr>
        <w:sectPr>
          <w:pgSz w:w="11900" w:h="16838" w:orient="portrait"/>
          <w:cols w:equalWidth="0" w:num="1">
            <w:col w:w="9059"/>
          </w:cols>
          <w:pgMar w:left="1400" w:top="80" w:right="1440" w:bottom="0" w:gutter="0" w:footer="0" w:header="0"/>
          <w:type w:val="continuous"/>
        </w:sectPr>
      </w:pPr>
    </w:p>
    <w:bookmarkStart w:id="36" w:name="page37"/>
    <w:bookmarkEnd w:id="36"/>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ind w:left="60"/>
              <w:spacing w:after="0"/>
              <w:rPr>
                <w:sz w:val="20"/>
                <w:szCs w:val="20"/>
                <w:color w:val="auto"/>
              </w:rPr>
            </w:pPr>
            <w:r>
              <w:rPr>
                <w:rFonts w:ascii="Arial" w:cs="Arial" w:eastAsia="Arial" w:hAnsi="Arial"/>
                <w:sz w:val="16"/>
                <w:szCs w:val="16"/>
                <w:b w:val="1"/>
                <w:bCs w:val="1"/>
                <w:color w:val="0072CE"/>
              </w:rPr>
              <w:t>Joanne C. Crevoiserat</w:t>
            </w:r>
          </w:p>
        </w:tc>
        <w:tc>
          <w:tcPr>
            <w:tcW w:w="2460" w:type="dxa"/>
            <w:vAlign w:val="bottom"/>
          </w:tcPr>
          <w:p>
            <w:pPr>
              <w:jc w:val="right"/>
              <w:ind w:right="119"/>
              <w:spacing w:after="0"/>
              <w:rPr>
                <w:sz w:val="20"/>
                <w:szCs w:val="20"/>
                <w:color w:val="auto"/>
              </w:rPr>
            </w:pPr>
            <w:r>
              <w:rPr>
                <w:rFonts w:ascii="Arial" w:cs="Arial" w:eastAsia="Arial" w:hAnsi="Arial"/>
                <w:sz w:val="16"/>
                <w:szCs w:val="16"/>
                <w:color w:val="3D3935"/>
              </w:rPr>
              <w:t>130,000</w:t>
            </w:r>
          </w:p>
        </w:tc>
        <w:tc>
          <w:tcPr>
            <w:tcW w:w="1240" w:type="dxa"/>
            <w:vAlign w:val="bottom"/>
          </w:tcPr>
          <w:p>
            <w:pPr>
              <w:jc w:val="center"/>
              <w:ind w:right="179"/>
              <w:spacing w:after="0"/>
              <w:rPr>
                <w:sz w:val="20"/>
                <w:szCs w:val="20"/>
                <w:color w:val="auto"/>
              </w:rPr>
            </w:pPr>
            <w:r>
              <w:rPr>
                <w:rFonts w:ascii="Arial" w:cs="Arial" w:eastAsia="Arial" w:hAnsi="Arial"/>
                <w:sz w:val="16"/>
                <w:szCs w:val="16"/>
                <w:color w:val="3D3935"/>
              </w:rPr>
              <w:t>195,021</w:t>
            </w:r>
          </w:p>
        </w:tc>
        <w:tc>
          <w:tcPr>
            <w:tcW w:w="1140" w:type="dxa"/>
            <w:vAlign w:val="bottom"/>
          </w:tcPr>
          <w:p>
            <w:pPr>
              <w:jc w:val="right"/>
              <w:ind w:right="79"/>
              <w:spacing w:after="0"/>
              <w:rPr>
                <w:sz w:val="20"/>
                <w:szCs w:val="20"/>
                <w:color w:val="auto"/>
              </w:rPr>
            </w:pPr>
            <w:r>
              <w:rPr>
                <w:rFonts w:ascii="Arial" w:cs="Arial" w:eastAsia="Arial" w:hAnsi="Arial"/>
                <w:sz w:val="16"/>
                <w:szCs w:val="16"/>
                <w:color w:val="3D3935"/>
              </w:rPr>
              <w:t>30,861</w:t>
            </w:r>
          </w:p>
        </w:tc>
        <w:tc>
          <w:tcPr>
            <w:tcW w:w="840" w:type="dxa"/>
            <w:vAlign w:val="bottom"/>
          </w:tcPr>
          <w:p>
            <w:pPr>
              <w:jc w:val="right"/>
              <w:ind w:right="39"/>
              <w:spacing w:after="0"/>
              <w:rPr>
                <w:sz w:val="20"/>
                <w:szCs w:val="20"/>
                <w:color w:val="auto"/>
              </w:rPr>
            </w:pPr>
            <w:r>
              <w:rPr>
                <w:rFonts w:ascii="Arial" w:cs="Arial" w:eastAsia="Arial" w:hAnsi="Arial"/>
                <w:sz w:val="16"/>
                <w:szCs w:val="16"/>
                <w:color w:val="3D3935"/>
              </w:rPr>
              <w:t>355,882</w:t>
            </w:r>
          </w:p>
        </w:tc>
      </w:tr>
      <w:tr>
        <w:trPr>
          <w:trHeight w:val="228"/>
        </w:trPr>
        <w:tc>
          <w:tcPr>
            <w:tcW w:w="3400" w:type="dxa"/>
            <w:vAlign w:val="bottom"/>
          </w:tcPr>
          <w:p>
            <w:pPr>
              <w:ind w:left="60"/>
              <w:spacing w:after="0"/>
              <w:rPr>
                <w:sz w:val="20"/>
                <w:szCs w:val="20"/>
                <w:color w:val="auto"/>
              </w:rPr>
            </w:pPr>
            <w:r>
              <w:rPr>
                <w:rFonts w:ascii="Arial" w:cs="Arial" w:eastAsia="Arial" w:hAnsi="Arial"/>
                <w:sz w:val="16"/>
                <w:szCs w:val="16"/>
                <w:b w:val="1"/>
                <w:bCs w:val="1"/>
                <w:color w:val="0072CE"/>
              </w:rPr>
              <w:t>Linda R. Gooden</w:t>
            </w:r>
          </w:p>
        </w:tc>
        <w:tc>
          <w:tcPr>
            <w:tcW w:w="2460" w:type="dxa"/>
            <w:vAlign w:val="bottom"/>
          </w:tcPr>
          <w:p>
            <w:pPr>
              <w:jc w:val="right"/>
              <w:ind w:right="99"/>
              <w:spacing w:after="0"/>
              <w:rPr>
                <w:sz w:val="20"/>
                <w:szCs w:val="20"/>
                <w:color w:val="auto"/>
              </w:rPr>
            </w:pPr>
            <w:r>
              <w:rPr>
                <w:rFonts w:ascii="Arial" w:cs="Arial" w:eastAsia="Arial" w:hAnsi="Arial"/>
                <w:sz w:val="16"/>
                <w:szCs w:val="16"/>
                <w:color w:val="3D3935"/>
              </w:rPr>
              <w:t>155,000</w:t>
            </w:r>
          </w:p>
        </w:tc>
        <w:tc>
          <w:tcPr>
            <w:tcW w:w="1240" w:type="dxa"/>
            <w:vAlign w:val="bottom"/>
          </w:tcPr>
          <w:p>
            <w:pPr>
              <w:jc w:val="center"/>
              <w:ind w:right="179"/>
              <w:spacing w:after="0"/>
              <w:rPr>
                <w:sz w:val="20"/>
                <w:szCs w:val="20"/>
                <w:color w:val="auto"/>
              </w:rPr>
            </w:pPr>
            <w:r>
              <w:rPr>
                <w:rFonts w:ascii="Arial" w:cs="Arial" w:eastAsia="Arial" w:hAnsi="Arial"/>
                <w:sz w:val="16"/>
                <w:szCs w:val="16"/>
                <w:color w:val="3D3935"/>
              </w:rPr>
              <w:t>195,021</w:t>
            </w:r>
          </w:p>
        </w:tc>
        <w:tc>
          <w:tcPr>
            <w:tcW w:w="1140" w:type="dxa"/>
            <w:vAlign w:val="bottom"/>
          </w:tcPr>
          <w:p>
            <w:pPr>
              <w:jc w:val="right"/>
              <w:ind w:right="79"/>
              <w:spacing w:after="0"/>
              <w:rPr>
                <w:sz w:val="20"/>
                <w:szCs w:val="20"/>
                <w:color w:val="auto"/>
              </w:rPr>
            </w:pPr>
            <w:r>
              <w:rPr>
                <w:rFonts w:ascii="Arial" w:cs="Arial" w:eastAsia="Arial" w:hAnsi="Arial"/>
                <w:sz w:val="16"/>
                <w:szCs w:val="16"/>
                <w:color w:val="3D3935"/>
              </w:rPr>
              <w:t>24,157</w:t>
            </w:r>
          </w:p>
        </w:tc>
        <w:tc>
          <w:tcPr>
            <w:tcW w:w="840" w:type="dxa"/>
            <w:vAlign w:val="bottom"/>
          </w:tcPr>
          <w:p>
            <w:pPr>
              <w:jc w:val="right"/>
              <w:spacing w:after="0"/>
              <w:rPr>
                <w:sz w:val="20"/>
                <w:szCs w:val="20"/>
                <w:color w:val="auto"/>
              </w:rPr>
            </w:pPr>
            <w:r>
              <w:rPr>
                <w:rFonts w:ascii="Arial" w:cs="Arial" w:eastAsia="Arial" w:hAnsi="Arial"/>
                <w:sz w:val="16"/>
                <w:szCs w:val="16"/>
                <w:color w:val="3D3935"/>
              </w:rPr>
              <w:t>374,178</w:t>
            </w:r>
          </w:p>
        </w:tc>
      </w:tr>
      <w:tr>
        <w:trPr>
          <w:trHeight w:val="270"/>
        </w:trPr>
        <w:tc>
          <w:tcPr>
            <w:tcW w:w="3400" w:type="dxa"/>
            <w:vAlign w:val="bottom"/>
          </w:tcPr>
          <w:p>
            <w:pPr>
              <w:ind w:left="60"/>
              <w:spacing w:after="0"/>
              <w:rPr>
                <w:sz w:val="20"/>
                <w:szCs w:val="20"/>
                <w:color w:val="auto"/>
              </w:rPr>
            </w:pPr>
            <w:r>
              <w:rPr>
                <w:rFonts w:ascii="Arial" w:cs="Arial" w:eastAsia="Arial" w:hAnsi="Arial"/>
                <w:sz w:val="16"/>
                <w:szCs w:val="16"/>
                <w:b w:val="1"/>
                <w:bCs w:val="1"/>
                <w:color w:val="0072CE"/>
              </w:rPr>
              <w:t>Joseph Jimenez</w:t>
            </w:r>
          </w:p>
        </w:tc>
        <w:tc>
          <w:tcPr>
            <w:tcW w:w="2460" w:type="dxa"/>
            <w:vAlign w:val="bottom"/>
          </w:tcPr>
          <w:p>
            <w:pPr>
              <w:jc w:val="right"/>
              <w:ind w:right="99"/>
              <w:spacing w:after="0"/>
              <w:rPr>
                <w:sz w:val="20"/>
                <w:szCs w:val="20"/>
                <w:color w:val="auto"/>
              </w:rPr>
            </w:pPr>
            <w:r>
              <w:rPr>
                <w:rFonts w:ascii="Arial" w:cs="Arial" w:eastAsia="Arial" w:hAnsi="Arial"/>
                <w:sz w:val="16"/>
                <w:szCs w:val="16"/>
                <w:color w:val="3D3935"/>
              </w:rPr>
              <w:t>155,000</w:t>
            </w:r>
          </w:p>
        </w:tc>
        <w:tc>
          <w:tcPr>
            <w:tcW w:w="1240" w:type="dxa"/>
            <w:vAlign w:val="bottom"/>
          </w:tcPr>
          <w:p>
            <w:pPr>
              <w:jc w:val="center"/>
              <w:ind w:right="179"/>
              <w:spacing w:after="0"/>
              <w:rPr>
                <w:sz w:val="20"/>
                <w:szCs w:val="20"/>
                <w:color w:val="auto"/>
              </w:rPr>
            </w:pPr>
            <w:r>
              <w:rPr>
                <w:rFonts w:ascii="Arial" w:cs="Arial" w:eastAsia="Arial" w:hAnsi="Arial"/>
                <w:sz w:val="16"/>
                <w:szCs w:val="16"/>
                <w:color w:val="3D3935"/>
              </w:rPr>
              <w:t>195,021</w:t>
            </w:r>
          </w:p>
        </w:tc>
        <w:tc>
          <w:tcPr>
            <w:tcW w:w="1140" w:type="dxa"/>
            <w:vAlign w:val="bottom"/>
          </w:tcPr>
          <w:p>
            <w:pPr>
              <w:jc w:val="right"/>
              <w:ind w:right="59"/>
              <w:spacing w:after="0"/>
              <w:rPr>
                <w:sz w:val="20"/>
                <w:szCs w:val="20"/>
                <w:color w:val="auto"/>
              </w:rPr>
            </w:pPr>
            <w:r>
              <w:rPr>
                <w:rFonts w:ascii="Arial" w:cs="Arial" w:eastAsia="Arial" w:hAnsi="Arial"/>
                <w:sz w:val="16"/>
                <w:szCs w:val="16"/>
                <w:color w:val="3D3935"/>
              </w:rPr>
              <w:t>41,261</w:t>
            </w:r>
          </w:p>
        </w:tc>
        <w:tc>
          <w:tcPr>
            <w:tcW w:w="840" w:type="dxa"/>
            <w:vAlign w:val="bottom"/>
          </w:tcPr>
          <w:p>
            <w:pPr>
              <w:jc w:val="right"/>
              <w:spacing w:after="0"/>
              <w:rPr>
                <w:sz w:val="20"/>
                <w:szCs w:val="20"/>
                <w:color w:val="auto"/>
              </w:rPr>
            </w:pPr>
            <w:r>
              <w:rPr>
                <w:rFonts w:ascii="Arial" w:cs="Arial" w:eastAsia="Arial" w:hAnsi="Arial"/>
                <w:sz w:val="16"/>
                <w:szCs w:val="16"/>
                <w:color w:val="3D3935"/>
              </w:rPr>
              <w:t>391,282</w:t>
            </w:r>
          </w:p>
        </w:tc>
      </w:tr>
      <w:tr>
        <w:trPr>
          <w:trHeight w:val="312"/>
        </w:trPr>
        <w:tc>
          <w:tcPr>
            <w:tcW w:w="3400" w:type="dxa"/>
            <w:vAlign w:val="bottom"/>
          </w:tcPr>
          <w:p>
            <w:pPr>
              <w:ind w:left="60"/>
              <w:spacing w:after="0"/>
              <w:rPr>
                <w:sz w:val="20"/>
                <w:szCs w:val="20"/>
                <w:color w:val="auto"/>
              </w:rPr>
            </w:pPr>
            <w:r>
              <w:rPr>
                <w:rFonts w:ascii="Arial" w:cs="Arial" w:eastAsia="Arial" w:hAnsi="Arial"/>
                <w:sz w:val="16"/>
                <w:szCs w:val="16"/>
                <w:b w:val="1"/>
                <w:bCs w:val="1"/>
                <w:color w:val="0072CE"/>
              </w:rPr>
              <w:t xml:space="preserve">Alfred F. Kelly, Jr. </w:t>
            </w:r>
            <w:r>
              <w:rPr>
                <w:rFonts w:ascii="Arial" w:cs="Arial" w:eastAsia="Arial" w:hAnsi="Arial"/>
                <w:sz w:val="21"/>
                <w:szCs w:val="21"/>
                <w:b w:val="1"/>
                <w:bCs w:val="1"/>
                <w:color w:val="0072CE"/>
                <w:vertAlign w:val="superscript"/>
              </w:rPr>
              <w:t>(5)</w:t>
            </w:r>
          </w:p>
        </w:tc>
        <w:tc>
          <w:tcPr>
            <w:tcW w:w="2460" w:type="dxa"/>
            <w:vAlign w:val="bottom"/>
          </w:tcPr>
          <w:p>
            <w:pPr>
              <w:jc w:val="right"/>
              <w:ind w:right="139"/>
              <w:spacing w:after="0"/>
              <w:rPr>
                <w:sz w:val="20"/>
                <w:szCs w:val="20"/>
                <w:color w:val="auto"/>
              </w:rPr>
            </w:pPr>
            <w:r>
              <w:rPr>
                <w:rFonts w:ascii="Arial" w:cs="Arial" w:eastAsia="Arial" w:hAnsi="Arial"/>
                <w:sz w:val="16"/>
                <w:szCs w:val="16"/>
                <w:color w:val="3D3935"/>
              </w:rPr>
              <w:t>42,900</w:t>
            </w:r>
          </w:p>
        </w:tc>
        <w:tc>
          <w:tcPr>
            <w:tcW w:w="1240" w:type="dxa"/>
            <w:vAlign w:val="bottom"/>
          </w:tcPr>
          <w:p>
            <w:pPr>
              <w:jc w:val="center"/>
              <w:ind w:right="199"/>
              <w:spacing w:after="0"/>
              <w:rPr>
                <w:sz w:val="20"/>
                <w:szCs w:val="20"/>
                <w:color w:val="auto"/>
              </w:rPr>
            </w:pPr>
            <w:r>
              <w:rPr>
                <w:rFonts w:ascii="Arial" w:cs="Arial" w:eastAsia="Arial" w:hAnsi="Arial"/>
                <w:sz w:val="16"/>
                <w:szCs w:val="16"/>
                <w:color w:val="3D3935"/>
                <w:w w:val="98"/>
              </w:rPr>
              <w:t>64,350</w:t>
            </w:r>
          </w:p>
        </w:tc>
        <w:tc>
          <w:tcPr>
            <w:tcW w:w="1140" w:type="dxa"/>
            <w:vAlign w:val="bottom"/>
          </w:tcPr>
          <w:p>
            <w:pPr>
              <w:jc w:val="right"/>
              <w:ind w:right="119"/>
              <w:spacing w:after="0"/>
              <w:rPr>
                <w:sz w:val="20"/>
                <w:szCs w:val="20"/>
                <w:color w:val="auto"/>
              </w:rPr>
            </w:pPr>
            <w:r>
              <w:rPr>
                <w:rFonts w:ascii="Arial" w:cs="Arial" w:eastAsia="Arial" w:hAnsi="Arial"/>
                <w:sz w:val="16"/>
                <w:szCs w:val="16"/>
                <w:color w:val="3D3935"/>
              </w:rPr>
              <w:t>9,244</w:t>
            </w:r>
          </w:p>
        </w:tc>
        <w:tc>
          <w:tcPr>
            <w:tcW w:w="840" w:type="dxa"/>
            <w:vAlign w:val="bottom"/>
          </w:tcPr>
          <w:p>
            <w:pPr>
              <w:jc w:val="right"/>
              <w:spacing w:after="0"/>
              <w:rPr>
                <w:sz w:val="20"/>
                <w:szCs w:val="20"/>
                <w:color w:val="auto"/>
              </w:rPr>
            </w:pPr>
            <w:r>
              <w:rPr>
                <w:rFonts w:ascii="Arial" w:cs="Arial" w:eastAsia="Arial" w:hAnsi="Arial"/>
                <w:sz w:val="16"/>
                <w:szCs w:val="16"/>
                <w:color w:val="3D3935"/>
              </w:rPr>
              <w:t>116,494</w:t>
            </w:r>
          </w:p>
        </w:tc>
      </w:tr>
      <w:tr>
        <w:trPr>
          <w:trHeight w:val="228"/>
        </w:trPr>
        <w:tc>
          <w:tcPr>
            <w:tcW w:w="3400" w:type="dxa"/>
            <w:vAlign w:val="bottom"/>
          </w:tcPr>
          <w:p>
            <w:pPr>
              <w:ind w:left="60"/>
              <w:spacing w:after="0"/>
              <w:rPr>
                <w:sz w:val="20"/>
                <w:szCs w:val="20"/>
                <w:color w:val="auto"/>
              </w:rPr>
            </w:pPr>
            <w:r>
              <w:rPr>
                <w:rFonts w:ascii="Arial" w:cs="Arial" w:eastAsia="Arial" w:hAnsi="Arial"/>
                <w:sz w:val="16"/>
                <w:szCs w:val="16"/>
                <w:b w:val="1"/>
                <w:bCs w:val="1"/>
                <w:color w:val="0072CE"/>
              </w:rPr>
              <w:t>Jonathan McNeill</w:t>
            </w:r>
          </w:p>
        </w:tc>
        <w:tc>
          <w:tcPr>
            <w:tcW w:w="2460" w:type="dxa"/>
            <w:vAlign w:val="bottom"/>
          </w:tcPr>
          <w:p>
            <w:pPr>
              <w:jc w:val="right"/>
              <w:ind w:right="119"/>
              <w:spacing w:after="0"/>
              <w:rPr>
                <w:sz w:val="20"/>
                <w:szCs w:val="20"/>
                <w:color w:val="auto"/>
              </w:rPr>
            </w:pPr>
            <w:r>
              <w:rPr>
                <w:rFonts w:ascii="Arial" w:cs="Arial" w:eastAsia="Arial" w:hAnsi="Arial"/>
                <w:sz w:val="16"/>
                <w:szCs w:val="16"/>
                <w:color w:val="3D3935"/>
              </w:rPr>
              <w:t>160,000</w:t>
            </w:r>
          </w:p>
        </w:tc>
        <w:tc>
          <w:tcPr>
            <w:tcW w:w="1240" w:type="dxa"/>
            <w:vAlign w:val="bottom"/>
          </w:tcPr>
          <w:p>
            <w:pPr>
              <w:jc w:val="center"/>
              <w:ind w:right="179"/>
              <w:spacing w:after="0"/>
              <w:rPr>
                <w:sz w:val="20"/>
                <w:szCs w:val="20"/>
                <w:color w:val="auto"/>
              </w:rPr>
            </w:pPr>
            <w:r>
              <w:rPr>
                <w:rFonts w:ascii="Arial" w:cs="Arial" w:eastAsia="Arial" w:hAnsi="Arial"/>
                <w:sz w:val="16"/>
                <w:szCs w:val="16"/>
                <w:color w:val="3D3935"/>
              </w:rPr>
              <w:t>195,021</w:t>
            </w:r>
          </w:p>
        </w:tc>
        <w:tc>
          <w:tcPr>
            <w:tcW w:w="1140" w:type="dxa"/>
            <w:vAlign w:val="bottom"/>
          </w:tcPr>
          <w:p>
            <w:pPr>
              <w:jc w:val="right"/>
              <w:ind w:right="99"/>
              <w:spacing w:after="0"/>
              <w:rPr>
                <w:sz w:val="20"/>
                <w:szCs w:val="20"/>
                <w:color w:val="auto"/>
              </w:rPr>
            </w:pPr>
            <w:r>
              <w:rPr>
                <w:rFonts w:ascii="Arial" w:cs="Arial" w:eastAsia="Arial" w:hAnsi="Arial"/>
                <w:sz w:val="16"/>
                <w:szCs w:val="16"/>
                <w:color w:val="3D3935"/>
              </w:rPr>
              <w:t>14,344</w:t>
            </w:r>
          </w:p>
        </w:tc>
        <w:tc>
          <w:tcPr>
            <w:tcW w:w="840" w:type="dxa"/>
            <w:vAlign w:val="bottom"/>
          </w:tcPr>
          <w:p>
            <w:pPr>
              <w:jc w:val="right"/>
              <w:ind w:right="19"/>
              <w:spacing w:after="0"/>
              <w:rPr>
                <w:sz w:val="20"/>
                <w:szCs w:val="20"/>
                <w:color w:val="auto"/>
              </w:rPr>
            </w:pPr>
            <w:r>
              <w:rPr>
                <w:rFonts w:ascii="Arial" w:cs="Arial" w:eastAsia="Arial" w:hAnsi="Arial"/>
                <w:sz w:val="16"/>
                <w:szCs w:val="16"/>
                <w:color w:val="3D3935"/>
              </w:rPr>
              <w:t>369,365</w:t>
            </w:r>
          </w:p>
        </w:tc>
      </w:tr>
      <w:tr>
        <w:trPr>
          <w:trHeight w:val="270"/>
        </w:trPr>
        <w:tc>
          <w:tcPr>
            <w:tcW w:w="3400" w:type="dxa"/>
            <w:vAlign w:val="bottom"/>
          </w:tcPr>
          <w:p>
            <w:pPr>
              <w:ind w:left="60"/>
              <w:spacing w:after="0"/>
              <w:rPr>
                <w:sz w:val="20"/>
                <w:szCs w:val="20"/>
                <w:color w:val="auto"/>
              </w:rPr>
            </w:pPr>
            <w:r>
              <w:rPr>
                <w:rFonts w:ascii="Arial" w:cs="Arial" w:eastAsia="Arial" w:hAnsi="Arial"/>
                <w:sz w:val="16"/>
                <w:szCs w:val="16"/>
                <w:b w:val="1"/>
                <w:bCs w:val="1"/>
                <w:color w:val="0072CE"/>
              </w:rPr>
              <w:t>Judith A. Miscik</w:t>
            </w:r>
          </w:p>
        </w:tc>
        <w:tc>
          <w:tcPr>
            <w:tcW w:w="2460" w:type="dxa"/>
            <w:vAlign w:val="bottom"/>
          </w:tcPr>
          <w:p>
            <w:pPr>
              <w:jc w:val="right"/>
              <w:ind w:right="119"/>
              <w:spacing w:after="0"/>
              <w:rPr>
                <w:sz w:val="20"/>
                <w:szCs w:val="20"/>
                <w:color w:val="auto"/>
              </w:rPr>
            </w:pPr>
            <w:r>
              <w:rPr>
                <w:rFonts w:ascii="Arial" w:cs="Arial" w:eastAsia="Arial" w:hAnsi="Arial"/>
                <w:sz w:val="16"/>
                <w:szCs w:val="16"/>
                <w:color w:val="3D3935"/>
              </w:rPr>
              <w:t>130,000</w:t>
            </w:r>
          </w:p>
        </w:tc>
        <w:tc>
          <w:tcPr>
            <w:tcW w:w="1240" w:type="dxa"/>
            <w:vAlign w:val="bottom"/>
          </w:tcPr>
          <w:p>
            <w:pPr>
              <w:jc w:val="center"/>
              <w:ind w:right="179"/>
              <w:spacing w:after="0"/>
              <w:rPr>
                <w:sz w:val="20"/>
                <w:szCs w:val="20"/>
                <w:color w:val="auto"/>
              </w:rPr>
            </w:pPr>
            <w:r>
              <w:rPr>
                <w:rFonts w:ascii="Arial" w:cs="Arial" w:eastAsia="Arial" w:hAnsi="Arial"/>
                <w:sz w:val="16"/>
                <w:szCs w:val="16"/>
                <w:color w:val="3D3935"/>
              </w:rPr>
              <w:t>195,021</w:t>
            </w:r>
          </w:p>
        </w:tc>
        <w:tc>
          <w:tcPr>
            <w:tcW w:w="1140" w:type="dxa"/>
            <w:vAlign w:val="bottom"/>
          </w:tcPr>
          <w:p>
            <w:pPr>
              <w:jc w:val="right"/>
              <w:ind w:right="119"/>
              <w:spacing w:after="0"/>
              <w:rPr>
                <w:sz w:val="20"/>
                <w:szCs w:val="20"/>
                <w:color w:val="auto"/>
              </w:rPr>
            </w:pPr>
            <w:r>
              <w:rPr>
                <w:rFonts w:ascii="Arial" w:cs="Arial" w:eastAsia="Arial" w:hAnsi="Arial"/>
                <w:sz w:val="16"/>
                <w:szCs w:val="16"/>
                <w:color w:val="3D3935"/>
              </w:rPr>
              <w:t>23,490</w:t>
            </w:r>
          </w:p>
        </w:tc>
        <w:tc>
          <w:tcPr>
            <w:tcW w:w="840" w:type="dxa"/>
            <w:vAlign w:val="bottom"/>
          </w:tcPr>
          <w:p>
            <w:pPr>
              <w:jc w:val="right"/>
              <w:spacing w:after="0"/>
              <w:rPr>
                <w:sz w:val="20"/>
                <w:szCs w:val="20"/>
                <w:color w:val="auto"/>
              </w:rPr>
            </w:pPr>
            <w:r>
              <w:rPr>
                <w:rFonts w:ascii="Arial" w:cs="Arial" w:eastAsia="Arial" w:hAnsi="Arial"/>
                <w:sz w:val="16"/>
                <w:szCs w:val="16"/>
                <w:color w:val="3D3935"/>
              </w:rPr>
              <w:t>348,511</w:t>
            </w:r>
          </w:p>
        </w:tc>
      </w:tr>
      <w:tr>
        <w:trPr>
          <w:trHeight w:val="270"/>
        </w:trPr>
        <w:tc>
          <w:tcPr>
            <w:tcW w:w="3400" w:type="dxa"/>
            <w:vAlign w:val="bottom"/>
          </w:tcPr>
          <w:p>
            <w:pPr>
              <w:ind w:left="60"/>
              <w:spacing w:after="0"/>
              <w:rPr>
                <w:sz w:val="20"/>
                <w:szCs w:val="20"/>
                <w:color w:val="auto"/>
              </w:rPr>
            </w:pPr>
            <w:r>
              <w:rPr>
                <w:rFonts w:ascii="Arial" w:cs="Arial" w:eastAsia="Arial" w:hAnsi="Arial"/>
                <w:sz w:val="16"/>
                <w:szCs w:val="16"/>
                <w:b w:val="1"/>
                <w:bCs w:val="1"/>
                <w:color w:val="0072CE"/>
              </w:rPr>
              <w:t>Patricia F. Russo</w:t>
            </w:r>
          </w:p>
        </w:tc>
        <w:tc>
          <w:tcPr>
            <w:tcW w:w="2460" w:type="dxa"/>
            <w:vAlign w:val="bottom"/>
          </w:tcPr>
          <w:p>
            <w:pPr>
              <w:jc w:val="right"/>
              <w:ind w:right="139"/>
              <w:spacing w:after="0"/>
              <w:rPr>
                <w:sz w:val="20"/>
                <w:szCs w:val="20"/>
                <w:color w:val="auto"/>
              </w:rPr>
            </w:pPr>
            <w:r>
              <w:rPr>
                <w:rFonts w:ascii="Arial" w:cs="Arial" w:eastAsia="Arial" w:hAnsi="Arial"/>
                <w:sz w:val="16"/>
                <w:szCs w:val="16"/>
                <w:color w:val="3D3935"/>
              </w:rPr>
              <w:t>255,000</w:t>
            </w:r>
          </w:p>
        </w:tc>
        <w:tc>
          <w:tcPr>
            <w:tcW w:w="1240" w:type="dxa"/>
            <w:vAlign w:val="bottom"/>
          </w:tcPr>
          <w:p>
            <w:pPr>
              <w:jc w:val="center"/>
              <w:ind w:right="179"/>
              <w:spacing w:after="0"/>
              <w:rPr>
                <w:sz w:val="20"/>
                <w:szCs w:val="20"/>
                <w:color w:val="auto"/>
              </w:rPr>
            </w:pPr>
            <w:r>
              <w:rPr>
                <w:rFonts w:ascii="Arial" w:cs="Arial" w:eastAsia="Arial" w:hAnsi="Arial"/>
                <w:sz w:val="16"/>
                <w:szCs w:val="16"/>
                <w:color w:val="3D3935"/>
              </w:rPr>
              <w:t>195,021</w:t>
            </w:r>
          </w:p>
        </w:tc>
        <w:tc>
          <w:tcPr>
            <w:tcW w:w="1140" w:type="dxa"/>
            <w:vAlign w:val="bottom"/>
          </w:tcPr>
          <w:p>
            <w:pPr>
              <w:jc w:val="right"/>
              <w:ind w:right="99"/>
              <w:spacing w:after="0"/>
              <w:rPr>
                <w:sz w:val="20"/>
                <w:szCs w:val="20"/>
                <w:color w:val="auto"/>
              </w:rPr>
            </w:pPr>
            <w:r>
              <w:rPr>
                <w:rFonts w:ascii="Arial" w:cs="Arial" w:eastAsia="Arial" w:hAnsi="Arial"/>
                <w:sz w:val="16"/>
                <w:szCs w:val="16"/>
                <w:color w:val="3D3935"/>
              </w:rPr>
              <w:t>12,490</w:t>
            </w:r>
          </w:p>
        </w:tc>
        <w:tc>
          <w:tcPr>
            <w:tcW w:w="840" w:type="dxa"/>
            <w:vAlign w:val="bottom"/>
          </w:tcPr>
          <w:p>
            <w:pPr>
              <w:jc w:val="right"/>
              <w:spacing w:after="0"/>
              <w:rPr>
                <w:sz w:val="20"/>
                <w:szCs w:val="20"/>
                <w:color w:val="auto"/>
              </w:rPr>
            </w:pPr>
            <w:r>
              <w:rPr>
                <w:rFonts w:ascii="Arial" w:cs="Arial" w:eastAsia="Arial" w:hAnsi="Arial"/>
                <w:sz w:val="16"/>
                <w:szCs w:val="16"/>
                <w:color w:val="3D3935"/>
              </w:rPr>
              <w:t>462,511</w:t>
            </w:r>
          </w:p>
        </w:tc>
      </w:tr>
      <w:tr>
        <w:trPr>
          <w:trHeight w:val="270"/>
        </w:trPr>
        <w:tc>
          <w:tcPr>
            <w:tcW w:w="3400" w:type="dxa"/>
            <w:vAlign w:val="bottom"/>
          </w:tcPr>
          <w:p>
            <w:pPr>
              <w:ind w:left="60"/>
              <w:spacing w:after="0"/>
              <w:rPr>
                <w:sz w:val="20"/>
                <w:szCs w:val="20"/>
                <w:color w:val="auto"/>
              </w:rPr>
            </w:pPr>
            <w:r>
              <w:rPr>
                <w:rFonts w:ascii="Arial" w:cs="Arial" w:eastAsia="Arial" w:hAnsi="Arial"/>
                <w:sz w:val="16"/>
                <w:szCs w:val="16"/>
                <w:b w:val="1"/>
                <w:bCs w:val="1"/>
                <w:color w:val="0072CE"/>
              </w:rPr>
              <w:t>Thomas M. Schoewe</w:t>
            </w:r>
          </w:p>
        </w:tc>
        <w:tc>
          <w:tcPr>
            <w:tcW w:w="2460" w:type="dxa"/>
            <w:vAlign w:val="bottom"/>
          </w:tcPr>
          <w:p>
            <w:pPr>
              <w:jc w:val="right"/>
              <w:ind w:right="99"/>
              <w:spacing w:after="0"/>
              <w:rPr>
                <w:sz w:val="20"/>
                <w:szCs w:val="20"/>
                <w:color w:val="auto"/>
              </w:rPr>
            </w:pPr>
            <w:r>
              <w:rPr>
                <w:rFonts w:ascii="Arial" w:cs="Arial" w:eastAsia="Arial" w:hAnsi="Arial"/>
                <w:sz w:val="16"/>
                <w:szCs w:val="16"/>
                <w:color w:val="3D3935"/>
              </w:rPr>
              <w:t>165,000</w:t>
            </w:r>
          </w:p>
        </w:tc>
        <w:tc>
          <w:tcPr>
            <w:tcW w:w="1240" w:type="dxa"/>
            <w:vAlign w:val="bottom"/>
          </w:tcPr>
          <w:p>
            <w:pPr>
              <w:jc w:val="center"/>
              <w:ind w:right="179"/>
              <w:spacing w:after="0"/>
              <w:rPr>
                <w:sz w:val="20"/>
                <w:szCs w:val="20"/>
                <w:color w:val="auto"/>
              </w:rPr>
            </w:pPr>
            <w:r>
              <w:rPr>
                <w:rFonts w:ascii="Arial" w:cs="Arial" w:eastAsia="Arial" w:hAnsi="Arial"/>
                <w:sz w:val="16"/>
                <w:szCs w:val="16"/>
                <w:color w:val="3D3935"/>
              </w:rPr>
              <w:t>195,021</w:t>
            </w:r>
          </w:p>
        </w:tc>
        <w:tc>
          <w:tcPr>
            <w:tcW w:w="1140" w:type="dxa"/>
            <w:vAlign w:val="bottom"/>
          </w:tcPr>
          <w:p>
            <w:pPr>
              <w:jc w:val="right"/>
              <w:ind w:right="119"/>
              <w:spacing w:after="0"/>
              <w:rPr>
                <w:sz w:val="20"/>
                <w:szCs w:val="20"/>
                <w:color w:val="auto"/>
              </w:rPr>
            </w:pPr>
            <w:r>
              <w:rPr>
                <w:rFonts w:ascii="Arial" w:cs="Arial" w:eastAsia="Arial" w:hAnsi="Arial"/>
                <w:sz w:val="16"/>
                <w:szCs w:val="16"/>
                <w:color w:val="3D3935"/>
              </w:rPr>
              <w:t>38,490</w:t>
            </w:r>
          </w:p>
        </w:tc>
        <w:tc>
          <w:tcPr>
            <w:tcW w:w="840" w:type="dxa"/>
            <w:vAlign w:val="bottom"/>
          </w:tcPr>
          <w:p>
            <w:pPr>
              <w:jc w:val="right"/>
              <w:spacing w:after="0"/>
              <w:rPr>
                <w:sz w:val="20"/>
                <w:szCs w:val="20"/>
                <w:color w:val="auto"/>
              </w:rPr>
            </w:pPr>
            <w:r>
              <w:rPr>
                <w:rFonts w:ascii="Arial" w:cs="Arial" w:eastAsia="Arial" w:hAnsi="Arial"/>
                <w:sz w:val="16"/>
                <w:szCs w:val="16"/>
                <w:color w:val="3D3935"/>
              </w:rPr>
              <w:t>398,511</w:t>
            </w:r>
          </w:p>
        </w:tc>
      </w:tr>
      <w:tr>
        <w:trPr>
          <w:trHeight w:val="270"/>
        </w:trPr>
        <w:tc>
          <w:tcPr>
            <w:tcW w:w="3400" w:type="dxa"/>
            <w:vAlign w:val="bottom"/>
          </w:tcPr>
          <w:p>
            <w:pPr>
              <w:ind w:left="60"/>
              <w:spacing w:after="0"/>
              <w:rPr>
                <w:sz w:val="20"/>
                <w:szCs w:val="20"/>
                <w:color w:val="auto"/>
              </w:rPr>
            </w:pPr>
            <w:r>
              <w:rPr>
                <w:rFonts w:ascii="Arial" w:cs="Arial" w:eastAsia="Arial" w:hAnsi="Arial"/>
                <w:sz w:val="16"/>
                <w:szCs w:val="16"/>
                <w:b w:val="1"/>
                <w:bCs w:val="1"/>
                <w:color w:val="0072CE"/>
              </w:rPr>
              <w:t>Mark A. Tatum</w:t>
            </w:r>
          </w:p>
        </w:tc>
        <w:tc>
          <w:tcPr>
            <w:tcW w:w="2460" w:type="dxa"/>
            <w:vAlign w:val="bottom"/>
          </w:tcPr>
          <w:p>
            <w:pPr>
              <w:jc w:val="right"/>
              <w:ind w:right="119"/>
              <w:spacing w:after="0"/>
              <w:rPr>
                <w:sz w:val="20"/>
                <w:szCs w:val="20"/>
                <w:color w:val="auto"/>
              </w:rPr>
            </w:pPr>
            <w:r>
              <w:rPr>
                <w:rFonts w:ascii="Arial" w:cs="Arial" w:eastAsia="Arial" w:hAnsi="Arial"/>
                <w:sz w:val="16"/>
                <w:szCs w:val="16"/>
                <w:color w:val="3D3935"/>
              </w:rPr>
              <w:t>130,000</w:t>
            </w:r>
          </w:p>
        </w:tc>
        <w:tc>
          <w:tcPr>
            <w:tcW w:w="1240" w:type="dxa"/>
            <w:vAlign w:val="bottom"/>
          </w:tcPr>
          <w:p>
            <w:pPr>
              <w:jc w:val="center"/>
              <w:ind w:right="179"/>
              <w:spacing w:after="0"/>
              <w:rPr>
                <w:sz w:val="20"/>
                <w:szCs w:val="20"/>
                <w:color w:val="auto"/>
              </w:rPr>
            </w:pPr>
            <w:r>
              <w:rPr>
                <w:rFonts w:ascii="Arial" w:cs="Arial" w:eastAsia="Arial" w:hAnsi="Arial"/>
                <w:sz w:val="16"/>
                <w:szCs w:val="16"/>
                <w:color w:val="3D3935"/>
              </w:rPr>
              <w:t>195,021</w:t>
            </w:r>
          </w:p>
        </w:tc>
        <w:tc>
          <w:tcPr>
            <w:tcW w:w="1140" w:type="dxa"/>
            <w:vAlign w:val="bottom"/>
          </w:tcPr>
          <w:p>
            <w:pPr>
              <w:jc w:val="right"/>
              <w:ind w:right="119"/>
              <w:spacing w:after="0"/>
              <w:rPr>
                <w:sz w:val="20"/>
                <w:szCs w:val="20"/>
                <w:color w:val="auto"/>
              </w:rPr>
            </w:pPr>
            <w:r>
              <w:rPr>
                <w:rFonts w:ascii="Arial" w:cs="Arial" w:eastAsia="Arial" w:hAnsi="Arial"/>
                <w:sz w:val="16"/>
                <w:szCs w:val="16"/>
                <w:color w:val="3D3935"/>
              </w:rPr>
              <w:t>45,740</w:t>
            </w:r>
          </w:p>
        </w:tc>
        <w:tc>
          <w:tcPr>
            <w:tcW w:w="840" w:type="dxa"/>
            <w:vAlign w:val="bottom"/>
          </w:tcPr>
          <w:p>
            <w:pPr>
              <w:jc w:val="right"/>
              <w:spacing w:after="0"/>
              <w:rPr>
                <w:sz w:val="20"/>
                <w:szCs w:val="20"/>
                <w:color w:val="auto"/>
              </w:rPr>
            </w:pPr>
            <w:r>
              <w:rPr>
                <w:rFonts w:ascii="Arial" w:cs="Arial" w:eastAsia="Arial" w:hAnsi="Arial"/>
                <w:sz w:val="16"/>
                <w:szCs w:val="16"/>
                <w:color w:val="3D3935"/>
              </w:rPr>
              <w:t>370,761</w:t>
            </w:r>
          </w:p>
        </w:tc>
      </w:tr>
      <w:tr>
        <w:trPr>
          <w:trHeight w:val="270"/>
        </w:trPr>
        <w:tc>
          <w:tcPr>
            <w:tcW w:w="3400" w:type="dxa"/>
            <w:vAlign w:val="bottom"/>
          </w:tcPr>
          <w:p>
            <w:pPr>
              <w:ind w:left="60"/>
              <w:spacing w:after="0"/>
              <w:rPr>
                <w:sz w:val="20"/>
                <w:szCs w:val="20"/>
                <w:color w:val="auto"/>
              </w:rPr>
            </w:pPr>
            <w:r>
              <w:rPr>
                <w:rFonts w:ascii="Arial" w:cs="Arial" w:eastAsia="Arial" w:hAnsi="Arial"/>
                <w:sz w:val="16"/>
                <w:szCs w:val="16"/>
                <w:b w:val="1"/>
                <w:bCs w:val="1"/>
                <w:color w:val="0072CE"/>
              </w:rPr>
              <w:t>Jan E. Tighe</w:t>
            </w:r>
          </w:p>
        </w:tc>
        <w:tc>
          <w:tcPr>
            <w:tcW w:w="2460" w:type="dxa"/>
            <w:vAlign w:val="bottom"/>
          </w:tcPr>
          <w:p>
            <w:pPr>
              <w:jc w:val="right"/>
              <w:ind w:right="119"/>
              <w:spacing w:after="0"/>
              <w:rPr>
                <w:sz w:val="20"/>
                <w:szCs w:val="20"/>
                <w:color w:val="auto"/>
              </w:rPr>
            </w:pPr>
            <w:r>
              <w:rPr>
                <w:rFonts w:ascii="Arial" w:cs="Arial" w:eastAsia="Arial" w:hAnsi="Arial"/>
                <w:sz w:val="16"/>
                <w:szCs w:val="16"/>
                <w:color w:val="3D3935"/>
              </w:rPr>
              <w:t>130,000</w:t>
            </w:r>
          </w:p>
        </w:tc>
        <w:tc>
          <w:tcPr>
            <w:tcW w:w="1240" w:type="dxa"/>
            <w:vAlign w:val="bottom"/>
          </w:tcPr>
          <w:p>
            <w:pPr>
              <w:jc w:val="center"/>
              <w:ind w:right="179"/>
              <w:spacing w:after="0"/>
              <w:rPr>
                <w:sz w:val="20"/>
                <w:szCs w:val="20"/>
                <w:color w:val="auto"/>
              </w:rPr>
            </w:pPr>
            <w:r>
              <w:rPr>
                <w:rFonts w:ascii="Arial" w:cs="Arial" w:eastAsia="Arial" w:hAnsi="Arial"/>
                <w:sz w:val="16"/>
                <w:szCs w:val="16"/>
                <w:color w:val="3D3935"/>
              </w:rPr>
              <w:t>195,021</w:t>
            </w:r>
          </w:p>
        </w:tc>
        <w:tc>
          <w:tcPr>
            <w:tcW w:w="1140" w:type="dxa"/>
            <w:vAlign w:val="bottom"/>
          </w:tcPr>
          <w:p>
            <w:pPr>
              <w:jc w:val="right"/>
              <w:ind w:right="119"/>
              <w:spacing w:after="0"/>
              <w:rPr>
                <w:sz w:val="20"/>
                <w:szCs w:val="20"/>
                <w:color w:val="auto"/>
              </w:rPr>
            </w:pPr>
            <w:r>
              <w:rPr>
                <w:rFonts w:ascii="Arial" w:cs="Arial" w:eastAsia="Arial" w:hAnsi="Arial"/>
                <w:sz w:val="16"/>
                <w:szCs w:val="16"/>
                <w:color w:val="3D3935"/>
              </w:rPr>
              <w:t>23,323</w:t>
            </w:r>
          </w:p>
        </w:tc>
        <w:tc>
          <w:tcPr>
            <w:tcW w:w="840" w:type="dxa"/>
            <w:vAlign w:val="bottom"/>
          </w:tcPr>
          <w:p>
            <w:pPr>
              <w:jc w:val="right"/>
              <w:ind w:right="39"/>
              <w:spacing w:after="0"/>
              <w:rPr>
                <w:sz w:val="20"/>
                <w:szCs w:val="20"/>
                <w:color w:val="auto"/>
              </w:rPr>
            </w:pPr>
            <w:r>
              <w:rPr>
                <w:rFonts w:ascii="Arial" w:cs="Arial" w:eastAsia="Arial" w:hAnsi="Arial"/>
                <w:sz w:val="16"/>
                <w:szCs w:val="16"/>
                <w:color w:val="3D3935"/>
              </w:rPr>
              <w:t>348,344</w:t>
            </w:r>
          </w:p>
        </w:tc>
      </w:tr>
      <w:tr>
        <w:trPr>
          <w:trHeight w:val="270"/>
        </w:trPr>
        <w:tc>
          <w:tcPr>
            <w:tcW w:w="3400" w:type="dxa"/>
            <w:vAlign w:val="bottom"/>
          </w:tcPr>
          <w:p>
            <w:pPr>
              <w:ind w:left="60"/>
              <w:spacing w:after="0"/>
              <w:rPr>
                <w:sz w:val="20"/>
                <w:szCs w:val="20"/>
                <w:color w:val="auto"/>
              </w:rPr>
            </w:pPr>
            <w:r>
              <w:rPr>
                <w:rFonts w:ascii="Arial" w:cs="Arial" w:eastAsia="Arial" w:hAnsi="Arial"/>
                <w:sz w:val="16"/>
                <w:szCs w:val="16"/>
                <w:b w:val="1"/>
                <w:bCs w:val="1"/>
                <w:color w:val="0072CE"/>
              </w:rPr>
              <w:t>Devin N. Wenig</w:t>
            </w:r>
          </w:p>
        </w:tc>
        <w:tc>
          <w:tcPr>
            <w:tcW w:w="2460" w:type="dxa"/>
            <w:vAlign w:val="bottom"/>
          </w:tcPr>
          <w:p>
            <w:pPr>
              <w:jc w:val="right"/>
              <w:ind w:right="119"/>
              <w:spacing w:after="0"/>
              <w:rPr>
                <w:sz w:val="20"/>
                <w:szCs w:val="20"/>
                <w:color w:val="auto"/>
              </w:rPr>
            </w:pPr>
            <w:r>
              <w:rPr>
                <w:rFonts w:ascii="Arial" w:cs="Arial" w:eastAsia="Arial" w:hAnsi="Arial"/>
                <w:sz w:val="16"/>
                <w:szCs w:val="16"/>
                <w:color w:val="3D3935"/>
              </w:rPr>
              <w:t>160,000</w:t>
            </w:r>
          </w:p>
        </w:tc>
        <w:tc>
          <w:tcPr>
            <w:tcW w:w="1240" w:type="dxa"/>
            <w:vAlign w:val="bottom"/>
          </w:tcPr>
          <w:p>
            <w:pPr>
              <w:jc w:val="center"/>
              <w:ind w:right="179"/>
              <w:spacing w:after="0"/>
              <w:rPr>
                <w:sz w:val="20"/>
                <w:szCs w:val="20"/>
                <w:color w:val="auto"/>
              </w:rPr>
            </w:pPr>
            <w:r>
              <w:rPr>
                <w:rFonts w:ascii="Arial" w:cs="Arial" w:eastAsia="Arial" w:hAnsi="Arial"/>
                <w:sz w:val="16"/>
                <w:szCs w:val="16"/>
                <w:color w:val="3D3935"/>
              </w:rPr>
              <w:t>195,021</w:t>
            </w:r>
          </w:p>
        </w:tc>
        <w:tc>
          <w:tcPr>
            <w:tcW w:w="1140" w:type="dxa"/>
            <w:vAlign w:val="bottom"/>
          </w:tcPr>
          <w:p>
            <w:pPr>
              <w:jc w:val="right"/>
              <w:ind w:right="99"/>
              <w:spacing w:after="0"/>
              <w:rPr>
                <w:sz w:val="20"/>
                <w:szCs w:val="20"/>
                <w:color w:val="auto"/>
              </w:rPr>
            </w:pPr>
            <w:r>
              <w:rPr>
                <w:rFonts w:ascii="Arial" w:cs="Arial" w:eastAsia="Arial" w:hAnsi="Arial"/>
                <w:sz w:val="16"/>
                <w:szCs w:val="16"/>
                <w:color w:val="3D3935"/>
              </w:rPr>
              <w:t>34,573</w:t>
            </w:r>
          </w:p>
        </w:tc>
        <w:tc>
          <w:tcPr>
            <w:tcW w:w="840" w:type="dxa"/>
            <w:vAlign w:val="bottom"/>
          </w:tcPr>
          <w:p>
            <w:pPr>
              <w:jc w:val="right"/>
              <w:ind w:right="39"/>
              <w:spacing w:after="0"/>
              <w:rPr>
                <w:sz w:val="20"/>
                <w:szCs w:val="20"/>
                <w:color w:val="auto"/>
              </w:rPr>
            </w:pPr>
            <w:r>
              <w:rPr>
                <w:rFonts w:ascii="Arial" w:cs="Arial" w:eastAsia="Arial" w:hAnsi="Arial"/>
                <w:sz w:val="16"/>
                <w:szCs w:val="16"/>
                <w:color w:val="3D3935"/>
              </w:rPr>
              <w:t>389,594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-1806575</wp:posOffset>
            </wp:positionV>
            <wp:extent cx="6810375" cy="58654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10375" cy="5865495"/>
                    </a:xfrm>
                    <a:prstGeom prst="rect">
                      <a:avLst/>
                    </a:prstGeom>
                    <a:noFill/>
                  </pic:spPr>
                </pic:pic>
              </a:graphicData>
            </a:graphic>
          </wp:anchor>
        </w:drawing>
      </w:r>
    </w:p>
    <w:p>
      <w:pPr>
        <w:sectPr>
          <w:pgSz w:w="11900" w:h="16861" w:orient="portrait"/>
          <w:cols w:equalWidth="0" w:num="1">
            <w:col w:w="9160"/>
          </w:cols>
          <w:pgMar w:left="1400" w:top="111" w:right="1339" w:bottom="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9"/>
          <w:szCs w:val="9"/>
          <w:color w:val="3D3935"/>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9"/>
          <w:szCs w:val="9"/>
          <w:color w:val="3D3935"/>
        </w:rPr>
        <w:t>(2)</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3D3935"/>
          <w:highlight w:val="white"/>
        </w:rPr>
        <w:t xml:space="preserve">As described above, a director may elect to defer all or a portion of their annual cash retainer into DSUs. This column reflects director </w:t>
      </w:r>
      <w:r>
        <w:rPr>
          <w:sz w:val="1"/>
          <w:szCs w:val="1"/>
          <w:color w:val="auto"/>
        </w:rPr>
        <w:drawing>
          <wp:inline distT="0" distB="0" distL="0" distR="0">
            <wp:extent cx="26035" cy="10287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035" cy="102870"/>
                    </a:xfrm>
                    <a:prstGeom prst="rect">
                      <a:avLst/>
                    </a:prstGeom>
                    <a:noFill/>
                    <a:ln>
                      <a:noFill/>
                    </a:ln>
                  </pic:spPr>
                </pic:pic>
              </a:graphicData>
            </a:graphic>
          </wp:inline>
        </w:drawing>
      </w:r>
      <w:r>
        <w:rPr>
          <w:rFonts w:ascii="Arial" w:cs="Arial" w:eastAsia="Arial" w:hAnsi="Arial"/>
          <w:sz w:val="14"/>
          <w:szCs w:val="14"/>
          <w:color w:val="3D3935"/>
          <w:highlight w:val="white"/>
        </w:rPr>
        <w:t xml:space="preserve"> compensation eligible to be paid in cash, which consists of 40% percent (for 2024) of the annual Board retainer and any applicable fees </w:t>
      </w:r>
      <w:r>
        <w:rPr>
          <w:sz w:val="1"/>
          <w:szCs w:val="1"/>
          <w:color w:val="auto"/>
        </w:rPr>
        <w:drawing>
          <wp:inline distT="0" distB="0" distL="0" distR="0">
            <wp:extent cx="26035" cy="10287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035" cy="102870"/>
                    </a:xfrm>
                    <a:prstGeom prst="rect">
                      <a:avLst/>
                    </a:prstGeom>
                    <a:noFill/>
                    <a:ln>
                      <a:noFill/>
                    </a:ln>
                  </pic:spPr>
                </pic:pic>
              </a:graphicData>
            </a:graphic>
          </wp:inline>
        </w:drawing>
      </w:r>
      <w:r>
        <w:rPr>
          <w:rFonts w:ascii="Arial" w:cs="Arial" w:eastAsia="Arial" w:hAnsi="Arial"/>
          <w:sz w:val="14"/>
          <w:szCs w:val="14"/>
          <w:color w:val="3D3935"/>
          <w:highlight w:val="white"/>
        </w:rPr>
        <w:t xml:space="preserve"> for committee chairs, the Independent Lead Director, and in the case of Mr. Bush, Mr. McNeil, and Mr. Wenig, for service on the GM Cruise </w:t>
      </w:r>
      <w:r>
        <w:rPr>
          <w:sz w:val="1"/>
          <w:szCs w:val="1"/>
          <w:color w:val="auto"/>
        </w:rPr>
        <w:drawing>
          <wp:inline distT="0" distB="0" distL="0" distR="0">
            <wp:extent cx="26035" cy="10287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035" cy="102870"/>
                    </a:xfrm>
                    <a:prstGeom prst="rect">
                      <a:avLst/>
                    </a:prstGeom>
                    <a:noFill/>
                    <a:ln>
                      <a:noFill/>
                    </a:ln>
                  </pic:spPr>
                </pic:pic>
              </a:graphicData>
            </a:graphic>
          </wp:inline>
        </w:drawing>
      </w:r>
      <w:r>
        <w:rPr>
          <w:rFonts w:ascii="Arial" w:cs="Arial" w:eastAsia="Arial" w:hAnsi="Arial"/>
          <w:sz w:val="14"/>
          <w:szCs w:val="14"/>
          <w:color w:val="3D3935"/>
          <w:highlight w:val="white"/>
        </w:rPr>
        <w:t xml:space="preserve"> Holdings LLC board of directors. Each of the following directors elected to receive DSUs in lieu of such amounts eligible to be paid in cash </w:t>
      </w:r>
      <w:r>
        <w:rPr>
          <w:sz w:val="1"/>
          <w:szCs w:val="1"/>
          <w:color w:val="auto"/>
        </w:rPr>
        <w:drawing>
          <wp:inline distT="0" distB="0" distL="0" distR="0">
            <wp:extent cx="26035" cy="10287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6035" cy="102870"/>
                    </a:xfrm>
                    <a:prstGeom prst="rect">
                      <a:avLst/>
                    </a:prstGeom>
                    <a:noFill/>
                    <a:ln>
                      <a:noFill/>
                    </a:ln>
                  </pic:spPr>
                </pic:pic>
              </a:graphicData>
            </a:graphic>
          </wp:inline>
        </w:drawing>
      </w:r>
      <w:r>
        <w:rPr>
          <w:rFonts w:ascii="Arial" w:cs="Arial" w:eastAsia="Arial" w:hAnsi="Arial"/>
          <w:sz w:val="14"/>
          <w:szCs w:val="14"/>
          <w:color w:val="3D3935"/>
          <w:highlight w:val="white"/>
        </w:rPr>
        <w:t xml:space="preserve"> in the following amounts: Mr. Bhusri — $55,900 ; Mr. Bush — $185,000; Ms. Crevoiserat — $130,000; Mr. Jimenez — $155,000; Mr. Kelly — </w:t>
      </w:r>
      <w:r>
        <w:rPr>
          <w:rFonts w:ascii="Arial" w:cs="Arial" w:eastAsia="Arial" w:hAnsi="Arial"/>
          <w:sz w:val="14"/>
          <w:szCs w:val="14"/>
          <w:color w:val="3D3935"/>
        </w:rPr>
        <w:t>$42,900; Mr. McNeill — $160,000; Ms. Russo — $255,000; Ms. Tighe — $130,000; and Mr. Wenig — $160,000.</w:t>
      </w:r>
      <w:r>
        <w:rPr>
          <w:sz w:val="1"/>
          <w:szCs w:val="1"/>
          <w:color w:val="auto"/>
        </w:rPr>
        <w:drawing>
          <wp:inline distT="0" distB="0" distL="0" distR="0">
            <wp:extent cx="1139825" cy="9398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39825" cy="93980"/>
                    </a:xfrm>
                    <a:prstGeom prst="rect">
                      <a:avLst/>
                    </a:prstGeom>
                    <a:noFill/>
                    <a:ln>
                      <a:noFill/>
                    </a:ln>
                  </pic:spPr>
                </pic:pic>
              </a:graphicData>
            </a:graphic>
          </wp:inline>
        </w:drawing>
      </w:r>
    </w:p>
    <w:p>
      <w:pPr>
        <w:spacing w:after="0" w:line="47" w:lineRule="exact"/>
        <w:rPr>
          <w:sz w:val="20"/>
          <w:szCs w:val="20"/>
          <w:color w:val="auto"/>
        </w:rPr>
      </w:pPr>
    </w:p>
    <w:p>
      <w:pPr>
        <w:ind w:right="300"/>
        <w:spacing w:after="0" w:line="302" w:lineRule="auto"/>
        <w:rPr>
          <w:sz w:val="20"/>
          <w:szCs w:val="20"/>
          <w:color w:val="auto"/>
        </w:rPr>
      </w:pPr>
      <w:r>
        <w:rPr>
          <w:rFonts w:ascii="Arial" w:cs="Arial" w:eastAsia="Arial" w:hAnsi="Arial"/>
          <w:sz w:val="14"/>
          <w:szCs w:val="14"/>
          <w:color w:val="3D3935"/>
        </w:rPr>
        <w:t>Reflects aggregate grant date fair value of DSUs granted in 2024, which does not include any cash fees that directors voluntarily elected to receive as DSUs. Grant date fair value is calculated by multiplying the number of DSUs granted by the closing price of GM common stock on December 31, 2024, which was $53.27. The holders of DSUs may also receive dividend equivalents, which are reinvested in additional DSUs based on the market price of the common stock on the date the dividends are paid.</w:t>
      </w:r>
    </w:p>
    <w:p>
      <w:pPr>
        <w:spacing w:after="0" w:line="200" w:lineRule="exact"/>
        <w:rPr>
          <w:sz w:val="20"/>
          <w:szCs w:val="20"/>
          <w:color w:val="auto"/>
        </w:rPr>
      </w:pPr>
    </w:p>
    <w:p>
      <w:pPr>
        <w:sectPr>
          <w:pgSz w:w="11900" w:h="16861" w:orient="portrait"/>
          <w:cols w:equalWidth="0" w:num="2">
            <w:col w:w="120" w:space="80"/>
            <w:col w:w="8960"/>
          </w:cols>
          <w:pgMar w:left="1400" w:top="111" w:right="1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45681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10375" cy="4568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0072CE"/>
        </w:rPr>
        <w:t>Non-Employee Director Compensation</w:t>
      </w:r>
    </w:p>
    <w:p>
      <w:pPr>
        <w:spacing w:after="0" w:line="200" w:lineRule="exact"/>
        <w:rPr>
          <w:sz w:val="20"/>
          <w:szCs w:val="20"/>
          <w:color w:val="auto"/>
        </w:rPr>
      </w:pPr>
    </w:p>
    <w:p>
      <w:pPr>
        <w:spacing w:after="0" w:line="353" w:lineRule="exact"/>
        <w:rPr>
          <w:sz w:val="20"/>
          <w:szCs w:val="20"/>
          <w:color w:val="auto"/>
        </w:rPr>
      </w:pPr>
    </w:p>
    <w:p>
      <w:pPr>
        <w:ind w:left="200" w:hanging="192"/>
        <w:spacing w:after="0"/>
        <w:tabs>
          <w:tab w:leader="none" w:pos="200" w:val="left"/>
        </w:tabs>
        <w:numPr>
          <w:ilvl w:val="0"/>
          <w:numId w:val="64"/>
        </w:numPr>
        <w:rPr>
          <w:rFonts w:ascii="Arial" w:cs="Arial" w:eastAsia="Arial" w:hAnsi="Arial"/>
          <w:sz w:val="19"/>
          <w:szCs w:val="19"/>
          <w:color w:val="3D3935"/>
          <w:vertAlign w:val="superscript"/>
        </w:rPr>
      </w:pPr>
      <w:r>
        <w:rPr>
          <w:rFonts w:ascii="Arial" w:cs="Arial" w:eastAsia="Arial" w:hAnsi="Arial"/>
          <w:sz w:val="14"/>
          <w:szCs w:val="14"/>
          <w:color w:val="3D3935"/>
        </w:rPr>
        <w:t>The amounts included in the All Other Compensation column are described in the table below.</w:t>
      </w:r>
    </w:p>
    <w:p>
      <w:pPr>
        <w:spacing w:after="0" w:line="170" w:lineRule="exact"/>
        <w:rPr>
          <w:sz w:val="20"/>
          <w:szCs w:val="20"/>
          <w:color w:val="auto"/>
        </w:rPr>
      </w:pPr>
    </w:p>
    <w:tbl>
      <w:tblPr>
        <w:tblLayout w:type="fixed"/>
        <w:tblInd w:w="200" w:type="dxa"/>
        <w:tblCellMar>
          <w:top w:w="0" w:type="dxa"/>
          <w:left w:w="0" w:type="dxa"/>
          <w:bottom w:w="0" w:type="dxa"/>
          <w:right w:w="0" w:type="dxa"/>
        </w:tblCellMar>
      </w:tblPr>
      <w:tr>
        <w:trPr>
          <w:trHeight w:val="198"/>
        </w:trPr>
        <w:tc>
          <w:tcPr>
            <w:tcW w:w="4000" w:type="dxa"/>
            <w:vAlign w:val="bottom"/>
            <w:shd w:val="clear" w:color="auto" w:fill="F0F3F6"/>
          </w:tcPr>
          <w:p>
            <w:pPr>
              <w:spacing w:after="0"/>
              <w:rPr>
                <w:sz w:val="17"/>
                <w:szCs w:val="17"/>
                <w:color w:val="auto"/>
              </w:rPr>
            </w:pPr>
          </w:p>
        </w:tc>
        <w:tc>
          <w:tcPr>
            <w:tcW w:w="3280" w:type="dxa"/>
            <w:vAlign w:val="bottom"/>
            <w:shd w:val="clear" w:color="auto" w:fill="F0F3F6"/>
          </w:tcPr>
          <w:p>
            <w:pPr>
              <w:jc w:val="center"/>
              <w:ind w:left="2230"/>
              <w:spacing w:after="0"/>
              <w:rPr>
                <w:sz w:val="20"/>
                <w:szCs w:val="20"/>
                <w:color w:val="auto"/>
              </w:rPr>
            </w:pPr>
            <w:r>
              <w:rPr>
                <w:rFonts w:ascii="Arial" w:cs="Arial" w:eastAsia="Arial" w:hAnsi="Arial"/>
                <w:sz w:val="13"/>
                <w:szCs w:val="13"/>
                <w:b w:val="1"/>
                <w:bCs w:val="1"/>
                <w:color w:val="3D3935"/>
                <w:w w:val="97"/>
              </w:rPr>
              <w:t>Company</w:t>
            </w:r>
          </w:p>
        </w:tc>
        <w:tc>
          <w:tcPr>
            <w:tcW w:w="840" w:type="dxa"/>
            <w:vAlign w:val="bottom"/>
            <w:shd w:val="clear" w:color="auto" w:fill="F0F3F6"/>
          </w:tcPr>
          <w:p>
            <w:pPr>
              <w:spacing w:after="0"/>
              <w:rPr>
                <w:sz w:val="17"/>
                <w:szCs w:val="17"/>
                <w:color w:val="auto"/>
              </w:rPr>
            </w:pPr>
          </w:p>
        </w:tc>
        <w:tc>
          <w:tcPr>
            <w:tcW w:w="740" w:type="dxa"/>
            <w:vAlign w:val="bottom"/>
            <w:shd w:val="clear" w:color="auto" w:fill="F0F3F6"/>
          </w:tcPr>
          <w:p>
            <w:pPr>
              <w:spacing w:after="0"/>
              <w:rPr>
                <w:sz w:val="17"/>
                <w:szCs w:val="17"/>
                <w:color w:val="auto"/>
              </w:rPr>
            </w:pPr>
          </w:p>
        </w:tc>
      </w:tr>
      <w:tr>
        <w:trPr>
          <w:trHeight w:val="148"/>
        </w:trPr>
        <w:tc>
          <w:tcPr>
            <w:tcW w:w="4000" w:type="dxa"/>
            <w:vAlign w:val="bottom"/>
            <w:shd w:val="clear" w:color="auto" w:fill="F0F3F6"/>
          </w:tcPr>
          <w:p>
            <w:pPr>
              <w:spacing w:after="0"/>
              <w:rPr>
                <w:sz w:val="12"/>
                <w:szCs w:val="12"/>
                <w:color w:val="auto"/>
              </w:rPr>
            </w:pPr>
          </w:p>
        </w:tc>
        <w:tc>
          <w:tcPr>
            <w:tcW w:w="3280" w:type="dxa"/>
            <w:vAlign w:val="bottom"/>
            <w:shd w:val="clear" w:color="auto" w:fill="F0F3F6"/>
          </w:tcPr>
          <w:p>
            <w:pPr>
              <w:ind w:left="2620"/>
              <w:spacing w:after="0"/>
              <w:rPr>
                <w:sz w:val="20"/>
                <w:szCs w:val="20"/>
                <w:color w:val="auto"/>
              </w:rPr>
            </w:pPr>
            <w:r>
              <w:rPr>
                <w:rFonts w:ascii="Arial" w:cs="Arial" w:eastAsia="Arial" w:hAnsi="Arial"/>
                <w:sz w:val="13"/>
                <w:szCs w:val="13"/>
                <w:b w:val="1"/>
                <w:bCs w:val="1"/>
                <w:color w:val="3D3935"/>
              </w:rPr>
              <w:t>Vehicle</w:t>
            </w:r>
          </w:p>
        </w:tc>
        <w:tc>
          <w:tcPr>
            <w:tcW w:w="840" w:type="dxa"/>
            <w:vAlign w:val="bottom"/>
            <w:shd w:val="clear" w:color="auto" w:fill="F0F3F6"/>
          </w:tcPr>
          <w:p>
            <w:pPr>
              <w:spacing w:after="0"/>
              <w:rPr>
                <w:sz w:val="12"/>
                <w:szCs w:val="12"/>
                <w:color w:val="auto"/>
              </w:rPr>
            </w:pPr>
          </w:p>
        </w:tc>
        <w:tc>
          <w:tcPr>
            <w:tcW w:w="740" w:type="dxa"/>
            <w:vAlign w:val="bottom"/>
            <w:shd w:val="clear" w:color="auto" w:fill="F0F3F6"/>
          </w:tcPr>
          <w:p>
            <w:pPr>
              <w:spacing w:after="0"/>
              <w:rPr>
                <w:sz w:val="12"/>
                <w:szCs w:val="12"/>
                <w:color w:val="auto"/>
              </w:rPr>
            </w:pPr>
          </w:p>
        </w:tc>
      </w:tr>
      <w:tr>
        <w:trPr>
          <w:trHeight w:val="162"/>
        </w:trPr>
        <w:tc>
          <w:tcPr>
            <w:tcW w:w="4000" w:type="dxa"/>
            <w:vAlign w:val="bottom"/>
            <w:shd w:val="clear" w:color="auto" w:fill="F0F3F6"/>
          </w:tcPr>
          <w:p>
            <w:pPr>
              <w:spacing w:after="0"/>
              <w:rPr>
                <w:sz w:val="14"/>
                <w:szCs w:val="14"/>
                <w:color w:val="auto"/>
              </w:rPr>
            </w:pPr>
          </w:p>
        </w:tc>
        <w:tc>
          <w:tcPr>
            <w:tcW w:w="3280" w:type="dxa"/>
            <w:vAlign w:val="bottom"/>
            <w:shd w:val="clear" w:color="auto" w:fill="F0F3F6"/>
          </w:tcPr>
          <w:p>
            <w:pPr>
              <w:ind w:left="2440"/>
              <w:spacing w:after="0" w:line="162" w:lineRule="exact"/>
              <w:rPr>
                <w:sz w:val="20"/>
                <w:szCs w:val="20"/>
                <w:color w:val="auto"/>
              </w:rPr>
            </w:pPr>
            <w:r>
              <w:rPr>
                <w:rFonts w:ascii="Arial" w:cs="Arial" w:eastAsia="Arial" w:hAnsi="Arial"/>
                <w:sz w:val="13"/>
                <w:szCs w:val="13"/>
                <w:b w:val="1"/>
                <w:bCs w:val="1"/>
                <w:color w:val="3D3935"/>
              </w:rPr>
              <w:t>Program</w:t>
            </w:r>
            <w:r>
              <w:rPr>
                <w:rFonts w:ascii="Arial" w:cs="Arial" w:eastAsia="Arial" w:hAnsi="Arial"/>
                <w:sz w:val="16"/>
                <w:szCs w:val="16"/>
                <w:b w:val="1"/>
                <w:bCs w:val="1"/>
                <w:color w:val="3D3935"/>
                <w:vertAlign w:val="superscript"/>
              </w:rPr>
              <w:t>(a)</w:t>
            </w:r>
          </w:p>
        </w:tc>
        <w:tc>
          <w:tcPr>
            <w:tcW w:w="840" w:type="dxa"/>
            <w:vAlign w:val="bottom"/>
            <w:shd w:val="clear" w:color="auto" w:fill="F0F3F6"/>
          </w:tcPr>
          <w:p>
            <w:pPr>
              <w:jc w:val="right"/>
              <w:ind w:right="129"/>
              <w:spacing w:after="0" w:line="162" w:lineRule="exact"/>
              <w:rPr>
                <w:sz w:val="20"/>
                <w:szCs w:val="20"/>
                <w:color w:val="auto"/>
              </w:rPr>
            </w:pPr>
            <w:r>
              <w:rPr>
                <w:rFonts w:ascii="Arial" w:cs="Arial" w:eastAsia="Arial" w:hAnsi="Arial"/>
                <w:sz w:val="13"/>
                <w:szCs w:val="13"/>
                <w:b w:val="1"/>
                <w:bCs w:val="1"/>
                <w:color w:val="3D3935"/>
              </w:rPr>
              <w:t>Other</w:t>
            </w:r>
            <w:r>
              <w:rPr>
                <w:rFonts w:ascii="Arial" w:cs="Arial" w:eastAsia="Arial" w:hAnsi="Arial"/>
                <w:sz w:val="16"/>
                <w:szCs w:val="16"/>
                <w:b w:val="1"/>
                <w:bCs w:val="1"/>
                <w:color w:val="3D3935"/>
                <w:vertAlign w:val="superscript"/>
              </w:rPr>
              <w:t>(b)</w:t>
            </w:r>
          </w:p>
        </w:tc>
        <w:tc>
          <w:tcPr>
            <w:tcW w:w="740" w:type="dxa"/>
            <w:vAlign w:val="bottom"/>
            <w:shd w:val="clear" w:color="auto" w:fill="F0F3F6"/>
          </w:tcPr>
          <w:p>
            <w:pPr>
              <w:jc w:val="right"/>
              <w:spacing w:after="0"/>
              <w:rPr>
                <w:sz w:val="20"/>
                <w:szCs w:val="20"/>
                <w:color w:val="auto"/>
              </w:rPr>
            </w:pPr>
            <w:r>
              <w:rPr>
                <w:rFonts w:ascii="Arial" w:cs="Arial" w:eastAsia="Arial" w:hAnsi="Arial"/>
                <w:sz w:val="13"/>
                <w:szCs w:val="13"/>
                <w:b w:val="1"/>
                <w:bCs w:val="1"/>
                <w:color w:val="3D3935"/>
              </w:rPr>
              <w:t>Total</w:t>
            </w:r>
          </w:p>
        </w:tc>
      </w:tr>
      <w:tr>
        <w:trPr>
          <w:trHeight w:val="176"/>
        </w:trPr>
        <w:tc>
          <w:tcPr>
            <w:tcW w:w="4000" w:type="dxa"/>
            <w:vAlign w:val="bottom"/>
            <w:tcBorders>
              <w:bottom w:val="single" w:sz="8" w:color="0072CE"/>
            </w:tcBorders>
            <w:shd w:val="clear" w:color="auto" w:fill="F0F3F6"/>
          </w:tcPr>
          <w:p>
            <w:pPr>
              <w:ind w:left="40"/>
              <w:spacing w:after="0"/>
              <w:rPr>
                <w:sz w:val="20"/>
                <w:szCs w:val="20"/>
                <w:color w:val="auto"/>
              </w:rPr>
            </w:pPr>
            <w:r>
              <w:rPr>
                <w:rFonts w:ascii="Arial" w:cs="Arial" w:eastAsia="Arial" w:hAnsi="Arial"/>
                <w:sz w:val="13"/>
                <w:szCs w:val="13"/>
                <w:b w:val="1"/>
                <w:bCs w:val="1"/>
                <w:color w:val="3D3935"/>
              </w:rPr>
              <w:t>Director</w:t>
            </w:r>
          </w:p>
        </w:tc>
        <w:tc>
          <w:tcPr>
            <w:tcW w:w="3280" w:type="dxa"/>
            <w:vAlign w:val="bottom"/>
            <w:tcBorders>
              <w:bottom w:val="single" w:sz="8" w:color="0072CE"/>
            </w:tcBorders>
            <w:shd w:val="clear" w:color="auto" w:fill="F0F3F6"/>
          </w:tcPr>
          <w:p>
            <w:pPr>
              <w:jc w:val="right"/>
              <w:ind w:right="170"/>
              <w:spacing w:after="0"/>
              <w:rPr>
                <w:sz w:val="20"/>
                <w:szCs w:val="20"/>
                <w:color w:val="auto"/>
              </w:rPr>
            </w:pPr>
            <w:r>
              <w:rPr>
                <w:rFonts w:ascii="Arial" w:cs="Arial" w:eastAsia="Arial" w:hAnsi="Arial"/>
                <w:sz w:val="13"/>
                <w:szCs w:val="13"/>
                <w:b w:val="1"/>
                <w:bCs w:val="1"/>
                <w:color w:val="3D3935"/>
              </w:rPr>
              <w:t>($)</w:t>
            </w:r>
          </w:p>
        </w:tc>
        <w:tc>
          <w:tcPr>
            <w:tcW w:w="840" w:type="dxa"/>
            <w:vAlign w:val="bottom"/>
            <w:tcBorders>
              <w:bottom w:val="single" w:sz="8" w:color="0072CE"/>
            </w:tcBorders>
            <w:shd w:val="clear" w:color="auto" w:fill="F0F3F6"/>
          </w:tcPr>
          <w:p>
            <w:pPr>
              <w:jc w:val="right"/>
              <w:ind w:right="149"/>
              <w:spacing w:after="0"/>
              <w:rPr>
                <w:sz w:val="20"/>
                <w:szCs w:val="20"/>
                <w:color w:val="auto"/>
              </w:rPr>
            </w:pPr>
            <w:r>
              <w:rPr>
                <w:rFonts w:ascii="Arial" w:cs="Arial" w:eastAsia="Arial" w:hAnsi="Arial"/>
                <w:sz w:val="13"/>
                <w:szCs w:val="13"/>
                <w:b w:val="1"/>
                <w:bCs w:val="1"/>
                <w:color w:val="3D3935"/>
              </w:rPr>
              <w:t>($)</w:t>
            </w:r>
          </w:p>
        </w:tc>
        <w:tc>
          <w:tcPr>
            <w:tcW w:w="740" w:type="dxa"/>
            <w:vAlign w:val="bottom"/>
            <w:tcBorders>
              <w:bottom w:val="single" w:sz="8" w:color="0072CE"/>
            </w:tcBorders>
            <w:shd w:val="clear" w:color="auto" w:fill="F0F3F6"/>
          </w:tcPr>
          <w:p>
            <w:pPr>
              <w:jc w:val="right"/>
              <w:spacing w:after="0"/>
              <w:rPr>
                <w:sz w:val="20"/>
                <w:szCs w:val="20"/>
                <w:color w:val="auto"/>
              </w:rPr>
            </w:pPr>
            <w:r>
              <w:rPr>
                <w:rFonts w:ascii="Arial" w:cs="Arial" w:eastAsia="Arial" w:hAnsi="Arial"/>
                <w:sz w:val="13"/>
                <w:szCs w:val="13"/>
                <w:b w:val="1"/>
                <w:bCs w:val="1"/>
                <w:color w:val="3D3935"/>
              </w:rPr>
              <w:t>($)</w:t>
            </w:r>
          </w:p>
        </w:tc>
      </w:tr>
      <w:tr>
        <w:trPr>
          <w:trHeight w:val="254"/>
        </w:trPr>
        <w:tc>
          <w:tcPr>
            <w:tcW w:w="4000" w:type="dxa"/>
            <w:vAlign w:val="bottom"/>
            <w:tcBorders>
              <w:bottom w:val="single" w:sz="8" w:color="D9D9D6"/>
            </w:tcBorders>
          </w:tcPr>
          <w:p>
            <w:pPr>
              <w:ind w:left="40"/>
              <w:spacing w:after="0"/>
              <w:rPr>
                <w:sz w:val="20"/>
                <w:szCs w:val="20"/>
                <w:color w:val="auto"/>
              </w:rPr>
            </w:pPr>
            <w:r>
              <w:rPr>
                <w:rFonts w:ascii="Arial" w:cs="Arial" w:eastAsia="Arial" w:hAnsi="Arial"/>
                <w:sz w:val="14"/>
                <w:szCs w:val="14"/>
                <w:b w:val="1"/>
                <w:bCs w:val="1"/>
                <w:color w:val="0072CE"/>
              </w:rPr>
              <w:t>Aneel Bhusri</w:t>
            </w:r>
            <w:r>
              <w:rPr>
                <w:rFonts w:ascii="Arial" w:cs="Arial" w:eastAsia="Arial" w:hAnsi="Arial"/>
                <w:sz w:val="21"/>
                <w:szCs w:val="21"/>
                <w:color w:val="3D3935"/>
                <w:vertAlign w:val="superscript"/>
              </w:rPr>
              <w:t>(4)</w:t>
            </w:r>
          </w:p>
        </w:tc>
        <w:tc>
          <w:tcPr>
            <w:tcW w:w="3280" w:type="dxa"/>
            <w:vAlign w:val="bottom"/>
            <w:tcBorders>
              <w:bottom w:val="single" w:sz="8" w:color="D9D9D6"/>
            </w:tcBorders>
          </w:tcPr>
          <w:p>
            <w:pPr>
              <w:ind w:left="2620"/>
              <w:spacing w:after="0"/>
              <w:rPr>
                <w:sz w:val="20"/>
                <w:szCs w:val="20"/>
                <w:color w:val="auto"/>
              </w:rPr>
            </w:pPr>
            <w:r>
              <w:rPr>
                <w:rFonts w:ascii="Arial" w:cs="Arial" w:eastAsia="Arial" w:hAnsi="Arial"/>
                <w:sz w:val="14"/>
                <w:szCs w:val="14"/>
                <w:color w:val="3D3935"/>
              </w:rPr>
              <w:t>17,287</w:t>
            </w:r>
          </w:p>
        </w:tc>
        <w:tc>
          <w:tcPr>
            <w:tcW w:w="840" w:type="dxa"/>
            <w:vAlign w:val="bottom"/>
            <w:tcBorders>
              <w:bottom w:val="single" w:sz="8" w:color="D9D9D6"/>
            </w:tcBorders>
          </w:tcPr>
          <w:p>
            <w:pPr>
              <w:jc w:val="right"/>
              <w:ind w:right="149"/>
              <w:spacing w:after="0"/>
              <w:rPr>
                <w:sz w:val="20"/>
                <w:szCs w:val="20"/>
                <w:color w:val="auto"/>
              </w:rPr>
            </w:pPr>
            <w:r>
              <w:rPr>
                <w:rFonts w:ascii="Arial" w:cs="Arial" w:eastAsia="Arial" w:hAnsi="Arial"/>
                <w:sz w:val="14"/>
                <w:szCs w:val="14"/>
                <w:color w:val="3D3935"/>
              </w:rPr>
              <w:t>120</w:t>
            </w:r>
          </w:p>
        </w:tc>
        <w:tc>
          <w:tcPr>
            <w:tcW w:w="740" w:type="dxa"/>
            <w:vAlign w:val="bottom"/>
            <w:tcBorders>
              <w:bottom w:val="single" w:sz="8" w:color="D9D9D6"/>
            </w:tcBorders>
          </w:tcPr>
          <w:p>
            <w:pPr>
              <w:jc w:val="right"/>
              <w:spacing w:after="0"/>
              <w:rPr>
                <w:sz w:val="20"/>
                <w:szCs w:val="20"/>
                <w:color w:val="auto"/>
              </w:rPr>
            </w:pPr>
            <w:r>
              <w:rPr>
                <w:rFonts w:ascii="Arial" w:cs="Arial" w:eastAsia="Arial" w:hAnsi="Arial"/>
                <w:sz w:val="14"/>
                <w:szCs w:val="14"/>
                <w:color w:val="3D3935"/>
              </w:rPr>
              <w:t>17,407</w:t>
            </w:r>
          </w:p>
        </w:tc>
      </w:tr>
      <w:tr>
        <w:trPr>
          <w:trHeight w:val="233"/>
        </w:trPr>
        <w:tc>
          <w:tcPr>
            <w:tcW w:w="4000" w:type="dxa"/>
            <w:vAlign w:val="bottom"/>
            <w:tcBorders>
              <w:bottom w:val="single" w:sz="8" w:color="D9D9D6"/>
            </w:tcBorders>
          </w:tcPr>
          <w:p>
            <w:pPr>
              <w:ind w:left="40"/>
              <w:spacing w:after="0"/>
              <w:rPr>
                <w:sz w:val="20"/>
                <w:szCs w:val="20"/>
                <w:color w:val="auto"/>
              </w:rPr>
            </w:pPr>
            <w:r>
              <w:rPr>
                <w:rFonts w:ascii="Arial" w:cs="Arial" w:eastAsia="Arial" w:hAnsi="Arial"/>
                <w:sz w:val="14"/>
                <w:szCs w:val="14"/>
                <w:b w:val="1"/>
                <w:bCs w:val="1"/>
                <w:color w:val="0072CE"/>
              </w:rPr>
              <w:t>Wesley G. Bush</w:t>
            </w:r>
          </w:p>
        </w:tc>
        <w:tc>
          <w:tcPr>
            <w:tcW w:w="3280" w:type="dxa"/>
            <w:vAlign w:val="bottom"/>
            <w:tcBorders>
              <w:bottom w:val="single" w:sz="8" w:color="D9D9D6"/>
            </w:tcBorders>
          </w:tcPr>
          <w:p>
            <w:pPr>
              <w:jc w:val="center"/>
              <w:ind w:left="2250"/>
              <w:spacing w:after="0"/>
              <w:rPr>
                <w:sz w:val="20"/>
                <w:szCs w:val="20"/>
                <w:color w:val="auto"/>
              </w:rPr>
            </w:pPr>
            <w:r>
              <w:rPr>
                <w:rFonts w:ascii="Arial" w:cs="Arial" w:eastAsia="Arial" w:hAnsi="Arial"/>
                <w:sz w:val="14"/>
                <w:szCs w:val="14"/>
                <w:color w:val="3D3935"/>
              </w:rPr>
              <w:t>32,792</w:t>
            </w:r>
          </w:p>
        </w:tc>
        <w:tc>
          <w:tcPr>
            <w:tcW w:w="840" w:type="dxa"/>
            <w:vAlign w:val="bottom"/>
            <w:tcBorders>
              <w:bottom w:val="single" w:sz="8" w:color="D9D9D6"/>
            </w:tcBorders>
          </w:tcPr>
          <w:p>
            <w:pPr>
              <w:jc w:val="right"/>
              <w:ind w:right="189"/>
              <w:spacing w:after="0"/>
              <w:rPr>
                <w:sz w:val="20"/>
                <w:szCs w:val="20"/>
                <w:color w:val="auto"/>
              </w:rPr>
            </w:pPr>
            <w:r>
              <w:rPr>
                <w:rFonts w:ascii="Arial" w:cs="Arial" w:eastAsia="Arial" w:hAnsi="Arial"/>
                <w:sz w:val="14"/>
                <w:szCs w:val="14"/>
                <w:color w:val="3D3935"/>
              </w:rPr>
              <w:t>240</w:t>
            </w:r>
          </w:p>
        </w:tc>
        <w:tc>
          <w:tcPr>
            <w:tcW w:w="740" w:type="dxa"/>
            <w:vAlign w:val="bottom"/>
            <w:tcBorders>
              <w:bottom w:val="single" w:sz="8" w:color="D9D9D6"/>
            </w:tcBorders>
          </w:tcPr>
          <w:p>
            <w:pPr>
              <w:jc w:val="right"/>
              <w:ind w:right="9"/>
              <w:spacing w:after="0"/>
              <w:rPr>
                <w:sz w:val="20"/>
                <w:szCs w:val="20"/>
                <w:color w:val="auto"/>
              </w:rPr>
            </w:pPr>
            <w:r>
              <w:rPr>
                <w:rFonts w:ascii="Arial" w:cs="Arial" w:eastAsia="Arial" w:hAnsi="Arial"/>
                <w:sz w:val="14"/>
                <w:szCs w:val="14"/>
                <w:color w:val="3D3935"/>
              </w:rPr>
              <w:t>33,032</w:t>
            </w:r>
          </w:p>
        </w:tc>
      </w:tr>
      <w:tr>
        <w:trPr>
          <w:trHeight w:val="236"/>
        </w:trPr>
        <w:tc>
          <w:tcPr>
            <w:tcW w:w="4000" w:type="dxa"/>
            <w:vAlign w:val="bottom"/>
            <w:tcBorders>
              <w:bottom w:val="single" w:sz="8" w:color="D9D9D6"/>
            </w:tcBorders>
          </w:tcPr>
          <w:p>
            <w:pPr>
              <w:ind w:left="40"/>
              <w:spacing w:after="0"/>
              <w:rPr>
                <w:sz w:val="20"/>
                <w:szCs w:val="20"/>
                <w:color w:val="auto"/>
              </w:rPr>
            </w:pPr>
            <w:r>
              <w:rPr>
                <w:rFonts w:ascii="Arial" w:cs="Arial" w:eastAsia="Arial" w:hAnsi="Arial"/>
                <w:sz w:val="14"/>
                <w:szCs w:val="14"/>
                <w:b w:val="1"/>
                <w:bCs w:val="1"/>
                <w:color w:val="0072CE"/>
              </w:rPr>
              <w:t>Joanne C. Crevoiserat</w:t>
            </w:r>
          </w:p>
        </w:tc>
        <w:tc>
          <w:tcPr>
            <w:tcW w:w="3280" w:type="dxa"/>
            <w:vAlign w:val="bottom"/>
            <w:tcBorders>
              <w:bottom w:val="single" w:sz="8" w:color="D9D9D6"/>
            </w:tcBorders>
          </w:tcPr>
          <w:p>
            <w:pPr>
              <w:jc w:val="right"/>
              <w:ind w:right="170"/>
              <w:spacing w:after="0"/>
              <w:rPr>
                <w:sz w:val="20"/>
                <w:szCs w:val="20"/>
                <w:color w:val="auto"/>
              </w:rPr>
            </w:pPr>
            <w:r>
              <w:rPr>
                <w:rFonts w:ascii="Arial" w:cs="Arial" w:eastAsia="Arial" w:hAnsi="Arial"/>
                <w:sz w:val="14"/>
                <w:szCs w:val="14"/>
                <w:color w:val="3D3935"/>
              </w:rPr>
              <w:t>30,621</w:t>
            </w:r>
          </w:p>
        </w:tc>
        <w:tc>
          <w:tcPr>
            <w:tcW w:w="840" w:type="dxa"/>
            <w:vAlign w:val="bottom"/>
            <w:tcBorders>
              <w:bottom w:val="single" w:sz="8" w:color="D9D9D6"/>
            </w:tcBorders>
          </w:tcPr>
          <w:p>
            <w:pPr>
              <w:jc w:val="right"/>
              <w:ind w:right="189"/>
              <w:spacing w:after="0"/>
              <w:rPr>
                <w:sz w:val="20"/>
                <w:szCs w:val="20"/>
                <w:color w:val="auto"/>
              </w:rPr>
            </w:pPr>
            <w:r>
              <w:rPr>
                <w:rFonts w:ascii="Arial" w:cs="Arial" w:eastAsia="Arial" w:hAnsi="Arial"/>
                <w:sz w:val="14"/>
                <w:szCs w:val="14"/>
                <w:color w:val="3D3935"/>
              </w:rPr>
              <w:t>240</w:t>
            </w:r>
          </w:p>
        </w:tc>
        <w:tc>
          <w:tcPr>
            <w:tcW w:w="740" w:type="dxa"/>
            <w:vAlign w:val="bottom"/>
            <w:tcBorders>
              <w:bottom w:val="single" w:sz="8" w:color="D9D9D6"/>
            </w:tcBorders>
          </w:tcPr>
          <w:p>
            <w:pPr>
              <w:jc w:val="right"/>
              <w:spacing w:after="0"/>
              <w:rPr>
                <w:sz w:val="20"/>
                <w:szCs w:val="20"/>
                <w:color w:val="auto"/>
              </w:rPr>
            </w:pPr>
            <w:r>
              <w:rPr>
                <w:rFonts w:ascii="Arial" w:cs="Arial" w:eastAsia="Arial" w:hAnsi="Arial"/>
                <w:sz w:val="14"/>
                <w:szCs w:val="14"/>
                <w:color w:val="3D3935"/>
              </w:rPr>
              <w:t>30,861</w:t>
            </w:r>
          </w:p>
        </w:tc>
      </w:tr>
      <w:tr>
        <w:trPr>
          <w:trHeight w:val="236"/>
        </w:trPr>
        <w:tc>
          <w:tcPr>
            <w:tcW w:w="4000" w:type="dxa"/>
            <w:vAlign w:val="bottom"/>
            <w:tcBorders>
              <w:bottom w:val="single" w:sz="8" w:color="D9D9D6"/>
            </w:tcBorders>
          </w:tcPr>
          <w:p>
            <w:pPr>
              <w:ind w:left="40"/>
              <w:spacing w:after="0"/>
              <w:rPr>
                <w:sz w:val="20"/>
                <w:szCs w:val="20"/>
                <w:color w:val="auto"/>
              </w:rPr>
            </w:pPr>
            <w:r>
              <w:rPr>
                <w:rFonts w:ascii="Arial" w:cs="Arial" w:eastAsia="Arial" w:hAnsi="Arial"/>
                <w:sz w:val="14"/>
                <w:szCs w:val="14"/>
                <w:b w:val="1"/>
                <w:bCs w:val="1"/>
                <w:color w:val="0072CE"/>
              </w:rPr>
              <w:t>Linda R. Gooden</w:t>
            </w:r>
          </w:p>
        </w:tc>
        <w:tc>
          <w:tcPr>
            <w:tcW w:w="3280" w:type="dxa"/>
            <w:vAlign w:val="bottom"/>
            <w:tcBorders>
              <w:bottom w:val="single" w:sz="8" w:color="D9D9D6"/>
            </w:tcBorders>
          </w:tcPr>
          <w:p>
            <w:pPr>
              <w:ind w:left="2620"/>
              <w:spacing w:after="0"/>
              <w:rPr>
                <w:sz w:val="20"/>
                <w:szCs w:val="20"/>
                <w:color w:val="auto"/>
              </w:rPr>
            </w:pPr>
            <w:r>
              <w:rPr>
                <w:rFonts w:ascii="Arial" w:cs="Arial" w:eastAsia="Arial" w:hAnsi="Arial"/>
                <w:sz w:val="14"/>
                <w:szCs w:val="14"/>
                <w:color w:val="3D3935"/>
              </w:rPr>
              <w:t>23,917</w:t>
            </w:r>
          </w:p>
        </w:tc>
        <w:tc>
          <w:tcPr>
            <w:tcW w:w="840" w:type="dxa"/>
            <w:vAlign w:val="bottom"/>
            <w:tcBorders>
              <w:bottom w:val="single" w:sz="8" w:color="D9D9D6"/>
            </w:tcBorders>
          </w:tcPr>
          <w:p>
            <w:pPr>
              <w:jc w:val="right"/>
              <w:ind w:right="189"/>
              <w:spacing w:after="0"/>
              <w:rPr>
                <w:sz w:val="20"/>
                <w:szCs w:val="20"/>
                <w:color w:val="auto"/>
              </w:rPr>
            </w:pPr>
            <w:r>
              <w:rPr>
                <w:rFonts w:ascii="Arial" w:cs="Arial" w:eastAsia="Arial" w:hAnsi="Arial"/>
                <w:sz w:val="14"/>
                <w:szCs w:val="14"/>
                <w:color w:val="3D3935"/>
              </w:rPr>
              <w:t>240</w:t>
            </w:r>
          </w:p>
        </w:tc>
        <w:tc>
          <w:tcPr>
            <w:tcW w:w="740" w:type="dxa"/>
            <w:vAlign w:val="bottom"/>
            <w:tcBorders>
              <w:bottom w:val="single" w:sz="8" w:color="D9D9D6"/>
            </w:tcBorders>
          </w:tcPr>
          <w:p>
            <w:pPr>
              <w:jc w:val="right"/>
              <w:spacing w:after="0"/>
              <w:rPr>
                <w:sz w:val="20"/>
                <w:szCs w:val="20"/>
                <w:color w:val="auto"/>
              </w:rPr>
            </w:pPr>
            <w:r>
              <w:rPr>
                <w:rFonts w:ascii="Arial" w:cs="Arial" w:eastAsia="Arial" w:hAnsi="Arial"/>
                <w:sz w:val="14"/>
                <w:szCs w:val="14"/>
                <w:color w:val="3D3935"/>
              </w:rPr>
              <w:t>24,157</w:t>
            </w:r>
          </w:p>
        </w:tc>
      </w:tr>
      <w:tr>
        <w:trPr>
          <w:trHeight w:val="236"/>
        </w:trPr>
        <w:tc>
          <w:tcPr>
            <w:tcW w:w="4000" w:type="dxa"/>
            <w:vAlign w:val="bottom"/>
            <w:tcBorders>
              <w:bottom w:val="single" w:sz="8" w:color="D9D9D6"/>
            </w:tcBorders>
          </w:tcPr>
          <w:p>
            <w:pPr>
              <w:ind w:left="40"/>
              <w:spacing w:after="0"/>
              <w:rPr>
                <w:sz w:val="20"/>
                <w:szCs w:val="20"/>
                <w:color w:val="auto"/>
              </w:rPr>
            </w:pPr>
            <w:r>
              <w:rPr>
                <w:rFonts w:ascii="Arial" w:cs="Arial" w:eastAsia="Arial" w:hAnsi="Arial"/>
                <w:sz w:val="14"/>
                <w:szCs w:val="14"/>
                <w:b w:val="1"/>
                <w:bCs w:val="1"/>
                <w:color w:val="0072CE"/>
              </w:rPr>
              <w:t>Joseph Jimenez</w:t>
            </w:r>
          </w:p>
        </w:tc>
        <w:tc>
          <w:tcPr>
            <w:tcW w:w="3280" w:type="dxa"/>
            <w:vAlign w:val="bottom"/>
            <w:tcBorders>
              <w:bottom w:val="single" w:sz="8" w:color="D9D9D6"/>
            </w:tcBorders>
          </w:tcPr>
          <w:p>
            <w:pPr>
              <w:ind w:left="2620"/>
              <w:spacing w:after="0"/>
              <w:rPr>
                <w:sz w:val="20"/>
                <w:szCs w:val="20"/>
                <w:color w:val="auto"/>
              </w:rPr>
            </w:pPr>
            <w:r>
              <w:rPr>
                <w:rFonts w:ascii="Arial" w:cs="Arial" w:eastAsia="Arial" w:hAnsi="Arial"/>
                <w:sz w:val="14"/>
                <w:szCs w:val="14"/>
                <w:color w:val="3D3935"/>
              </w:rPr>
              <w:t>41,021</w:t>
            </w:r>
          </w:p>
        </w:tc>
        <w:tc>
          <w:tcPr>
            <w:tcW w:w="840" w:type="dxa"/>
            <w:vAlign w:val="bottom"/>
            <w:tcBorders>
              <w:bottom w:val="single" w:sz="8" w:color="D9D9D6"/>
            </w:tcBorders>
          </w:tcPr>
          <w:p>
            <w:pPr>
              <w:jc w:val="right"/>
              <w:ind w:right="189"/>
              <w:spacing w:after="0"/>
              <w:rPr>
                <w:sz w:val="20"/>
                <w:szCs w:val="20"/>
                <w:color w:val="auto"/>
              </w:rPr>
            </w:pPr>
            <w:r>
              <w:rPr>
                <w:rFonts w:ascii="Arial" w:cs="Arial" w:eastAsia="Arial" w:hAnsi="Arial"/>
                <w:sz w:val="14"/>
                <w:szCs w:val="14"/>
                <w:color w:val="3D3935"/>
              </w:rPr>
              <w:t>240</w:t>
            </w:r>
          </w:p>
        </w:tc>
        <w:tc>
          <w:tcPr>
            <w:tcW w:w="740" w:type="dxa"/>
            <w:vAlign w:val="bottom"/>
            <w:tcBorders>
              <w:bottom w:val="single" w:sz="8" w:color="D9D9D6"/>
            </w:tcBorders>
          </w:tcPr>
          <w:p>
            <w:pPr>
              <w:jc w:val="right"/>
              <w:spacing w:after="0"/>
              <w:rPr>
                <w:sz w:val="20"/>
                <w:szCs w:val="20"/>
                <w:color w:val="auto"/>
              </w:rPr>
            </w:pPr>
            <w:r>
              <w:rPr>
                <w:rFonts w:ascii="Arial" w:cs="Arial" w:eastAsia="Arial" w:hAnsi="Arial"/>
                <w:sz w:val="14"/>
                <w:szCs w:val="14"/>
                <w:color w:val="3D3935"/>
              </w:rPr>
              <w:t>41,261</w:t>
            </w:r>
          </w:p>
        </w:tc>
      </w:tr>
      <w:tr>
        <w:trPr>
          <w:trHeight w:val="254"/>
        </w:trPr>
        <w:tc>
          <w:tcPr>
            <w:tcW w:w="4000" w:type="dxa"/>
            <w:vAlign w:val="bottom"/>
            <w:tcBorders>
              <w:bottom w:val="single" w:sz="8" w:color="D9D9D6"/>
            </w:tcBorders>
          </w:tcPr>
          <w:p>
            <w:pPr>
              <w:ind w:left="40"/>
              <w:spacing w:after="0"/>
              <w:rPr>
                <w:sz w:val="20"/>
                <w:szCs w:val="20"/>
                <w:color w:val="auto"/>
              </w:rPr>
            </w:pPr>
            <w:r>
              <w:rPr>
                <w:rFonts w:ascii="Arial" w:cs="Arial" w:eastAsia="Arial" w:hAnsi="Arial"/>
                <w:sz w:val="14"/>
                <w:szCs w:val="14"/>
                <w:b w:val="1"/>
                <w:bCs w:val="1"/>
                <w:color w:val="0072CE"/>
              </w:rPr>
              <w:t xml:space="preserve">Alfred F. Kelly, Jr. </w:t>
            </w:r>
            <w:r>
              <w:rPr>
                <w:rFonts w:ascii="Arial" w:cs="Arial" w:eastAsia="Arial" w:hAnsi="Arial"/>
                <w:sz w:val="21"/>
                <w:szCs w:val="21"/>
                <w:color w:val="3D3935"/>
                <w:vertAlign w:val="superscript"/>
              </w:rPr>
              <w:t>(5)</w:t>
            </w:r>
          </w:p>
        </w:tc>
        <w:tc>
          <w:tcPr>
            <w:tcW w:w="3280" w:type="dxa"/>
            <w:vAlign w:val="bottom"/>
            <w:tcBorders>
              <w:bottom w:val="single" w:sz="8" w:color="D9D9D6"/>
            </w:tcBorders>
          </w:tcPr>
          <w:p>
            <w:pPr>
              <w:jc w:val="right"/>
              <w:ind w:right="170"/>
              <w:spacing w:after="0"/>
              <w:rPr>
                <w:sz w:val="20"/>
                <w:szCs w:val="20"/>
                <w:color w:val="auto"/>
              </w:rPr>
            </w:pPr>
            <w:r>
              <w:rPr>
                <w:rFonts w:ascii="Arial" w:cs="Arial" w:eastAsia="Arial" w:hAnsi="Arial"/>
                <w:sz w:val="14"/>
                <w:szCs w:val="14"/>
                <w:color w:val="3D3935"/>
              </w:rPr>
              <w:t>9,184</w:t>
            </w:r>
          </w:p>
        </w:tc>
        <w:tc>
          <w:tcPr>
            <w:tcW w:w="840" w:type="dxa"/>
            <w:vAlign w:val="bottom"/>
            <w:tcBorders>
              <w:bottom w:val="single" w:sz="8" w:color="D9D9D6"/>
            </w:tcBorders>
          </w:tcPr>
          <w:p>
            <w:pPr>
              <w:jc w:val="right"/>
              <w:ind w:right="169"/>
              <w:spacing w:after="0"/>
              <w:rPr>
                <w:sz w:val="20"/>
                <w:szCs w:val="20"/>
                <w:color w:val="auto"/>
              </w:rPr>
            </w:pPr>
            <w:r>
              <w:rPr>
                <w:rFonts w:ascii="Arial" w:cs="Arial" w:eastAsia="Arial" w:hAnsi="Arial"/>
                <w:sz w:val="14"/>
                <w:szCs w:val="14"/>
                <w:color w:val="3D3935"/>
              </w:rPr>
              <w:t>60</w:t>
            </w:r>
          </w:p>
        </w:tc>
        <w:tc>
          <w:tcPr>
            <w:tcW w:w="740" w:type="dxa"/>
            <w:vAlign w:val="bottom"/>
            <w:tcBorders>
              <w:bottom w:val="single" w:sz="8" w:color="D9D9D6"/>
            </w:tcBorders>
          </w:tcPr>
          <w:p>
            <w:pPr>
              <w:jc w:val="right"/>
              <w:ind w:right="9"/>
              <w:spacing w:after="0"/>
              <w:rPr>
                <w:sz w:val="20"/>
                <w:szCs w:val="20"/>
                <w:color w:val="auto"/>
              </w:rPr>
            </w:pPr>
            <w:r>
              <w:rPr>
                <w:rFonts w:ascii="Arial" w:cs="Arial" w:eastAsia="Arial" w:hAnsi="Arial"/>
                <w:sz w:val="14"/>
                <w:szCs w:val="14"/>
                <w:color w:val="3D3935"/>
              </w:rPr>
              <w:t>9,244</w:t>
            </w:r>
          </w:p>
        </w:tc>
      </w:tr>
      <w:tr>
        <w:trPr>
          <w:trHeight w:val="233"/>
        </w:trPr>
        <w:tc>
          <w:tcPr>
            <w:tcW w:w="4000" w:type="dxa"/>
            <w:vAlign w:val="bottom"/>
            <w:tcBorders>
              <w:bottom w:val="single" w:sz="8" w:color="D9D9D6"/>
            </w:tcBorders>
          </w:tcPr>
          <w:p>
            <w:pPr>
              <w:ind w:left="40"/>
              <w:spacing w:after="0"/>
              <w:rPr>
                <w:sz w:val="20"/>
                <w:szCs w:val="20"/>
                <w:color w:val="auto"/>
              </w:rPr>
            </w:pPr>
            <w:r>
              <w:rPr>
                <w:rFonts w:ascii="Arial" w:cs="Arial" w:eastAsia="Arial" w:hAnsi="Arial"/>
                <w:sz w:val="14"/>
                <w:szCs w:val="14"/>
                <w:b w:val="1"/>
                <w:bCs w:val="1"/>
                <w:color w:val="0072CE"/>
              </w:rPr>
              <w:t>Jonathan McNeill</w:t>
            </w:r>
          </w:p>
        </w:tc>
        <w:tc>
          <w:tcPr>
            <w:tcW w:w="3280" w:type="dxa"/>
            <w:vAlign w:val="bottom"/>
            <w:tcBorders>
              <w:bottom w:val="single" w:sz="8" w:color="D9D9D6"/>
            </w:tcBorders>
          </w:tcPr>
          <w:p>
            <w:pPr>
              <w:ind w:left="2620"/>
              <w:spacing w:after="0"/>
              <w:rPr>
                <w:sz w:val="20"/>
                <w:szCs w:val="20"/>
                <w:color w:val="auto"/>
              </w:rPr>
            </w:pPr>
            <w:r>
              <w:rPr>
                <w:rFonts w:ascii="Arial" w:cs="Arial" w:eastAsia="Arial" w:hAnsi="Arial"/>
                <w:sz w:val="14"/>
                <w:szCs w:val="14"/>
                <w:color w:val="3D3935"/>
              </w:rPr>
              <w:t>14,104</w:t>
            </w:r>
          </w:p>
        </w:tc>
        <w:tc>
          <w:tcPr>
            <w:tcW w:w="840" w:type="dxa"/>
            <w:vAlign w:val="bottom"/>
            <w:tcBorders>
              <w:bottom w:val="single" w:sz="8" w:color="D9D9D6"/>
            </w:tcBorders>
          </w:tcPr>
          <w:p>
            <w:pPr>
              <w:jc w:val="right"/>
              <w:ind w:right="189"/>
              <w:spacing w:after="0"/>
              <w:rPr>
                <w:sz w:val="20"/>
                <w:szCs w:val="20"/>
                <w:color w:val="auto"/>
              </w:rPr>
            </w:pPr>
            <w:r>
              <w:rPr>
                <w:rFonts w:ascii="Arial" w:cs="Arial" w:eastAsia="Arial" w:hAnsi="Arial"/>
                <w:sz w:val="14"/>
                <w:szCs w:val="14"/>
                <w:color w:val="3D3935"/>
              </w:rPr>
              <w:t>240</w:t>
            </w:r>
          </w:p>
        </w:tc>
        <w:tc>
          <w:tcPr>
            <w:tcW w:w="740" w:type="dxa"/>
            <w:vAlign w:val="bottom"/>
            <w:tcBorders>
              <w:bottom w:val="single" w:sz="8" w:color="D9D9D6"/>
            </w:tcBorders>
          </w:tcPr>
          <w:p>
            <w:pPr>
              <w:jc w:val="right"/>
              <w:spacing w:after="0"/>
              <w:rPr>
                <w:sz w:val="20"/>
                <w:szCs w:val="20"/>
                <w:color w:val="auto"/>
              </w:rPr>
            </w:pPr>
            <w:r>
              <w:rPr>
                <w:rFonts w:ascii="Arial" w:cs="Arial" w:eastAsia="Arial" w:hAnsi="Arial"/>
                <w:sz w:val="14"/>
                <w:szCs w:val="14"/>
                <w:color w:val="3D3935"/>
              </w:rPr>
              <w:t>14,344</w:t>
            </w:r>
          </w:p>
        </w:tc>
      </w:tr>
      <w:tr>
        <w:trPr>
          <w:trHeight w:val="236"/>
        </w:trPr>
        <w:tc>
          <w:tcPr>
            <w:tcW w:w="4000" w:type="dxa"/>
            <w:vAlign w:val="bottom"/>
            <w:tcBorders>
              <w:bottom w:val="single" w:sz="8" w:color="D9D9D6"/>
            </w:tcBorders>
          </w:tcPr>
          <w:p>
            <w:pPr>
              <w:ind w:left="40"/>
              <w:spacing w:after="0"/>
              <w:rPr>
                <w:sz w:val="20"/>
                <w:szCs w:val="20"/>
                <w:color w:val="auto"/>
              </w:rPr>
            </w:pPr>
            <w:r>
              <w:rPr>
                <w:rFonts w:ascii="Arial" w:cs="Arial" w:eastAsia="Arial" w:hAnsi="Arial"/>
                <w:sz w:val="14"/>
                <w:szCs w:val="14"/>
                <w:b w:val="1"/>
                <w:bCs w:val="1"/>
                <w:color w:val="0072CE"/>
              </w:rPr>
              <w:t>Judith A. Miscik</w:t>
            </w:r>
          </w:p>
        </w:tc>
        <w:tc>
          <w:tcPr>
            <w:tcW w:w="3280" w:type="dxa"/>
            <w:vAlign w:val="bottom"/>
            <w:tcBorders>
              <w:bottom w:val="single" w:sz="8" w:color="D9D9D6"/>
            </w:tcBorders>
          </w:tcPr>
          <w:p>
            <w:pPr>
              <w:jc w:val="center"/>
              <w:ind w:left="2210"/>
              <w:spacing w:after="0"/>
              <w:rPr>
                <w:sz w:val="20"/>
                <w:szCs w:val="20"/>
                <w:color w:val="auto"/>
              </w:rPr>
            </w:pPr>
            <w:r>
              <w:rPr>
                <w:rFonts w:ascii="Arial" w:cs="Arial" w:eastAsia="Arial" w:hAnsi="Arial"/>
                <w:sz w:val="14"/>
                <w:szCs w:val="14"/>
                <w:color w:val="3D3935"/>
              </w:rPr>
              <w:t>23,250</w:t>
            </w:r>
          </w:p>
        </w:tc>
        <w:tc>
          <w:tcPr>
            <w:tcW w:w="840" w:type="dxa"/>
            <w:vAlign w:val="bottom"/>
            <w:tcBorders>
              <w:bottom w:val="single" w:sz="8" w:color="D9D9D6"/>
            </w:tcBorders>
          </w:tcPr>
          <w:p>
            <w:pPr>
              <w:jc w:val="right"/>
              <w:ind w:right="189"/>
              <w:spacing w:after="0"/>
              <w:rPr>
                <w:sz w:val="20"/>
                <w:szCs w:val="20"/>
                <w:color w:val="auto"/>
              </w:rPr>
            </w:pPr>
            <w:r>
              <w:rPr>
                <w:rFonts w:ascii="Arial" w:cs="Arial" w:eastAsia="Arial" w:hAnsi="Arial"/>
                <w:sz w:val="14"/>
                <w:szCs w:val="14"/>
                <w:color w:val="3D3935"/>
              </w:rPr>
              <w:t>240</w:t>
            </w:r>
          </w:p>
        </w:tc>
        <w:tc>
          <w:tcPr>
            <w:tcW w:w="740" w:type="dxa"/>
            <w:vAlign w:val="bottom"/>
            <w:tcBorders>
              <w:bottom w:val="single" w:sz="8" w:color="D9D9D6"/>
            </w:tcBorders>
          </w:tcPr>
          <w:p>
            <w:pPr>
              <w:jc w:val="right"/>
              <w:ind w:right="29"/>
              <w:spacing w:after="0"/>
              <w:rPr>
                <w:sz w:val="20"/>
                <w:szCs w:val="20"/>
                <w:color w:val="auto"/>
              </w:rPr>
            </w:pPr>
            <w:r>
              <w:rPr>
                <w:rFonts w:ascii="Arial" w:cs="Arial" w:eastAsia="Arial" w:hAnsi="Arial"/>
                <w:sz w:val="14"/>
                <w:szCs w:val="14"/>
                <w:color w:val="3D3935"/>
              </w:rPr>
              <w:t>23,490</w:t>
            </w:r>
          </w:p>
        </w:tc>
      </w:tr>
      <w:tr>
        <w:trPr>
          <w:trHeight w:val="236"/>
        </w:trPr>
        <w:tc>
          <w:tcPr>
            <w:tcW w:w="4000" w:type="dxa"/>
            <w:vAlign w:val="bottom"/>
            <w:tcBorders>
              <w:bottom w:val="single" w:sz="8" w:color="D9D9D6"/>
            </w:tcBorders>
          </w:tcPr>
          <w:p>
            <w:pPr>
              <w:ind w:left="40"/>
              <w:spacing w:after="0"/>
              <w:rPr>
                <w:sz w:val="20"/>
                <w:szCs w:val="20"/>
                <w:color w:val="auto"/>
              </w:rPr>
            </w:pPr>
            <w:r>
              <w:rPr>
                <w:rFonts w:ascii="Arial" w:cs="Arial" w:eastAsia="Arial" w:hAnsi="Arial"/>
                <w:sz w:val="14"/>
                <w:szCs w:val="14"/>
                <w:b w:val="1"/>
                <w:bCs w:val="1"/>
                <w:color w:val="0072CE"/>
              </w:rPr>
              <w:t>Patricia F. Russo</w:t>
            </w:r>
          </w:p>
        </w:tc>
        <w:tc>
          <w:tcPr>
            <w:tcW w:w="3280" w:type="dxa"/>
            <w:vAlign w:val="bottom"/>
            <w:tcBorders>
              <w:bottom w:val="single" w:sz="8" w:color="D9D9D6"/>
            </w:tcBorders>
          </w:tcPr>
          <w:p>
            <w:pPr>
              <w:jc w:val="right"/>
              <w:ind w:right="170"/>
              <w:spacing w:after="0"/>
              <w:rPr>
                <w:sz w:val="20"/>
                <w:szCs w:val="20"/>
                <w:color w:val="auto"/>
              </w:rPr>
            </w:pPr>
            <w:r>
              <w:rPr>
                <w:rFonts w:ascii="Arial" w:cs="Arial" w:eastAsia="Arial" w:hAnsi="Arial"/>
                <w:sz w:val="14"/>
                <w:szCs w:val="14"/>
                <w:color w:val="3D3935"/>
              </w:rPr>
              <w:t>12,250</w:t>
            </w:r>
          </w:p>
        </w:tc>
        <w:tc>
          <w:tcPr>
            <w:tcW w:w="840" w:type="dxa"/>
            <w:vAlign w:val="bottom"/>
            <w:tcBorders>
              <w:bottom w:val="single" w:sz="8" w:color="D9D9D6"/>
            </w:tcBorders>
          </w:tcPr>
          <w:p>
            <w:pPr>
              <w:jc w:val="right"/>
              <w:ind w:right="189"/>
              <w:spacing w:after="0"/>
              <w:rPr>
                <w:sz w:val="20"/>
                <w:szCs w:val="20"/>
                <w:color w:val="auto"/>
              </w:rPr>
            </w:pPr>
            <w:r>
              <w:rPr>
                <w:rFonts w:ascii="Arial" w:cs="Arial" w:eastAsia="Arial" w:hAnsi="Arial"/>
                <w:sz w:val="14"/>
                <w:szCs w:val="14"/>
                <w:color w:val="3D3935"/>
              </w:rPr>
              <w:t>240</w:t>
            </w:r>
          </w:p>
        </w:tc>
        <w:tc>
          <w:tcPr>
            <w:tcW w:w="740" w:type="dxa"/>
            <w:vAlign w:val="bottom"/>
            <w:tcBorders>
              <w:bottom w:val="single" w:sz="8" w:color="D9D9D6"/>
            </w:tcBorders>
          </w:tcPr>
          <w:p>
            <w:pPr>
              <w:jc w:val="right"/>
              <w:spacing w:after="0"/>
              <w:rPr>
                <w:sz w:val="20"/>
                <w:szCs w:val="20"/>
                <w:color w:val="auto"/>
              </w:rPr>
            </w:pPr>
            <w:r>
              <w:rPr>
                <w:rFonts w:ascii="Arial" w:cs="Arial" w:eastAsia="Arial" w:hAnsi="Arial"/>
                <w:sz w:val="14"/>
                <w:szCs w:val="14"/>
                <w:color w:val="3D3935"/>
              </w:rPr>
              <w:t>12,490</w:t>
            </w:r>
          </w:p>
        </w:tc>
      </w:tr>
      <w:tr>
        <w:trPr>
          <w:trHeight w:val="236"/>
        </w:trPr>
        <w:tc>
          <w:tcPr>
            <w:tcW w:w="4000" w:type="dxa"/>
            <w:vAlign w:val="bottom"/>
            <w:tcBorders>
              <w:bottom w:val="single" w:sz="8" w:color="D9D9D6"/>
            </w:tcBorders>
          </w:tcPr>
          <w:p>
            <w:pPr>
              <w:ind w:left="40"/>
              <w:spacing w:after="0"/>
              <w:rPr>
                <w:sz w:val="20"/>
                <w:szCs w:val="20"/>
                <w:color w:val="auto"/>
              </w:rPr>
            </w:pPr>
            <w:r>
              <w:rPr>
                <w:rFonts w:ascii="Arial" w:cs="Arial" w:eastAsia="Arial" w:hAnsi="Arial"/>
                <w:sz w:val="14"/>
                <w:szCs w:val="14"/>
                <w:b w:val="1"/>
                <w:bCs w:val="1"/>
                <w:color w:val="0072CE"/>
              </w:rPr>
              <w:t>Thomas M. Schoewe</w:t>
            </w:r>
          </w:p>
        </w:tc>
        <w:tc>
          <w:tcPr>
            <w:tcW w:w="3280" w:type="dxa"/>
            <w:vAlign w:val="bottom"/>
            <w:tcBorders>
              <w:bottom w:val="single" w:sz="8" w:color="D9D9D6"/>
            </w:tcBorders>
          </w:tcPr>
          <w:p>
            <w:pPr>
              <w:jc w:val="center"/>
              <w:ind w:left="2210"/>
              <w:spacing w:after="0"/>
              <w:rPr>
                <w:sz w:val="20"/>
                <w:szCs w:val="20"/>
                <w:color w:val="auto"/>
              </w:rPr>
            </w:pPr>
            <w:r>
              <w:rPr>
                <w:rFonts w:ascii="Arial" w:cs="Arial" w:eastAsia="Arial" w:hAnsi="Arial"/>
                <w:sz w:val="14"/>
                <w:szCs w:val="14"/>
                <w:color w:val="3D3935"/>
              </w:rPr>
              <w:t>38,250</w:t>
            </w:r>
          </w:p>
        </w:tc>
        <w:tc>
          <w:tcPr>
            <w:tcW w:w="840" w:type="dxa"/>
            <w:vAlign w:val="bottom"/>
            <w:tcBorders>
              <w:bottom w:val="single" w:sz="8" w:color="D9D9D6"/>
            </w:tcBorders>
          </w:tcPr>
          <w:p>
            <w:pPr>
              <w:jc w:val="right"/>
              <w:ind w:right="189"/>
              <w:spacing w:after="0"/>
              <w:rPr>
                <w:sz w:val="20"/>
                <w:szCs w:val="20"/>
                <w:color w:val="auto"/>
              </w:rPr>
            </w:pPr>
            <w:r>
              <w:rPr>
                <w:rFonts w:ascii="Arial" w:cs="Arial" w:eastAsia="Arial" w:hAnsi="Arial"/>
                <w:sz w:val="14"/>
                <w:szCs w:val="14"/>
                <w:color w:val="3D3935"/>
              </w:rPr>
              <w:t>240</w:t>
            </w:r>
          </w:p>
        </w:tc>
        <w:tc>
          <w:tcPr>
            <w:tcW w:w="740" w:type="dxa"/>
            <w:vAlign w:val="bottom"/>
            <w:tcBorders>
              <w:bottom w:val="single" w:sz="8" w:color="D9D9D6"/>
            </w:tcBorders>
          </w:tcPr>
          <w:p>
            <w:pPr>
              <w:jc w:val="right"/>
              <w:ind w:right="29"/>
              <w:spacing w:after="0"/>
              <w:rPr>
                <w:sz w:val="20"/>
                <w:szCs w:val="20"/>
                <w:color w:val="auto"/>
              </w:rPr>
            </w:pPr>
            <w:r>
              <w:rPr>
                <w:rFonts w:ascii="Arial" w:cs="Arial" w:eastAsia="Arial" w:hAnsi="Arial"/>
                <w:sz w:val="14"/>
                <w:szCs w:val="14"/>
                <w:color w:val="3D3935"/>
              </w:rPr>
              <w:t>38,490</w:t>
            </w:r>
          </w:p>
        </w:tc>
      </w:tr>
      <w:tr>
        <w:trPr>
          <w:trHeight w:val="237"/>
        </w:trPr>
        <w:tc>
          <w:tcPr>
            <w:tcW w:w="4000" w:type="dxa"/>
            <w:vAlign w:val="bottom"/>
            <w:tcBorders>
              <w:bottom w:val="single" w:sz="8" w:color="D9D9D6"/>
            </w:tcBorders>
          </w:tcPr>
          <w:p>
            <w:pPr>
              <w:ind w:left="40"/>
              <w:spacing w:after="0"/>
              <w:rPr>
                <w:sz w:val="20"/>
                <w:szCs w:val="20"/>
                <w:color w:val="auto"/>
              </w:rPr>
            </w:pPr>
            <w:r>
              <w:rPr>
                <w:rFonts w:ascii="Arial" w:cs="Arial" w:eastAsia="Arial" w:hAnsi="Arial"/>
                <w:sz w:val="14"/>
                <w:szCs w:val="14"/>
                <w:b w:val="1"/>
                <w:bCs w:val="1"/>
                <w:color w:val="0072CE"/>
              </w:rPr>
              <w:t>Mark A. Tatum</w:t>
            </w:r>
          </w:p>
        </w:tc>
        <w:tc>
          <w:tcPr>
            <w:tcW w:w="3280" w:type="dxa"/>
            <w:vAlign w:val="bottom"/>
            <w:tcBorders>
              <w:bottom w:val="single" w:sz="8" w:color="D9D9D6"/>
            </w:tcBorders>
          </w:tcPr>
          <w:p>
            <w:pPr>
              <w:jc w:val="center"/>
              <w:ind w:left="2210"/>
              <w:spacing w:after="0"/>
              <w:rPr>
                <w:sz w:val="20"/>
                <w:szCs w:val="20"/>
                <w:color w:val="auto"/>
              </w:rPr>
            </w:pPr>
            <w:r>
              <w:rPr>
                <w:rFonts w:ascii="Arial" w:cs="Arial" w:eastAsia="Arial" w:hAnsi="Arial"/>
                <w:sz w:val="14"/>
                <w:szCs w:val="14"/>
                <w:color w:val="3D3935"/>
              </w:rPr>
              <w:t>45,500</w:t>
            </w:r>
          </w:p>
        </w:tc>
        <w:tc>
          <w:tcPr>
            <w:tcW w:w="840" w:type="dxa"/>
            <w:vAlign w:val="bottom"/>
            <w:tcBorders>
              <w:bottom w:val="single" w:sz="8" w:color="D9D9D6"/>
            </w:tcBorders>
          </w:tcPr>
          <w:p>
            <w:pPr>
              <w:jc w:val="right"/>
              <w:ind w:right="189"/>
              <w:spacing w:after="0"/>
              <w:rPr>
                <w:sz w:val="20"/>
                <w:szCs w:val="20"/>
                <w:color w:val="auto"/>
              </w:rPr>
            </w:pPr>
            <w:r>
              <w:rPr>
                <w:rFonts w:ascii="Arial" w:cs="Arial" w:eastAsia="Arial" w:hAnsi="Arial"/>
                <w:sz w:val="14"/>
                <w:szCs w:val="14"/>
                <w:color w:val="3D3935"/>
              </w:rPr>
              <w:t>240</w:t>
            </w:r>
          </w:p>
        </w:tc>
        <w:tc>
          <w:tcPr>
            <w:tcW w:w="740" w:type="dxa"/>
            <w:vAlign w:val="bottom"/>
            <w:tcBorders>
              <w:bottom w:val="single" w:sz="8" w:color="D9D9D6"/>
            </w:tcBorders>
          </w:tcPr>
          <w:p>
            <w:pPr>
              <w:jc w:val="right"/>
              <w:ind w:right="9"/>
              <w:spacing w:after="0"/>
              <w:rPr>
                <w:sz w:val="20"/>
                <w:szCs w:val="20"/>
                <w:color w:val="auto"/>
              </w:rPr>
            </w:pPr>
            <w:r>
              <w:rPr>
                <w:rFonts w:ascii="Arial" w:cs="Arial" w:eastAsia="Arial" w:hAnsi="Arial"/>
                <w:sz w:val="14"/>
                <w:szCs w:val="14"/>
                <w:color w:val="3D3935"/>
              </w:rPr>
              <w:t>45,740</w:t>
            </w:r>
          </w:p>
        </w:tc>
      </w:tr>
      <w:tr>
        <w:trPr>
          <w:trHeight w:val="236"/>
        </w:trPr>
        <w:tc>
          <w:tcPr>
            <w:tcW w:w="4000" w:type="dxa"/>
            <w:vAlign w:val="bottom"/>
            <w:tcBorders>
              <w:bottom w:val="single" w:sz="8" w:color="D9D9D6"/>
            </w:tcBorders>
          </w:tcPr>
          <w:p>
            <w:pPr>
              <w:ind w:left="40"/>
              <w:spacing w:after="0"/>
              <w:rPr>
                <w:sz w:val="20"/>
                <w:szCs w:val="20"/>
                <w:color w:val="auto"/>
              </w:rPr>
            </w:pPr>
            <w:r>
              <w:rPr>
                <w:rFonts w:ascii="Arial" w:cs="Arial" w:eastAsia="Arial" w:hAnsi="Arial"/>
                <w:sz w:val="14"/>
                <w:szCs w:val="14"/>
                <w:b w:val="1"/>
                <w:bCs w:val="1"/>
                <w:color w:val="0072CE"/>
              </w:rPr>
              <w:t>Jan E. Tighe</w:t>
            </w:r>
          </w:p>
        </w:tc>
        <w:tc>
          <w:tcPr>
            <w:tcW w:w="3280" w:type="dxa"/>
            <w:vAlign w:val="bottom"/>
            <w:tcBorders>
              <w:bottom w:val="single" w:sz="8" w:color="D9D9D6"/>
            </w:tcBorders>
          </w:tcPr>
          <w:p>
            <w:pPr>
              <w:jc w:val="center"/>
              <w:ind w:left="2210"/>
              <w:spacing w:after="0"/>
              <w:rPr>
                <w:sz w:val="20"/>
                <w:szCs w:val="20"/>
                <w:color w:val="auto"/>
              </w:rPr>
            </w:pPr>
            <w:r>
              <w:rPr>
                <w:rFonts w:ascii="Arial" w:cs="Arial" w:eastAsia="Arial" w:hAnsi="Arial"/>
                <w:sz w:val="14"/>
                <w:szCs w:val="14"/>
                <w:color w:val="3D3935"/>
              </w:rPr>
              <w:t>23,083</w:t>
            </w:r>
          </w:p>
        </w:tc>
        <w:tc>
          <w:tcPr>
            <w:tcW w:w="840" w:type="dxa"/>
            <w:vAlign w:val="bottom"/>
            <w:tcBorders>
              <w:bottom w:val="single" w:sz="8" w:color="D9D9D6"/>
            </w:tcBorders>
          </w:tcPr>
          <w:p>
            <w:pPr>
              <w:jc w:val="right"/>
              <w:ind w:right="189"/>
              <w:spacing w:after="0"/>
              <w:rPr>
                <w:sz w:val="20"/>
                <w:szCs w:val="20"/>
                <w:color w:val="auto"/>
              </w:rPr>
            </w:pPr>
            <w:r>
              <w:rPr>
                <w:rFonts w:ascii="Arial" w:cs="Arial" w:eastAsia="Arial" w:hAnsi="Arial"/>
                <w:sz w:val="14"/>
                <w:szCs w:val="14"/>
                <w:color w:val="3D3935"/>
              </w:rPr>
              <w:t>240</w:t>
            </w:r>
          </w:p>
        </w:tc>
        <w:tc>
          <w:tcPr>
            <w:tcW w:w="740" w:type="dxa"/>
            <w:vAlign w:val="bottom"/>
            <w:tcBorders>
              <w:bottom w:val="single" w:sz="8" w:color="D9D9D6"/>
            </w:tcBorders>
          </w:tcPr>
          <w:p>
            <w:pPr>
              <w:jc w:val="right"/>
              <w:ind w:right="9"/>
              <w:spacing w:after="0"/>
              <w:rPr>
                <w:sz w:val="20"/>
                <w:szCs w:val="20"/>
                <w:color w:val="auto"/>
              </w:rPr>
            </w:pPr>
            <w:r>
              <w:rPr>
                <w:rFonts w:ascii="Arial" w:cs="Arial" w:eastAsia="Arial" w:hAnsi="Arial"/>
                <w:sz w:val="14"/>
                <w:szCs w:val="14"/>
                <w:color w:val="3D3935"/>
              </w:rPr>
              <w:t>23,323</w:t>
            </w:r>
          </w:p>
        </w:tc>
      </w:tr>
      <w:tr>
        <w:trPr>
          <w:trHeight w:val="236"/>
        </w:trPr>
        <w:tc>
          <w:tcPr>
            <w:tcW w:w="4000" w:type="dxa"/>
            <w:vAlign w:val="bottom"/>
            <w:tcBorders>
              <w:bottom w:val="single" w:sz="8" w:color="0072CE"/>
            </w:tcBorders>
          </w:tcPr>
          <w:p>
            <w:pPr>
              <w:ind w:left="40"/>
              <w:spacing w:after="0"/>
              <w:rPr>
                <w:sz w:val="20"/>
                <w:szCs w:val="20"/>
                <w:color w:val="auto"/>
              </w:rPr>
            </w:pPr>
            <w:r>
              <w:rPr>
                <w:rFonts w:ascii="Arial" w:cs="Arial" w:eastAsia="Arial" w:hAnsi="Arial"/>
                <w:sz w:val="14"/>
                <w:szCs w:val="14"/>
                <w:b w:val="1"/>
                <w:bCs w:val="1"/>
                <w:color w:val="0072CE"/>
              </w:rPr>
              <w:t>Devin N. Wenig</w:t>
            </w:r>
          </w:p>
        </w:tc>
        <w:tc>
          <w:tcPr>
            <w:tcW w:w="3280" w:type="dxa"/>
            <w:vAlign w:val="bottom"/>
            <w:tcBorders>
              <w:bottom w:val="single" w:sz="8" w:color="0072CE"/>
            </w:tcBorders>
          </w:tcPr>
          <w:p>
            <w:pPr>
              <w:jc w:val="center"/>
              <w:ind w:left="2210"/>
              <w:spacing w:after="0"/>
              <w:rPr>
                <w:sz w:val="20"/>
                <w:szCs w:val="20"/>
                <w:color w:val="auto"/>
              </w:rPr>
            </w:pPr>
            <w:r>
              <w:rPr>
                <w:rFonts w:ascii="Arial" w:cs="Arial" w:eastAsia="Arial" w:hAnsi="Arial"/>
                <w:sz w:val="14"/>
                <w:szCs w:val="14"/>
                <w:color w:val="3D3935"/>
              </w:rPr>
              <w:t>34,333</w:t>
            </w:r>
          </w:p>
        </w:tc>
        <w:tc>
          <w:tcPr>
            <w:tcW w:w="840" w:type="dxa"/>
            <w:vAlign w:val="bottom"/>
            <w:tcBorders>
              <w:bottom w:val="single" w:sz="8" w:color="0072CE"/>
            </w:tcBorders>
          </w:tcPr>
          <w:p>
            <w:pPr>
              <w:jc w:val="right"/>
              <w:ind w:right="189"/>
              <w:spacing w:after="0"/>
              <w:rPr>
                <w:sz w:val="20"/>
                <w:szCs w:val="20"/>
                <w:color w:val="auto"/>
              </w:rPr>
            </w:pPr>
            <w:r>
              <w:rPr>
                <w:rFonts w:ascii="Arial" w:cs="Arial" w:eastAsia="Arial" w:hAnsi="Arial"/>
                <w:sz w:val="14"/>
                <w:szCs w:val="14"/>
                <w:color w:val="3D3935"/>
              </w:rPr>
              <w:t>240</w:t>
            </w:r>
          </w:p>
        </w:tc>
        <w:tc>
          <w:tcPr>
            <w:tcW w:w="740" w:type="dxa"/>
            <w:vAlign w:val="bottom"/>
            <w:tcBorders>
              <w:bottom w:val="single" w:sz="8" w:color="0072CE"/>
            </w:tcBorders>
          </w:tcPr>
          <w:p>
            <w:pPr>
              <w:jc w:val="right"/>
              <w:ind w:right="9"/>
              <w:spacing w:after="0"/>
              <w:rPr>
                <w:sz w:val="20"/>
                <w:szCs w:val="20"/>
                <w:color w:val="auto"/>
              </w:rPr>
            </w:pPr>
            <w:r>
              <w:rPr>
                <w:rFonts w:ascii="Arial" w:cs="Arial" w:eastAsia="Arial" w:hAnsi="Arial"/>
                <w:sz w:val="14"/>
                <w:szCs w:val="14"/>
                <w:color w:val="3D3935"/>
              </w:rPr>
              <w:t>34,573</w:t>
            </w:r>
          </w:p>
        </w:tc>
      </w:tr>
    </w:tbl>
    <w:p>
      <w:pPr>
        <w:spacing w:after="0" w:line="166" w:lineRule="exact"/>
        <w:rPr>
          <w:sz w:val="20"/>
          <w:szCs w:val="20"/>
          <w:color w:val="auto"/>
        </w:rPr>
      </w:pPr>
    </w:p>
    <w:p>
      <w:pPr>
        <w:ind w:left="400" w:right="240" w:hanging="198"/>
        <w:spacing w:after="0" w:line="257" w:lineRule="auto"/>
        <w:tabs>
          <w:tab w:leader="none" w:pos="400" w:val="left"/>
        </w:tabs>
        <w:numPr>
          <w:ilvl w:val="0"/>
          <w:numId w:val="65"/>
        </w:numPr>
        <w:rPr>
          <w:rFonts w:ascii="Arial" w:cs="Arial" w:eastAsia="Arial" w:hAnsi="Arial"/>
          <w:sz w:val="19"/>
          <w:szCs w:val="19"/>
          <w:color w:val="3D3935"/>
          <w:vertAlign w:val="superscript"/>
        </w:rPr>
      </w:pPr>
      <w:r>
        <w:rPr>
          <w:rFonts w:ascii="Arial" w:cs="Arial" w:eastAsia="Arial" w:hAnsi="Arial"/>
          <w:sz w:val="14"/>
          <w:szCs w:val="14"/>
          <w:color w:val="3D3935"/>
        </w:rPr>
        <w:t>The Company Vehicle Program includes the estimated annual lease value of the Company vehicles driven by directors and if applicable installation cost for an EV charger. For Company vehicles, we include the annual lease value which is more reflective of the value of the Company vehicle perquisite than the Company’s incremental costs. Taxes related to imputed income are the responsibility of the director.</w:t>
      </w:r>
    </w:p>
    <w:p>
      <w:pPr>
        <w:spacing w:after="0" w:line="231" w:lineRule="exact"/>
        <w:rPr>
          <w:rFonts w:ascii="Arial" w:cs="Arial" w:eastAsia="Arial" w:hAnsi="Arial"/>
          <w:sz w:val="19"/>
          <w:szCs w:val="19"/>
          <w:color w:val="3D3935"/>
          <w:vertAlign w:val="superscript"/>
        </w:rPr>
      </w:pPr>
    </w:p>
    <w:p>
      <w:pPr>
        <w:ind w:left="400" w:right="580" w:hanging="198"/>
        <w:spacing w:after="0" w:line="239" w:lineRule="auto"/>
        <w:tabs>
          <w:tab w:leader="none" w:pos="400" w:val="left"/>
        </w:tabs>
        <w:numPr>
          <w:ilvl w:val="0"/>
          <w:numId w:val="65"/>
        </w:numPr>
        <w:rPr>
          <w:rFonts w:ascii="Arial" w:cs="Arial" w:eastAsia="Arial" w:hAnsi="Arial"/>
          <w:sz w:val="19"/>
          <w:szCs w:val="19"/>
          <w:color w:val="3D3935"/>
          <w:vertAlign w:val="superscript"/>
        </w:rPr>
      </w:pPr>
      <w:r>
        <w:rPr>
          <w:rFonts w:ascii="Arial" w:cs="Arial" w:eastAsia="Arial" w:hAnsi="Arial"/>
          <w:sz w:val="14"/>
          <w:szCs w:val="14"/>
          <w:color w:val="3D3935"/>
        </w:rPr>
        <w:t>Reflects the cost of premiums for providing personal accident insurance (annual premium cost of $240 per person is prorated, as applicable, for the period of service).</w:t>
      </w:r>
    </w:p>
    <w:p>
      <w:pPr>
        <w:spacing w:after="0" w:line="146" w:lineRule="exact"/>
        <w:rPr>
          <w:sz w:val="20"/>
          <w:szCs w:val="20"/>
          <w:color w:val="auto"/>
        </w:rPr>
      </w:pPr>
    </w:p>
    <w:p>
      <w:pPr>
        <w:spacing w:after="0"/>
        <w:rPr>
          <w:sz w:val="20"/>
          <w:szCs w:val="20"/>
          <w:color w:val="auto"/>
        </w:rPr>
      </w:pPr>
      <w:r>
        <w:rPr>
          <w:rFonts w:ascii="Arial" w:cs="Arial" w:eastAsia="Arial" w:hAnsi="Arial"/>
          <w:sz w:val="9"/>
          <w:szCs w:val="9"/>
          <w:color w:val="3D3935"/>
        </w:rPr>
        <w:t>(4)</w:t>
      </w:r>
    </w:p>
    <w:p>
      <w:pPr>
        <w:sectPr>
          <w:pgSz w:w="11900" w:h="16861" w:orient="portrait"/>
          <w:cols w:equalWidth="0" w:num="1">
            <w:col w:w="9160"/>
          </w:cols>
          <w:pgMar w:left="1400" w:top="111" w:right="1339" w:bottom="0" w:gutter="0" w:footer="0" w:header="0"/>
          <w:type w:val="continuous"/>
        </w:sectPr>
      </w:pPr>
    </w:p>
    <w:bookmarkStart w:id="37" w:name="page38"/>
    <w:bookmarkEnd w:id="37"/>
    <w:p>
      <w:pPr>
        <w:spacing w:after="0" w:line="74" w:lineRule="exact"/>
        <w:rPr>
          <w:sz w:val="20"/>
          <w:szCs w:val="20"/>
          <w:color w:val="auto"/>
        </w:rPr>
      </w:pPr>
    </w:p>
    <w:p>
      <w:pPr>
        <w:ind w:left="192" w:right="5659" w:hanging="192"/>
        <w:spacing w:after="0" w:line="188" w:lineRule="auto"/>
        <w:tabs>
          <w:tab w:leader="none" w:pos="192" w:val="left"/>
        </w:tabs>
        <w:numPr>
          <w:ilvl w:val="0"/>
          <w:numId w:val="66"/>
        </w:numPr>
        <w:rPr>
          <w:rFonts w:ascii="Arial" w:cs="Arial" w:eastAsia="Arial" w:hAnsi="Arial"/>
          <w:sz w:val="19"/>
          <w:szCs w:val="19"/>
          <w:color w:val="3D3935"/>
          <w:vertAlign w:val="subscript"/>
        </w:rPr>
      </w:pPr>
      <w:r>
        <w:rPr>
          <w:rFonts w:ascii="Arial" w:cs="Arial" w:eastAsia="Arial" w:hAnsi="Arial"/>
          <w:sz w:val="14"/>
          <w:szCs w:val="14"/>
          <w:color w:val="3D3935"/>
        </w:rPr>
        <w:t>Mr. Bhusri retired from the Board on June 4, 2024. Mr. Kelly joined the Board on September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-173990</wp:posOffset>
            </wp:positionV>
            <wp:extent cx="6810375" cy="42881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10375" cy="4288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6992"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3D3935"/>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307975</wp:posOffset>
            </wp:positionV>
            <wp:extent cx="6810375" cy="61455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10375" cy="6145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2"/>
        <w:spacing w:after="0"/>
        <w:rPr>
          <w:sz w:val="20"/>
          <w:szCs w:val="20"/>
          <w:color w:val="auto"/>
        </w:rPr>
      </w:pPr>
      <w:r>
        <w:rPr>
          <w:rFonts w:ascii="Arial" w:cs="Arial" w:eastAsia="Arial" w:hAnsi="Arial"/>
          <w:sz w:val="49"/>
          <w:szCs w:val="49"/>
          <w:b w:val="1"/>
          <w:bCs w:val="1"/>
          <w:color w:val="3D3935"/>
        </w:rPr>
        <w:t>Audit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32"/>
        <w:spacing w:after="0"/>
        <w:rPr>
          <w:sz w:val="20"/>
          <w:szCs w:val="20"/>
          <w:color w:val="auto"/>
        </w:rPr>
      </w:pPr>
      <w:r>
        <w:rPr>
          <w:rFonts w:ascii="Arial" w:cs="Arial" w:eastAsia="Arial" w:hAnsi="Arial"/>
          <w:sz w:val="22"/>
          <w:szCs w:val="22"/>
          <w:color w:val="FFFFFF"/>
        </w:rPr>
        <w:t>ITEM 2</w:t>
      </w:r>
    </w:p>
    <w:p>
      <w:pPr>
        <w:spacing w:after="0" w:line="269" w:lineRule="exact"/>
        <w:rPr>
          <w:sz w:val="20"/>
          <w:szCs w:val="20"/>
          <w:color w:val="auto"/>
        </w:rPr>
      </w:pPr>
    </w:p>
    <w:p>
      <w:pPr>
        <w:ind w:left="232" w:right="139"/>
        <w:spacing w:after="0" w:line="262" w:lineRule="auto"/>
        <w:rPr>
          <w:sz w:val="20"/>
          <w:szCs w:val="20"/>
          <w:color w:val="auto"/>
        </w:rPr>
      </w:pPr>
      <w:r>
        <w:rPr>
          <w:rFonts w:ascii="Arial" w:cs="Arial" w:eastAsia="Arial" w:hAnsi="Arial"/>
          <w:sz w:val="49"/>
          <w:szCs w:val="49"/>
          <w:b w:val="1"/>
          <w:bCs w:val="1"/>
          <w:color w:val="3D3935"/>
        </w:rPr>
        <w:t>Proposal to Ratify the Selection of Ernst &amp; Young LLP as the Company’s Independent Registered Public Accounting Firm for 2025</w:t>
      </w:r>
    </w:p>
    <w:p>
      <w:pPr>
        <w:spacing w:after="0" w:line="200" w:lineRule="exact"/>
        <w:rPr>
          <w:sz w:val="20"/>
          <w:szCs w:val="20"/>
          <w:color w:val="auto"/>
        </w:rPr>
      </w:pPr>
    </w:p>
    <w:p>
      <w:pPr>
        <w:spacing w:after="0" w:line="259" w:lineRule="exact"/>
        <w:rPr>
          <w:sz w:val="20"/>
          <w:szCs w:val="20"/>
          <w:color w:val="auto"/>
        </w:rPr>
      </w:pPr>
    </w:p>
    <w:p>
      <w:pPr>
        <w:ind w:left="52" w:right="239"/>
        <w:spacing w:after="0" w:line="269" w:lineRule="auto"/>
        <w:rPr>
          <w:sz w:val="20"/>
          <w:szCs w:val="20"/>
          <w:color w:val="auto"/>
        </w:rPr>
      </w:pPr>
      <w:r>
        <w:rPr>
          <w:rFonts w:ascii="Arial" w:cs="Arial" w:eastAsia="Arial" w:hAnsi="Arial"/>
          <w:sz w:val="16"/>
          <w:szCs w:val="16"/>
          <w:color w:val="3D3935"/>
        </w:rPr>
        <w:t>The Audit Committee is directly responsible for the appointment, compensation, retention, and oversight of the Company’s independent registered public accounting firm retained to audit the Company’s consolidated financial statements and internal control over financial reporting. The Audit Committee also oversees the rotation of the independent registered public accounting firm’s lead audit partner and is involved in the selection and approval of the lead audit partner. The lead audit partner rotates every five years in accordance with regulatory requirements. The Audit Committee evaluates the selection of the Company’s independent auditors each year and determines whether to re-engage the current independent auditors or consider other firms. Following this process, the Audit Committee made the determination to re-engage Ernst &amp; Young LLP (“EY”) as the Company’s independent auditors for the fiscal year ending December 31, 2025.</w:t>
      </w:r>
    </w:p>
    <w:p>
      <w:pPr>
        <w:spacing w:after="0" w:line="78" w:lineRule="exact"/>
        <w:rPr>
          <w:sz w:val="20"/>
          <w:szCs w:val="20"/>
          <w:color w:val="auto"/>
        </w:rPr>
      </w:pPr>
    </w:p>
    <w:p>
      <w:pPr>
        <w:ind w:left="52" w:right="219"/>
        <w:spacing w:after="0" w:line="269" w:lineRule="auto"/>
        <w:rPr>
          <w:sz w:val="20"/>
          <w:szCs w:val="20"/>
          <w:color w:val="auto"/>
        </w:rPr>
      </w:pPr>
      <w:r>
        <w:rPr>
          <w:rFonts w:ascii="Arial" w:cs="Arial" w:eastAsia="Arial" w:hAnsi="Arial"/>
          <w:sz w:val="16"/>
          <w:szCs w:val="16"/>
          <w:b w:val="1"/>
          <w:bCs w:val="1"/>
          <w:color w:val="0071CE"/>
        </w:rPr>
        <w:t xml:space="preserve">Criteria for Re-Engaging EY. </w:t>
      </w:r>
      <w:r>
        <w:rPr>
          <w:rFonts w:ascii="Arial" w:cs="Arial" w:eastAsia="Arial" w:hAnsi="Arial"/>
          <w:sz w:val="16"/>
          <w:szCs w:val="16"/>
          <w:color w:val="3D3935"/>
        </w:rPr>
        <w:t>EY has served as the Company’s independent registered public accounting firm since 2017</w:t>
      </w:r>
      <w:r>
        <w:rPr>
          <w:rFonts w:ascii="Arial" w:cs="Arial" w:eastAsia="Arial" w:hAnsi="Arial"/>
          <w:sz w:val="16"/>
          <w:szCs w:val="16"/>
          <w:b w:val="1"/>
          <w:bCs w:val="1"/>
          <w:color w:val="0071CE"/>
        </w:rPr>
        <w:t xml:space="preserve"> </w:t>
      </w:r>
      <w:r>
        <w:rPr>
          <w:rFonts w:ascii="Arial" w:cs="Arial" w:eastAsia="Arial" w:hAnsi="Arial"/>
          <w:sz w:val="16"/>
          <w:szCs w:val="16"/>
          <w:color w:val="3D3935"/>
        </w:rPr>
        <w:t>when the Audit Committee selected the firm as part of a competitive and comprehensive request for proposal process. Through this process, the Audit Committee evaluated firms based on several key factors, including audit quality; the benefits of tenure versus fresh perspective; cultural fit and business acumen; innovation and technology; auditor independence; and the appropriateness of fees relative to both efficiency and audit quality. These critical factors continue to drive the Audit Committee’s priorities with respect to the selection and retention of the Company’s independent auditors. Based on its annual review, the Audit Committee believes that the continued retention of EY as our independent auditors is in the best interests of our shareholders.</w:t>
      </w:r>
    </w:p>
    <w:p>
      <w:pPr>
        <w:spacing w:after="0" w:line="78" w:lineRule="exact"/>
        <w:rPr>
          <w:sz w:val="20"/>
          <w:szCs w:val="20"/>
          <w:color w:val="auto"/>
        </w:rPr>
      </w:pPr>
    </w:p>
    <w:p>
      <w:pPr>
        <w:ind w:left="52"/>
        <w:spacing w:after="0"/>
        <w:tabs>
          <w:tab w:leader="none" w:pos="3912" w:val="left"/>
        </w:tabs>
        <w:rPr>
          <w:sz w:val="20"/>
          <w:szCs w:val="20"/>
          <w:color w:val="auto"/>
        </w:rPr>
      </w:pPr>
      <w:r>
        <w:rPr>
          <w:rFonts w:ascii="Arial" w:cs="Arial" w:eastAsia="Arial" w:hAnsi="Arial"/>
          <w:sz w:val="16"/>
          <w:szCs w:val="16"/>
          <w:b w:val="1"/>
          <w:bCs w:val="1"/>
          <w:color w:val="0071CE"/>
        </w:rPr>
        <w:t>Shareholder Ratification of Our Selection of EY.</w:t>
      </w:r>
      <w:r>
        <w:rPr>
          <w:sz w:val="20"/>
          <w:szCs w:val="20"/>
          <w:color w:val="auto"/>
        </w:rPr>
        <w:tab/>
      </w:r>
      <w:r>
        <w:rPr>
          <w:rFonts w:ascii="Arial" w:cs="Arial" w:eastAsia="Arial" w:hAnsi="Arial"/>
          <w:sz w:val="16"/>
          <w:szCs w:val="16"/>
          <w:color w:val="3D3935"/>
        </w:rPr>
        <w:t>As a matter of good corporate governance, the Board submits the</w:t>
      </w:r>
    </w:p>
    <w:p>
      <w:pPr>
        <w:sectPr>
          <w:pgSz w:w="11900" w:h="16912" w:orient="portrait"/>
          <w:cols w:equalWidth="0" w:num="1">
            <w:col w:w="9051"/>
          </w:cols>
          <w:pgMar w:left="1408" w:top="118" w:right="1440" w:bottom="0" w:gutter="0" w:footer="0" w:header="0"/>
        </w:sectPr>
      </w:pPr>
    </w:p>
    <w:bookmarkStart w:id="38" w:name="page39"/>
    <w:bookmarkEnd w:id="38"/>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27108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10375" cy="2710815"/>
                    </a:xfrm>
                    <a:prstGeom prst="rect">
                      <a:avLst/>
                    </a:prstGeom>
                    <a:noFill/>
                  </pic:spPr>
                </pic:pic>
              </a:graphicData>
            </a:graphic>
          </wp:anchor>
        </w:drawing>
      </w:r>
    </w:p>
    <w:p>
      <w:pPr>
        <w:ind w:left="60" w:right="420"/>
        <w:spacing w:after="0" w:line="274" w:lineRule="auto"/>
        <w:rPr>
          <w:sz w:val="20"/>
          <w:szCs w:val="20"/>
          <w:color w:val="auto"/>
        </w:rPr>
      </w:pPr>
      <w:r>
        <w:rPr>
          <w:rFonts w:ascii="Arial" w:cs="Arial" w:eastAsia="Arial" w:hAnsi="Arial"/>
          <w:sz w:val="16"/>
          <w:szCs w:val="16"/>
          <w:color w:val="3D3935"/>
        </w:rPr>
        <w:t>selection of the independent auditors to our shareholders for ratification. If shareholders do not ratify the selection of EY, the Audit Committee will reconsider whether to engage EY, but may ultimately determine to engage EY or another audit firm without resubmitting the matter to shareholders. Even if the shareholders ratify the selection of EY, the Audit Committee may, in its sole discretion, terminate the engagement of EY and direct the appointment of another independent registered public accounting firm at any time during the year, although it has no current intention to do so.</w:t>
      </w:r>
    </w:p>
    <w:p>
      <w:pPr>
        <w:spacing w:after="0" w:line="70" w:lineRule="exact"/>
        <w:rPr>
          <w:sz w:val="20"/>
          <w:szCs w:val="20"/>
          <w:color w:val="auto"/>
        </w:rPr>
      </w:pPr>
    </w:p>
    <w:p>
      <w:pPr>
        <w:ind w:left="60" w:right="260"/>
        <w:spacing w:after="0" w:line="284" w:lineRule="auto"/>
        <w:rPr>
          <w:sz w:val="20"/>
          <w:szCs w:val="20"/>
          <w:color w:val="auto"/>
        </w:rPr>
      </w:pPr>
      <w:r>
        <w:rPr>
          <w:rFonts w:ascii="Arial" w:cs="Arial" w:eastAsia="Arial" w:hAnsi="Arial"/>
          <w:sz w:val="16"/>
          <w:szCs w:val="16"/>
          <w:b w:val="1"/>
          <w:bCs w:val="1"/>
          <w:color w:val="0071CE"/>
        </w:rPr>
        <w:t>We Expect EY to Attend Our Annual Meeting.</w:t>
      </w:r>
      <w:r>
        <w:rPr>
          <w:rFonts w:ascii="Arial" w:cs="Arial" w:eastAsia="Arial" w:hAnsi="Arial"/>
          <w:sz w:val="16"/>
          <w:szCs w:val="16"/>
          <w:color w:val="3D3935"/>
        </w:rPr>
        <w:t>We expect that representatives of EY will be present at the Annual Meeting.</w:t>
      </w:r>
      <w:r>
        <w:rPr>
          <w:rFonts w:ascii="Arial" w:cs="Arial" w:eastAsia="Arial" w:hAnsi="Arial"/>
          <w:sz w:val="16"/>
          <w:szCs w:val="16"/>
          <w:b w:val="1"/>
          <w:bCs w:val="1"/>
          <w:color w:val="0071CE"/>
        </w:rPr>
        <w:t xml:space="preserve"> </w:t>
      </w:r>
      <w:r>
        <w:rPr>
          <w:rFonts w:ascii="Arial" w:cs="Arial" w:eastAsia="Arial" w:hAnsi="Arial"/>
          <w:sz w:val="16"/>
          <w:szCs w:val="16"/>
          <w:color w:val="3D3935"/>
        </w:rPr>
        <w:t>They will have an opportunity to make a statement if they so desire and are expected to be available to respond to appropriate questions from shareholders.</w:t>
      </w:r>
    </w:p>
    <w:p>
      <w:pPr>
        <w:spacing w:after="0" w:line="62" w:lineRule="exact"/>
        <w:rPr>
          <w:sz w:val="20"/>
          <w:szCs w:val="20"/>
          <w:color w:val="auto"/>
        </w:rPr>
      </w:pPr>
    </w:p>
    <w:p>
      <w:pPr>
        <w:ind w:left="60" w:right="1280"/>
        <w:spacing w:after="0" w:line="304" w:lineRule="auto"/>
        <w:rPr>
          <w:sz w:val="20"/>
          <w:szCs w:val="20"/>
          <w:color w:val="auto"/>
        </w:rPr>
      </w:pPr>
      <w:r>
        <w:rPr>
          <w:rFonts w:ascii="Arial" w:cs="Arial" w:eastAsia="Arial" w:hAnsi="Arial"/>
          <w:sz w:val="16"/>
          <w:szCs w:val="16"/>
          <w:color w:val="3D3935"/>
        </w:rPr>
        <w:t>For additional information concerning the Audit Committee and its activities with EY, see the “Audit Committee Report” below.</w:t>
      </w:r>
    </w:p>
    <w:p>
      <w:pPr>
        <w:spacing w:after="0" w:line="312" w:lineRule="exact"/>
        <w:rPr>
          <w:sz w:val="20"/>
          <w:szCs w:val="20"/>
          <w:color w:val="auto"/>
        </w:rPr>
      </w:pPr>
    </w:p>
    <w:p>
      <w:pPr>
        <w:ind w:left="680" w:right="580"/>
        <w:spacing w:after="0" w:line="287" w:lineRule="auto"/>
        <w:rPr>
          <w:sz w:val="20"/>
          <w:szCs w:val="20"/>
          <w:color w:val="auto"/>
        </w:rPr>
      </w:pPr>
      <w:r>
        <w:rPr>
          <w:rFonts w:ascii="Arial" w:cs="Arial" w:eastAsia="Arial" w:hAnsi="Arial"/>
          <w:sz w:val="18"/>
          <w:szCs w:val="18"/>
          <w:color w:val="3D3935"/>
        </w:rPr>
        <w:t xml:space="preserve">The Board recommends a vote </w:t>
      </w:r>
      <w:r>
        <w:rPr>
          <w:rFonts w:ascii="Arial" w:cs="Arial" w:eastAsia="Arial" w:hAnsi="Arial"/>
          <w:sz w:val="18"/>
          <w:szCs w:val="18"/>
          <w:b w:val="1"/>
          <w:bCs w:val="1"/>
          <w:color w:val="3D3935"/>
        </w:rPr>
        <w:t>FOR</w:t>
      </w:r>
      <w:r>
        <w:rPr>
          <w:rFonts w:ascii="Arial" w:cs="Arial" w:eastAsia="Arial" w:hAnsi="Arial"/>
          <w:sz w:val="18"/>
          <w:szCs w:val="18"/>
          <w:color w:val="3D3935"/>
        </w:rPr>
        <w:t xml:space="preserve"> the proposal to ratify the selection of Ernst &amp; Young LLP as the Company’s independent registered public accounting firm for 2025.</w:t>
      </w:r>
    </w:p>
    <w:p>
      <w:pPr>
        <w:spacing w:after="0" w:line="200" w:lineRule="exact"/>
        <w:rPr>
          <w:sz w:val="20"/>
          <w:szCs w:val="20"/>
          <w:color w:val="auto"/>
        </w:rPr>
      </w:pPr>
    </w:p>
    <w:p>
      <w:pPr>
        <w:spacing w:after="0" w:line="39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77228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10375" cy="772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2 Proposal to Ratify the Selection of Ernst &amp; Young LLP as the Company’s</w:t>
      </w:r>
    </w:p>
    <w:p>
      <w:pPr>
        <w:spacing w:after="0" w:line="29" w:lineRule="exact"/>
        <w:rPr>
          <w:sz w:val="20"/>
          <w:szCs w:val="20"/>
          <w:color w:val="auto"/>
        </w:rPr>
      </w:pPr>
    </w:p>
    <w:p>
      <w:pPr>
        <w:ind w:left="5160"/>
        <w:spacing w:after="0"/>
        <w:rPr>
          <w:sz w:val="20"/>
          <w:szCs w:val="20"/>
          <w:color w:val="auto"/>
        </w:rPr>
      </w:pPr>
      <w:r>
        <w:rPr>
          <w:rFonts w:ascii="Arial" w:cs="Arial" w:eastAsia="Arial" w:hAnsi="Arial"/>
          <w:sz w:val="14"/>
          <w:szCs w:val="14"/>
          <w:b w:val="1"/>
          <w:bCs w:val="1"/>
          <w:color w:val="0072CE"/>
        </w:rPr>
        <w:t>Independent Registered Public Accounting Firm for 2025</w:t>
      </w:r>
    </w:p>
    <w:p>
      <w:pPr>
        <w:spacing w:after="0" w:line="354"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Audit Committee Report</w:t>
      </w:r>
    </w:p>
    <w:p>
      <w:pPr>
        <w:spacing w:after="0" w:line="12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3D3935"/>
        </w:rPr>
        <w:t>The Audit Committee of the Board of Directors of General Motors Company is a standing committee composed of seven independent directors: Thomas M. Schoewe (Chair), Wesley G. Bush, Joanne C. Crevoiserat, Linda R. Gooden, Alfred F. Kelly, Jr., Mark A. Tatum, and Jan E. Tighe.</w:t>
      </w:r>
    </w:p>
    <w:p>
      <w:pPr>
        <w:sectPr>
          <w:pgSz w:w="11900" w:h="16856" w:orient="portrait"/>
          <w:cols w:equalWidth="0" w:num="1">
            <w:col w:w="9200"/>
          </w:cols>
          <w:pgMar w:left="1400" w:top="152" w:right="1299" w:bottom="0" w:gutter="0" w:footer="0" w:header="0"/>
        </w:sectPr>
      </w:pPr>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0072CE"/>
        </w:rPr>
        <w:t>Reasons for Selection to the Audit Committee</w:t>
      </w:r>
    </w:p>
    <w:p>
      <w:pPr>
        <w:spacing w:after="0" w:line="106" w:lineRule="exact"/>
        <w:rPr>
          <w:sz w:val="20"/>
          <w:szCs w:val="20"/>
          <w:color w:val="auto"/>
        </w:rPr>
      </w:pPr>
    </w:p>
    <w:p>
      <w:pPr>
        <w:ind w:left="240" w:right="40"/>
        <w:spacing w:after="0" w:line="295" w:lineRule="auto"/>
        <w:rPr>
          <w:sz w:val="20"/>
          <w:szCs w:val="20"/>
          <w:color w:val="auto"/>
        </w:rPr>
      </w:pPr>
      <w:r>
        <w:rPr>
          <w:rFonts w:ascii="Arial" w:cs="Arial" w:eastAsia="Arial" w:hAnsi="Arial"/>
          <w:sz w:val="16"/>
          <w:szCs w:val="16"/>
          <w:color w:val="3D3935"/>
        </w:rPr>
        <w:t>When selecting directors to serve on the Audit Committee, the Governance Committee and Board of Directors consider, among other factors: independence, financial literacy and expertise, and individual skills.</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0072CE"/>
        </w:rPr>
        <w:t>Financial Literacy and Expertise</w:t>
      </w:r>
    </w:p>
    <w:p>
      <w:pPr>
        <w:spacing w:after="0" w:line="95" w:lineRule="exact"/>
        <w:rPr>
          <w:sz w:val="20"/>
          <w:szCs w:val="20"/>
          <w:color w:val="auto"/>
        </w:rPr>
      </w:pPr>
    </w:p>
    <w:p>
      <w:pPr>
        <w:ind w:right="380"/>
        <w:spacing w:after="0" w:line="287" w:lineRule="auto"/>
        <w:rPr>
          <w:sz w:val="20"/>
          <w:szCs w:val="20"/>
          <w:color w:val="auto"/>
        </w:rPr>
      </w:pPr>
      <w:r>
        <w:rPr>
          <w:rFonts w:ascii="Arial" w:cs="Arial" w:eastAsia="Arial" w:hAnsi="Arial"/>
          <w:sz w:val="16"/>
          <w:szCs w:val="16"/>
          <w:color w:val="3D3935"/>
        </w:rPr>
        <w:t>The Board has determined that all members of the Audit Committee meet heightened independence and qualification criteria and are financially literate in accordance with the NYSE Corporate Governance Standards and SEC rules, and that Messrs. Bush, Kelly, and Schoewe and Mses. Crevoiserat and Gooden are each qualified as an “audit committee financial expert” as defined by SEC rules.</w:t>
      </w:r>
    </w:p>
    <w:p>
      <w:pPr>
        <w:spacing w:after="0" w:line="200" w:lineRule="exact"/>
        <w:rPr>
          <w:sz w:val="20"/>
          <w:szCs w:val="20"/>
          <w:color w:val="auto"/>
        </w:rPr>
      </w:pPr>
    </w:p>
    <w:p>
      <w:pPr>
        <w:sectPr>
          <w:pgSz w:w="11900" w:h="16856" w:orient="portrait"/>
          <w:cols w:equalWidth="0" w:num="2">
            <w:col w:w="4260" w:space="540"/>
            <w:col w:w="4400"/>
          </w:cols>
          <w:pgMar w:left="1400" w:top="152" w:right="1299" w:bottom="0" w:gutter="0" w:footer="0" w:header="0"/>
          <w:type w:val="continuous"/>
        </w:sectPr>
      </w:pPr>
    </w:p>
    <w:p>
      <w:pPr>
        <w:spacing w:after="0" w:line="193"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Purpose</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3D3935"/>
        </w:rPr>
        <w:t>The Audit Committee’s core purpose is to assist the Board by providing oversight of:</w:t>
      </w:r>
    </w:p>
    <w:p>
      <w:pPr>
        <w:spacing w:after="0" w:line="181" w:lineRule="exact"/>
        <w:rPr>
          <w:sz w:val="20"/>
          <w:szCs w:val="20"/>
          <w:color w:val="auto"/>
        </w:rPr>
      </w:pPr>
    </w:p>
    <w:p>
      <w:pPr>
        <w:ind w:left="200" w:hanging="192"/>
        <w:spacing w:after="0"/>
        <w:tabs>
          <w:tab w:leader="none" w:pos="200" w:val="left"/>
        </w:tabs>
        <w:numPr>
          <w:ilvl w:val="0"/>
          <w:numId w:val="67"/>
        </w:numPr>
        <w:rPr>
          <w:rFonts w:ascii="Arial" w:cs="Arial" w:eastAsia="Arial" w:hAnsi="Arial"/>
          <w:sz w:val="16"/>
          <w:szCs w:val="16"/>
          <w:color w:val="0072CE"/>
        </w:rPr>
      </w:pPr>
      <w:r>
        <w:rPr>
          <w:rFonts w:ascii="Arial" w:cs="Arial" w:eastAsia="Arial" w:hAnsi="Arial"/>
          <w:sz w:val="16"/>
          <w:szCs w:val="16"/>
          <w:color w:val="3D3935"/>
        </w:rPr>
        <w:t>The quality and integrity of GM’s financial statements;</w:t>
      </w:r>
    </w:p>
    <w:p>
      <w:pPr>
        <w:spacing w:after="0" w:line="86" w:lineRule="exact"/>
        <w:rPr>
          <w:rFonts w:ascii="Arial" w:cs="Arial" w:eastAsia="Arial" w:hAnsi="Arial"/>
          <w:sz w:val="16"/>
          <w:szCs w:val="16"/>
          <w:color w:val="0072CE"/>
        </w:rPr>
      </w:pPr>
    </w:p>
    <w:p>
      <w:pPr>
        <w:ind w:left="200" w:hanging="192"/>
        <w:spacing w:after="0"/>
        <w:tabs>
          <w:tab w:leader="none" w:pos="200" w:val="left"/>
        </w:tabs>
        <w:numPr>
          <w:ilvl w:val="0"/>
          <w:numId w:val="67"/>
        </w:numPr>
        <w:rPr>
          <w:rFonts w:ascii="Arial" w:cs="Arial" w:eastAsia="Arial" w:hAnsi="Arial"/>
          <w:sz w:val="16"/>
          <w:szCs w:val="16"/>
          <w:color w:val="0072CE"/>
        </w:rPr>
      </w:pPr>
      <w:r>
        <w:rPr>
          <w:rFonts w:ascii="Arial" w:cs="Arial" w:eastAsia="Arial" w:hAnsi="Arial"/>
          <w:sz w:val="16"/>
          <w:szCs w:val="16"/>
          <w:color w:val="3D3935"/>
        </w:rPr>
        <w:t>The effectiveness of GM’s financial reporting process and systems of disclosure controls and internal controls;</w:t>
      </w:r>
    </w:p>
    <w:p>
      <w:pPr>
        <w:spacing w:after="0" w:line="86" w:lineRule="exact"/>
        <w:rPr>
          <w:rFonts w:ascii="Arial" w:cs="Arial" w:eastAsia="Arial" w:hAnsi="Arial"/>
          <w:sz w:val="16"/>
          <w:szCs w:val="16"/>
          <w:color w:val="0072CE"/>
        </w:rPr>
      </w:pPr>
    </w:p>
    <w:p>
      <w:pPr>
        <w:ind w:left="200" w:hanging="192"/>
        <w:spacing w:after="0"/>
        <w:tabs>
          <w:tab w:leader="none" w:pos="200" w:val="left"/>
        </w:tabs>
        <w:numPr>
          <w:ilvl w:val="0"/>
          <w:numId w:val="67"/>
        </w:numPr>
        <w:rPr>
          <w:rFonts w:ascii="Arial" w:cs="Arial" w:eastAsia="Arial" w:hAnsi="Arial"/>
          <w:sz w:val="16"/>
          <w:szCs w:val="16"/>
          <w:color w:val="0072CE"/>
        </w:rPr>
      </w:pPr>
      <w:r>
        <w:rPr>
          <w:rFonts w:ascii="Arial" w:cs="Arial" w:eastAsia="Arial" w:hAnsi="Arial"/>
          <w:sz w:val="16"/>
          <w:szCs w:val="16"/>
          <w:color w:val="3D3935"/>
        </w:rPr>
        <w:t>The qualifications, performance, and independence of GM’s external auditors and their audit process;</w:t>
      </w:r>
    </w:p>
    <w:p>
      <w:pPr>
        <w:spacing w:after="0" w:line="86" w:lineRule="exact"/>
        <w:rPr>
          <w:rFonts w:ascii="Arial" w:cs="Arial" w:eastAsia="Arial" w:hAnsi="Arial"/>
          <w:sz w:val="16"/>
          <w:szCs w:val="16"/>
          <w:color w:val="0072CE"/>
        </w:rPr>
      </w:pPr>
    </w:p>
    <w:p>
      <w:pPr>
        <w:ind w:left="200" w:hanging="192"/>
        <w:spacing w:after="0"/>
        <w:tabs>
          <w:tab w:leader="none" w:pos="200" w:val="left"/>
        </w:tabs>
        <w:numPr>
          <w:ilvl w:val="0"/>
          <w:numId w:val="67"/>
        </w:numPr>
        <w:rPr>
          <w:rFonts w:ascii="Arial" w:cs="Arial" w:eastAsia="Arial" w:hAnsi="Arial"/>
          <w:sz w:val="16"/>
          <w:szCs w:val="16"/>
          <w:color w:val="0072CE"/>
        </w:rPr>
      </w:pPr>
      <w:r>
        <w:rPr>
          <w:rFonts w:ascii="Arial" w:cs="Arial" w:eastAsia="Arial" w:hAnsi="Arial"/>
          <w:sz w:val="16"/>
          <w:szCs w:val="16"/>
          <w:color w:val="3D3935"/>
        </w:rPr>
        <w:t>The scope and performance of GM’s internal audit function; and</w:t>
      </w:r>
    </w:p>
    <w:p>
      <w:pPr>
        <w:spacing w:after="0" w:line="86" w:lineRule="exact"/>
        <w:rPr>
          <w:rFonts w:ascii="Arial" w:cs="Arial" w:eastAsia="Arial" w:hAnsi="Arial"/>
          <w:sz w:val="16"/>
          <w:szCs w:val="16"/>
          <w:color w:val="0072CE"/>
        </w:rPr>
      </w:pPr>
    </w:p>
    <w:p>
      <w:pPr>
        <w:ind w:left="200" w:right="260" w:hanging="192"/>
        <w:spacing w:after="0" w:line="321" w:lineRule="auto"/>
        <w:tabs>
          <w:tab w:leader="none" w:pos="200" w:val="left"/>
        </w:tabs>
        <w:numPr>
          <w:ilvl w:val="0"/>
          <w:numId w:val="67"/>
        </w:numPr>
        <w:rPr>
          <w:rFonts w:ascii="Arial" w:cs="Arial" w:eastAsia="Arial" w:hAnsi="Arial"/>
          <w:sz w:val="16"/>
          <w:szCs w:val="16"/>
          <w:color w:val="0072CE"/>
        </w:rPr>
      </w:pPr>
      <w:r>
        <w:rPr>
          <w:rFonts w:ascii="Arial" w:cs="Arial" w:eastAsia="Arial" w:hAnsi="Arial"/>
          <w:sz w:val="16"/>
          <w:szCs w:val="16"/>
          <w:color w:val="3D3935"/>
        </w:rPr>
        <w:t>GM’s policies and procedures regarding compliance, ethics, and legal risk, including the standards of business conduct as embodied in GM’s code of conduct.</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3D3935"/>
        </w:rPr>
        <w:t>The Audit Committee operates under a written charter adopted by the Audit Committee and approved by the Board of</w:t>
      </w:r>
    </w:p>
    <w:p>
      <w:pPr>
        <w:spacing w:after="0" w:line="32"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3D3935"/>
        </w:rPr>
        <w:t xml:space="preserve">Directors, which may be found on our website at </w:t>
      </w:r>
      <w:r>
        <w:rPr>
          <w:rFonts w:ascii="Arial" w:cs="Arial" w:eastAsia="Arial" w:hAnsi="Arial"/>
          <w:sz w:val="16"/>
          <w:szCs w:val="16"/>
          <w:u w:val="single" w:color="auto"/>
          <w:color w:val="0072CE"/>
        </w:rPr>
        <w:t>investor.gm.com/governanceandsustainability.</w:t>
      </w:r>
      <w:r>
        <w:rPr>
          <w:rFonts w:ascii="Arial" w:cs="Arial" w:eastAsia="Arial" w:hAnsi="Arial"/>
          <w:sz w:val="16"/>
          <w:szCs w:val="16"/>
          <w:color w:val="3D3935"/>
        </w:rPr>
        <w:t xml:space="preserve"> The Audit Committee’s charter is reviewed at least once annually and is updated as necessary to address changes in regulatory requirements, authoritative guidance, evolving best practices, and shareholder feedback.</w:t>
      </w:r>
    </w:p>
    <w:p>
      <w:pPr>
        <w:spacing w:after="0" w:line="104" w:lineRule="exact"/>
        <w:rPr>
          <w:sz w:val="20"/>
          <w:szCs w:val="20"/>
          <w:color w:val="auto"/>
        </w:rPr>
      </w:pPr>
    </w:p>
    <w:p>
      <w:pPr>
        <w:ind w:right="300"/>
        <w:spacing w:after="0" w:line="289" w:lineRule="auto"/>
        <w:rPr>
          <w:sz w:val="20"/>
          <w:szCs w:val="20"/>
          <w:color w:val="auto"/>
        </w:rPr>
      </w:pPr>
      <w:r>
        <w:rPr>
          <w:rFonts w:ascii="Arial" w:cs="Arial" w:eastAsia="Arial" w:hAnsi="Arial"/>
          <w:sz w:val="16"/>
          <w:szCs w:val="16"/>
          <w:color w:val="3D3935"/>
        </w:rPr>
        <w:t>Management is responsible for the Company’s internal control over financial reporting and the financial reporting process and has delivered its opinion on the effectiveness of the Company’s controls. EY, the Company’s independent registered public accounting firm, is responsible for performing an independent audit of the Company’s consolidated financial statements and opining on the effectiveness of internal control over financial reporting in accordance with the standards of the Public Company Accounting Oversight Board (United States) (the “PCAOB”) and issuing its reports thereon. As provided in its charter, the Audit Committee’s responsibilities include monitoring and overseeing these processes.</w:t>
      </w:r>
    </w:p>
    <w:p>
      <w:pPr>
        <w:spacing w:after="0" w:line="68"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Required Disclosures</w:t>
      </w:r>
    </w:p>
    <w:p>
      <w:pPr>
        <w:spacing w:after="0" w:line="132" w:lineRule="exact"/>
        <w:rPr>
          <w:sz w:val="20"/>
          <w:szCs w:val="20"/>
          <w:color w:val="auto"/>
        </w:rPr>
      </w:pPr>
    </w:p>
    <w:p>
      <w:pPr>
        <w:ind w:right="380"/>
        <w:spacing w:after="0" w:line="288" w:lineRule="auto"/>
        <w:rPr>
          <w:sz w:val="20"/>
          <w:szCs w:val="20"/>
          <w:color w:val="auto"/>
        </w:rPr>
      </w:pPr>
      <w:r>
        <w:rPr>
          <w:rFonts w:ascii="Arial" w:cs="Arial" w:eastAsia="Arial" w:hAnsi="Arial"/>
          <w:sz w:val="16"/>
          <w:szCs w:val="16"/>
          <w:color w:val="3D3935"/>
        </w:rPr>
        <w:t>In 2024, the Audit Committee met nine times and fulfilled all of its core charter obligations. Consistent with its charter responsibilities, the Audit Committee met and held discussions with management and EY regarding the Company’s audited financial statements and internal controls for the year ended December 31, 2024. In this context, management represented to the Audit Committee that the Company’s consolidated financial statements were prepared in accordance with accounting principles generally accepted in the United States. The Audit Committee reviewed and discussed the consolidated financial statements with management and EY and further discussed with EY the matters required to be discussed by the requirements of the PCAOB and the SEC. This review included a discussion with management and EY of the quality, not</w:t>
      </w:r>
    </w:p>
    <w:p>
      <w:pPr>
        <w:sectPr>
          <w:pgSz w:w="11900" w:h="16856" w:orient="portrait"/>
          <w:cols w:equalWidth="0" w:num="1">
            <w:col w:w="9200"/>
          </w:cols>
          <w:pgMar w:left="1400" w:top="152" w:right="1299" w:bottom="0" w:gutter="0" w:footer="0" w:header="0"/>
          <w:type w:val="continuous"/>
        </w:sectPr>
      </w:pPr>
    </w:p>
    <w:bookmarkStart w:id="39" w:name="page40"/>
    <w:bookmarkEnd w:id="39"/>
    <w:p>
      <w:pPr>
        <w:spacing w:after="0" w:line="56" w:lineRule="exact"/>
        <w:rPr>
          <w:sz w:val="20"/>
          <w:szCs w:val="20"/>
          <w:color w:val="auto"/>
        </w:rPr>
      </w:pPr>
    </w:p>
    <w:p>
      <w:pPr>
        <w:ind w:right="380"/>
        <w:spacing w:after="0" w:line="235" w:lineRule="auto"/>
        <w:rPr>
          <w:sz w:val="20"/>
          <w:szCs w:val="20"/>
          <w:color w:val="auto"/>
        </w:rPr>
      </w:pPr>
      <w:r>
        <w:rPr>
          <w:rFonts w:ascii="Arial" w:cs="Arial" w:eastAsia="Arial" w:hAnsi="Arial"/>
          <w:sz w:val="16"/>
          <w:szCs w:val="16"/>
          <w:color w:val="3D3935"/>
        </w:rPr>
        <w:t>merely the acceptability, of GM’s accounting principles, the reasonableness of significant estimates and judgments, and the clarity of disclosure in GM’s financial statements, including the disclosures related to critical accounting estimates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-211455</wp:posOffset>
            </wp:positionV>
            <wp:extent cx="6810375" cy="11334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10375" cy="1133475"/>
                    </a:xfrm>
                    <a:prstGeom prst="rect">
                      <a:avLst/>
                    </a:prstGeom>
                    <a:noFill/>
                  </pic:spPr>
                </pic:pic>
              </a:graphicData>
            </a:graphic>
          </wp:anchor>
        </w:drawing>
      </w:r>
    </w:p>
    <w:p>
      <w:pPr>
        <w:ind w:right="620"/>
        <w:spacing w:after="0" w:line="321" w:lineRule="auto"/>
        <w:rPr>
          <w:sz w:val="20"/>
          <w:szCs w:val="20"/>
          <w:color w:val="auto"/>
        </w:rPr>
      </w:pPr>
      <w:r>
        <w:rPr>
          <w:rFonts w:ascii="Arial" w:cs="Arial" w:eastAsia="Arial" w:hAnsi="Arial"/>
          <w:sz w:val="16"/>
          <w:szCs w:val="16"/>
          <w:color w:val="3D3935"/>
        </w:rPr>
        <w:t>critical audit matters. EY also provided to the Audit Committee the written communications as required by the applicable PCAOB standards concerning independence, and the Audit Committee discussed with EY the auditor’s independence.</w:t>
      </w:r>
    </w:p>
    <w:p>
      <w:pPr>
        <w:spacing w:after="0" w:line="200" w:lineRule="exact"/>
        <w:rPr>
          <w:sz w:val="20"/>
          <w:szCs w:val="20"/>
          <w:color w:val="auto"/>
        </w:rPr>
      </w:pPr>
    </w:p>
    <w:p>
      <w:pPr>
        <w:spacing w:after="0" w:line="204"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3D3935"/>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88677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740"/>
        <w:spacing w:after="0" w:line="314" w:lineRule="auto"/>
        <w:rPr>
          <w:sz w:val="20"/>
          <w:szCs w:val="20"/>
          <w:color w:val="auto"/>
        </w:rPr>
      </w:pPr>
      <w:r>
        <w:rPr>
          <w:rFonts w:ascii="Arial" w:cs="Arial" w:eastAsia="Arial" w:hAnsi="Arial"/>
          <w:sz w:val="14"/>
          <w:szCs w:val="14"/>
          <w:b w:val="1"/>
          <w:bCs w:val="1"/>
          <w:color w:val="0072CE"/>
        </w:rPr>
        <w:t>ITEM 2 Proposal to Ratify the Selection of Ernst &amp; Young LLP as the Company’s Independent Registered Public Accounting Firm for 2025</w:t>
      </w:r>
    </w:p>
    <w:p>
      <w:pPr>
        <w:spacing w:after="0" w:line="316" w:lineRule="exact"/>
        <w:rPr>
          <w:sz w:val="20"/>
          <w:szCs w:val="20"/>
          <w:color w:val="auto"/>
        </w:rPr>
      </w:pPr>
    </w:p>
    <w:p>
      <w:pPr>
        <w:ind w:right="500"/>
        <w:spacing w:after="0" w:line="301" w:lineRule="auto"/>
        <w:rPr>
          <w:sz w:val="20"/>
          <w:szCs w:val="20"/>
          <w:color w:val="auto"/>
        </w:rPr>
      </w:pPr>
      <w:r>
        <w:rPr>
          <w:rFonts w:ascii="Arial" w:cs="Arial" w:eastAsia="Arial" w:hAnsi="Arial"/>
          <w:sz w:val="16"/>
          <w:szCs w:val="16"/>
          <w:color w:val="3D3935"/>
        </w:rPr>
        <w:t>The Audit Committee also considered and determined that the non-audit services provided to GM by EY were permissible under the applicable independence rules. The Audit Committee concluded that EY was independent from the Company and management.</w:t>
      </w:r>
    </w:p>
    <w:p>
      <w:pPr>
        <w:spacing w:after="0" w:line="104" w:lineRule="exact"/>
        <w:rPr>
          <w:sz w:val="20"/>
          <w:szCs w:val="20"/>
          <w:color w:val="auto"/>
        </w:rPr>
      </w:pPr>
    </w:p>
    <w:p>
      <w:pPr>
        <w:ind w:right="400"/>
        <w:spacing w:after="0" w:line="321" w:lineRule="auto"/>
        <w:rPr>
          <w:sz w:val="20"/>
          <w:szCs w:val="20"/>
          <w:color w:val="auto"/>
        </w:rPr>
      </w:pPr>
      <w:r>
        <w:rPr>
          <w:rFonts w:ascii="Arial" w:cs="Arial" w:eastAsia="Arial" w:hAnsi="Arial"/>
          <w:sz w:val="16"/>
          <w:szCs w:val="16"/>
          <w:color w:val="3D3935"/>
        </w:rPr>
        <w:t>For additional information about GM’s policies and procedures related to the approval of EY’s audit and non-audit services, see “Policy for Approval of Audit and Permitted Non-Audit Services” on page 41.</w:t>
      </w:r>
    </w:p>
    <w:p>
      <w:pPr>
        <w:spacing w:after="0" w:line="41"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Recommendation</w:t>
      </w:r>
    </w:p>
    <w:p>
      <w:pPr>
        <w:spacing w:after="0" w:line="132"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3D3935"/>
        </w:rPr>
        <w:t>Based upon the Audit Committee’s discussions with management and EY as described in this report and the Audit Committee’s review of the representations of management and the reports of EY to the Audit Committee, the Audit Committee recommended to the Board of Directors, and the Board of Directors approved, the inclusion of the audited consolidated financial statements in the Company’s Annual Report on Form 10-K for the year ended December 31, 2024, as filed with the SEC on January 28, 2025.</w:t>
      </w:r>
    </w:p>
    <w:p>
      <w:pPr>
        <w:spacing w:after="0" w:line="221"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3D3935"/>
        </w:rPr>
        <w:t>Audit Committee</w:t>
      </w:r>
    </w:p>
    <w:p>
      <w:pPr>
        <w:spacing w:after="0" w:line="181" w:lineRule="exact"/>
        <w:rPr>
          <w:sz w:val="20"/>
          <w:szCs w:val="20"/>
          <w:color w:val="auto"/>
        </w:rPr>
      </w:pPr>
    </w:p>
    <w:p>
      <w:pPr>
        <w:ind w:left="2460"/>
        <w:spacing w:after="0"/>
        <w:tabs>
          <w:tab w:leader="none" w:pos="5140" w:val="left"/>
        </w:tabs>
        <w:rPr>
          <w:sz w:val="20"/>
          <w:szCs w:val="20"/>
          <w:color w:val="auto"/>
        </w:rPr>
      </w:pPr>
      <w:r>
        <w:rPr>
          <w:rFonts w:ascii="Arial" w:cs="Arial" w:eastAsia="Arial" w:hAnsi="Arial"/>
          <w:sz w:val="16"/>
          <w:szCs w:val="16"/>
          <w:color w:val="3D3935"/>
        </w:rPr>
        <w:t>Thomas M. Schoewe (Chair)</w:t>
      </w:r>
      <w:r>
        <w:rPr>
          <w:sz w:val="20"/>
          <w:szCs w:val="20"/>
          <w:color w:val="auto"/>
        </w:rPr>
        <w:tab/>
      </w:r>
      <w:r>
        <w:rPr>
          <w:rFonts w:ascii="Arial" w:cs="Arial" w:eastAsia="Arial" w:hAnsi="Arial"/>
          <w:sz w:val="15"/>
          <w:szCs w:val="15"/>
          <w:color w:val="3D3935"/>
        </w:rPr>
        <w:t>Alfred F. Kelly, Jr.</w:t>
      </w:r>
    </w:p>
    <w:p>
      <w:pPr>
        <w:spacing w:after="0" w:line="32" w:lineRule="exact"/>
        <w:rPr>
          <w:sz w:val="20"/>
          <w:szCs w:val="20"/>
          <w:color w:val="auto"/>
        </w:rPr>
      </w:pPr>
    </w:p>
    <w:p>
      <w:pPr>
        <w:ind w:left="2460"/>
        <w:spacing w:after="0"/>
        <w:tabs>
          <w:tab w:leader="none" w:pos="5140" w:val="left"/>
        </w:tabs>
        <w:rPr>
          <w:sz w:val="20"/>
          <w:szCs w:val="20"/>
          <w:color w:val="auto"/>
        </w:rPr>
      </w:pPr>
      <w:r>
        <w:rPr>
          <w:rFonts w:ascii="Arial" w:cs="Arial" w:eastAsia="Arial" w:hAnsi="Arial"/>
          <w:sz w:val="16"/>
          <w:szCs w:val="16"/>
          <w:color w:val="3D3935"/>
        </w:rPr>
        <w:t>Wesley G. Bush</w:t>
      </w:r>
      <w:r>
        <w:rPr>
          <w:sz w:val="20"/>
          <w:szCs w:val="20"/>
          <w:color w:val="auto"/>
        </w:rPr>
        <w:tab/>
      </w:r>
      <w:r>
        <w:rPr>
          <w:rFonts w:ascii="Arial" w:cs="Arial" w:eastAsia="Arial" w:hAnsi="Arial"/>
          <w:sz w:val="15"/>
          <w:szCs w:val="15"/>
          <w:color w:val="3D3935"/>
        </w:rPr>
        <w:t>Mark A. Tatum</w:t>
      </w:r>
    </w:p>
    <w:p>
      <w:pPr>
        <w:spacing w:after="0" w:line="32" w:lineRule="exact"/>
        <w:rPr>
          <w:sz w:val="20"/>
          <w:szCs w:val="20"/>
          <w:color w:val="auto"/>
        </w:rPr>
      </w:pPr>
    </w:p>
    <w:p>
      <w:pPr>
        <w:ind w:left="2460"/>
        <w:spacing w:after="0"/>
        <w:tabs>
          <w:tab w:leader="none" w:pos="5140" w:val="left"/>
        </w:tabs>
        <w:rPr>
          <w:sz w:val="20"/>
          <w:szCs w:val="20"/>
          <w:color w:val="auto"/>
        </w:rPr>
      </w:pPr>
      <w:r>
        <w:rPr>
          <w:rFonts w:ascii="Arial" w:cs="Arial" w:eastAsia="Arial" w:hAnsi="Arial"/>
          <w:sz w:val="16"/>
          <w:szCs w:val="16"/>
          <w:color w:val="3D3935"/>
        </w:rPr>
        <w:t>Joanne C. Crevoiserat</w:t>
      </w:r>
      <w:r>
        <w:rPr>
          <w:sz w:val="20"/>
          <w:szCs w:val="20"/>
          <w:color w:val="auto"/>
        </w:rPr>
        <w:tab/>
      </w:r>
      <w:r>
        <w:rPr>
          <w:rFonts w:ascii="Arial" w:cs="Arial" w:eastAsia="Arial" w:hAnsi="Arial"/>
          <w:sz w:val="16"/>
          <w:szCs w:val="16"/>
          <w:color w:val="3D3935"/>
        </w:rPr>
        <w:t>Jan E. Tighe</w:t>
      </w:r>
    </w:p>
    <w:p>
      <w:pPr>
        <w:spacing w:after="0" w:line="32" w:lineRule="exact"/>
        <w:rPr>
          <w:sz w:val="20"/>
          <w:szCs w:val="20"/>
          <w:color w:val="auto"/>
        </w:rPr>
      </w:pPr>
    </w:p>
    <w:p>
      <w:pPr>
        <w:ind w:left="2460"/>
        <w:spacing w:after="0"/>
        <w:rPr>
          <w:sz w:val="20"/>
          <w:szCs w:val="20"/>
          <w:color w:val="auto"/>
        </w:rPr>
      </w:pPr>
      <w:r>
        <w:rPr>
          <w:rFonts w:ascii="Arial" w:cs="Arial" w:eastAsia="Arial" w:hAnsi="Arial"/>
          <w:sz w:val="16"/>
          <w:szCs w:val="16"/>
          <w:color w:val="3D3935"/>
        </w:rPr>
        <w:t>Linda R. Gooden</w:t>
      </w:r>
    </w:p>
    <w:p>
      <w:pPr>
        <w:spacing w:after="0" w:line="25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i w:val="1"/>
          <w:iCs w:val="1"/>
          <w:color w:val="3D3935"/>
        </w:rPr>
        <w:t>The preceding Audit Committee Report shall not be deemed incorporated by reference by any general statement incorporating by reference this Proxy Statement or any portion hereof into any filing under the Securities Act of 1933, as amended, or the Securities Exchange Act of 1934, as amended, and shall not otherwise be deemed filed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3505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10375" cy="350520"/>
                    </a:xfrm>
                    <a:prstGeom prst="rect">
                      <a:avLst/>
                    </a:prstGeom>
                    <a:noFill/>
                  </pic:spPr>
                </pic:pic>
              </a:graphicData>
            </a:graphic>
          </wp:anchor>
        </w:drawing>
      </w:r>
    </w:p>
    <w:p>
      <w:pPr>
        <w:sectPr>
          <w:pgSz w:w="11900" w:h="16894" w:orient="portrait"/>
          <w:cols w:equalWidth="0" w:num="1">
            <w:col w:w="9200"/>
          </w:cols>
          <w:pgMar w:left="1400" w:top="114" w:right="1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760"/>
        <w:spacing w:after="0"/>
        <w:rPr>
          <w:sz w:val="20"/>
          <w:szCs w:val="20"/>
          <w:color w:val="auto"/>
        </w:rPr>
      </w:pPr>
      <w:r>
        <w:rPr>
          <w:rFonts w:ascii="Arial" w:cs="Arial" w:eastAsia="Arial" w:hAnsi="Arial"/>
          <w:sz w:val="14"/>
          <w:szCs w:val="14"/>
          <w:b w:val="1"/>
          <w:bCs w:val="1"/>
          <w:color w:val="0072CE"/>
        </w:rPr>
        <w:t>ITEM 2 Proposal to Ratify the Selection of Ernst &amp; Young LLP as the Company’s</w:t>
      </w:r>
    </w:p>
    <w:p>
      <w:pPr>
        <w:sectPr>
          <w:pgSz w:w="11900" w:h="16894" w:orient="portrait"/>
          <w:cols w:equalWidth="0" w:num="1">
            <w:col w:w="9200"/>
          </w:cols>
          <w:pgMar w:left="1400" w:top="114" w:right="1299" w:bottom="0" w:gutter="0" w:footer="0" w:header="0"/>
          <w:type w:val="continuous"/>
        </w:sectPr>
      </w:pPr>
    </w:p>
    <w:bookmarkStart w:id="40" w:name="page41"/>
    <w:bookmarkEnd w:id="40"/>
    <w:p>
      <w:pPr>
        <w:spacing w:after="0" w:line="65" w:lineRule="exact"/>
        <w:rPr>
          <w:sz w:val="20"/>
          <w:szCs w:val="20"/>
          <w:color w:val="auto"/>
        </w:rPr>
      </w:pPr>
    </w:p>
    <w:p>
      <w:pPr>
        <w:ind w:left="5160"/>
        <w:spacing w:after="0"/>
        <w:rPr>
          <w:sz w:val="20"/>
          <w:szCs w:val="20"/>
          <w:color w:val="auto"/>
        </w:rPr>
      </w:pPr>
      <w:r>
        <w:rPr>
          <w:rFonts w:ascii="Arial" w:cs="Arial" w:eastAsia="Arial" w:hAnsi="Arial"/>
          <w:sz w:val="14"/>
          <w:szCs w:val="14"/>
          <w:b w:val="1"/>
          <w:bCs w:val="1"/>
          <w:color w:val="0072CE"/>
        </w:rPr>
        <w:t>Independent Registered Public Accounting Firm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-95885</wp:posOffset>
            </wp:positionV>
            <wp:extent cx="6810375" cy="85058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10375" cy="8505825"/>
                    </a:xfrm>
                    <a:prstGeom prst="rect">
                      <a:avLst/>
                    </a:prstGeom>
                    <a:noFill/>
                  </pic:spPr>
                </pic:pic>
              </a:graphicData>
            </a:graphic>
          </wp:anchor>
        </w:drawing>
      </w:r>
    </w:p>
    <w:p>
      <w:pPr>
        <w:spacing w:after="0" w:line="348" w:lineRule="exact"/>
        <w:rPr>
          <w:sz w:val="20"/>
          <w:szCs w:val="20"/>
          <w:color w:val="auto"/>
        </w:rPr>
      </w:pPr>
    </w:p>
    <w:p>
      <w:pPr>
        <w:ind w:right="920"/>
        <w:spacing w:after="0" w:line="276" w:lineRule="auto"/>
        <w:rPr>
          <w:sz w:val="20"/>
          <w:szCs w:val="20"/>
          <w:color w:val="auto"/>
        </w:rPr>
      </w:pPr>
      <w:r>
        <w:rPr>
          <w:rFonts w:ascii="Arial" w:cs="Arial" w:eastAsia="Arial" w:hAnsi="Arial"/>
          <w:sz w:val="40"/>
          <w:szCs w:val="40"/>
          <w:b w:val="1"/>
          <w:bCs w:val="1"/>
          <w:color w:val="0072CE"/>
        </w:rPr>
        <w:t>Fees Paid to Independent Registered Public Accounting Firm</w:t>
      </w:r>
    </w:p>
    <w:p>
      <w:pPr>
        <w:spacing w:after="0" w:line="1"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color w:val="3D3935"/>
        </w:rPr>
        <w:t>The following table summarizes the fees for professional services provided by EY for the annual audit of GM’s consolidated financial statements and internal control over financial reporting as of and for the years ended December 31, 2024 and 2023, together with the fees billed for other services rendered by EY during these periods.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shd w:val="clear" w:color="auto" w:fill="F0F3F6"/>
          </w:tcPr>
          <w:p>
            <w:pPr>
              <w:spacing w:after="0"/>
              <w:rPr>
                <w:sz w:val="20"/>
                <w:szCs w:val="20"/>
                <w:color w:val="auto"/>
              </w:rPr>
            </w:pPr>
          </w:p>
        </w:tc>
        <w:tc>
          <w:tcPr>
            <w:tcW w:w="3860" w:type="dxa"/>
            <w:vAlign w:val="bottom"/>
            <w:shd w:val="clear" w:color="auto" w:fill="F0F3F6"/>
          </w:tcPr>
          <w:p>
            <w:pPr>
              <w:jc w:val="right"/>
              <w:ind w:right="121"/>
              <w:spacing w:after="0"/>
              <w:rPr>
                <w:sz w:val="20"/>
                <w:szCs w:val="20"/>
                <w:color w:val="auto"/>
              </w:rPr>
            </w:pPr>
            <w:r>
              <w:rPr>
                <w:rFonts w:ascii="Arial" w:cs="Arial" w:eastAsia="Arial" w:hAnsi="Arial"/>
                <w:sz w:val="14"/>
                <w:szCs w:val="14"/>
                <w:b w:val="1"/>
                <w:bCs w:val="1"/>
                <w:color w:val="3D3935"/>
              </w:rPr>
              <w:t>2024</w:t>
            </w:r>
          </w:p>
        </w:tc>
        <w:tc>
          <w:tcPr>
            <w:tcW w:w="1080" w:type="dxa"/>
            <w:vAlign w:val="bottom"/>
            <w:shd w:val="clear" w:color="auto" w:fill="F0F3F6"/>
          </w:tcPr>
          <w:p>
            <w:pPr>
              <w:jc w:val="right"/>
              <w:ind w:right="1"/>
              <w:spacing w:after="0"/>
              <w:rPr>
                <w:sz w:val="20"/>
                <w:szCs w:val="20"/>
                <w:color w:val="auto"/>
              </w:rPr>
            </w:pPr>
            <w:r>
              <w:rPr>
                <w:rFonts w:ascii="Arial" w:cs="Arial" w:eastAsia="Arial" w:hAnsi="Arial"/>
                <w:sz w:val="14"/>
                <w:szCs w:val="14"/>
                <w:b w:val="1"/>
                <w:bCs w:val="1"/>
                <w:color w:val="3D3935"/>
              </w:rPr>
              <w:t>2023</w:t>
            </w:r>
          </w:p>
        </w:tc>
      </w:tr>
      <w:tr>
        <w:trPr>
          <w:trHeight w:val="185"/>
        </w:trPr>
        <w:tc>
          <w:tcPr>
            <w:tcW w:w="4140" w:type="dxa"/>
            <w:vAlign w:val="bottom"/>
            <w:tcBorders>
              <w:bottom w:val="single" w:sz="8" w:color="0072CE"/>
            </w:tcBorders>
            <w:shd w:val="clear" w:color="auto" w:fill="F0F3F6"/>
          </w:tcPr>
          <w:p>
            <w:pPr>
              <w:ind w:left="60"/>
              <w:spacing w:after="0"/>
              <w:rPr>
                <w:sz w:val="20"/>
                <w:szCs w:val="20"/>
                <w:color w:val="auto"/>
              </w:rPr>
            </w:pPr>
            <w:r>
              <w:rPr>
                <w:rFonts w:ascii="Arial" w:cs="Arial" w:eastAsia="Arial" w:hAnsi="Arial"/>
                <w:sz w:val="14"/>
                <w:szCs w:val="14"/>
                <w:b w:val="1"/>
                <w:bCs w:val="1"/>
                <w:color w:val="3D3935"/>
              </w:rPr>
              <w:t>Type of Fees</w:t>
            </w:r>
          </w:p>
        </w:tc>
        <w:tc>
          <w:tcPr>
            <w:tcW w:w="3860" w:type="dxa"/>
            <w:vAlign w:val="bottom"/>
            <w:tcBorders>
              <w:bottom w:val="single" w:sz="8" w:color="0072CE"/>
            </w:tcBorders>
            <w:shd w:val="clear" w:color="auto" w:fill="F0F3F6"/>
          </w:tcPr>
          <w:p>
            <w:pPr>
              <w:jc w:val="right"/>
              <w:ind w:right="61"/>
              <w:spacing w:after="0"/>
              <w:rPr>
                <w:sz w:val="20"/>
                <w:szCs w:val="20"/>
                <w:color w:val="auto"/>
              </w:rPr>
            </w:pPr>
            <w:r>
              <w:rPr>
                <w:rFonts w:ascii="Arial" w:cs="Arial" w:eastAsia="Arial" w:hAnsi="Arial"/>
                <w:sz w:val="14"/>
                <w:szCs w:val="14"/>
                <w:b w:val="1"/>
                <w:bCs w:val="1"/>
                <w:color w:val="3D3935"/>
              </w:rPr>
              <w:t>($ in millions)</w:t>
            </w:r>
          </w:p>
        </w:tc>
        <w:tc>
          <w:tcPr>
            <w:tcW w:w="1080" w:type="dxa"/>
            <w:vAlign w:val="bottom"/>
            <w:tcBorders>
              <w:bottom w:val="single" w:sz="8" w:color="0072CE"/>
            </w:tcBorders>
            <w:shd w:val="clear" w:color="auto" w:fill="F0F3F6"/>
          </w:tcPr>
          <w:p>
            <w:pPr>
              <w:jc w:val="right"/>
              <w:spacing w:after="0"/>
              <w:rPr>
                <w:sz w:val="20"/>
                <w:szCs w:val="20"/>
                <w:color w:val="auto"/>
              </w:rPr>
            </w:pPr>
            <w:r>
              <w:rPr>
                <w:rFonts w:ascii="Arial" w:cs="Arial" w:eastAsia="Arial" w:hAnsi="Arial"/>
                <w:sz w:val="14"/>
                <w:szCs w:val="14"/>
                <w:b w:val="1"/>
                <w:bCs w:val="1"/>
                <w:color w:val="3D3935"/>
              </w:rPr>
              <w:t>($ in millions)</w:t>
            </w:r>
          </w:p>
        </w:tc>
      </w:tr>
      <w:tr>
        <w:trPr>
          <w:trHeight w:val="249"/>
        </w:trPr>
        <w:tc>
          <w:tcPr>
            <w:tcW w:w="414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Audit</w:t>
            </w:r>
          </w:p>
        </w:tc>
        <w:tc>
          <w:tcPr>
            <w:tcW w:w="3860" w:type="dxa"/>
            <w:vAlign w:val="bottom"/>
            <w:tcBorders>
              <w:bottom w:val="single" w:sz="8" w:color="D9D9D6"/>
            </w:tcBorders>
          </w:tcPr>
          <w:p>
            <w:pPr>
              <w:jc w:val="right"/>
              <w:ind w:right="121"/>
              <w:spacing w:after="0"/>
              <w:rPr>
                <w:sz w:val="20"/>
                <w:szCs w:val="20"/>
                <w:color w:val="auto"/>
              </w:rPr>
            </w:pPr>
            <w:r>
              <w:rPr>
                <w:rFonts w:ascii="Arial" w:cs="Arial" w:eastAsia="Arial" w:hAnsi="Arial"/>
                <w:sz w:val="16"/>
                <w:szCs w:val="16"/>
                <w:color w:val="3D3935"/>
              </w:rPr>
              <w:t>25</w:t>
            </w:r>
          </w:p>
        </w:tc>
        <w:tc>
          <w:tcPr>
            <w:tcW w:w="1080" w:type="dxa"/>
            <w:vAlign w:val="bottom"/>
            <w:tcBorders>
              <w:bottom w:val="single" w:sz="8" w:color="D9D9D6"/>
            </w:tcBorders>
          </w:tcPr>
          <w:p>
            <w:pPr>
              <w:jc w:val="right"/>
              <w:ind w:right="1"/>
              <w:spacing w:after="0"/>
              <w:rPr>
                <w:sz w:val="20"/>
                <w:szCs w:val="20"/>
                <w:color w:val="auto"/>
              </w:rPr>
            </w:pPr>
            <w:r>
              <w:rPr>
                <w:rFonts w:ascii="Arial" w:cs="Arial" w:eastAsia="Arial" w:hAnsi="Arial"/>
                <w:sz w:val="16"/>
                <w:szCs w:val="16"/>
                <w:color w:val="3D3935"/>
              </w:rPr>
              <w:t>23</w:t>
            </w:r>
          </w:p>
        </w:tc>
      </w:tr>
      <w:tr>
        <w:trPr>
          <w:trHeight w:val="250"/>
        </w:trPr>
        <w:tc>
          <w:tcPr>
            <w:tcW w:w="414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Audit-Related</w:t>
            </w:r>
          </w:p>
        </w:tc>
        <w:tc>
          <w:tcPr>
            <w:tcW w:w="3860" w:type="dxa"/>
            <w:vAlign w:val="bottom"/>
            <w:tcBorders>
              <w:bottom w:val="single" w:sz="8" w:color="D9D9D6"/>
            </w:tcBorders>
          </w:tcPr>
          <w:p>
            <w:pPr>
              <w:jc w:val="right"/>
              <w:ind w:right="121"/>
              <w:spacing w:after="0"/>
              <w:rPr>
                <w:sz w:val="20"/>
                <w:szCs w:val="20"/>
                <w:color w:val="auto"/>
              </w:rPr>
            </w:pPr>
            <w:r>
              <w:rPr>
                <w:rFonts w:ascii="Arial" w:cs="Arial" w:eastAsia="Arial" w:hAnsi="Arial"/>
                <w:sz w:val="16"/>
                <w:szCs w:val="16"/>
                <w:color w:val="3D3935"/>
              </w:rPr>
              <w:t>4</w:t>
            </w:r>
          </w:p>
        </w:tc>
        <w:tc>
          <w:tcPr>
            <w:tcW w:w="1080" w:type="dxa"/>
            <w:vAlign w:val="bottom"/>
            <w:tcBorders>
              <w:bottom w:val="single" w:sz="8" w:color="D9D9D6"/>
            </w:tcBorders>
          </w:tcPr>
          <w:p>
            <w:pPr>
              <w:jc w:val="center"/>
              <w:ind w:left="761"/>
              <w:spacing w:after="0"/>
              <w:rPr>
                <w:sz w:val="20"/>
                <w:szCs w:val="20"/>
                <w:color w:val="auto"/>
              </w:rPr>
            </w:pPr>
            <w:r>
              <w:rPr>
                <w:rFonts w:ascii="Arial" w:cs="Arial" w:eastAsia="Arial" w:hAnsi="Arial"/>
                <w:sz w:val="16"/>
                <w:szCs w:val="16"/>
                <w:color w:val="3D3935"/>
                <w:w w:val="89"/>
              </w:rPr>
              <w:t>5</w:t>
            </w:r>
          </w:p>
        </w:tc>
      </w:tr>
      <w:tr>
        <w:trPr>
          <w:trHeight w:val="250"/>
        </w:trPr>
        <w:tc>
          <w:tcPr>
            <w:tcW w:w="414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Tax</w:t>
            </w:r>
          </w:p>
        </w:tc>
        <w:tc>
          <w:tcPr>
            <w:tcW w:w="3860" w:type="dxa"/>
            <w:vAlign w:val="bottom"/>
            <w:tcBorders>
              <w:bottom w:val="single" w:sz="8" w:color="D9D9D6"/>
            </w:tcBorders>
          </w:tcPr>
          <w:p>
            <w:pPr>
              <w:jc w:val="right"/>
              <w:ind w:right="81"/>
              <w:spacing w:after="0"/>
              <w:rPr>
                <w:sz w:val="20"/>
                <w:szCs w:val="20"/>
                <w:color w:val="auto"/>
              </w:rPr>
            </w:pPr>
            <w:r>
              <w:rPr>
                <w:rFonts w:ascii="Arial" w:cs="Arial" w:eastAsia="Arial" w:hAnsi="Arial"/>
                <w:sz w:val="16"/>
                <w:szCs w:val="16"/>
                <w:color w:val="3D3935"/>
              </w:rPr>
              <w:t>1</w:t>
            </w:r>
          </w:p>
        </w:tc>
        <w:tc>
          <w:tcPr>
            <w:tcW w:w="108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w:t>
            </w:r>
          </w:p>
        </w:tc>
      </w:tr>
      <w:tr>
        <w:trPr>
          <w:trHeight w:val="250"/>
        </w:trPr>
        <w:tc>
          <w:tcPr>
            <w:tcW w:w="414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Subtotal</w:t>
            </w:r>
          </w:p>
        </w:tc>
        <w:tc>
          <w:tcPr>
            <w:tcW w:w="3860" w:type="dxa"/>
            <w:vAlign w:val="bottom"/>
            <w:tcBorders>
              <w:bottom w:val="single" w:sz="8" w:color="D9D9D6"/>
            </w:tcBorders>
          </w:tcPr>
          <w:p>
            <w:pPr>
              <w:jc w:val="right"/>
              <w:ind w:right="121"/>
              <w:spacing w:after="0"/>
              <w:rPr>
                <w:sz w:val="20"/>
                <w:szCs w:val="20"/>
                <w:color w:val="auto"/>
              </w:rPr>
            </w:pPr>
            <w:r>
              <w:rPr>
                <w:rFonts w:ascii="Arial" w:cs="Arial" w:eastAsia="Arial" w:hAnsi="Arial"/>
                <w:sz w:val="16"/>
                <w:szCs w:val="16"/>
                <w:color w:val="3D3935"/>
              </w:rPr>
              <w:t>30</w:t>
            </w:r>
          </w:p>
        </w:tc>
        <w:tc>
          <w:tcPr>
            <w:tcW w:w="1080" w:type="dxa"/>
            <w:vAlign w:val="bottom"/>
            <w:tcBorders>
              <w:bottom w:val="single" w:sz="8" w:color="D9D9D6"/>
            </w:tcBorders>
          </w:tcPr>
          <w:p>
            <w:pPr>
              <w:jc w:val="right"/>
              <w:ind w:right="21"/>
              <w:spacing w:after="0"/>
              <w:rPr>
                <w:sz w:val="20"/>
                <w:szCs w:val="20"/>
                <w:color w:val="auto"/>
              </w:rPr>
            </w:pPr>
            <w:r>
              <w:rPr>
                <w:rFonts w:ascii="Arial" w:cs="Arial" w:eastAsia="Arial" w:hAnsi="Arial"/>
                <w:sz w:val="16"/>
                <w:szCs w:val="16"/>
                <w:color w:val="3D3935"/>
              </w:rPr>
              <w:t>30</w:t>
            </w:r>
          </w:p>
        </w:tc>
      </w:tr>
      <w:tr>
        <w:trPr>
          <w:trHeight w:val="250"/>
        </w:trPr>
        <w:tc>
          <w:tcPr>
            <w:tcW w:w="414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All Other Services</w:t>
            </w:r>
          </w:p>
        </w:tc>
        <w:tc>
          <w:tcPr>
            <w:tcW w:w="3860" w:type="dxa"/>
            <w:vAlign w:val="bottom"/>
            <w:tcBorders>
              <w:bottom w:val="single" w:sz="8" w:color="D9D9D6"/>
            </w:tcBorders>
          </w:tcPr>
          <w:p>
            <w:pPr>
              <w:jc w:val="right"/>
              <w:ind w:right="21"/>
              <w:spacing w:after="0"/>
              <w:rPr>
                <w:sz w:val="20"/>
                <w:szCs w:val="20"/>
                <w:color w:val="auto"/>
              </w:rPr>
            </w:pPr>
            <w:r>
              <w:rPr>
                <w:rFonts w:ascii="Arial" w:cs="Arial" w:eastAsia="Arial" w:hAnsi="Arial"/>
                <w:sz w:val="16"/>
                <w:szCs w:val="16"/>
                <w:color w:val="3D3935"/>
              </w:rPr>
              <w:t>—</w:t>
            </w:r>
          </w:p>
        </w:tc>
        <w:tc>
          <w:tcPr>
            <w:tcW w:w="1080" w:type="dxa"/>
            <w:vAlign w:val="bottom"/>
            <w:tcBorders>
              <w:bottom w:val="single" w:sz="8" w:color="D9D9D6"/>
            </w:tcBorders>
          </w:tcPr>
          <w:p>
            <w:pPr>
              <w:jc w:val="center"/>
              <w:ind w:left="761"/>
              <w:spacing w:after="0"/>
              <w:rPr>
                <w:sz w:val="20"/>
                <w:szCs w:val="20"/>
                <w:color w:val="auto"/>
              </w:rPr>
            </w:pPr>
            <w:r>
              <w:rPr>
                <w:rFonts w:ascii="Arial" w:cs="Arial" w:eastAsia="Arial" w:hAnsi="Arial"/>
                <w:sz w:val="16"/>
                <w:szCs w:val="16"/>
                <w:color w:val="3D3935"/>
                <w:w w:val="89"/>
              </w:rPr>
              <w:t>2</w:t>
            </w:r>
          </w:p>
        </w:tc>
      </w:tr>
      <w:tr>
        <w:trPr>
          <w:trHeight w:val="250"/>
        </w:trPr>
        <w:tc>
          <w:tcPr>
            <w:tcW w:w="4140" w:type="dxa"/>
            <w:vAlign w:val="bottom"/>
            <w:tcBorders>
              <w:bottom w:val="single" w:sz="8" w:color="0072CE"/>
            </w:tcBorders>
          </w:tcPr>
          <w:p>
            <w:pPr>
              <w:ind w:left="60"/>
              <w:spacing w:after="0"/>
              <w:rPr>
                <w:sz w:val="20"/>
                <w:szCs w:val="20"/>
                <w:color w:val="auto"/>
              </w:rPr>
            </w:pPr>
            <w:r>
              <w:rPr>
                <w:rFonts w:ascii="Arial" w:cs="Arial" w:eastAsia="Arial" w:hAnsi="Arial"/>
                <w:sz w:val="16"/>
                <w:szCs w:val="16"/>
                <w:color w:val="3D3935"/>
              </w:rPr>
              <w:t>TOTAL</w:t>
            </w:r>
          </w:p>
        </w:tc>
        <w:tc>
          <w:tcPr>
            <w:tcW w:w="3860" w:type="dxa"/>
            <w:vAlign w:val="bottom"/>
            <w:tcBorders>
              <w:bottom w:val="single" w:sz="8" w:color="0072CE"/>
            </w:tcBorders>
          </w:tcPr>
          <w:p>
            <w:pPr>
              <w:jc w:val="right"/>
              <w:ind w:right="121"/>
              <w:spacing w:after="0"/>
              <w:rPr>
                <w:sz w:val="20"/>
                <w:szCs w:val="20"/>
                <w:color w:val="auto"/>
              </w:rPr>
            </w:pPr>
            <w:r>
              <w:rPr>
                <w:rFonts w:ascii="Arial" w:cs="Arial" w:eastAsia="Arial" w:hAnsi="Arial"/>
                <w:sz w:val="16"/>
                <w:szCs w:val="16"/>
                <w:color w:val="3D3935"/>
              </w:rPr>
              <w:t>30</w:t>
            </w:r>
          </w:p>
        </w:tc>
        <w:tc>
          <w:tcPr>
            <w:tcW w:w="1080" w:type="dxa"/>
            <w:vAlign w:val="bottom"/>
            <w:tcBorders>
              <w:bottom w:val="single" w:sz="8" w:color="0072CE"/>
            </w:tcBorders>
          </w:tcPr>
          <w:p>
            <w:pPr>
              <w:jc w:val="center"/>
              <w:ind w:left="701"/>
              <w:spacing w:after="0"/>
              <w:rPr>
                <w:sz w:val="20"/>
                <w:szCs w:val="20"/>
                <w:color w:val="auto"/>
              </w:rPr>
            </w:pPr>
            <w:r>
              <w:rPr>
                <w:rFonts w:ascii="Arial" w:cs="Arial" w:eastAsia="Arial" w:hAnsi="Arial"/>
                <w:sz w:val="16"/>
                <w:szCs w:val="16"/>
                <w:color w:val="3D3935"/>
              </w:rPr>
              <w:t>31</w:t>
            </w:r>
          </w:p>
        </w:tc>
      </w:tr>
    </w:tbl>
    <w:p>
      <w:pPr>
        <w:spacing w:after="0" w:line="60"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3D3935"/>
        </w:rPr>
        <w:t>Amounts in the table above may not sum due to rounding</w:t>
      </w:r>
    </w:p>
    <w:p>
      <w:pPr>
        <w:spacing w:after="0" w:line="305" w:lineRule="exact"/>
        <w:rPr>
          <w:sz w:val="20"/>
          <w:szCs w:val="20"/>
          <w:color w:val="auto"/>
        </w:rPr>
      </w:pPr>
    </w:p>
    <w:p>
      <w:pPr>
        <w:jc w:val="both"/>
        <w:ind w:right="380"/>
        <w:spacing w:after="0" w:line="301" w:lineRule="auto"/>
        <w:rPr>
          <w:sz w:val="20"/>
          <w:szCs w:val="20"/>
          <w:color w:val="auto"/>
        </w:rPr>
      </w:pPr>
      <w:r>
        <w:rPr>
          <w:rFonts w:ascii="Arial" w:cs="Arial" w:eastAsia="Arial" w:hAnsi="Arial"/>
          <w:sz w:val="16"/>
          <w:szCs w:val="16"/>
          <w:b w:val="1"/>
          <w:bCs w:val="1"/>
          <w:color w:val="0072CE"/>
        </w:rPr>
        <w:t xml:space="preserve">Audit Fees </w:t>
      </w:r>
      <w:r>
        <w:rPr>
          <w:rFonts w:ascii="Arial" w:cs="Arial" w:eastAsia="Arial" w:hAnsi="Arial"/>
          <w:sz w:val="16"/>
          <w:szCs w:val="16"/>
          <w:color w:val="3D3935"/>
        </w:rPr>
        <w:t>– Includes fees for the integrated audit of the Company’s consolidated financial statements and internal control</w:t>
      </w:r>
      <w:r>
        <w:rPr>
          <w:rFonts w:ascii="Arial" w:cs="Arial" w:eastAsia="Arial" w:hAnsi="Arial"/>
          <w:sz w:val="16"/>
          <w:szCs w:val="16"/>
          <w:b w:val="1"/>
          <w:bCs w:val="1"/>
          <w:color w:val="0072CE"/>
        </w:rPr>
        <w:t xml:space="preserve"> </w:t>
      </w:r>
      <w:r>
        <w:rPr>
          <w:rFonts w:ascii="Arial" w:cs="Arial" w:eastAsia="Arial" w:hAnsi="Arial"/>
          <w:sz w:val="16"/>
          <w:szCs w:val="16"/>
          <w:color w:val="3D3935"/>
        </w:rPr>
        <w:t>over financial reporting, including reviews of the interim financial statements contained in the Company’s Quarterly Reports on Form 10-Q and audits of statutory financial statements.</w:t>
      </w:r>
    </w:p>
    <w:p>
      <w:pPr>
        <w:spacing w:after="0" w:line="91" w:lineRule="exact"/>
        <w:rPr>
          <w:sz w:val="20"/>
          <w:szCs w:val="20"/>
          <w:color w:val="auto"/>
        </w:rPr>
      </w:pPr>
    </w:p>
    <w:p>
      <w:pPr>
        <w:ind w:right="380"/>
        <w:spacing w:after="0" w:line="295" w:lineRule="auto"/>
        <w:rPr>
          <w:sz w:val="20"/>
          <w:szCs w:val="20"/>
          <w:color w:val="auto"/>
        </w:rPr>
      </w:pPr>
      <w:r>
        <w:rPr>
          <w:rFonts w:ascii="Arial" w:cs="Arial" w:eastAsia="Arial" w:hAnsi="Arial"/>
          <w:sz w:val="16"/>
          <w:szCs w:val="16"/>
          <w:b w:val="1"/>
          <w:bCs w:val="1"/>
          <w:color w:val="0072CE"/>
        </w:rPr>
        <w:t xml:space="preserve">Audit-Related Fees </w:t>
      </w:r>
      <w:r>
        <w:rPr>
          <w:rFonts w:ascii="Arial" w:cs="Arial" w:eastAsia="Arial" w:hAnsi="Arial"/>
          <w:sz w:val="16"/>
          <w:szCs w:val="16"/>
          <w:color w:val="3D3935"/>
        </w:rPr>
        <w:t>– Includes fees for assurance and related services that are traditionally performed by the independent</w:t>
      </w:r>
      <w:r>
        <w:rPr>
          <w:rFonts w:ascii="Arial" w:cs="Arial" w:eastAsia="Arial" w:hAnsi="Arial"/>
          <w:sz w:val="16"/>
          <w:szCs w:val="16"/>
          <w:b w:val="1"/>
          <w:bCs w:val="1"/>
          <w:color w:val="0072CE"/>
        </w:rPr>
        <w:t xml:space="preserve"> </w:t>
      </w:r>
      <w:r>
        <w:rPr>
          <w:rFonts w:ascii="Arial" w:cs="Arial" w:eastAsia="Arial" w:hAnsi="Arial"/>
          <w:sz w:val="16"/>
          <w:szCs w:val="16"/>
          <w:color w:val="3D3935"/>
        </w:rPr>
        <w:t>registered public accounting firm. More specifically, these services include employee benefit plan audits, comfort letters in connection with financing transactions, financial due diligence, other attestation services, and consultations concerning financial accounting and reporting standards.</w:t>
      </w:r>
    </w:p>
    <w:p>
      <w:pPr>
        <w:spacing w:after="0" w:line="108" w:lineRule="exact"/>
        <w:rPr>
          <w:sz w:val="20"/>
          <w:szCs w:val="20"/>
          <w:color w:val="auto"/>
        </w:rPr>
      </w:pPr>
    </w:p>
    <w:p>
      <w:pPr>
        <w:ind w:right="260"/>
        <w:spacing w:after="0" w:line="295" w:lineRule="auto"/>
        <w:rPr>
          <w:sz w:val="20"/>
          <w:szCs w:val="20"/>
          <w:color w:val="auto"/>
        </w:rPr>
      </w:pPr>
      <w:r>
        <w:rPr>
          <w:rFonts w:ascii="Arial" w:cs="Arial" w:eastAsia="Arial" w:hAnsi="Arial"/>
          <w:sz w:val="16"/>
          <w:szCs w:val="16"/>
          <w:b w:val="1"/>
          <w:bCs w:val="1"/>
          <w:color w:val="0072CE"/>
        </w:rPr>
        <w:t xml:space="preserve">Tax Fees </w:t>
      </w:r>
      <w:r>
        <w:rPr>
          <w:rFonts w:ascii="Arial" w:cs="Arial" w:eastAsia="Arial" w:hAnsi="Arial"/>
          <w:sz w:val="16"/>
          <w:szCs w:val="16"/>
          <w:color w:val="3D3935"/>
        </w:rPr>
        <w:t>– Includes fees for tax compliance, tax planning, and tax advice. Tax compliance involves preparation of original</w:t>
      </w:r>
      <w:r>
        <w:rPr>
          <w:rFonts w:ascii="Arial" w:cs="Arial" w:eastAsia="Arial" w:hAnsi="Arial"/>
          <w:sz w:val="16"/>
          <w:szCs w:val="16"/>
          <w:b w:val="1"/>
          <w:bCs w:val="1"/>
          <w:color w:val="0072CE"/>
        </w:rPr>
        <w:t xml:space="preserve"> </w:t>
      </w:r>
      <w:r>
        <w:rPr>
          <w:rFonts w:ascii="Arial" w:cs="Arial" w:eastAsia="Arial" w:hAnsi="Arial"/>
          <w:sz w:val="16"/>
          <w:szCs w:val="16"/>
          <w:color w:val="3D3935"/>
        </w:rPr>
        <w:t>and amended tax returns and claims for refunds. Tax planning and tax advice encompass a diverse range of services, including assistance with tax audits and appeals, tax advice related to mergers and acquisitions and employee benefit plans, and requests for rulings or technical advice from taxing authorities.</w:t>
      </w:r>
    </w:p>
    <w:p>
      <w:pPr>
        <w:spacing w:after="0" w:line="108" w:lineRule="exact"/>
        <w:rPr>
          <w:sz w:val="20"/>
          <w:szCs w:val="20"/>
          <w:color w:val="auto"/>
        </w:rPr>
      </w:pPr>
    </w:p>
    <w:p>
      <w:pPr>
        <w:ind w:right="680"/>
        <w:spacing w:after="0" w:line="304" w:lineRule="auto"/>
        <w:rPr>
          <w:sz w:val="20"/>
          <w:szCs w:val="20"/>
          <w:color w:val="auto"/>
        </w:rPr>
      </w:pPr>
      <w:r>
        <w:rPr>
          <w:rFonts w:ascii="Arial" w:cs="Arial" w:eastAsia="Arial" w:hAnsi="Arial"/>
          <w:sz w:val="16"/>
          <w:szCs w:val="16"/>
          <w:b w:val="1"/>
          <w:bCs w:val="1"/>
          <w:color w:val="0072CE"/>
        </w:rPr>
        <w:t xml:space="preserve">All Other Fees </w:t>
      </w:r>
      <w:r>
        <w:rPr>
          <w:rFonts w:ascii="Arial" w:cs="Arial" w:eastAsia="Arial" w:hAnsi="Arial"/>
          <w:sz w:val="16"/>
          <w:szCs w:val="16"/>
          <w:color w:val="3D3935"/>
        </w:rPr>
        <w:t>– Includes fees for services that are not contained in the above categories and consists of permissible</w:t>
      </w:r>
      <w:r>
        <w:rPr>
          <w:rFonts w:ascii="Arial" w:cs="Arial" w:eastAsia="Arial" w:hAnsi="Arial"/>
          <w:sz w:val="16"/>
          <w:szCs w:val="16"/>
          <w:b w:val="1"/>
          <w:bCs w:val="1"/>
          <w:color w:val="0072CE"/>
        </w:rPr>
        <w:t xml:space="preserve"> </w:t>
      </w:r>
      <w:r>
        <w:rPr>
          <w:rFonts w:ascii="Arial" w:cs="Arial" w:eastAsia="Arial" w:hAnsi="Arial"/>
          <w:sz w:val="16"/>
          <w:szCs w:val="16"/>
          <w:color w:val="3D3935"/>
        </w:rPr>
        <w:t>advisory services.</w:t>
      </w:r>
    </w:p>
    <w:p>
      <w:pPr>
        <w:spacing w:after="0" w:line="68" w:lineRule="exact"/>
        <w:rPr>
          <w:sz w:val="20"/>
          <w:szCs w:val="20"/>
          <w:color w:val="auto"/>
        </w:rPr>
      </w:pPr>
    </w:p>
    <w:p>
      <w:pPr>
        <w:ind w:right="1180"/>
        <w:spacing w:after="0" w:line="276" w:lineRule="auto"/>
        <w:rPr>
          <w:sz w:val="20"/>
          <w:szCs w:val="20"/>
          <w:color w:val="auto"/>
        </w:rPr>
      </w:pPr>
      <w:r>
        <w:rPr>
          <w:rFonts w:ascii="Arial" w:cs="Arial" w:eastAsia="Arial" w:hAnsi="Arial"/>
          <w:sz w:val="40"/>
          <w:szCs w:val="40"/>
          <w:b w:val="1"/>
          <w:bCs w:val="1"/>
          <w:color w:val="0072CE"/>
        </w:rPr>
        <w:t>Policy for Approval of Audit and Permitted Non-Audit Services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3D3935"/>
        </w:rPr>
        <w:t>The services performed by EY in 2024 were pre-approved in accordance with the pre-approval policy and procedures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established by the Audit Committee. This policy requires that, prior to the provision of services by the auditor,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Audit Committee will be presented, for consideration, with a description of the types of Audit-Related, Tax, and All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Services expected to be performed by the auditor during the fiscal year, with amounts budgeted for each category. Subject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to these pre-approved budgets, any requests for individual services falling within these categories for less than $1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may be approved by management, while any such requests for $1 million or more not specifically contemplated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approved by the Audit Committee must be submitted to the Audit Committee Chair for pre-approval and must be reported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to the full Audit Committee at its next regularly scheduled meeting. Management must report actual spending for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category to the full Audit Committee periodically throughout the year.</w:t>
      </w:r>
    </w:p>
    <w:p>
      <w:pPr>
        <w:spacing w:after="0" w:line="181" w:lineRule="exact"/>
        <w:rPr>
          <w:sz w:val="20"/>
          <w:szCs w:val="20"/>
          <w:color w:val="auto"/>
        </w:rPr>
      </w:pPr>
    </w:p>
    <w:p>
      <w:pPr>
        <w:ind w:right="800"/>
        <w:spacing w:after="0" w:line="295" w:lineRule="auto"/>
        <w:rPr>
          <w:sz w:val="20"/>
          <w:szCs w:val="20"/>
          <w:color w:val="auto"/>
        </w:rPr>
      </w:pPr>
      <w:r>
        <w:rPr>
          <w:rFonts w:ascii="Arial" w:cs="Arial" w:eastAsia="Arial" w:hAnsi="Arial"/>
          <w:sz w:val="16"/>
          <w:szCs w:val="16"/>
          <w:color w:val="3D3935"/>
        </w:rPr>
        <w:t>These services are actively monitored (both spending and work content) by the Audit Committee to maintain the appropriate objectivity and independence in EY’s core work, which is the annual audit of the Company’s consolidated financial statements and internal control over financial reporting. The Audit Committee determined that all services provided by EY in 2024 were permissible under applicable independence rules.</w:t>
      </w:r>
    </w:p>
    <w:p>
      <w:pPr>
        <w:spacing w:after="0" w:line="396"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3D3935"/>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19278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10375" cy="192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0"/>
        <w:spacing w:after="0"/>
        <w:rPr>
          <w:sz w:val="20"/>
          <w:szCs w:val="20"/>
          <w:color w:val="auto"/>
        </w:rPr>
      </w:pPr>
      <w:r>
        <w:rPr>
          <w:rFonts w:ascii="Arial" w:cs="Arial" w:eastAsia="Arial" w:hAnsi="Arial"/>
          <w:sz w:val="49"/>
          <w:szCs w:val="49"/>
          <w:b w:val="1"/>
          <w:bCs w:val="1"/>
          <w:color w:val="3D3935"/>
        </w:rPr>
        <w:t>Executive Compensation</w:t>
      </w:r>
    </w:p>
    <w:p>
      <w:pPr>
        <w:sectPr>
          <w:pgSz w:w="11900" w:h="16904" w:orient="portrait"/>
          <w:cols w:equalWidth="0" w:num="1">
            <w:col w:w="9180"/>
          </w:cols>
          <w:pgMar w:left="1400" w:top="130" w:right="1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40"/>
        <w:spacing w:after="0"/>
        <w:rPr>
          <w:sz w:val="20"/>
          <w:szCs w:val="20"/>
          <w:color w:val="auto"/>
        </w:rPr>
      </w:pPr>
      <w:r>
        <w:rPr>
          <w:rFonts w:ascii="Arial" w:cs="Arial" w:eastAsia="Arial" w:hAnsi="Arial"/>
          <w:sz w:val="21"/>
          <w:szCs w:val="21"/>
          <w:color w:val="FFFFFF"/>
        </w:rPr>
        <w:t>ITEM 3</w:t>
      </w:r>
    </w:p>
    <w:p>
      <w:pPr>
        <w:sectPr>
          <w:pgSz w:w="11900" w:h="16904" w:orient="portrait"/>
          <w:cols w:equalWidth="0" w:num="1">
            <w:col w:w="9180"/>
          </w:cols>
          <w:pgMar w:left="1400" w:top="130" w:right="1319" w:bottom="0" w:gutter="0" w:footer="0" w:header="0"/>
          <w:type w:val="continuous"/>
        </w:sectPr>
      </w:pPr>
    </w:p>
    <w:bookmarkStart w:id="41" w:name="page42"/>
    <w:bookmarkEnd w:id="41"/>
    <w:p>
      <w:pPr>
        <w:spacing w:after="0" w:line="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69284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10375" cy="6928485"/>
                    </a:xfrm>
                    <a:prstGeom prst="rect">
                      <a:avLst/>
                    </a:prstGeom>
                    <a:noFill/>
                  </pic:spPr>
                </pic:pic>
              </a:graphicData>
            </a:graphic>
          </wp:anchor>
        </w:drawing>
      </w:r>
    </w:p>
    <w:p>
      <w:pPr>
        <w:ind w:left="240" w:right="1180"/>
        <w:spacing w:after="0" w:line="273" w:lineRule="auto"/>
        <w:rPr>
          <w:sz w:val="20"/>
          <w:szCs w:val="20"/>
          <w:color w:val="auto"/>
        </w:rPr>
      </w:pPr>
      <w:r>
        <w:rPr>
          <w:rFonts w:ascii="Arial" w:cs="Arial" w:eastAsia="Arial" w:hAnsi="Arial"/>
          <w:sz w:val="49"/>
          <w:szCs w:val="49"/>
          <w:b w:val="1"/>
          <w:bCs w:val="1"/>
          <w:color w:val="3D3935"/>
          <w:shd w:val="clear" w:color="auto" w:fill="0072CE"/>
        </w:rPr>
        <w:t xml:space="preserve">Proposal </w:t>
      </w:r>
      <w:r>
        <w:rPr>
          <w:rFonts w:ascii="Arial" w:cs="Arial" w:eastAsia="Arial" w:hAnsi="Arial"/>
          <w:sz w:val="49"/>
          <w:szCs w:val="49"/>
          <w:b w:val="1"/>
          <w:bCs w:val="1"/>
          <w:color w:val="3D3935"/>
        </w:rPr>
        <w:t>to Approve, on an</w:t>
      </w:r>
      <w:r>
        <w:rPr>
          <w:rFonts w:ascii="Arial" w:cs="Arial" w:eastAsia="Arial" w:hAnsi="Arial"/>
          <w:sz w:val="49"/>
          <w:szCs w:val="49"/>
          <w:b w:val="1"/>
          <w:bCs w:val="1"/>
          <w:color w:val="3D3935"/>
          <w:shd w:val="clear" w:color="auto" w:fill="0072CE"/>
        </w:rPr>
        <w:t xml:space="preserve"> </w:t>
      </w:r>
      <w:r>
        <w:rPr>
          <w:rFonts w:ascii="Arial" w:cs="Arial" w:eastAsia="Arial" w:hAnsi="Arial"/>
          <w:sz w:val="49"/>
          <w:szCs w:val="49"/>
          <w:b w:val="1"/>
          <w:bCs w:val="1"/>
          <w:color w:val="3D3935"/>
        </w:rPr>
        <w:t>Advisory Basis, Named Executive Officer Compensation</w:t>
      </w:r>
    </w:p>
    <w:p>
      <w:pPr>
        <w:spacing w:after="0" w:line="200" w:lineRule="exact"/>
        <w:rPr>
          <w:sz w:val="20"/>
          <w:szCs w:val="20"/>
          <w:color w:val="auto"/>
        </w:rPr>
      </w:pPr>
    </w:p>
    <w:p>
      <w:pPr>
        <w:spacing w:after="0" w:line="202" w:lineRule="exact"/>
        <w:rPr>
          <w:sz w:val="20"/>
          <w:szCs w:val="20"/>
          <w:color w:val="auto"/>
        </w:rPr>
      </w:pPr>
    </w:p>
    <w:p>
      <w:pPr>
        <w:ind w:left="240" w:right="340"/>
        <w:spacing w:after="0" w:line="287" w:lineRule="auto"/>
        <w:rPr>
          <w:sz w:val="20"/>
          <w:szCs w:val="20"/>
          <w:color w:val="auto"/>
        </w:rPr>
      </w:pPr>
      <w:r>
        <w:rPr>
          <w:rFonts w:ascii="Arial" w:cs="Arial" w:eastAsia="Arial" w:hAnsi="Arial"/>
          <w:sz w:val="16"/>
          <w:szCs w:val="16"/>
          <w:color w:val="3D3935"/>
        </w:rPr>
        <w:t>Executive compensation is an important matter for our shareholders. The Dodd-Frank Wall Street Reform and Consumer Protection Act requires that we provide you with the opportunity to vote to approve, on a non-binding, advisory basis, the compensation of our NEOs as disclosed in this Proxy Statement in accordance with the compensation disclosure rules of the SEC (sometimes referred to as “Say-on-Pay”). The Board has adopted a policy providing for an annual Say-on-Pay advisory vote.</w:t>
      </w:r>
    </w:p>
    <w:p>
      <w:pPr>
        <w:spacing w:after="0" w:line="101" w:lineRule="exact"/>
        <w:rPr>
          <w:sz w:val="20"/>
          <w:szCs w:val="20"/>
          <w:color w:val="auto"/>
        </w:rPr>
      </w:pPr>
    </w:p>
    <w:p>
      <w:pPr>
        <w:ind w:left="240" w:right="360"/>
        <w:spacing w:after="0" w:line="282" w:lineRule="auto"/>
        <w:rPr>
          <w:sz w:val="20"/>
          <w:szCs w:val="20"/>
          <w:color w:val="auto"/>
        </w:rPr>
      </w:pPr>
      <w:r>
        <w:rPr>
          <w:rFonts w:ascii="Arial" w:cs="Arial" w:eastAsia="Arial" w:hAnsi="Arial"/>
          <w:sz w:val="16"/>
          <w:szCs w:val="16"/>
          <w:color w:val="3D3935"/>
        </w:rPr>
        <w:t>The Compensation Committee has approved the compensation arrangements for our NEOs described in the Compensation Discussion and Analysis section beginning on page 45 and the accompanying executive compensation tables beginning on page 68. We urge you to read the Compensation Discussion and Analysis for a more complete understanding of our executive compensation plans, including our compensation principles, our objectives, and the 2024 compensation of our NEOs.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3D3935"/>
        </w:rPr>
        <w:t>We are asking shareholders to vote in favor of the following resolution:</w:t>
      </w:r>
    </w:p>
    <w:p>
      <w:pPr>
        <w:spacing w:after="0" w:line="167" w:lineRule="exact"/>
        <w:rPr>
          <w:sz w:val="20"/>
          <w:szCs w:val="20"/>
          <w:color w:val="auto"/>
        </w:rPr>
      </w:pPr>
    </w:p>
    <w:p>
      <w:pPr>
        <w:jc w:val="both"/>
        <w:ind w:left="240" w:right="360"/>
        <w:spacing w:after="0" w:line="292" w:lineRule="auto"/>
        <w:rPr>
          <w:sz w:val="20"/>
          <w:szCs w:val="20"/>
          <w:color w:val="auto"/>
        </w:rPr>
      </w:pPr>
      <w:r>
        <w:rPr>
          <w:rFonts w:ascii="Arial" w:cs="Arial" w:eastAsia="Arial" w:hAnsi="Arial"/>
          <w:sz w:val="16"/>
          <w:szCs w:val="16"/>
          <w:color w:val="3D3935"/>
        </w:rPr>
        <w:t>RESOLVED, that the compensation paid to the Company’s named executive officers, as disclosed pursuant to Item 402 of Regulation S-K, including the Compensation Discussion and Analysis, executive compensation tables, and the related narrative discussion, is hereby APPROVED.</w:t>
      </w:r>
    </w:p>
    <w:p>
      <w:pPr>
        <w:spacing w:after="0" w:line="98" w:lineRule="exact"/>
        <w:rPr>
          <w:sz w:val="20"/>
          <w:szCs w:val="20"/>
          <w:color w:val="auto"/>
        </w:rPr>
      </w:pPr>
    </w:p>
    <w:p>
      <w:pPr>
        <w:ind w:left="240" w:right="700"/>
        <w:spacing w:after="0" w:line="321" w:lineRule="auto"/>
        <w:rPr>
          <w:sz w:val="20"/>
          <w:szCs w:val="20"/>
          <w:color w:val="auto"/>
        </w:rPr>
      </w:pPr>
      <w:r>
        <w:rPr>
          <w:rFonts w:ascii="Arial" w:cs="Arial" w:eastAsia="Arial" w:hAnsi="Arial"/>
          <w:sz w:val="16"/>
          <w:szCs w:val="16"/>
          <w:color w:val="3D3935"/>
        </w:rPr>
        <w:t>Although the vote on this item is non-binding, the Board and the Compensation Committee value the opinions of our shareholders and will consider the outcome of the vote when making future compensation decisions for NEOs.</w:t>
      </w:r>
    </w:p>
    <w:p>
      <w:pPr>
        <w:spacing w:after="0" w:line="75" w:lineRule="exact"/>
        <w:rPr>
          <w:sz w:val="20"/>
          <w:szCs w:val="20"/>
          <w:color w:val="auto"/>
        </w:rPr>
      </w:pPr>
    </w:p>
    <w:p>
      <w:pPr>
        <w:ind w:left="240" w:right="540"/>
        <w:spacing w:after="0" w:line="321" w:lineRule="auto"/>
        <w:rPr>
          <w:sz w:val="20"/>
          <w:szCs w:val="20"/>
          <w:color w:val="auto"/>
        </w:rPr>
      </w:pPr>
      <w:r>
        <w:rPr>
          <w:rFonts w:ascii="Arial" w:cs="Arial" w:eastAsia="Arial" w:hAnsi="Arial"/>
          <w:sz w:val="16"/>
          <w:szCs w:val="16"/>
          <w:color w:val="3D3935"/>
        </w:rPr>
        <w:t>Each of the next Say-on-Pay vote and the next advisory vote on the frequency of future Say-on-Pay votes will occur at our 2026 annual meeting.</w:t>
      </w:r>
    </w:p>
    <w:p>
      <w:pPr>
        <w:spacing w:after="0" w:line="286" w:lineRule="exact"/>
        <w:rPr>
          <w:sz w:val="20"/>
          <w:szCs w:val="20"/>
          <w:color w:val="auto"/>
        </w:rPr>
      </w:pPr>
    </w:p>
    <w:p>
      <w:pPr>
        <w:ind w:left="680" w:right="1600"/>
        <w:spacing w:after="0" w:line="318" w:lineRule="auto"/>
        <w:rPr>
          <w:sz w:val="20"/>
          <w:szCs w:val="20"/>
          <w:color w:val="auto"/>
        </w:rPr>
      </w:pPr>
      <w:r>
        <w:rPr>
          <w:rFonts w:ascii="Arial" w:cs="Arial" w:eastAsia="Arial" w:hAnsi="Arial"/>
          <w:sz w:val="18"/>
          <w:szCs w:val="18"/>
          <w:color w:val="3D3935"/>
        </w:rPr>
        <w:t xml:space="preserve">The Board recommends a vote </w:t>
      </w:r>
      <w:r>
        <w:rPr>
          <w:rFonts w:ascii="Arial" w:cs="Arial" w:eastAsia="Arial" w:hAnsi="Arial"/>
          <w:sz w:val="18"/>
          <w:szCs w:val="18"/>
          <w:b w:val="1"/>
          <w:bCs w:val="1"/>
          <w:color w:val="3D3935"/>
        </w:rPr>
        <w:t>FOR</w:t>
      </w:r>
      <w:r>
        <w:rPr>
          <w:rFonts w:ascii="Arial" w:cs="Arial" w:eastAsia="Arial" w:hAnsi="Arial"/>
          <w:sz w:val="18"/>
          <w:szCs w:val="18"/>
          <w:color w:val="3D3935"/>
        </w:rPr>
        <w:t xml:space="preserve"> the advisory proposal to approve named executive officer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35052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10375" cy="3505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Letter from the Compensation Committee</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Dear Shareholders:</w:t>
      </w:r>
    </w:p>
    <w:p>
      <w:pPr>
        <w:spacing w:after="0" w:line="98" w:lineRule="exact"/>
        <w:rPr>
          <w:sz w:val="20"/>
          <w:szCs w:val="20"/>
          <w:color w:val="auto"/>
        </w:rPr>
      </w:pPr>
    </w:p>
    <w:p>
      <w:pPr>
        <w:ind w:right="400"/>
        <w:spacing w:after="0" w:line="289" w:lineRule="auto"/>
        <w:rPr>
          <w:sz w:val="20"/>
          <w:szCs w:val="20"/>
          <w:color w:val="auto"/>
        </w:rPr>
      </w:pPr>
      <w:r>
        <w:rPr>
          <w:rFonts w:ascii="Arial" w:cs="Arial" w:eastAsia="Arial" w:hAnsi="Arial"/>
          <w:sz w:val="16"/>
          <w:szCs w:val="16"/>
          <w:color w:val="3D3935"/>
        </w:rPr>
        <w:t>2024 was an outstanding year for General Motors – we delivered record financial performance driven by disciplined execution in our core ICE business while demonstrating that the strategic investments we made in EVs and our software capabilities are paying off. We also returned significant cash to shareholders and took decisive action on our AV strategy by refocusing our efforts on the path toward developing personal AVs. Investors have taken notice of our recent performance, driving our stock price up 50% in 2024, outperforming our peers. We believe that our compensation program played a significant role in supporting that outcome.</w:t>
      </w:r>
    </w:p>
    <w:p>
      <w:pPr>
        <w:spacing w:after="0" w:line="115" w:lineRule="exact"/>
        <w:rPr>
          <w:sz w:val="20"/>
          <w:szCs w:val="20"/>
          <w:color w:val="auto"/>
        </w:rPr>
      </w:pPr>
    </w:p>
    <w:p>
      <w:pPr>
        <w:ind w:right="640"/>
        <w:spacing w:after="0" w:line="295" w:lineRule="auto"/>
        <w:rPr>
          <w:sz w:val="20"/>
          <w:szCs w:val="20"/>
          <w:color w:val="auto"/>
        </w:rPr>
      </w:pPr>
      <w:r>
        <w:rPr>
          <w:rFonts w:ascii="Arial" w:cs="Arial" w:eastAsia="Arial" w:hAnsi="Arial"/>
          <w:sz w:val="16"/>
          <w:szCs w:val="16"/>
          <w:color w:val="3D3935"/>
        </w:rPr>
        <w:t>Last year, we shared several enhancements we made to the Company’s 2024 executive compensation program. The changes were aimed at better aligning our metrics with our near- and long-term strategic priorities and strengthening the competitiveness of our program to attract and retain top-tier talent. We previewed those changes with many of our investors during multiple engagement cycles leading up to our 2024 Annual Meeting and received positive feedback.</w:t>
      </w:r>
    </w:p>
    <w:p>
      <w:pPr>
        <w:spacing w:after="0" w:line="94"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3D3935"/>
        </w:rPr>
        <w:t>While we’ve had a great year at General Motors, we’d like to echo something our Chair and CEO, Mary Barra, often reminds her team: “Don’t mistake progress for winning.” Your Compensation Committee recognizes there is more work to do and believes that our shareholders will benefit greatly from that work. We continue to be laser-focused on ensuring that the Company’s executive compensation program remains closely aligned with the Company’s strategic priorities and positions General Motors to continue its trajectory of long-term profitable growth.</w:t>
      </w:r>
    </w:p>
    <w:p>
      <w:pPr>
        <w:sectPr>
          <w:pgSz w:w="11900" w:h="16926" w:orient="portrait"/>
          <w:cols w:equalWidth="0" w:num="1">
            <w:col w:w="9240"/>
          </w:cols>
          <w:pgMar w:left="1400" w:top="311" w:right="1259" w:bottom="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0072CE"/>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5351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10375" cy="5351145"/>
                    </a:xfrm>
                    <a:prstGeom prst="rect">
                      <a:avLst/>
                    </a:prstGeom>
                    <a:noFill/>
                  </pic:spPr>
                </pic:pic>
              </a:graphicData>
            </a:graphic>
          </wp:anchor>
        </w:drawing>
        <w:t>Addressing Our 2024 Say-on-Pay Vote</w:t>
      </w:r>
    </w:p>
    <w:p>
      <w:pPr>
        <w:spacing w:after="0" w:line="95" w:lineRule="exact"/>
        <w:rPr>
          <w:sz w:val="20"/>
          <w:szCs w:val="20"/>
          <w:color w:val="auto"/>
        </w:rPr>
      </w:pPr>
    </w:p>
    <w:p>
      <w:pPr>
        <w:ind w:right="99"/>
        <w:spacing w:after="0" w:line="289" w:lineRule="auto"/>
        <w:rPr>
          <w:sz w:val="20"/>
          <w:szCs w:val="20"/>
          <w:color w:val="auto"/>
        </w:rPr>
      </w:pPr>
      <w:r>
        <w:rPr>
          <w:rFonts w:ascii="Arial" w:cs="Arial" w:eastAsia="Arial" w:hAnsi="Arial"/>
          <w:sz w:val="16"/>
          <w:szCs w:val="16"/>
          <w:color w:val="3D3935"/>
        </w:rPr>
        <w:t>We were disappointed with the results of our 2024 Say-on-Pay vote, which received the support of 58% of votes cast and was a departure from the strong support the program had previously received. As a result, following the 2024 Annual Meeting we believed it was important to continue our compensation-focused engagement efforts to understand investor perspectives and concerns and position the Compensation Committee to be responsive to the shareholder vote. The Chair of our Compensation Committee, Wes Bush, and our Independent Lead Director, Pat Russo, participated in additional meetings to hear directly from our shareholders.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3D3935"/>
        </w:rPr>
        <w:t>Through this dialogue, we confirmed that shareholders support the program changes we previously disclosed, and we heard</w:t>
      </w:r>
    </w:p>
    <w:p>
      <w:pPr>
        <w:spacing w:after="0" w:line="32" w:lineRule="exact"/>
        <w:rPr>
          <w:sz w:val="20"/>
          <w:szCs w:val="20"/>
          <w:color w:val="auto"/>
        </w:rPr>
      </w:pPr>
    </w:p>
    <w:p>
      <w:pPr>
        <w:ind w:right="139"/>
        <w:spacing w:after="0" w:line="284" w:lineRule="auto"/>
        <w:rPr>
          <w:sz w:val="20"/>
          <w:szCs w:val="20"/>
          <w:color w:val="auto"/>
        </w:rPr>
      </w:pPr>
      <w:r>
        <w:rPr>
          <w:rFonts w:ascii="Arial" w:cs="Arial" w:eastAsia="Arial" w:hAnsi="Arial"/>
          <w:sz w:val="16"/>
          <w:szCs w:val="16"/>
          <w:color w:val="3D3935"/>
        </w:rPr>
        <w:t>that concerns driving the 2024 Say-on-Pay vote outcome were largely related to shareholder desire for enhanced alignment of management compensation with shareholder outcomes and the Company’s 2023 stock underperformance. These stock performance concerns began to turn around in 2024 as management’s execution of its transformation strategy started to build investor confidence in our future. Following the feedback we heard on improving alignment, we have taken several actions, including raising the target payout for the relative TSR-based portion of our PSUs, which was previously at the median, to the 55th percentile beginning in 2025. We also received valuable feedback on how we can enhance our disclosures, particularly to provide transparency into our metric selection and target-setting process – we have a rigorous process described in the Compensation Discussion and Analysis (“CD&amp;A”) below.</w:t>
      </w:r>
    </w:p>
    <w:p>
      <w:pPr>
        <w:spacing w:after="0" w:line="121" w:lineRule="exact"/>
        <w:rPr>
          <w:sz w:val="20"/>
          <w:szCs w:val="20"/>
          <w:color w:val="auto"/>
        </w:rPr>
      </w:pPr>
    </w:p>
    <w:p>
      <w:pPr>
        <w:ind w:right="379"/>
        <w:spacing w:after="0" w:line="289" w:lineRule="auto"/>
        <w:rPr>
          <w:sz w:val="20"/>
          <w:szCs w:val="20"/>
          <w:color w:val="auto"/>
        </w:rPr>
      </w:pPr>
      <w:r>
        <w:rPr>
          <w:rFonts w:ascii="Arial" w:cs="Arial" w:eastAsia="Arial" w:hAnsi="Arial"/>
          <w:sz w:val="16"/>
          <w:szCs w:val="16"/>
          <w:color w:val="3D3935"/>
        </w:rPr>
        <w:t>During these shareholder discussions, we also shared our approach to setting rigorous targets in the compensation plans and using our discretion to respond to market trends. To that end, we received positive feedback for adjusting the EV-related goal in the STIP to focus on variable profit and avoid incentivizing a volume mindset, especially as forecasted demand slowed over the course of 2024. This deliberate decision mid-year to replace our EV volume target with an EV variable profit target was based on feedback from both our investors and the market and drove management to take decisive actions to achieve positive variable profit for our EVs in the fourth quarter.</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3D3935"/>
        </w:rPr>
        <w:t>We highly value the feedback we received throughout these engagement cycles, and we believe the refinements we made to</w:t>
      </w:r>
    </w:p>
    <w:p>
      <w:pPr>
        <w:spacing w:after="0" w:line="32" w:lineRule="exact"/>
        <w:rPr>
          <w:sz w:val="20"/>
          <w:szCs w:val="20"/>
          <w:color w:val="auto"/>
        </w:rPr>
      </w:pPr>
    </w:p>
    <w:p>
      <w:pPr>
        <w:ind w:right="259"/>
        <w:spacing w:after="0" w:line="321" w:lineRule="auto"/>
        <w:rPr>
          <w:sz w:val="20"/>
          <w:szCs w:val="20"/>
          <w:color w:val="auto"/>
        </w:rPr>
      </w:pPr>
      <w:r>
        <w:rPr>
          <w:rFonts w:ascii="Arial" w:cs="Arial" w:eastAsia="Arial" w:hAnsi="Arial"/>
          <w:sz w:val="16"/>
          <w:szCs w:val="16"/>
          <w:color w:val="3D3935"/>
        </w:rPr>
        <w:t>our program, in combination with the enhanced disclosure provided in this CD&amp;A, align with shareholder input and demonstrate the Committee and Board’s commitment to being responsive to shareholders.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0072CE"/>
        </w:rPr>
        <w:t>2024 Pay Outcomes Align with Strong Performance</w:t>
      </w:r>
    </w:p>
    <w:p>
      <w:pPr>
        <w:spacing w:after="0" w:line="95" w:lineRule="exact"/>
        <w:rPr>
          <w:sz w:val="20"/>
          <w:szCs w:val="20"/>
          <w:color w:val="auto"/>
        </w:rPr>
      </w:pPr>
    </w:p>
    <w:p>
      <w:pPr>
        <w:ind w:right="219"/>
        <w:spacing w:after="0" w:line="295" w:lineRule="auto"/>
        <w:rPr>
          <w:sz w:val="20"/>
          <w:szCs w:val="20"/>
          <w:color w:val="auto"/>
        </w:rPr>
      </w:pPr>
      <w:r>
        <w:rPr>
          <w:rFonts w:ascii="Arial" w:cs="Arial" w:eastAsia="Arial" w:hAnsi="Arial"/>
          <w:sz w:val="16"/>
          <w:szCs w:val="16"/>
          <w:color w:val="3D3935"/>
        </w:rPr>
        <w:t>GM’s execution was strong across our strategic priorities in 2024, gaining retail market share across our ICE portfolio, while maintaining industry-leading pricing and incentive discipline. The Company also had its best year ever in EV sales, rising to the number two position in U.S. EV sales in the second half of 2024 with enhanced profitability. Across our performance metrics, GM achieved above-target EBIT-adjusted and AAFCF results, achieved positive Q4 variable profit on our EV</w:t>
      </w:r>
    </w:p>
    <w:p>
      <w:pPr>
        <w:spacing w:after="0" w:line="200" w:lineRule="exact"/>
        <w:rPr>
          <w:sz w:val="20"/>
          <w:szCs w:val="20"/>
          <w:color w:val="auto"/>
        </w:rPr>
      </w:pPr>
    </w:p>
    <w:p>
      <w:pPr>
        <w:spacing w:after="0" w:line="304"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3D3935"/>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50825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10375" cy="5082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77" w:lineRule="exact"/>
        <w:rPr>
          <w:sz w:val="20"/>
          <w:szCs w:val="20"/>
          <w:color w:val="auto"/>
        </w:rPr>
      </w:pPr>
    </w:p>
    <w:p>
      <w:pPr>
        <w:ind w:right="119"/>
        <w:spacing w:after="0" w:line="288" w:lineRule="auto"/>
        <w:rPr>
          <w:sz w:val="20"/>
          <w:szCs w:val="20"/>
          <w:color w:val="auto"/>
        </w:rPr>
      </w:pPr>
      <w:r>
        <w:rPr>
          <w:rFonts w:ascii="Arial" w:cs="Arial" w:eastAsia="Arial" w:hAnsi="Arial"/>
          <w:sz w:val="16"/>
          <w:szCs w:val="16"/>
          <w:color w:val="3D3935"/>
        </w:rPr>
        <w:t>portfolio, launched software on-time and with quality, and refocused our AV strategy. Collectively, these results led to achievement of 147% of target Company performance in our STIP. We also delivered a strong total return to shareholders this year, and while we are excited about this progress, our three-year TSR performance was still below our target, leading to a payout of 80% on the PSU for the 2022-2024 LTIP cycle. For our CEO, these outcomes represent a payout of 95% of her total target compensation. We believe these outcomes demonstrate that our incentive plans are operating effectively to appropriately reward both annual and long-term performance, and we are pleased to see the strength of our execution translating into improved share price performance and value creation for shareholders over the past year.</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3D3935"/>
        </w:rPr>
        <w:t>These results are a clear reflection of the successful efforts of our extraordinary executive leadership team, led by</w:t>
      </w:r>
    </w:p>
    <w:p>
      <w:pPr>
        <w:spacing w:after="0" w:line="32" w:lineRule="exact"/>
        <w:rPr>
          <w:sz w:val="20"/>
          <w:szCs w:val="20"/>
          <w:color w:val="auto"/>
        </w:rPr>
      </w:pPr>
    </w:p>
    <w:p>
      <w:pPr>
        <w:ind w:right="199"/>
        <w:spacing w:after="0" w:line="286" w:lineRule="auto"/>
        <w:rPr>
          <w:sz w:val="20"/>
          <w:szCs w:val="20"/>
          <w:color w:val="auto"/>
        </w:rPr>
      </w:pPr>
      <w:r>
        <w:rPr>
          <w:rFonts w:ascii="Arial" w:cs="Arial" w:eastAsia="Arial" w:hAnsi="Arial"/>
          <w:sz w:val="16"/>
          <w:szCs w:val="16"/>
          <w:color w:val="3D3935"/>
        </w:rPr>
        <w:t>Ms. Barra, to drive our strategic transformation forward and invest in the business to grow value for shareholders. We held Ms. Barra’s target compensation flat in 2024 versus the prior year, and at the same level since 2022, reflecting our view that her compensation had been appropriately positioned during this time. For 2025, we conducted a thorough assessment of Ms. Barra’s target pay opportunity and approved a modest increase of 7.7% to her long-term compensation opportunity, which is to be granted 75% in PSUs and 25% in RSUs, resulting in a modest increase of 5.8% in target total compensation. This increase is commensurate with our strategy to reward and motivate performance and to offer market-competitive compensation, and reflective of the fact that Ms. Barra’s compensation was previously held flat for three consecutive years. We believe this adjustment, to be fully delivered in long-term equity, appropriately recognizes Ms. Barra’s exceptional leadership achievements this past year while further strengthening the alignment of compensation with the long-term interests of our shareholders.</w:t>
      </w:r>
    </w:p>
    <w:p>
      <w:pPr>
        <w:spacing w:after="0" w:line="116" w:lineRule="exact"/>
        <w:rPr>
          <w:sz w:val="20"/>
          <w:szCs w:val="20"/>
          <w:color w:val="auto"/>
        </w:rPr>
      </w:pPr>
    </w:p>
    <w:p>
      <w:pPr>
        <w:ind w:right="179"/>
        <w:spacing w:after="0" w:line="301" w:lineRule="auto"/>
        <w:rPr>
          <w:sz w:val="20"/>
          <w:szCs w:val="20"/>
          <w:color w:val="auto"/>
        </w:rPr>
      </w:pPr>
      <w:r>
        <w:rPr>
          <w:rFonts w:ascii="Arial" w:cs="Arial" w:eastAsia="Arial" w:hAnsi="Arial"/>
          <w:sz w:val="16"/>
          <w:szCs w:val="16"/>
          <w:color w:val="3D3935"/>
        </w:rPr>
        <w:t>We value your ongoing feedback. We remain committed to aligning our executive compensation program with shareholders’ interests, encouraging management to make decisions that result in long-term value creation, and attracting and retaining critical talent to advance our four key strategic pillars during this critical time of transformation.</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3D3935"/>
        </w:rPr>
        <w:t>Sincerely,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40"/>
        <w:spacing w:after="0"/>
        <w:tabs>
          <w:tab w:leader="none" w:pos="3000" w:val="left"/>
          <w:tab w:leader="none" w:pos="5280" w:val="left"/>
          <w:tab w:leader="none" w:pos="7560" w:val="left"/>
        </w:tabs>
        <w:rPr>
          <w:sz w:val="20"/>
          <w:szCs w:val="20"/>
          <w:color w:val="auto"/>
        </w:rPr>
      </w:pPr>
      <w:r>
        <w:rPr>
          <w:rFonts w:ascii="Arial" w:cs="Arial" w:eastAsia="Arial" w:hAnsi="Arial"/>
          <w:sz w:val="16"/>
          <w:szCs w:val="16"/>
          <w:b w:val="1"/>
          <w:bCs w:val="1"/>
          <w:color w:val="0072CE"/>
        </w:rPr>
        <w:t>Wesley G. Bush</w:t>
      </w:r>
      <w:r>
        <w:rPr>
          <w:sz w:val="20"/>
          <w:szCs w:val="20"/>
          <w:color w:val="auto"/>
        </w:rPr>
        <w:tab/>
      </w:r>
      <w:r>
        <w:rPr>
          <w:rFonts w:ascii="Arial" w:cs="Arial" w:eastAsia="Arial" w:hAnsi="Arial"/>
          <w:sz w:val="16"/>
          <w:szCs w:val="16"/>
          <w:b w:val="1"/>
          <w:bCs w:val="1"/>
          <w:color w:val="0072CE"/>
        </w:rPr>
        <w:t>Joseph Jimenez</w:t>
      </w:r>
      <w:r>
        <w:rPr>
          <w:sz w:val="20"/>
          <w:szCs w:val="20"/>
          <w:color w:val="auto"/>
        </w:rPr>
        <w:tab/>
      </w:r>
      <w:r>
        <w:rPr>
          <w:rFonts w:ascii="Arial" w:cs="Arial" w:eastAsia="Arial" w:hAnsi="Arial"/>
          <w:sz w:val="16"/>
          <w:szCs w:val="16"/>
          <w:b w:val="1"/>
          <w:bCs w:val="1"/>
          <w:color w:val="0072CE"/>
        </w:rPr>
        <w:t>Patricia F. Russo</w:t>
      </w:r>
      <w:r>
        <w:rPr>
          <w:sz w:val="20"/>
          <w:szCs w:val="20"/>
          <w:color w:val="auto"/>
        </w:rPr>
        <w:tab/>
      </w:r>
      <w:r>
        <w:rPr>
          <w:rFonts w:ascii="Arial" w:cs="Arial" w:eastAsia="Arial" w:hAnsi="Arial"/>
          <w:sz w:val="16"/>
          <w:szCs w:val="16"/>
          <w:b w:val="1"/>
          <w:bCs w:val="1"/>
          <w:color w:val="0072CE"/>
        </w:rPr>
        <w:t>Devin N. Wenig</w:t>
      </w:r>
    </w:p>
    <w:p>
      <w:pPr>
        <w:spacing w:after="0" w:line="21" w:lineRule="exact"/>
        <w:rPr>
          <w:sz w:val="20"/>
          <w:szCs w:val="20"/>
          <w:color w:val="auto"/>
        </w:rPr>
      </w:pPr>
    </w:p>
    <w:p>
      <w:pPr>
        <w:ind w:left="740"/>
        <w:spacing w:after="0"/>
        <w:rPr>
          <w:sz w:val="20"/>
          <w:szCs w:val="20"/>
          <w:color w:val="auto"/>
        </w:rPr>
      </w:pPr>
      <w:r>
        <w:rPr>
          <w:rFonts w:ascii="Arial" w:cs="Arial" w:eastAsia="Arial" w:hAnsi="Arial"/>
          <w:sz w:val="16"/>
          <w:szCs w:val="16"/>
          <w:color w:val="3D3935"/>
        </w:rPr>
        <w:t>Chair</w:t>
      </w:r>
    </w:p>
    <w:p>
      <w:pPr>
        <w:sectPr>
          <w:pgSz w:w="11900" w:h="16838" w:orient="portrait"/>
          <w:cols w:equalWidth="0" w:num="1">
            <w:col w:w="9059"/>
          </w:cols>
          <w:pgMar w:left="1400" w:top="256" w:right="1440" w:bottom="248"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37738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10375" cy="3773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6659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10375" cy="6659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Compensation Discussion and Analysis</w:t>
      </w:r>
    </w:p>
    <w:p>
      <w:pPr>
        <w:spacing w:after="0" w:line="120"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0072CE"/>
        </w:rPr>
        <w:t>Paul A. Jacobson</w:t>
      </w:r>
    </w:p>
    <w:tbl>
      <w:tblPr>
        <w:tblLayout w:type="fixed"/>
        <w:tblInd w:w="0" w:type="dxa"/>
        <w:tblCellMar>
          <w:top w:w="0" w:type="dxa"/>
          <w:left w:w="0" w:type="dxa"/>
          <w:bottom w:w="0" w:type="dxa"/>
          <w:right w:w="0" w:type="dxa"/>
        </w:tblCellMar>
      </w:tblPr>
      <w:tr>
        <w:trPr>
          <w:trHeight w:val="199"/>
        </w:trPr>
        <w:tc>
          <w:tcPr>
            <w:tcW w:w="3760" w:type="dxa"/>
            <w:vAlign w:val="bottom"/>
          </w:tcPr>
          <w:p>
            <w:pPr>
              <w:ind w:left="1280"/>
              <w:spacing w:after="0" w:line="200" w:lineRule="exact"/>
              <w:rPr>
                <w:sz w:val="20"/>
                <w:szCs w:val="20"/>
                <w:color w:val="auto"/>
              </w:rPr>
            </w:pPr>
            <w:r>
              <w:rPr>
                <w:rFonts w:ascii="Arial" w:cs="Arial" w:eastAsia="Arial" w:hAnsi="Arial"/>
                <w:sz w:val="18"/>
                <w:szCs w:val="18"/>
                <w:b w:val="1"/>
                <w:bCs w:val="1"/>
                <w:color w:val="0072CE"/>
              </w:rPr>
              <w:t>Mary T. Barra</w:t>
            </w:r>
          </w:p>
        </w:tc>
        <w:tc>
          <w:tcPr>
            <w:tcW w:w="3320" w:type="dxa"/>
            <w:vAlign w:val="bottom"/>
            <w:gridSpan w:val="2"/>
          </w:tcPr>
          <w:p>
            <w:pPr>
              <w:ind w:left="540"/>
              <w:spacing w:after="0"/>
              <w:rPr>
                <w:sz w:val="20"/>
                <w:szCs w:val="20"/>
                <w:color w:val="auto"/>
              </w:rPr>
            </w:pPr>
            <w:r>
              <w:rPr>
                <w:rFonts w:ascii="Arial" w:cs="Arial" w:eastAsia="Arial" w:hAnsi="Arial"/>
                <w:sz w:val="15"/>
                <w:szCs w:val="15"/>
                <w:color w:val="3D3935"/>
              </w:rPr>
              <w:t>Executive Vice</w:t>
            </w:r>
          </w:p>
        </w:tc>
        <w:tc>
          <w:tcPr>
            <w:tcW w:w="1680" w:type="dxa"/>
            <w:vAlign w:val="bottom"/>
            <w:vMerge w:val="restart"/>
          </w:tcPr>
          <w:p>
            <w:pPr>
              <w:ind w:left="260"/>
              <w:spacing w:after="0"/>
              <w:rPr>
                <w:sz w:val="20"/>
                <w:szCs w:val="20"/>
                <w:color w:val="auto"/>
              </w:rPr>
            </w:pPr>
            <w:r>
              <w:rPr>
                <w:rFonts w:ascii="Arial" w:cs="Arial" w:eastAsia="Arial" w:hAnsi="Arial"/>
                <w:sz w:val="18"/>
                <w:szCs w:val="18"/>
                <w:b w:val="1"/>
                <w:bCs w:val="1"/>
                <w:color w:val="0072CE"/>
              </w:rPr>
              <w:t>Mark L. Reuss</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760" w:type="dxa"/>
            <w:vAlign w:val="bottom"/>
          </w:tcPr>
          <w:p>
            <w:pPr>
              <w:ind w:left="1280"/>
              <w:spacing w:after="0"/>
              <w:rPr>
                <w:sz w:val="20"/>
                <w:szCs w:val="20"/>
                <w:color w:val="auto"/>
              </w:rPr>
            </w:pPr>
            <w:r>
              <w:rPr>
                <w:rFonts w:ascii="Arial" w:cs="Arial" w:eastAsia="Arial" w:hAnsi="Arial"/>
                <w:sz w:val="15"/>
                <w:szCs w:val="15"/>
                <w:color w:val="3D3935"/>
              </w:rPr>
              <w:t>Chair and Chief</w:t>
            </w:r>
          </w:p>
        </w:tc>
        <w:tc>
          <w:tcPr>
            <w:tcW w:w="3320" w:type="dxa"/>
            <w:vAlign w:val="bottom"/>
            <w:gridSpan w:val="2"/>
          </w:tcPr>
          <w:p>
            <w:pPr>
              <w:ind w:left="540"/>
              <w:spacing w:after="0"/>
              <w:rPr>
                <w:sz w:val="20"/>
                <w:szCs w:val="20"/>
                <w:color w:val="auto"/>
              </w:rPr>
            </w:pPr>
            <w:r>
              <w:rPr>
                <w:rFonts w:ascii="Arial" w:cs="Arial" w:eastAsia="Arial" w:hAnsi="Arial"/>
                <w:sz w:val="15"/>
                <w:szCs w:val="15"/>
                <w:color w:val="3D3935"/>
              </w:rPr>
              <w:t>President and Chief</w:t>
            </w:r>
          </w:p>
        </w:tc>
        <w:tc>
          <w:tcPr>
            <w:tcW w:w="16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760" w:type="dxa"/>
            <w:vAlign w:val="bottom"/>
          </w:tcPr>
          <w:p>
            <w:pPr>
              <w:ind w:left="1280"/>
              <w:spacing w:after="0"/>
              <w:rPr>
                <w:sz w:val="20"/>
                <w:szCs w:val="20"/>
                <w:color w:val="auto"/>
              </w:rPr>
            </w:pPr>
            <w:r>
              <w:rPr>
                <w:rFonts w:ascii="Arial" w:cs="Arial" w:eastAsia="Arial" w:hAnsi="Arial"/>
                <w:sz w:val="15"/>
                <w:szCs w:val="15"/>
                <w:color w:val="3D3935"/>
              </w:rPr>
              <w:t>Executive Officer</w:t>
            </w:r>
          </w:p>
        </w:tc>
        <w:tc>
          <w:tcPr>
            <w:tcW w:w="3320" w:type="dxa"/>
            <w:vAlign w:val="bottom"/>
            <w:gridSpan w:val="2"/>
          </w:tcPr>
          <w:p>
            <w:pPr>
              <w:ind w:left="540"/>
              <w:spacing w:after="0"/>
              <w:rPr>
                <w:sz w:val="20"/>
                <w:szCs w:val="20"/>
                <w:color w:val="auto"/>
              </w:rPr>
            </w:pPr>
            <w:r>
              <w:rPr>
                <w:rFonts w:ascii="Arial" w:cs="Arial" w:eastAsia="Arial" w:hAnsi="Arial"/>
                <w:sz w:val="15"/>
                <w:szCs w:val="15"/>
                <w:color w:val="3D3935"/>
              </w:rPr>
              <w:t>Financial Officer</w:t>
            </w:r>
          </w:p>
        </w:tc>
        <w:tc>
          <w:tcPr>
            <w:tcW w:w="1680" w:type="dxa"/>
            <w:vAlign w:val="bottom"/>
          </w:tcPr>
          <w:p>
            <w:pPr>
              <w:ind w:left="260"/>
              <w:spacing w:after="0"/>
              <w:rPr>
                <w:sz w:val="20"/>
                <w:szCs w:val="20"/>
                <w:color w:val="auto"/>
              </w:rPr>
            </w:pPr>
            <w:r>
              <w:rPr>
                <w:rFonts w:ascii="Arial" w:cs="Arial" w:eastAsia="Arial" w:hAnsi="Arial"/>
                <w:sz w:val="15"/>
                <w:szCs w:val="15"/>
                <w:color w:val="3D3935"/>
              </w:rPr>
              <w:t>President</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3"/>
        </w:trPr>
        <w:tc>
          <w:tcPr>
            <w:tcW w:w="3760" w:type="dxa"/>
            <w:vAlign w:val="bottom"/>
            <w:vMerge w:val="restart"/>
          </w:tcPr>
          <w:p>
            <w:pPr>
              <w:ind w:left="1280"/>
              <w:spacing w:after="0"/>
              <w:rPr>
                <w:sz w:val="20"/>
                <w:szCs w:val="20"/>
                <w:color w:val="auto"/>
              </w:rPr>
            </w:pPr>
            <w:r>
              <w:rPr>
                <w:rFonts w:ascii="Arial" w:cs="Arial" w:eastAsia="Arial" w:hAnsi="Arial"/>
                <w:sz w:val="18"/>
                <w:szCs w:val="18"/>
                <w:b w:val="1"/>
                <w:bCs w:val="1"/>
                <w:color w:val="0072CE"/>
              </w:rPr>
              <w:t>Craig B. Glidden</w:t>
            </w:r>
          </w:p>
        </w:tc>
        <w:tc>
          <w:tcPr>
            <w:tcW w:w="3320" w:type="dxa"/>
            <w:vAlign w:val="bottom"/>
            <w:gridSpan w:val="2"/>
          </w:tcPr>
          <w:p>
            <w:pPr>
              <w:ind w:left="540"/>
              <w:spacing w:after="0"/>
              <w:rPr>
                <w:sz w:val="20"/>
                <w:szCs w:val="20"/>
                <w:color w:val="auto"/>
              </w:rPr>
            </w:pPr>
            <w:r>
              <w:rPr>
                <w:rFonts w:ascii="Arial" w:cs="Arial" w:eastAsia="Arial" w:hAnsi="Arial"/>
                <w:sz w:val="18"/>
                <w:szCs w:val="18"/>
                <w:b w:val="1"/>
                <w:bCs w:val="1"/>
                <w:color w:val="0072CE"/>
              </w:rPr>
              <w:t>Rory V. Harvey</w:t>
            </w:r>
          </w:p>
        </w:tc>
        <w:tc>
          <w:tcPr>
            <w:tcW w:w="1680" w:type="dxa"/>
            <w:vAlign w:val="bottom"/>
            <w:vMerge w:val="restart"/>
          </w:tcPr>
          <w:p>
            <w:pPr>
              <w:ind w:left="260"/>
              <w:spacing w:after="0"/>
              <w:rPr>
                <w:sz w:val="20"/>
                <w:szCs w:val="20"/>
                <w:color w:val="auto"/>
              </w:rPr>
            </w:pPr>
            <w:r>
              <w:rPr>
                <w:rFonts w:ascii="Arial" w:cs="Arial" w:eastAsia="Arial" w:hAnsi="Arial"/>
                <w:sz w:val="18"/>
                <w:szCs w:val="18"/>
                <w:b w:val="1"/>
                <w:bCs w:val="1"/>
                <w:color w:val="0072CE"/>
              </w:rPr>
              <w:t>Michael Abbott</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760" w:type="dxa"/>
            <w:vAlign w:val="bottom"/>
            <w:vMerge w:val="continue"/>
          </w:tcPr>
          <w:p>
            <w:pPr>
              <w:spacing w:after="0"/>
              <w:rPr>
                <w:sz w:val="15"/>
                <w:szCs w:val="15"/>
                <w:color w:val="auto"/>
              </w:rPr>
            </w:pPr>
          </w:p>
        </w:tc>
        <w:tc>
          <w:tcPr>
            <w:tcW w:w="3320" w:type="dxa"/>
            <w:vAlign w:val="bottom"/>
            <w:gridSpan w:val="2"/>
          </w:tcPr>
          <w:p>
            <w:pPr>
              <w:ind w:left="540"/>
              <w:spacing w:after="0"/>
              <w:rPr>
                <w:sz w:val="20"/>
                <w:szCs w:val="20"/>
                <w:color w:val="auto"/>
              </w:rPr>
            </w:pPr>
            <w:r>
              <w:rPr>
                <w:rFonts w:ascii="Arial" w:cs="Arial" w:eastAsia="Arial" w:hAnsi="Arial"/>
                <w:sz w:val="15"/>
                <w:szCs w:val="15"/>
                <w:color w:val="3D3935"/>
              </w:rPr>
              <w:t>Executive Vice</w:t>
            </w:r>
          </w:p>
        </w:tc>
        <w:tc>
          <w:tcPr>
            <w:tcW w:w="16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60" w:type="dxa"/>
            <w:vAlign w:val="bottom"/>
          </w:tcPr>
          <w:p>
            <w:pPr>
              <w:ind w:left="1280"/>
              <w:spacing w:after="0"/>
              <w:rPr>
                <w:sz w:val="20"/>
                <w:szCs w:val="20"/>
                <w:color w:val="auto"/>
              </w:rPr>
            </w:pPr>
            <w:r>
              <w:rPr>
                <w:rFonts w:ascii="Arial" w:cs="Arial" w:eastAsia="Arial" w:hAnsi="Arial"/>
                <w:sz w:val="15"/>
                <w:szCs w:val="15"/>
                <w:color w:val="3D3935"/>
              </w:rPr>
              <w:t>Strategic Advisor and</w:t>
            </w:r>
          </w:p>
        </w:tc>
        <w:tc>
          <w:tcPr>
            <w:tcW w:w="3320" w:type="dxa"/>
            <w:vAlign w:val="bottom"/>
            <w:gridSpan w:val="2"/>
          </w:tcPr>
          <w:p>
            <w:pPr>
              <w:ind w:left="540"/>
              <w:spacing w:after="0"/>
              <w:rPr>
                <w:sz w:val="20"/>
                <w:szCs w:val="20"/>
                <w:color w:val="auto"/>
              </w:rPr>
            </w:pPr>
            <w:r>
              <w:rPr>
                <w:rFonts w:ascii="Arial" w:cs="Arial" w:eastAsia="Arial" w:hAnsi="Arial"/>
                <w:sz w:val="15"/>
                <w:szCs w:val="15"/>
                <w:color w:val="3D3935"/>
              </w:rPr>
              <w:t>President and</w:t>
            </w:r>
          </w:p>
        </w:tc>
        <w:tc>
          <w:tcPr>
            <w:tcW w:w="1680" w:type="dxa"/>
            <w:vAlign w:val="bottom"/>
          </w:tcPr>
          <w:p>
            <w:pPr>
              <w:ind w:left="260"/>
              <w:spacing w:after="0"/>
              <w:rPr>
                <w:sz w:val="20"/>
                <w:szCs w:val="20"/>
                <w:color w:val="auto"/>
              </w:rPr>
            </w:pPr>
            <w:r>
              <w:rPr>
                <w:rFonts w:ascii="Arial" w:cs="Arial" w:eastAsia="Arial" w:hAnsi="Arial"/>
                <w:sz w:val="15"/>
                <w:szCs w:val="15"/>
                <w:color w:val="3D3935"/>
              </w:rPr>
              <w:t>Advisor and Former</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760" w:type="dxa"/>
            <w:vAlign w:val="bottom"/>
          </w:tcPr>
          <w:p>
            <w:pPr>
              <w:ind w:left="1280"/>
              <w:spacing w:after="0"/>
              <w:rPr>
                <w:sz w:val="20"/>
                <w:szCs w:val="20"/>
                <w:color w:val="auto"/>
              </w:rPr>
            </w:pPr>
            <w:r>
              <w:rPr>
                <w:rFonts w:ascii="Arial" w:cs="Arial" w:eastAsia="Arial" w:hAnsi="Arial"/>
                <w:sz w:val="15"/>
                <w:szCs w:val="15"/>
                <w:color w:val="3D3935"/>
              </w:rPr>
              <w:t>Former Executive Vice</w:t>
            </w:r>
          </w:p>
        </w:tc>
        <w:tc>
          <w:tcPr>
            <w:tcW w:w="3320" w:type="dxa"/>
            <w:vAlign w:val="bottom"/>
            <w:gridSpan w:val="2"/>
          </w:tcPr>
          <w:p>
            <w:pPr>
              <w:ind w:left="540"/>
              <w:spacing w:after="0"/>
              <w:rPr>
                <w:sz w:val="20"/>
                <w:szCs w:val="20"/>
                <w:color w:val="auto"/>
              </w:rPr>
            </w:pPr>
            <w:r>
              <w:rPr>
                <w:rFonts w:ascii="Arial" w:cs="Arial" w:eastAsia="Arial" w:hAnsi="Arial"/>
                <w:sz w:val="15"/>
                <w:szCs w:val="15"/>
                <w:color w:val="3D3935"/>
              </w:rPr>
              <w:t>President, Global</w:t>
            </w:r>
          </w:p>
        </w:tc>
        <w:tc>
          <w:tcPr>
            <w:tcW w:w="1680" w:type="dxa"/>
            <w:vAlign w:val="bottom"/>
          </w:tcPr>
          <w:p>
            <w:pPr>
              <w:ind w:left="260"/>
              <w:spacing w:after="0"/>
              <w:rPr>
                <w:sz w:val="20"/>
                <w:szCs w:val="20"/>
                <w:color w:val="auto"/>
              </w:rPr>
            </w:pPr>
            <w:r>
              <w:rPr>
                <w:rFonts w:ascii="Arial" w:cs="Arial" w:eastAsia="Arial" w:hAnsi="Arial"/>
                <w:sz w:val="15"/>
                <w:szCs w:val="15"/>
                <w:color w:val="3D3935"/>
              </w:rPr>
              <w:t>Executive Vice</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760" w:type="dxa"/>
            <w:vAlign w:val="bottom"/>
          </w:tcPr>
          <w:p>
            <w:pPr>
              <w:ind w:left="1280"/>
              <w:spacing w:after="0"/>
              <w:rPr>
                <w:sz w:val="20"/>
                <w:szCs w:val="20"/>
                <w:color w:val="auto"/>
              </w:rPr>
            </w:pPr>
            <w:r>
              <w:rPr>
                <w:rFonts w:ascii="Arial" w:cs="Arial" w:eastAsia="Arial" w:hAnsi="Arial"/>
                <w:sz w:val="15"/>
                <w:szCs w:val="15"/>
                <w:color w:val="3D3935"/>
              </w:rPr>
              <w:t>President</w:t>
            </w:r>
          </w:p>
        </w:tc>
        <w:tc>
          <w:tcPr>
            <w:tcW w:w="3320" w:type="dxa"/>
            <w:vAlign w:val="bottom"/>
            <w:gridSpan w:val="2"/>
          </w:tcPr>
          <w:p>
            <w:pPr>
              <w:ind w:left="540"/>
              <w:spacing w:after="0"/>
              <w:rPr>
                <w:sz w:val="20"/>
                <w:szCs w:val="20"/>
                <w:color w:val="auto"/>
              </w:rPr>
            </w:pPr>
            <w:r>
              <w:rPr>
                <w:rFonts w:ascii="Arial" w:cs="Arial" w:eastAsia="Arial" w:hAnsi="Arial"/>
                <w:sz w:val="15"/>
                <w:szCs w:val="15"/>
                <w:color w:val="3D3935"/>
              </w:rPr>
              <w:t>Markets</w:t>
            </w:r>
          </w:p>
        </w:tc>
        <w:tc>
          <w:tcPr>
            <w:tcW w:w="1680" w:type="dxa"/>
            <w:vAlign w:val="bottom"/>
          </w:tcPr>
          <w:p>
            <w:pPr>
              <w:ind w:left="260"/>
              <w:spacing w:after="0"/>
              <w:rPr>
                <w:sz w:val="20"/>
                <w:szCs w:val="20"/>
                <w:color w:val="auto"/>
              </w:rPr>
            </w:pPr>
            <w:r>
              <w:rPr>
                <w:rFonts w:ascii="Arial" w:cs="Arial" w:eastAsia="Arial" w:hAnsi="Arial"/>
                <w:sz w:val="15"/>
                <w:szCs w:val="15"/>
                <w:color w:val="3D3935"/>
              </w:rPr>
              <w:t>President, Software</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3"/>
        </w:trPr>
        <w:tc>
          <w:tcPr>
            <w:tcW w:w="7080" w:type="dxa"/>
            <w:vAlign w:val="bottom"/>
            <w:gridSpan w:val="3"/>
          </w:tcPr>
          <w:p>
            <w:pPr>
              <w:spacing w:after="0"/>
              <w:rPr>
                <w:sz w:val="20"/>
                <w:szCs w:val="20"/>
                <w:color w:val="auto"/>
              </w:rPr>
            </w:pPr>
            <w:r>
              <w:rPr>
                <w:rFonts w:ascii="Arial" w:cs="Arial" w:eastAsia="Arial" w:hAnsi="Arial"/>
                <w:sz w:val="16"/>
                <w:szCs w:val="16"/>
                <w:color w:val="3D3935"/>
              </w:rPr>
              <w:t>As described on page   66, Mr. Abbott resigned from the Company effective April 2, 2024.</w:t>
            </w:r>
          </w:p>
        </w:tc>
        <w:tc>
          <w:tcPr>
            <w:tcW w:w="1960" w:type="dxa"/>
            <w:vAlign w:val="bottom"/>
            <w:gridSpan w:val="2"/>
          </w:tcPr>
          <w:p>
            <w:pPr>
              <w:ind w:left="140"/>
              <w:spacing w:after="0"/>
              <w:rPr>
                <w:sz w:val="20"/>
                <w:szCs w:val="20"/>
                <w:color w:val="auto"/>
              </w:rPr>
            </w:pPr>
            <w:r>
              <w:rPr>
                <w:rFonts w:ascii="Arial" w:cs="Arial" w:eastAsia="Arial" w:hAnsi="Arial"/>
                <w:sz w:val="16"/>
                <w:szCs w:val="16"/>
                <w:color w:val="3D3935"/>
              </w:rPr>
              <w:t>On June 24, 2024, the</w:t>
            </w:r>
          </w:p>
        </w:tc>
        <w:tc>
          <w:tcPr>
            <w:tcW w:w="0" w:type="dxa"/>
            <w:vAlign w:val="bottom"/>
          </w:tcPr>
          <w:p>
            <w:pPr>
              <w:spacing w:after="0"/>
              <w:rPr>
                <w:sz w:val="1"/>
                <w:szCs w:val="1"/>
                <w:color w:val="auto"/>
              </w:rPr>
            </w:pPr>
          </w:p>
        </w:tc>
      </w:tr>
      <w:tr>
        <w:trPr>
          <w:trHeight w:val="216"/>
        </w:trPr>
        <w:tc>
          <w:tcPr>
            <w:tcW w:w="8760" w:type="dxa"/>
            <w:vAlign w:val="bottom"/>
            <w:gridSpan w:val="4"/>
          </w:tcPr>
          <w:p>
            <w:pPr>
              <w:spacing w:after="0"/>
              <w:rPr>
                <w:sz w:val="20"/>
                <w:szCs w:val="20"/>
                <w:color w:val="auto"/>
              </w:rPr>
            </w:pPr>
            <w:r>
              <w:rPr>
                <w:rFonts w:ascii="Arial" w:cs="Arial" w:eastAsia="Arial" w:hAnsi="Arial"/>
                <w:sz w:val="16"/>
                <w:szCs w:val="16"/>
                <w:color w:val="3D3935"/>
              </w:rPr>
              <w:t>Board elected Mr. Glidden to the role of Executive Vice President and Strategic Advisor, which is a role he held through</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3"/>
          </w:tcPr>
          <w:p>
            <w:pPr>
              <w:spacing w:after="0"/>
              <w:rPr>
                <w:sz w:val="20"/>
                <w:szCs w:val="20"/>
                <w:color w:val="auto"/>
              </w:rPr>
            </w:pPr>
            <w:r>
              <w:rPr>
                <w:rFonts w:ascii="Arial" w:cs="Arial" w:eastAsia="Arial" w:hAnsi="Arial"/>
                <w:sz w:val="16"/>
                <w:szCs w:val="16"/>
                <w:color w:val="3D3935"/>
              </w:rPr>
              <w:t>December 31, 2024; he retired from the Company effective March 31, 2025.</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9"/>
        </w:trPr>
        <w:tc>
          <w:tcPr>
            <w:tcW w:w="3760" w:type="dxa"/>
            <w:vAlign w:val="bottom"/>
          </w:tcPr>
          <w:p>
            <w:pPr>
              <w:spacing w:after="0"/>
              <w:rPr>
                <w:sz w:val="20"/>
                <w:szCs w:val="20"/>
                <w:color w:val="auto"/>
              </w:rPr>
            </w:pPr>
            <w:r>
              <w:rPr>
                <w:rFonts w:ascii="Arial" w:cs="Arial" w:eastAsia="Arial" w:hAnsi="Arial"/>
                <w:sz w:val="40"/>
                <w:szCs w:val="40"/>
                <w:b w:val="1"/>
                <w:bCs w:val="1"/>
                <w:color w:val="0072CE"/>
              </w:rPr>
              <w:t>Table of Contents</w:t>
            </w:r>
          </w:p>
        </w:tc>
        <w:tc>
          <w:tcPr>
            <w:tcW w:w="7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3760" w:type="dxa"/>
            <w:vAlign w:val="bottom"/>
          </w:tcPr>
          <w:p>
            <w:pPr>
              <w:ind w:left="60"/>
              <w:spacing w:after="0"/>
              <w:rPr>
                <w:sz w:val="20"/>
                <w:szCs w:val="20"/>
                <w:color w:val="auto"/>
              </w:rPr>
            </w:pPr>
            <w:r>
              <w:rPr>
                <w:rFonts w:ascii="Arial" w:cs="Arial" w:eastAsia="Arial" w:hAnsi="Arial"/>
                <w:sz w:val="16"/>
                <w:szCs w:val="16"/>
                <w:b w:val="1"/>
                <w:bCs w:val="1"/>
                <w:color w:val="0072CE"/>
              </w:rPr>
              <w:t>Executive Summary</w:t>
            </w:r>
          </w:p>
        </w:tc>
        <w:tc>
          <w:tcPr>
            <w:tcW w:w="780" w:type="dxa"/>
            <w:vAlign w:val="bottom"/>
          </w:tcPr>
          <w:p>
            <w:pPr>
              <w:jc w:val="right"/>
              <w:ind w:right="165"/>
              <w:spacing w:after="0"/>
              <w:rPr>
                <w:sz w:val="20"/>
                <w:szCs w:val="20"/>
                <w:color w:val="auto"/>
              </w:rPr>
            </w:pPr>
            <w:r>
              <w:rPr>
                <w:rFonts w:ascii="Arial" w:cs="Arial" w:eastAsia="Arial" w:hAnsi="Arial"/>
                <w:sz w:val="16"/>
                <w:szCs w:val="16"/>
                <w:b w:val="1"/>
                <w:bCs w:val="1"/>
                <w:color w:val="0072CE"/>
              </w:rPr>
              <w:t>46</w:t>
            </w:r>
          </w:p>
        </w:tc>
        <w:tc>
          <w:tcPr>
            <w:tcW w:w="4220" w:type="dxa"/>
            <w:vAlign w:val="bottom"/>
            <w:gridSpan w:val="2"/>
          </w:tcPr>
          <w:p>
            <w:pPr>
              <w:ind w:left="220"/>
              <w:spacing w:after="0"/>
              <w:rPr>
                <w:sz w:val="20"/>
                <w:szCs w:val="20"/>
                <w:color w:val="auto"/>
              </w:rPr>
            </w:pPr>
            <w:r>
              <w:rPr>
                <w:rFonts w:ascii="Arial" w:cs="Arial" w:eastAsia="Arial" w:hAnsi="Arial"/>
                <w:sz w:val="16"/>
                <w:szCs w:val="16"/>
                <w:b w:val="1"/>
                <w:bCs w:val="1"/>
                <w:color w:val="0072CE"/>
              </w:rPr>
              <w:t>Compensation Decision-Making Process</w:t>
            </w:r>
          </w:p>
        </w:tc>
        <w:tc>
          <w:tcPr>
            <w:tcW w:w="280" w:type="dxa"/>
            <w:vAlign w:val="bottom"/>
          </w:tcPr>
          <w:p>
            <w:pPr>
              <w:ind w:left="100"/>
              <w:spacing w:after="0"/>
              <w:rPr>
                <w:sz w:val="20"/>
                <w:szCs w:val="20"/>
                <w:color w:val="auto"/>
              </w:rPr>
            </w:pPr>
            <w:r>
              <w:rPr>
                <w:rFonts w:ascii="Arial" w:cs="Arial" w:eastAsia="Arial" w:hAnsi="Arial"/>
                <w:sz w:val="16"/>
                <w:szCs w:val="16"/>
                <w:b w:val="1"/>
                <w:bCs w:val="1"/>
                <w:color w:val="0072CE"/>
                <w:w w:val="89"/>
              </w:rPr>
              <w:t>61</w:t>
            </w:r>
          </w:p>
        </w:tc>
        <w:tc>
          <w:tcPr>
            <w:tcW w:w="0" w:type="dxa"/>
            <w:vAlign w:val="bottom"/>
          </w:tcPr>
          <w:p>
            <w:pPr>
              <w:spacing w:after="0"/>
              <w:rPr>
                <w:sz w:val="1"/>
                <w:szCs w:val="1"/>
                <w:color w:val="auto"/>
              </w:rPr>
            </w:pPr>
          </w:p>
        </w:tc>
      </w:tr>
      <w:tr>
        <w:trPr>
          <w:trHeight w:val="243"/>
        </w:trPr>
        <w:tc>
          <w:tcPr>
            <w:tcW w:w="3760" w:type="dxa"/>
            <w:vAlign w:val="bottom"/>
          </w:tcPr>
          <w:p>
            <w:pPr>
              <w:ind w:left="160"/>
              <w:spacing w:after="0"/>
              <w:rPr>
                <w:sz w:val="20"/>
                <w:szCs w:val="20"/>
                <w:color w:val="auto"/>
              </w:rPr>
            </w:pPr>
            <w:r>
              <w:rPr>
                <w:rFonts w:ascii="Arial" w:cs="Arial" w:eastAsia="Arial" w:hAnsi="Arial"/>
                <w:sz w:val="14"/>
                <w:szCs w:val="14"/>
                <w:color w:val="3D3935"/>
              </w:rPr>
              <w:t>Our Company Performance</w:t>
            </w:r>
          </w:p>
        </w:tc>
        <w:tc>
          <w:tcPr>
            <w:tcW w:w="780" w:type="dxa"/>
            <w:vAlign w:val="bottom"/>
          </w:tcPr>
          <w:p>
            <w:pPr>
              <w:jc w:val="right"/>
              <w:ind w:right="145"/>
              <w:spacing w:after="0"/>
              <w:rPr>
                <w:sz w:val="20"/>
                <w:szCs w:val="20"/>
                <w:color w:val="auto"/>
              </w:rPr>
            </w:pPr>
            <w:r>
              <w:rPr>
                <w:rFonts w:ascii="Arial" w:cs="Arial" w:eastAsia="Arial" w:hAnsi="Arial"/>
                <w:sz w:val="14"/>
                <w:szCs w:val="14"/>
                <w:color w:val="3D3935"/>
              </w:rPr>
              <w:t>46</w:t>
            </w:r>
          </w:p>
        </w:tc>
        <w:tc>
          <w:tcPr>
            <w:tcW w:w="2540" w:type="dxa"/>
            <w:vAlign w:val="bottom"/>
          </w:tcPr>
          <w:p>
            <w:pPr>
              <w:ind w:left="320"/>
              <w:spacing w:after="0"/>
              <w:rPr>
                <w:sz w:val="20"/>
                <w:szCs w:val="20"/>
                <w:color w:val="auto"/>
              </w:rPr>
            </w:pPr>
            <w:r>
              <w:rPr>
                <w:rFonts w:ascii="Arial" w:cs="Arial" w:eastAsia="Arial" w:hAnsi="Arial"/>
                <w:sz w:val="14"/>
                <w:szCs w:val="14"/>
                <w:color w:val="3D3935"/>
              </w:rPr>
              <w:t>Roles and Responsibilities</w:t>
            </w:r>
          </w:p>
        </w:tc>
        <w:tc>
          <w:tcPr>
            <w:tcW w:w="1680" w:type="dxa"/>
            <w:vAlign w:val="bottom"/>
          </w:tcPr>
          <w:p>
            <w:pPr>
              <w:spacing w:after="0"/>
              <w:rPr>
                <w:sz w:val="21"/>
                <w:szCs w:val="21"/>
                <w:color w:val="auto"/>
              </w:rPr>
            </w:pPr>
          </w:p>
        </w:tc>
        <w:tc>
          <w:tcPr>
            <w:tcW w:w="280" w:type="dxa"/>
            <w:vAlign w:val="bottom"/>
          </w:tcPr>
          <w:p>
            <w:pPr>
              <w:ind w:left="120"/>
              <w:spacing w:after="0"/>
              <w:rPr>
                <w:sz w:val="20"/>
                <w:szCs w:val="20"/>
                <w:color w:val="auto"/>
              </w:rPr>
            </w:pPr>
            <w:r>
              <w:rPr>
                <w:rFonts w:ascii="Arial" w:cs="Arial" w:eastAsia="Arial" w:hAnsi="Arial"/>
                <w:sz w:val="14"/>
                <w:szCs w:val="14"/>
                <w:color w:val="3D3935"/>
                <w:w w:val="89"/>
              </w:rPr>
              <w:t>61</w:t>
            </w:r>
          </w:p>
        </w:tc>
        <w:tc>
          <w:tcPr>
            <w:tcW w:w="0" w:type="dxa"/>
            <w:vAlign w:val="bottom"/>
          </w:tcPr>
          <w:p>
            <w:pPr>
              <w:spacing w:after="0"/>
              <w:rPr>
                <w:sz w:val="1"/>
                <w:szCs w:val="1"/>
                <w:color w:val="auto"/>
              </w:rPr>
            </w:pPr>
          </w:p>
        </w:tc>
      </w:tr>
      <w:tr>
        <w:trPr>
          <w:trHeight w:val="256"/>
        </w:trPr>
        <w:tc>
          <w:tcPr>
            <w:tcW w:w="3760" w:type="dxa"/>
            <w:vAlign w:val="bottom"/>
          </w:tcPr>
          <w:p>
            <w:pPr>
              <w:ind w:left="160"/>
              <w:spacing w:after="0"/>
              <w:rPr>
                <w:sz w:val="20"/>
                <w:szCs w:val="20"/>
                <w:color w:val="auto"/>
              </w:rPr>
            </w:pPr>
            <w:r>
              <w:rPr>
                <w:rFonts w:ascii="Arial" w:cs="Arial" w:eastAsia="Arial" w:hAnsi="Arial"/>
                <w:sz w:val="14"/>
                <w:szCs w:val="14"/>
                <w:color w:val="3D3935"/>
              </w:rPr>
              <w:t>2024 Financial Highlights</w:t>
            </w:r>
          </w:p>
        </w:tc>
        <w:tc>
          <w:tcPr>
            <w:tcW w:w="780" w:type="dxa"/>
            <w:vAlign w:val="bottom"/>
          </w:tcPr>
          <w:p>
            <w:pPr>
              <w:jc w:val="right"/>
              <w:ind w:right="145"/>
              <w:spacing w:after="0"/>
              <w:rPr>
                <w:sz w:val="20"/>
                <w:szCs w:val="20"/>
                <w:color w:val="auto"/>
              </w:rPr>
            </w:pPr>
            <w:r>
              <w:rPr>
                <w:rFonts w:ascii="Arial" w:cs="Arial" w:eastAsia="Arial" w:hAnsi="Arial"/>
                <w:sz w:val="14"/>
                <w:szCs w:val="14"/>
                <w:color w:val="3D3935"/>
              </w:rPr>
              <w:t>46</w:t>
            </w:r>
          </w:p>
        </w:tc>
        <w:tc>
          <w:tcPr>
            <w:tcW w:w="2540" w:type="dxa"/>
            <w:vAlign w:val="bottom"/>
          </w:tcPr>
          <w:p>
            <w:pPr>
              <w:ind w:left="320"/>
              <w:spacing w:after="0"/>
              <w:rPr>
                <w:sz w:val="20"/>
                <w:szCs w:val="20"/>
                <w:color w:val="auto"/>
              </w:rPr>
            </w:pPr>
            <w:r>
              <w:rPr>
                <w:rFonts w:ascii="Arial" w:cs="Arial" w:eastAsia="Arial" w:hAnsi="Arial"/>
                <w:sz w:val="14"/>
                <w:szCs w:val="14"/>
                <w:color w:val="3D3935"/>
              </w:rPr>
              <w:t>Peer Group</w:t>
            </w:r>
          </w:p>
        </w:tc>
        <w:tc>
          <w:tcPr>
            <w:tcW w:w="1680" w:type="dxa"/>
            <w:vAlign w:val="bottom"/>
          </w:tcPr>
          <w:p>
            <w:pPr>
              <w:spacing w:after="0"/>
              <w:rPr>
                <w:sz w:val="22"/>
                <w:szCs w:val="22"/>
                <w:color w:val="auto"/>
              </w:rPr>
            </w:pPr>
          </w:p>
        </w:tc>
        <w:tc>
          <w:tcPr>
            <w:tcW w:w="280" w:type="dxa"/>
            <w:vAlign w:val="bottom"/>
          </w:tcPr>
          <w:p>
            <w:pPr>
              <w:ind w:left="100"/>
              <w:spacing w:after="0"/>
              <w:rPr>
                <w:sz w:val="20"/>
                <w:szCs w:val="20"/>
                <w:color w:val="auto"/>
              </w:rPr>
            </w:pPr>
            <w:r>
              <w:rPr>
                <w:rFonts w:ascii="Arial" w:cs="Arial" w:eastAsia="Arial" w:hAnsi="Arial"/>
                <w:sz w:val="14"/>
                <w:szCs w:val="14"/>
                <w:color w:val="3D3935"/>
              </w:rPr>
              <w:t>62</w:t>
            </w:r>
          </w:p>
        </w:tc>
        <w:tc>
          <w:tcPr>
            <w:tcW w:w="0" w:type="dxa"/>
            <w:vAlign w:val="bottom"/>
          </w:tcPr>
          <w:p>
            <w:pPr>
              <w:spacing w:after="0"/>
              <w:rPr>
                <w:sz w:val="1"/>
                <w:szCs w:val="1"/>
                <w:color w:val="auto"/>
              </w:rPr>
            </w:pPr>
          </w:p>
        </w:tc>
      </w:tr>
      <w:tr>
        <w:trPr>
          <w:trHeight w:val="255"/>
        </w:trPr>
        <w:tc>
          <w:tcPr>
            <w:tcW w:w="3760" w:type="dxa"/>
            <w:vAlign w:val="bottom"/>
          </w:tcPr>
          <w:p>
            <w:pPr>
              <w:ind w:left="160"/>
              <w:spacing w:after="0"/>
              <w:rPr>
                <w:sz w:val="20"/>
                <w:szCs w:val="20"/>
                <w:color w:val="auto"/>
              </w:rPr>
            </w:pPr>
            <w:r>
              <w:rPr>
                <w:rFonts w:ascii="Arial" w:cs="Arial" w:eastAsia="Arial" w:hAnsi="Arial"/>
                <w:sz w:val="14"/>
                <w:szCs w:val="14"/>
                <w:color w:val="3D3935"/>
              </w:rPr>
              <w:t>Summary of Compensation Program Changes and</w:t>
            </w:r>
          </w:p>
        </w:tc>
        <w:tc>
          <w:tcPr>
            <w:tcW w:w="780" w:type="dxa"/>
            <w:vAlign w:val="bottom"/>
          </w:tcPr>
          <w:p>
            <w:pPr>
              <w:jc w:val="right"/>
              <w:ind w:right="145"/>
              <w:spacing w:after="0"/>
              <w:rPr>
                <w:sz w:val="20"/>
                <w:szCs w:val="20"/>
                <w:color w:val="auto"/>
              </w:rPr>
            </w:pPr>
            <w:r>
              <w:rPr>
                <w:rFonts w:ascii="Arial" w:cs="Arial" w:eastAsia="Arial" w:hAnsi="Arial"/>
                <w:sz w:val="14"/>
                <w:szCs w:val="14"/>
                <w:color w:val="3D3935"/>
              </w:rPr>
              <w:t>47</w:t>
            </w:r>
          </w:p>
        </w:tc>
        <w:tc>
          <w:tcPr>
            <w:tcW w:w="2540" w:type="dxa"/>
            <w:vAlign w:val="bottom"/>
          </w:tcPr>
          <w:p>
            <w:pPr>
              <w:ind w:left="320"/>
              <w:spacing w:after="0"/>
              <w:rPr>
                <w:sz w:val="20"/>
                <w:szCs w:val="20"/>
                <w:color w:val="auto"/>
              </w:rPr>
            </w:pPr>
            <w:r>
              <w:rPr>
                <w:rFonts w:ascii="Arial" w:cs="Arial" w:eastAsia="Arial" w:hAnsi="Arial"/>
                <w:sz w:val="14"/>
                <w:szCs w:val="14"/>
                <w:color w:val="3D3935"/>
              </w:rPr>
              <w:t>Compensation Risk Assessment</w:t>
            </w:r>
          </w:p>
        </w:tc>
        <w:tc>
          <w:tcPr>
            <w:tcW w:w="1680" w:type="dxa"/>
            <w:vAlign w:val="bottom"/>
          </w:tcPr>
          <w:p>
            <w:pPr>
              <w:spacing w:after="0"/>
              <w:rPr>
                <w:sz w:val="22"/>
                <w:szCs w:val="22"/>
                <w:color w:val="auto"/>
              </w:rPr>
            </w:pPr>
          </w:p>
        </w:tc>
        <w:tc>
          <w:tcPr>
            <w:tcW w:w="280" w:type="dxa"/>
            <w:vAlign w:val="bottom"/>
          </w:tcPr>
          <w:p>
            <w:pPr>
              <w:ind w:left="100"/>
              <w:spacing w:after="0"/>
              <w:rPr>
                <w:sz w:val="20"/>
                <w:szCs w:val="20"/>
                <w:color w:val="auto"/>
              </w:rPr>
            </w:pPr>
            <w:r>
              <w:rPr>
                <w:rFonts w:ascii="Arial" w:cs="Arial" w:eastAsia="Arial" w:hAnsi="Arial"/>
                <w:sz w:val="14"/>
                <w:szCs w:val="14"/>
                <w:color w:val="3D3935"/>
              </w:rPr>
              <w:t>63</w:t>
            </w:r>
          </w:p>
        </w:tc>
        <w:tc>
          <w:tcPr>
            <w:tcW w:w="0" w:type="dxa"/>
            <w:vAlign w:val="bottom"/>
          </w:tcPr>
          <w:p>
            <w:pPr>
              <w:spacing w:after="0"/>
              <w:rPr>
                <w:sz w:val="1"/>
                <w:szCs w:val="1"/>
                <w:color w:val="auto"/>
              </w:rPr>
            </w:pPr>
          </w:p>
        </w:tc>
      </w:tr>
      <w:tr>
        <w:trPr>
          <w:trHeight w:val="190"/>
        </w:trPr>
        <w:tc>
          <w:tcPr>
            <w:tcW w:w="3760" w:type="dxa"/>
            <w:vAlign w:val="bottom"/>
          </w:tcPr>
          <w:p>
            <w:pPr>
              <w:ind w:left="160"/>
              <w:spacing w:after="0"/>
              <w:rPr>
                <w:sz w:val="20"/>
                <w:szCs w:val="20"/>
                <w:color w:val="auto"/>
              </w:rPr>
            </w:pPr>
            <w:r>
              <w:rPr>
                <w:rFonts w:ascii="Arial" w:cs="Arial" w:eastAsia="Arial" w:hAnsi="Arial"/>
                <w:sz w:val="14"/>
                <w:szCs w:val="14"/>
                <w:color w:val="3D3935"/>
              </w:rPr>
              <w:t>Disclosure Enhancements</w:t>
            </w:r>
          </w:p>
        </w:tc>
        <w:tc>
          <w:tcPr>
            <w:tcW w:w="780" w:type="dxa"/>
            <w:vAlign w:val="bottom"/>
          </w:tcPr>
          <w:p>
            <w:pPr>
              <w:spacing w:after="0"/>
              <w:rPr>
                <w:sz w:val="16"/>
                <w:szCs w:val="16"/>
                <w:color w:val="auto"/>
              </w:rPr>
            </w:pPr>
          </w:p>
        </w:tc>
        <w:tc>
          <w:tcPr>
            <w:tcW w:w="422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0072CE"/>
              </w:rPr>
              <w:t>Compensation Policies and Governance Practices</w:t>
            </w:r>
          </w:p>
        </w:tc>
        <w:tc>
          <w:tcPr>
            <w:tcW w:w="280" w:type="dxa"/>
            <w:vAlign w:val="bottom"/>
            <w:vMerge w:val="restart"/>
          </w:tcPr>
          <w:p>
            <w:pPr>
              <w:ind w:left="60"/>
              <w:spacing w:after="0"/>
              <w:rPr>
                <w:sz w:val="20"/>
                <w:szCs w:val="20"/>
                <w:color w:val="auto"/>
              </w:rPr>
            </w:pPr>
            <w:r>
              <w:rPr>
                <w:rFonts w:ascii="Arial" w:cs="Arial" w:eastAsia="Arial" w:hAnsi="Arial"/>
                <w:sz w:val="16"/>
                <w:szCs w:val="16"/>
                <w:b w:val="1"/>
                <w:bCs w:val="1"/>
                <w:color w:val="0072CE"/>
              </w:rPr>
              <w:t>64</w:t>
            </w:r>
          </w:p>
        </w:tc>
        <w:tc>
          <w:tcPr>
            <w:tcW w:w="0" w:type="dxa"/>
            <w:vAlign w:val="bottom"/>
          </w:tcPr>
          <w:p>
            <w:pPr>
              <w:spacing w:after="0"/>
              <w:rPr>
                <w:sz w:val="1"/>
                <w:szCs w:val="1"/>
                <w:color w:val="auto"/>
              </w:rPr>
            </w:pPr>
          </w:p>
        </w:tc>
      </w:tr>
      <w:tr>
        <w:trPr>
          <w:trHeight w:val="149"/>
        </w:trPr>
        <w:tc>
          <w:tcPr>
            <w:tcW w:w="3760" w:type="dxa"/>
            <w:vAlign w:val="bottom"/>
            <w:vMerge w:val="restart"/>
          </w:tcPr>
          <w:p>
            <w:pPr>
              <w:ind w:left="160"/>
              <w:spacing w:after="0"/>
              <w:rPr>
                <w:sz w:val="20"/>
                <w:szCs w:val="20"/>
                <w:color w:val="auto"/>
              </w:rPr>
            </w:pPr>
            <w:r>
              <w:rPr>
                <w:rFonts w:ascii="Arial" w:cs="Arial" w:eastAsia="Arial" w:hAnsi="Arial"/>
                <w:sz w:val="14"/>
                <w:szCs w:val="14"/>
                <w:color w:val="3D3935"/>
              </w:rPr>
              <w:t>Shareholder Outreach and Responsiveness</w:t>
            </w:r>
          </w:p>
        </w:tc>
        <w:tc>
          <w:tcPr>
            <w:tcW w:w="780" w:type="dxa"/>
            <w:vAlign w:val="bottom"/>
            <w:vMerge w:val="restart"/>
          </w:tcPr>
          <w:p>
            <w:pPr>
              <w:jc w:val="right"/>
              <w:ind w:right="145"/>
              <w:spacing w:after="0"/>
              <w:rPr>
                <w:sz w:val="20"/>
                <w:szCs w:val="20"/>
                <w:color w:val="auto"/>
              </w:rPr>
            </w:pPr>
            <w:r>
              <w:rPr>
                <w:rFonts w:ascii="Arial" w:cs="Arial" w:eastAsia="Arial" w:hAnsi="Arial"/>
                <w:sz w:val="14"/>
                <w:szCs w:val="14"/>
                <w:color w:val="3D3935"/>
              </w:rPr>
              <w:t>48</w:t>
            </w:r>
          </w:p>
        </w:tc>
        <w:tc>
          <w:tcPr>
            <w:tcW w:w="422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7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2540" w:type="dxa"/>
            <w:vAlign w:val="bottom"/>
            <w:vMerge w:val="restart"/>
          </w:tcPr>
          <w:p>
            <w:pPr>
              <w:ind w:left="320"/>
              <w:spacing w:after="0"/>
              <w:rPr>
                <w:sz w:val="20"/>
                <w:szCs w:val="20"/>
                <w:color w:val="auto"/>
              </w:rPr>
            </w:pPr>
            <w:r>
              <w:rPr>
                <w:rFonts w:ascii="Arial" w:cs="Arial" w:eastAsia="Arial" w:hAnsi="Arial"/>
                <w:sz w:val="14"/>
                <w:szCs w:val="14"/>
                <w:color w:val="3D3935"/>
              </w:rPr>
              <w:t>Stock Ownership Requirements</w:t>
            </w:r>
          </w:p>
        </w:tc>
        <w:tc>
          <w:tcPr>
            <w:tcW w:w="1680" w:type="dxa"/>
            <w:vAlign w:val="bottom"/>
          </w:tcPr>
          <w:p>
            <w:pPr>
              <w:spacing w:after="0"/>
              <w:rPr>
                <w:sz w:val="7"/>
                <w:szCs w:val="7"/>
                <w:color w:val="auto"/>
              </w:rPr>
            </w:pPr>
          </w:p>
        </w:tc>
        <w:tc>
          <w:tcPr>
            <w:tcW w:w="280" w:type="dxa"/>
            <w:vAlign w:val="bottom"/>
            <w:vMerge w:val="restart"/>
          </w:tcPr>
          <w:p>
            <w:pPr>
              <w:ind w:left="100"/>
              <w:spacing w:after="0"/>
              <w:rPr>
                <w:sz w:val="20"/>
                <w:szCs w:val="20"/>
                <w:color w:val="auto"/>
              </w:rPr>
            </w:pPr>
            <w:r>
              <w:rPr>
                <w:rFonts w:ascii="Arial" w:cs="Arial" w:eastAsia="Arial" w:hAnsi="Arial"/>
                <w:sz w:val="14"/>
                <w:szCs w:val="14"/>
                <w:color w:val="3D3935"/>
              </w:rPr>
              <w:t>64</w:t>
            </w:r>
          </w:p>
        </w:tc>
        <w:tc>
          <w:tcPr>
            <w:tcW w:w="0" w:type="dxa"/>
            <w:vAlign w:val="bottom"/>
          </w:tcPr>
          <w:p>
            <w:pPr>
              <w:spacing w:after="0"/>
              <w:rPr>
                <w:sz w:val="1"/>
                <w:szCs w:val="1"/>
                <w:color w:val="auto"/>
              </w:rPr>
            </w:pPr>
          </w:p>
        </w:tc>
      </w:tr>
      <w:tr>
        <w:trPr>
          <w:trHeight w:val="162"/>
        </w:trPr>
        <w:tc>
          <w:tcPr>
            <w:tcW w:w="3760" w:type="dxa"/>
            <w:vAlign w:val="bottom"/>
            <w:vMerge w:val="restart"/>
          </w:tcPr>
          <w:p>
            <w:pPr>
              <w:ind w:left="160"/>
              <w:spacing w:after="0"/>
              <w:rPr>
                <w:sz w:val="20"/>
                <w:szCs w:val="20"/>
                <w:color w:val="auto"/>
              </w:rPr>
            </w:pPr>
            <w:r>
              <w:rPr>
                <w:rFonts w:ascii="Arial" w:cs="Arial" w:eastAsia="Arial" w:hAnsi="Arial"/>
                <w:sz w:val="14"/>
                <w:szCs w:val="14"/>
                <w:color w:val="3D3935"/>
              </w:rPr>
              <w:t>Compensation Principles</w:t>
            </w:r>
          </w:p>
        </w:tc>
        <w:tc>
          <w:tcPr>
            <w:tcW w:w="780" w:type="dxa"/>
            <w:vAlign w:val="bottom"/>
            <w:vMerge w:val="restart"/>
          </w:tcPr>
          <w:p>
            <w:pPr>
              <w:jc w:val="right"/>
              <w:ind w:right="145"/>
              <w:spacing w:after="0"/>
              <w:rPr>
                <w:sz w:val="20"/>
                <w:szCs w:val="20"/>
                <w:color w:val="auto"/>
              </w:rPr>
            </w:pPr>
            <w:r>
              <w:rPr>
                <w:rFonts w:ascii="Arial" w:cs="Arial" w:eastAsia="Arial" w:hAnsi="Arial"/>
                <w:sz w:val="14"/>
                <w:szCs w:val="14"/>
                <w:color w:val="3D3935"/>
              </w:rPr>
              <w:t>50</w:t>
            </w:r>
          </w:p>
        </w:tc>
        <w:tc>
          <w:tcPr>
            <w:tcW w:w="2540" w:type="dxa"/>
            <w:vAlign w:val="bottom"/>
            <w:vMerge w:val="continue"/>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7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20" w:type="dxa"/>
            <w:vAlign w:val="bottom"/>
            <w:gridSpan w:val="2"/>
            <w:vMerge w:val="restart"/>
          </w:tcPr>
          <w:p>
            <w:pPr>
              <w:ind w:left="320"/>
              <w:spacing w:after="0"/>
              <w:rPr>
                <w:sz w:val="20"/>
                <w:szCs w:val="20"/>
                <w:color w:val="auto"/>
              </w:rPr>
            </w:pPr>
            <w:r>
              <w:rPr>
                <w:rFonts w:ascii="Arial" w:cs="Arial" w:eastAsia="Arial" w:hAnsi="Arial"/>
                <w:sz w:val="14"/>
                <w:szCs w:val="14"/>
                <w:color w:val="3D3935"/>
              </w:rPr>
              <w:t>Policy on Recoupment of Incentive Compensation</w:t>
            </w:r>
          </w:p>
        </w:tc>
        <w:tc>
          <w:tcPr>
            <w:tcW w:w="280" w:type="dxa"/>
            <w:vAlign w:val="bottom"/>
            <w:vMerge w:val="restart"/>
          </w:tcPr>
          <w:p>
            <w:pPr>
              <w:ind w:left="100"/>
              <w:spacing w:after="0"/>
              <w:rPr>
                <w:sz w:val="20"/>
                <w:szCs w:val="20"/>
                <w:color w:val="auto"/>
              </w:rPr>
            </w:pPr>
            <w:r>
              <w:rPr>
                <w:rFonts w:ascii="Arial" w:cs="Arial" w:eastAsia="Arial" w:hAnsi="Arial"/>
                <w:sz w:val="14"/>
                <w:szCs w:val="14"/>
                <w:color w:val="3D3935"/>
              </w:rPr>
              <w:t>65</w:t>
            </w:r>
          </w:p>
        </w:tc>
        <w:tc>
          <w:tcPr>
            <w:tcW w:w="0" w:type="dxa"/>
            <w:vAlign w:val="bottom"/>
          </w:tcPr>
          <w:p>
            <w:pPr>
              <w:spacing w:after="0"/>
              <w:rPr>
                <w:sz w:val="1"/>
                <w:szCs w:val="1"/>
                <w:color w:val="auto"/>
              </w:rPr>
            </w:pPr>
          </w:p>
        </w:tc>
      </w:tr>
      <w:tr>
        <w:trPr>
          <w:trHeight w:val="162"/>
        </w:trPr>
        <w:tc>
          <w:tcPr>
            <w:tcW w:w="3760" w:type="dxa"/>
            <w:vAlign w:val="bottom"/>
            <w:vMerge w:val="restart"/>
          </w:tcPr>
          <w:p>
            <w:pPr>
              <w:ind w:left="160"/>
              <w:spacing w:after="0"/>
              <w:rPr>
                <w:sz w:val="20"/>
                <w:szCs w:val="20"/>
                <w:color w:val="auto"/>
              </w:rPr>
            </w:pPr>
            <w:r>
              <w:rPr>
                <w:rFonts w:ascii="Arial" w:cs="Arial" w:eastAsia="Arial" w:hAnsi="Arial"/>
                <w:sz w:val="14"/>
                <w:szCs w:val="14"/>
                <w:color w:val="3D3935"/>
              </w:rPr>
              <w:t>2024 Compensation Highlights</w:t>
            </w:r>
          </w:p>
        </w:tc>
        <w:tc>
          <w:tcPr>
            <w:tcW w:w="780" w:type="dxa"/>
            <w:vAlign w:val="bottom"/>
            <w:vMerge w:val="restart"/>
          </w:tcPr>
          <w:p>
            <w:pPr>
              <w:jc w:val="right"/>
              <w:ind w:right="145"/>
              <w:spacing w:after="0"/>
              <w:rPr>
                <w:sz w:val="20"/>
                <w:szCs w:val="20"/>
                <w:color w:val="auto"/>
              </w:rPr>
            </w:pPr>
            <w:r>
              <w:rPr>
                <w:rFonts w:ascii="Arial" w:cs="Arial" w:eastAsia="Arial" w:hAnsi="Arial"/>
                <w:sz w:val="14"/>
                <w:szCs w:val="14"/>
                <w:color w:val="3D3935"/>
              </w:rPr>
              <w:t>50</w:t>
            </w:r>
          </w:p>
        </w:tc>
        <w:tc>
          <w:tcPr>
            <w:tcW w:w="422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37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2540" w:type="dxa"/>
            <w:vAlign w:val="bottom"/>
            <w:vMerge w:val="restart"/>
          </w:tcPr>
          <w:p>
            <w:pPr>
              <w:ind w:left="320"/>
              <w:spacing w:after="0"/>
              <w:rPr>
                <w:sz w:val="20"/>
                <w:szCs w:val="20"/>
                <w:color w:val="auto"/>
              </w:rPr>
            </w:pPr>
            <w:r>
              <w:rPr>
                <w:rFonts w:ascii="Arial" w:cs="Arial" w:eastAsia="Arial" w:hAnsi="Arial"/>
                <w:sz w:val="14"/>
                <w:szCs w:val="14"/>
                <w:color w:val="3D3935"/>
              </w:rPr>
              <w:t>Trading GM Securities</w:t>
            </w:r>
          </w:p>
        </w:tc>
        <w:tc>
          <w:tcPr>
            <w:tcW w:w="1680" w:type="dxa"/>
            <w:vAlign w:val="bottom"/>
          </w:tcPr>
          <w:p>
            <w:pPr>
              <w:spacing w:after="0"/>
              <w:rPr>
                <w:sz w:val="8"/>
                <w:szCs w:val="8"/>
                <w:color w:val="auto"/>
              </w:rPr>
            </w:pPr>
          </w:p>
        </w:tc>
        <w:tc>
          <w:tcPr>
            <w:tcW w:w="280" w:type="dxa"/>
            <w:vAlign w:val="bottom"/>
            <w:vMerge w:val="restart"/>
          </w:tcPr>
          <w:p>
            <w:pPr>
              <w:ind w:left="100"/>
              <w:spacing w:after="0"/>
              <w:rPr>
                <w:sz w:val="20"/>
                <w:szCs w:val="20"/>
                <w:color w:val="auto"/>
              </w:rPr>
            </w:pPr>
            <w:r>
              <w:rPr>
                <w:rFonts w:ascii="Arial" w:cs="Arial" w:eastAsia="Arial" w:hAnsi="Arial"/>
                <w:sz w:val="14"/>
                <w:szCs w:val="14"/>
                <w:color w:val="3D3935"/>
              </w:rPr>
              <w:t>66</w:t>
            </w:r>
          </w:p>
        </w:tc>
        <w:tc>
          <w:tcPr>
            <w:tcW w:w="0" w:type="dxa"/>
            <w:vAlign w:val="bottom"/>
          </w:tcPr>
          <w:p>
            <w:pPr>
              <w:spacing w:after="0"/>
              <w:rPr>
                <w:sz w:val="1"/>
                <w:szCs w:val="1"/>
                <w:color w:val="auto"/>
              </w:rPr>
            </w:pPr>
          </w:p>
        </w:tc>
      </w:tr>
      <w:tr>
        <w:trPr>
          <w:trHeight w:val="162"/>
        </w:trPr>
        <w:tc>
          <w:tcPr>
            <w:tcW w:w="3760" w:type="dxa"/>
            <w:vAlign w:val="bottom"/>
            <w:vMerge w:val="restart"/>
          </w:tcPr>
          <w:p>
            <w:pPr>
              <w:ind w:left="160"/>
              <w:spacing w:after="0"/>
              <w:rPr>
                <w:sz w:val="20"/>
                <w:szCs w:val="20"/>
                <w:color w:val="auto"/>
              </w:rPr>
            </w:pPr>
            <w:r>
              <w:rPr>
                <w:rFonts w:ascii="Arial" w:cs="Arial" w:eastAsia="Arial" w:hAnsi="Arial"/>
                <w:sz w:val="14"/>
                <w:szCs w:val="14"/>
                <w:color w:val="3D3935"/>
              </w:rPr>
              <w:t>Compensation Governance Best Practices</w:t>
            </w:r>
          </w:p>
        </w:tc>
        <w:tc>
          <w:tcPr>
            <w:tcW w:w="780" w:type="dxa"/>
            <w:vAlign w:val="bottom"/>
            <w:vMerge w:val="restart"/>
          </w:tcPr>
          <w:p>
            <w:pPr>
              <w:jc w:val="right"/>
              <w:ind w:right="145"/>
              <w:spacing w:after="0"/>
              <w:rPr>
                <w:sz w:val="20"/>
                <w:szCs w:val="20"/>
                <w:color w:val="auto"/>
              </w:rPr>
            </w:pPr>
            <w:r>
              <w:rPr>
                <w:rFonts w:ascii="Arial" w:cs="Arial" w:eastAsia="Arial" w:hAnsi="Arial"/>
                <w:sz w:val="14"/>
                <w:szCs w:val="14"/>
                <w:color w:val="3D3935"/>
              </w:rPr>
              <w:t>52</w:t>
            </w:r>
          </w:p>
        </w:tc>
        <w:tc>
          <w:tcPr>
            <w:tcW w:w="2540" w:type="dxa"/>
            <w:vAlign w:val="bottom"/>
            <w:vMerge w:val="continue"/>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37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20" w:type="dxa"/>
            <w:vAlign w:val="bottom"/>
            <w:gridSpan w:val="2"/>
            <w:vMerge w:val="restart"/>
          </w:tcPr>
          <w:p>
            <w:pPr>
              <w:ind w:left="320"/>
              <w:spacing w:after="0"/>
              <w:rPr>
                <w:sz w:val="20"/>
                <w:szCs w:val="20"/>
                <w:color w:val="auto"/>
              </w:rPr>
            </w:pPr>
            <w:r>
              <w:rPr>
                <w:rFonts w:ascii="Arial" w:cs="Arial" w:eastAsia="Arial" w:hAnsi="Arial"/>
                <w:sz w:val="14"/>
                <w:szCs w:val="14"/>
                <w:color w:val="3D3935"/>
              </w:rPr>
              <w:t>Policies and Practices Related to Timing of</w:t>
            </w:r>
          </w:p>
        </w:tc>
        <w:tc>
          <w:tcPr>
            <w:tcW w:w="280" w:type="dxa"/>
            <w:vAlign w:val="bottom"/>
            <w:vMerge w:val="restart"/>
          </w:tcPr>
          <w:p>
            <w:pPr>
              <w:ind w:left="100"/>
              <w:spacing w:after="0"/>
              <w:rPr>
                <w:sz w:val="20"/>
                <w:szCs w:val="20"/>
                <w:color w:val="auto"/>
              </w:rPr>
            </w:pPr>
            <w:r>
              <w:rPr>
                <w:rFonts w:ascii="Arial" w:cs="Arial" w:eastAsia="Arial" w:hAnsi="Arial"/>
                <w:sz w:val="14"/>
                <w:szCs w:val="14"/>
                <w:color w:val="3D3935"/>
              </w:rPr>
              <w:t>66</w:t>
            </w:r>
          </w:p>
        </w:tc>
        <w:tc>
          <w:tcPr>
            <w:tcW w:w="0" w:type="dxa"/>
            <w:vAlign w:val="bottom"/>
          </w:tcPr>
          <w:p>
            <w:pPr>
              <w:spacing w:after="0"/>
              <w:rPr>
                <w:sz w:val="1"/>
                <w:szCs w:val="1"/>
                <w:color w:val="auto"/>
              </w:rPr>
            </w:pPr>
          </w:p>
        </w:tc>
      </w:tr>
      <w:tr>
        <w:trPr>
          <w:trHeight w:val="134"/>
        </w:trPr>
        <w:tc>
          <w:tcPr>
            <w:tcW w:w="3760" w:type="dxa"/>
            <w:vAlign w:val="bottom"/>
            <w:vMerge w:val="restart"/>
          </w:tcPr>
          <w:p>
            <w:pPr>
              <w:ind w:left="60"/>
              <w:spacing w:after="0"/>
              <w:rPr>
                <w:sz w:val="20"/>
                <w:szCs w:val="20"/>
                <w:color w:val="auto"/>
              </w:rPr>
            </w:pPr>
            <w:r>
              <w:rPr>
                <w:rFonts w:ascii="Arial" w:cs="Arial" w:eastAsia="Arial" w:hAnsi="Arial"/>
                <w:sz w:val="16"/>
                <w:szCs w:val="16"/>
                <w:b w:val="1"/>
                <w:bCs w:val="1"/>
                <w:color w:val="0072CE"/>
              </w:rPr>
              <w:t>2024 NEO Compensation</w:t>
            </w:r>
          </w:p>
        </w:tc>
        <w:tc>
          <w:tcPr>
            <w:tcW w:w="780" w:type="dxa"/>
            <w:vAlign w:val="bottom"/>
            <w:vMerge w:val="restart"/>
          </w:tcPr>
          <w:p>
            <w:pPr>
              <w:jc w:val="right"/>
              <w:ind w:right="145"/>
              <w:spacing w:after="0"/>
              <w:rPr>
                <w:sz w:val="20"/>
                <w:szCs w:val="20"/>
                <w:color w:val="auto"/>
              </w:rPr>
            </w:pPr>
            <w:r>
              <w:rPr>
                <w:rFonts w:ascii="Arial" w:cs="Arial" w:eastAsia="Arial" w:hAnsi="Arial"/>
                <w:sz w:val="16"/>
                <w:szCs w:val="16"/>
                <w:b w:val="1"/>
                <w:bCs w:val="1"/>
                <w:color w:val="0072CE"/>
              </w:rPr>
              <w:t>53</w:t>
            </w:r>
          </w:p>
        </w:tc>
        <w:tc>
          <w:tcPr>
            <w:tcW w:w="4220" w:type="dxa"/>
            <w:vAlign w:val="bottom"/>
            <w:gridSpan w:val="2"/>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37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2540" w:type="dxa"/>
            <w:vAlign w:val="bottom"/>
          </w:tcPr>
          <w:p>
            <w:pPr>
              <w:ind w:left="320"/>
              <w:spacing w:after="0"/>
              <w:rPr>
                <w:sz w:val="20"/>
                <w:szCs w:val="20"/>
                <w:color w:val="auto"/>
              </w:rPr>
            </w:pPr>
            <w:r>
              <w:rPr>
                <w:rFonts w:ascii="Arial" w:cs="Arial" w:eastAsia="Arial" w:hAnsi="Arial"/>
                <w:sz w:val="14"/>
                <w:szCs w:val="14"/>
                <w:color w:val="3D3935"/>
              </w:rPr>
              <w:t>Equity Awards</w:t>
            </w: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160"/>
              <w:spacing w:after="0"/>
              <w:rPr>
                <w:sz w:val="20"/>
                <w:szCs w:val="20"/>
                <w:color w:val="auto"/>
              </w:rPr>
            </w:pPr>
            <w:r>
              <w:rPr>
                <w:rFonts w:ascii="Arial" w:cs="Arial" w:eastAsia="Arial" w:hAnsi="Arial"/>
                <w:sz w:val="14"/>
                <w:szCs w:val="14"/>
                <w:color w:val="3D3935"/>
              </w:rPr>
              <w:t>Target Compensation</w:t>
            </w:r>
          </w:p>
        </w:tc>
        <w:tc>
          <w:tcPr>
            <w:tcW w:w="780" w:type="dxa"/>
            <w:vAlign w:val="bottom"/>
          </w:tcPr>
          <w:p>
            <w:pPr>
              <w:jc w:val="right"/>
              <w:ind w:right="145"/>
              <w:spacing w:after="0"/>
              <w:rPr>
                <w:sz w:val="20"/>
                <w:szCs w:val="20"/>
                <w:color w:val="auto"/>
              </w:rPr>
            </w:pPr>
            <w:r>
              <w:rPr>
                <w:rFonts w:ascii="Arial" w:cs="Arial" w:eastAsia="Arial" w:hAnsi="Arial"/>
                <w:sz w:val="14"/>
                <w:szCs w:val="14"/>
                <w:color w:val="3D3935"/>
              </w:rPr>
              <w:t>53</w:t>
            </w:r>
          </w:p>
        </w:tc>
        <w:tc>
          <w:tcPr>
            <w:tcW w:w="2540" w:type="dxa"/>
            <w:vAlign w:val="bottom"/>
          </w:tcPr>
          <w:p>
            <w:pPr>
              <w:ind w:left="320"/>
              <w:spacing w:after="0"/>
              <w:rPr>
                <w:sz w:val="20"/>
                <w:szCs w:val="20"/>
                <w:color w:val="auto"/>
              </w:rPr>
            </w:pPr>
            <w:r>
              <w:rPr>
                <w:rFonts w:ascii="Arial" w:cs="Arial" w:eastAsia="Arial" w:hAnsi="Arial"/>
                <w:sz w:val="14"/>
                <w:szCs w:val="14"/>
                <w:color w:val="3D3935"/>
              </w:rPr>
              <w:t>Tax Considerations</w:t>
            </w:r>
          </w:p>
        </w:tc>
        <w:tc>
          <w:tcPr>
            <w:tcW w:w="1680" w:type="dxa"/>
            <w:vAlign w:val="bottom"/>
          </w:tcPr>
          <w:p>
            <w:pPr>
              <w:spacing w:after="0"/>
              <w:rPr>
                <w:sz w:val="21"/>
                <w:szCs w:val="21"/>
                <w:color w:val="auto"/>
              </w:rPr>
            </w:pPr>
          </w:p>
        </w:tc>
        <w:tc>
          <w:tcPr>
            <w:tcW w:w="280" w:type="dxa"/>
            <w:vAlign w:val="bottom"/>
          </w:tcPr>
          <w:p>
            <w:pPr>
              <w:ind w:left="100"/>
              <w:spacing w:after="0"/>
              <w:rPr>
                <w:sz w:val="20"/>
                <w:szCs w:val="20"/>
                <w:color w:val="auto"/>
              </w:rPr>
            </w:pPr>
            <w:r>
              <w:rPr>
                <w:rFonts w:ascii="Arial" w:cs="Arial" w:eastAsia="Arial" w:hAnsi="Arial"/>
                <w:sz w:val="14"/>
                <w:szCs w:val="14"/>
                <w:color w:val="3D3935"/>
              </w:rPr>
              <w:t>66</w:t>
            </w:r>
          </w:p>
        </w:tc>
        <w:tc>
          <w:tcPr>
            <w:tcW w:w="0" w:type="dxa"/>
            <w:vAlign w:val="bottom"/>
          </w:tcPr>
          <w:p>
            <w:pPr>
              <w:spacing w:after="0"/>
              <w:rPr>
                <w:sz w:val="1"/>
                <w:szCs w:val="1"/>
                <w:color w:val="auto"/>
              </w:rPr>
            </w:pPr>
          </w:p>
        </w:tc>
      </w:tr>
      <w:tr>
        <w:trPr>
          <w:trHeight w:val="256"/>
        </w:trPr>
        <w:tc>
          <w:tcPr>
            <w:tcW w:w="3760" w:type="dxa"/>
            <w:vAlign w:val="bottom"/>
          </w:tcPr>
          <w:p>
            <w:pPr>
              <w:ind w:left="160"/>
              <w:spacing w:after="0"/>
              <w:rPr>
                <w:sz w:val="20"/>
                <w:szCs w:val="20"/>
                <w:color w:val="auto"/>
              </w:rPr>
            </w:pPr>
            <w:r>
              <w:rPr>
                <w:rFonts w:ascii="Arial" w:cs="Arial" w:eastAsia="Arial" w:hAnsi="Arial"/>
                <w:sz w:val="14"/>
                <w:szCs w:val="14"/>
                <w:color w:val="3D3935"/>
              </w:rPr>
              <w:t>Salary</w:t>
            </w:r>
          </w:p>
        </w:tc>
        <w:tc>
          <w:tcPr>
            <w:tcW w:w="780" w:type="dxa"/>
            <w:vAlign w:val="bottom"/>
          </w:tcPr>
          <w:p>
            <w:pPr>
              <w:jc w:val="right"/>
              <w:ind w:right="145"/>
              <w:spacing w:after="0"/>
              <w:rPr>
                <w:sz w:val="20"/>
                <w:szCs w:val="20"/>
                <w:color w:val="auto"/>
              </w:rPr>
            </w:pPr>
            <w:r>
              <w:rPr>
                <w:rFonts w:ascii="Arial" w:cs="Arial" w:eastAsia="Arial" w:hAnsi="Arial"/>
                <w:sz w:val="14"/>
                <w:szCs w:val="14"/>
                <w:color w:val="3D3935"/>
              </w:rPr>
              <w:t>53</w:t>
            </w:r>
          </w:p>
        </w:tc>
        <w:tc>
          <w:tcPr>
            <w:tcW w:w="4220" w:type="dxa"/>
            <w:vAlign w:val="bottom"/>
            <w:gridSpan w:val="2"/>
          </w:tcPr>
          <w:p>
            <w:pPr>
              <w:ind w:left="320"/>
              <w:spacing w:after="0"/>
              <w:rPr>
                <w:sz w:val="20"/>
                <w:szCs w:val="20"/>
                <w:color w:val="auto"/>
              </w:rPr>
            </w:pPr>
            <w:r>
              <w:rPr>
                <w:rFonts w:ascii="Arial" w:cs="Arial" w:eastAsia="Arial" w:hAnsi="Arial"/>
                <w:sz w:val="14"/>
                <w:szCs w:val="14"/>
                <w:color w:val="3D3935"/>
              </w:rPr>
              <w:t>Employment and Termination Agreements</w:t>
            </w:r>
          </w:p>
        </w:tc>
        <w:tc>
          <w:tcPr>
            <w:tcW w:w="280" w:type="dxa"/>
            <w:vAlign w:val="bottom"/>
          </w:tcPr>
          <w:p>
            <w:pPr>
              <w:ind w:left="100"/>
              <w:spacing w:after="0"/>
              <w:rPr>
                <w:sz w:val="20"/>
                <w:szCs w:val="20"/>
                <w:color w:val="auto"/>
              </w:rPr>
            </w:pPr>
            <w:r>
              <w:rPr>
                <w:rFonts w:ascii="Arial" w:cs="Arial" w:eastAsia="Arial" w:hAnsi="Arial"/>
                <w:sz w:val="14"/>
                <w:szCs w:val="14"/>
                <w:color w:val="3D3935"/>
              </w:rPr>
              <w:t>66</w:t>
            </w:r>
          </w:p>
        </w:tc>
        <w:tc>
          <w:tcPr>
            <w:tcW w:w="0" w:type="dxa"/>
            <w:vAlign w:val="bottom"/>
          </w:tcPr>
          <w:p>
            <w:pPr>
              <w:spacing w:after="0"/>
              <w:rPr>
                <w:sz w:val="1"/>
                <w:szCs w:val="1"/>
                <w:color w:val="auto"/>
              </w:rPr>
            </w:pPr>
          </w:p>
        </w:tc>
      </w:tr>
      <w:tr>
        <w:trPr>
          <w:trHeight w:val="256"/>
        </w:trPr>
        <w:tc>
          <w:tcPr>
            <w:tcW w:w="3760" w:type="dxa"/>
            <w:vAlign w:val="bottom"/>
          </w:tcPr>
          <w:p>
            <w:pPr>
              <w:ind w:left="160"/>
              <w:spacing w:after="0"/>
              <w:rPr>
                <w:sz w:val="20"/>
                <w:szCs w:val="20"/>
                <w:color w:val="auto"/>
              </w:rPr>
            </w:pPr>
            <w:r>
              <w:rPr>
                <w:rFonts w:ascii="Arial" w:cs="Arial" w:eastAsia="Arial" w:hAnsi="Arial"/>
                <w:sz w:val="14"/>
                <w:szCs w:val="14"/>
                <w:color w:val="3D3935"/>
              </w:rPr>
              <w:t>Short-Term Incentive Compensation</w:t>
            </w:r>
          </w:p>
        </w:tc>
        <w:tc>
          <w:tcPr>
            <w:tcW w:w="780" w:type="dxa"/>
            <w:vAlign w:val="bottom"/>
          </w:tcPr>
          <w:p>
            <w:pPr>
              <w:jc w:val="right"/>
              <w:ind w:right="145"/>
              <w:spacing w:after="0"/>
              <w:rPr>
                <w:sz w:val="20"/>
                <w:szCs w:val="20"/>
                <w:color w:val="auto"/>
              </w:rPr>
            </w:pPr>
            <w:r>
              <w:rPr>
                <w:rFonts w:ascii="Arial" w:cs="Arial" w:eastAsia="Arial" w:hAnsi="Arial"/>
                <w:sz w:val="14"/>
                <w:szCs w:val="14"/>
                <w:color w:val="3D3935"/>
              </w:rPr>
              <w:t>53</w:t>
            </w:r>
          </w:p>
        </w:tc>
        <w:tc>
          <w:tcPr>
            <w:tcW w:w="2540" w:type="dxa"/>
            <w:vAlign w:val="bottom"/>
          </w:tcPr>
          <w:p>
            <w:pPr>
              <w:ind w:left="320"/>
              <w:spacing w:after="0"/>
              <w:rPr>
                <w:sz w:val="20"/>
                <w:szCs w:val="20"/>
                <w:color w:val="auto"/>
              </w:rPr>
            </w:pPr>
            <w:r>
              <w:rPr>
                <w:rFonts w:ascii="Arial" w:cs="Arial" w:eastAsia="Arial" w:hAnsi="Arial"/>
                <w:sz w:val="14"/>
                <w:szCs w:val="14"/>
                <w:color w:val="3D3935"/>
              </w:rPr>
              <w:t>Mr. Abbott’s Departure</w:t>
            </w:r>
          </w:p>
        </w:tc>
        <w:tc>
          <w:tcPr>
            <w:tcW w:w="1680" w:type="dxa"/>
            <w:vAlign w:val="bottom"/>
          </w:tcPr>
          <w:p>
            <w:pPr>
              <w:spacing w:after="0"/>
              <w:rPr>
                <w:sz w:val="22"/>
                <w:szCs w:val="22"/>
                <w:color w:val="auto"/>
              </w:rPr>
            </w:pPr>
          </w:p>
        </w:tc>
        <w:tc>
          <w:tcPr>
            <w:tcW w:w="280" w:type="dxa"/>
            <w:vAlign w:val="bottom"/>
          </w:tcPr>
          <w:p>
            <w:pPr>
              <w:ind w:left="100"/>
              <w:spacing w:after="0"/>
              <w:rPr>
                <w:sz w:val="20"/>
                <w:szCs w:val="20"/>
                <w:color w:val="auto"/>
              </w:rPr>
            </w:pPr>
            <w:r>
              <w:rPr>
                <w:rFonts w:ascii="Arial" w:cs="Arial" w:eastAsia="Arial" w:hAnsi="Arial"/>
                <w:sz w:val="14"/>
                <w:szCs w:val="14"/>
                <w:color w:val="3D3935"/>
              </w:rPr>
              <w:t>66</w:t>
            </w:r>
          </w:p>
        </w:tc>
        <w:tc>
          <w:tcPr>
            <w:tcW w:w="0" w:type="dxa"/>
            <w:vAlign w:val="bottom"/>
          </w:tcPr>
          <w:p>
            <w:pPr>
              <w:spacing w:after="0"/>
              <w:rPr>
                <w:sz w:val="1"/>
                <w:szCs w:val="1"/>
                <w:color w:val="auto"/>
              </w:rPr>
            </w:pPr>
          </w:p>
        </w:tc>
      </w:tr>
      <w:tr>
        <w:trPr>
          <w:trHeight w:val="256"/>
        </w:trPr>
        <w:tc>
          <w:tcPr>
            <w:tcW w:w="3760" w:type="dxa"/>
            <w:vAlign w:val="bottom"/>
          </w:tcPr>
          <w:p>
            <w:pPr>
              <w:ind w:left="160"/>
              <w:spacing w:after="0"/>
              <w:rPr>
                <w:sz w:val="20"/>
                <w:szCs w:val="20"/>
                <w:color w:val="auto"/>
              </w:rPr>
            </w:pPr>
            <w:r>
              <w:rPr>
                <w:rFonts w:ascii="Arial" w:cs="Arial" w:eastAsia="Arial" w:hAnsi="Arial"/>
                <w:sz w:val="14"/>
                <w:szCs w:val="14"/>
                <w:color w:val="3D3935"/>
              </w:rPr>
              <w:t>Long-Term Incentive Compensation</w:t>
            </w:r>
          </w:p>
        </w:tc>
        <w:tc>
          <w:tcPr>
            <w:tcW w:w="780" w:type="dxa"/>
            <w:vAlign w:val="bottom"/>
          </w:tcPr>
          <w:p>
            <w:pPr>
              <w:jc w:val="right"/>
              <w:ind w:right="145"/>
              <w:spacing w:after="0"/>
              <w:rPr>
                <w:sz w:val="20"/>
                <w:szCs w:val="20"/>
                <w:color w:val="auto"/>
              </w:rPr>
            </w:pPr>
            <w:r>
              <w:rPr>
                <w:rFonts w:ascii="Arial" w:cs="Arial" w:eastAsia="Arial" w:hAnsi="Arial"/>
                <w:sz w:val="14"/>
                <w:szCs w:val="14"/>
                <w:color w:val="3D3935"/>
              </w:rPr>
              <w:t>58</w:t>
            </w:r>
          </w:p>
        </w:tc>
        <w:tc>
          <w:tcPr>
            <w:tcW w:w="25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60" w:type="dxa"/>
            <w:vAlign w:val="bottom"/>
          </w:tcPr>
          <w:p>
            <w:pPr>
              <w:ind w:left="160"/>
              <w:spacing w:after="0"/>
              <w:rPr>
                <w:sz w:val="20"/>
                <w:szCs w:val="20"/>
                <w:color w:val="auto"/>
              </w:rPr>
            </w:pPr>
            <w:r>
              <w:rPr>
                <w:rFonts w:ascii="Arial" w:cs="Arial" w:eastAsia="Arial" w:hAnsi="Arial"/>
                <w:sz w:val="14"/>
                <w:szCs w:val="14"/>
                <w:color w:val="3D3935"/>
              </w:rPr>
              <w:t>Perquisites and Other Compensation</w:t>
            </w:r>
          </w:p>
        </w:tc>
        <w:tc>
          <w:tcPr>
            <w:tcW w:w="780" w:type="dxa"/>
            <w:vAlign w:val="bottom"/>
          </w:tcPr>
          <w:p>
            <w:pPr>
              <w:jc w:val="right"/>
              <w:ind w:right="145"/>
              <w:spacing w:after="0"/>
              <w:rPr>
                <w:sz w:val="20"/>
                <w:szCs w:val="20"/>
                <w:color w:val="auto"/>
              </w:rPr>
            </w:pPr>
            <w:r>
              <w:rPr>
                <w:rFonts w:ascii="Arial" w:cs="Arial" w:eastAsia="Arial" w:hAnsi="Arial"/>
                <w:sz w:val="14"/>
                <w:szCs w:val="14"/>
                <w:color w:val="3D3935"/>
              </w:rPr>
              <w:t>60</w:t>
            </w:r>
          </w:p>
        </w:tc>
        <w:tc>
          <w:tcPr>
            <w:tcW w:w="25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240"/>
          </w:cols>
          <w:pgMar w:left="1400" w:top="1440" w:right="1259" w:bottom="0" w:gutter="0" w:footer="0" w:header="0"/>
        </w:sectPr>
      </w:pPr>
    </w:p>
    <w:bookmarkStart w:id="44" w:name="page45"/>
    <w:bookmarkEnd w:id="4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03"/>
        </w:trPr>
        <w:tc>
          <w:tcPr>
            <w:tcW w:w="9500" w:type="dxa"/>
            <w:vAlign w:val="bottom"/>
            <w:tcBorders>
              <w:left w:val="single" w:sz="8" w:color="CCCCCC"/>
            </w:tcBorders>
          </w:tcPr>
          <w:p>
            <w:pPr>
              <w:ind w:left="7820"/>
              <w:spacing w:after="0"/>
              <w:rPr>
                <w:sz w:val="20"/>
                <w:szCs w:val="20"/>
                <w:color w:val="auto"/>
              </w:rPr>
            </w:pPr>
            <w:r>
              <w:rPr>
                <w:rFonts w:ascii="Arial" w:cs="Arial" w:eastAsia="Arial" w:hAnsi="Arial"/>
                <w:sz w:val="14"/>
                <w:szCs w:val="14"/>
                <w:b w:val="1"/>
                <w:bCs w:val="1"/>
                <w:color w:val="0072CE"/>
              </w:rPr>
              <w:t>2025 Proxy Statement</w:t>
            </w:r>
          </w:p>
        </w:tc>
        <w:tc>
          <w:tcPr>
            <w:tcW w:w="1220" w:type="dxa"/>
            <w:vAlign w:val="bottom"/>
            <w:tcBorders>
              <w:right w:val="single" w:sz="8" w:color="CCCCCC"/>
            </w:tcBorders>
          </w:tcPr>
          <w:p>
            <w:pPr>
              <w:jc w:val="right"/>
              <w:ind w:right="808"/>
              <w:spacing w:after="0"/>
              <w:rPr>
                <w:sz w:val="20"/>
                <w:szCs w:val="20"/>
                <w:color w:val="auto"/>
              </w:rPr>
            </w:pPr>
            <w:r>
              <w:rPr>
                <w:rFonts w:ascii="Arial" w:cs="Arial" w:eastAsia="Arial" w:hAnsi="Arial"/>
                <w:sz w:val="14"/>
                <w:szCs w:val="14"/>
                <w:b w:val="1"/>
                <w:bCs w:val="1"/>
                <w:color w:val="3D3935"/>
              </w:rPr>
              <w:t>45</w:t>
            </w:r>
          </w:p>
        </w:tc>
      </w:tr>
      <w:tr>
        <w:trPr>
          <w:trHeight w:val="336"/>
        </w:trPr>
        <w:tc>
          <w:tcPr>
            <w:tcW w:w="9500" w:type="dxa"/>
            <w:vAlign w:val="bottom"/>
            <w:tcBorders>
              <w:left w:val="single" w:sz="8" w:color="CCCCCC"/>
              <w:bottom w:val="single" w:sz="8" w:color="CCCCCC"/>
            </w:tcBorders>
          </w:tcPr>
          <w:p>
            <w:pPr>
              <w:spacing w:after="0"/>
              <w:rPr>
                <w:sz w:val="24"/>
                <w:szCs w:val="24"/>
                <w:color w:val="auto"/>
              </w:rPr>
            </w:pPr>
          </w:p>
        </w:tc>
        <w:tc>
          <w:tcPr>
            <w:tcW w:w="1220" w:type="dxa"/>
            <w:vAlign w:val="bottom"/>
            <w:tcBorders>
              <w:bottom w:val="single" w:sz="8" w:color="CCCCCC"/>
              <w:right w:val="single" w:sz="8" w:color="CCCCC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81915</wp:posOffset>
            </wp:positionV>
            <wp:extent cx="6810375" cy="82372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10375" cy="823722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43" w:lineRule="exact"/>
        <w:rPr>
          <w:sz w:val="20"/>
          <w:szCs w:val="20"/>
          <w:color w:val="auto"/>
        </w:rPr>
      </w:pPr>
    </w:p>
    <w:p>
      <w:pPr>
        <w:ind w:left="820"/>
        <w:spacing w:after="0"/>
        <w:rPr>
          <w:sz w:val="20"/>
          <w:szCs w:val="20"/>
          <w:color w:val="auto"/>
        </w:rPr>
      </w:pPr>
      <w:r>
        <w:rPr>
          <w:rFonts w:ascii="Arial" w:cs="Arial" w:eastAsia="Arial" w:hAnsi="Arial"/>
          <w:sz w:val="29"/>
          <w:szCs w:val="29"/>
          <w:b w:val="1"/>
          <w:bCs w:val="1"/>
          <w:color w:val="3D3935"/>
        </w:rPr>
        <w:t>Executive Summary</w:t>
      </w:r>
    </w:p>
    <w:p>
      <w:pPr>
        <w:spacing w:after="0" w:line="135" w:lineRule="exact"/>
        <w:rPr>
          <w:sz w:val="20"/>
          <w:szCs w:val="20"/>
          <w:color w:val="auto"/>
        </w:rPr>
      </w:pPr>
    </w:p>
    <w:p>
      <w:pPr>
        <w:ind w:left="820"/>
        <w:spacing w:after="0"/>
        <w:rPr>
          <w:sz w:val="20"/>
          <w:szCs w:val="20"/>
          <w:color w:val="auto"/>
        </w:rPr>
      </w:pPr>
      <w:r>
        <w:rPr>
          <w:rFonts w:ascii="Arial" w:cs="Arial" w:eastAsia="Arial" w:hAnsi="Arial"/>
          <w:sz w:val="25"/>
          <w:szCs w:val="25"/>
          <w:b w:val="1"/>
          <w:bCs w:val="1"/>
          <w:color w:val="0072CE"/>
        </w:rPr>
        <w:t>Our Company Performance</w:t>
      </w:r>
    </w:p>
    <w:p>
      <w:pPr>
        <w:spacing w:after="0" w:line="127"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3D3935"/>
        </w:rPr>
        <w:t>Consistently Delivering Strong Results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120"/>
        <w:spacing w:after="0" w:line="298" w:lineRule="auto"/>
        <w:rPr>
          <w:sz w:val="20"/>
          <w:szCs w:val="20"/>
          <w:color w:val="auto"/>
        </w:rPr>
      </w:pPr>
      <w:r>
        <w:rPr>
          <w:rFonts w:ascii="Arial" w:cs="Arial" w:eastAsia="Arial" w:hAnsi="Arial"/>
          <w:sz w:val="16"/>
          <w:szCs w:val="16"/>
          <w:color w:val="3D3935"/>
        </w:rPr>
        <w:t xml:space="preserve">The General Motors team delivered another strong year. Our compelling portfolio of ICE vehicles and EVs continues to grow stronger. Our strong execution and capital discipline helped us achieve record financial results with strong margins, cash flow and a healthy balance sheet. Our shareholders and employees share in our success, and we’re committed to continuing our momentum. </w:t>
      </w:r>
      <w:r>
        <w:rPr>
          <w:rFonts w:ascii="Arial" w:cs="Arial" w:eastAsia="Arial" w:hAnsi="Arial"/>
          <w:sz w:val="16"/>
          <w:szCs w:val="16"/>
          <w:b w:val="1"/>
          <w:bCs w:val="1"/>
          <w:color w:val="3D3935"/>
        </w:rPr>
        <w:t>”</w:t>
      </w:r>
    </w:p>
    <w:p>
      <w:pPr>
        <w:spacing w:after="0" w:line="112" w:lineRule="exact"/>
        <w:rPr>
          <w:sz w:val="20"/>
          <w:szCs w:val="20"/>
          <w:color w:val="auto"/>
        </w:rPr>
      </w:pPr>
    </w:p>
    <w:p>
      <w:pPr>
        <w:ind w:left="1400" w:hanging="93"/>
        <w:spacing w:after="0"/>
        <w:tabs>
          <w:tab w:leader="none" w:pos="1400" w:val="left"/>
        </w:tabs>
        <w:numPr>
          <w:ilvl w:val="0"/>
          <w:numId w:val="68"/>
        </w:numPr>
        <w:rPr>
          <w:rFonts w:ascii="Arial" w:cs="Arial" w:eastAsia="Arial" w:hAnsi="Arial"/>
          <w:sz w:val="16"/>
          <w:szCs w:val="16"/>
          <w:color w:val="3D3935"/>
        </w:rPr>
      </w:pPr>
      <w:r>
        <w:rPr>
          <w:rFonts w:ascii="Arial" w:cs="Arial" w:eastAsia="Arial" w:hAnsi="Arial"/>
          <w:sz w:val="16"/>
          <w:szCs w:val="16"/>
          <w:b w:val="1"/>
          <w:bCs w:val="1"/>
          <w:color w:val="0072CE"/>
        </w:rPr>
        <w:t>Mary T. Barra, Chair and CEO</w:t>
      </w: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3D3935"/>
        </w:rPr>
        <w:t>Optimizing our core business, satisfying customers and returning cash to shareholders</w:t>
      </w:r>
    </w:p>
    <w:p>
      <w:pPr>
        <w:sectPr>
          <w:pgSz w:w="11900" w:h="16838" w:orient="portrait"/>
          <w:cols w:equalWidth="0" w:num="1">
            <w:col w:w="10720"/>
          </w:cols>
          <w:pgMar w:left="580" w:top="140" w:right="599" w:bottom="0" w:gutter="0" w:footer="0" w:header="0"/>
        </w:sectPr>
      </w:pPr>
    </w:p>
    <w:p>
      <w:pPr>
        <w:spacing w:after="0" w:line="200" w:lineRule="exact"/>
        <w:rPr>
          <w:sz w:val="20"/>
          <w:szCs w:val="20"/>
          <w:color w:val="auto"/>
        </w:rPr>
      </w:pPr>
    </w:p>
    <w:p>
      <w:pPr>
        <w:spacing w:after="0" w:line="286"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0072CE"/>
        </w:rPr>
        <w:t>Creating An Even Stronger GM</w:t>
      </w:r>
    </w:p>
    <w:p>
      <w:pPr>
        <w:spacing w:after="0" w:line="68" w:lineRule="exact"/>
        <w:rPr>
          <w:sz w:val="20"/>
          <w:szCs w:val="20"/>
          <w:color w:val="auto"/>
        </w:rPr>
      </w:pPr>
    </w:p>
    <w:p>
      <w:pPr>
        <w:ind w:left="1060" w:right="20"/>
        <w:spacing w:after="0" w:line="295" w:lineRule="auto"/>
        <w:rPr>
          <w:sz w:val="20"/>
          <w:szCs w:val="20"/>
          <w:color w:val="auto"/>
        </w:rPr>
      </w:pPr>
      <w:r>
        <w:rPr>
          <w:rFonts w:ascii="Arial" w:cs="Arial" w:eastAsia="Arial" w:hAnsi="Arial"/>
          <w:sz w:val="16"/>
          <w:szCs w:val="16"/>
          <w:color w:val="3D3935"/>
        </w:rPr>
        <w:t>We set new records for EBIT-adjusted, adjusted automotive free cash flow and EPS diluted-adjusted. Total company revenue increased more than 9% year-over-year.</w:t>
      </w:r>
    </w:p>
    <w:p>
      <w:pPr>
        <w:spacing w:after="0" w:line="351" w:lineRule="exact"/>
        <w:rPr>
          <w:sz w:val="20"/>
          <w:szCs w:val="20"/>
          <w:color w:val="auto"/>
        </w:rPr>
      </w:pPr>
    </w:p>
    <w:p>
      <w:pPr>
        <w:ind w:left="1060" w:right="40"/>
        <w:spacing w:after="0" w:line="295" w:lineRule="auto"/>
        <w:rPr>
          <w:sz w:val="20"/>
          <w:szCs w:val="20"/>
          <w:color w:val="auto"/>
        </w:rPr>
      </w:pPr>
      <w:r>
        <w:rPr>
          <w:rFonts w:ascii="Arial" w:cs="Arial" w:eastAsia="Arial" w:hAnsi="Arial"/>
          <w:sz w:val="16"/>
          <w:szCs w:val="16"/>
          <w:color w:val="3D3935"/>
        </w:rPr>
        <w:t>We separated from traditional industry peers by our market results, financial results and shareholder return. We returned $7.6B to shareholders, ending the year with the number of shares outstanding below 1B.</w:t>
      </w:r>
    </w:p>
    <w:p>
      <w:pPr>
        <w:spacing w:after="0" w:line="351" w:lineRule="exact"/>
        <w:rPr>
          <w:sz w:val="20"/>
          <w:szCs w:val="20"/>
          <w:color w:val="auto"/>
        </w:rPr>
      </w:pPr>
    </w:p>
    <w:p>
      <w:pPr>
        <w:ind w:left="1060" w:right="160"/>
        <w:spacing w:after="0" w:line="301" w:lineRule="auto"/>
        <w:rPr>
          <w:sz w:val="20"/>
          <w:szCs w:val="20"/>
          <w:color w:val="auto"/>
        </w:rPr>
      </w:pPr>
      <w:r>
        <w:rPr>
          <w:rFonts w:ascii="Arial" w:cs="Arial" w:eastAsia="Arial" w:hAnsi="Arial"/>
          <w:sz w:val="16"/>
          <w:szCs w:val="16"/>
          <w:color w:val="3D3935"/>
        </w:rPr>
        <w:t>We initiated restructuring actions with our joint venture partner in China to improve business results in a challenging environment.</w:t>
      </w:r>
    </w:p>
    <w:p>
      <w:pPr>
        <w:spacing w:after="0" w:line="297" w:lineRule="exact"/>
        <w:rPr>
          <w:sz w:val="20"/>
          <w:szCs w:val="20"/>
          <w:color w:val="auto"/>
        </w:rPr>
      </w:pPr>
    </w:p>
    <w:p>
      <w:pPr>
        <w:ind w:left="1020" w:hanging="192"/>
        <w:spacing w:after="0"/>
        <w:tabs>
          <w:tab w:leader="none" w:pos="1020" w:val="left"/>
        </w:tabs>
        <w:numPr>
          <w:ilvl w:val="0"/>
          <w:numId w:val="69"/>
        </w:numPr>
        <w:rPr>
          <w:rFonts w:ascii="Arial" w:cs="Arial" w:eastAsia="Arial" w:hAnsi="Arial"/>
          <w:sz w:val="19"/>
          <w:szCs w:val="19"/>
          <w:color w:val="3D3935"/>
          <w:vertAlign w:val="superscript"/>
        </w:rPr>
      </w:pPr>
      <w:r>
        <w:rPr>
          <w:rFonts w:ascii="Arial" w:cs="Arial" w:eastAsia="Arial" w:hAnsi="Arial"/>
          <w:sz w:val="14"/>
          <w:szCs w:val="14"/>
          <w:color w:val="3D3935"/>
        </w:rPr>
        <w:t>Excludes the impact of the pandemic in 2020.</w:t>
      </w:r>
    </w:p>
    <w:p>
      <w:pPr>
        <w:spacing w:after="0" w:line="250"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3D3935"/>
        </w:rPr>
        <w:t>2024 Financial Highlights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0072CE"/>
        </w:rPr>
        <w:t>Building Vehicles Customers Love</w:t>
      </w:r>
    </w:p>
    <w:p>
      <w:pPr>
        <w:spacing w:after="0" w:line="68" w:lineRule="exact"/>
        <w:rPr>
          <w:sz w:val="20"/>
          <w:szCs w:val="20"/>
          <w:color w:val="auto"/>
        </w:rPr>
      </w:pPr>
    </w:p>
    <w:p>
      <w:pPr>
        <w:ind w:right="1200"/>
        <w:spacing w:after="0" w:line="295" w:lineRule="auto"/>
        <w:rPr>
          <w:sz w:val="20"/>
          <w:szCs w:val="20"/>
          <w:color w:val="auto"/>
        </w:rPr>
      </w:pPr>
      <w:r>
        <w:rPr>
          <w:rFonts w:ascii="Arial" w:cs="Arial" w:eastAsia="Arial" w:hAnsi="Arial"/>
          <w:sz w:val="16"/>
          <w:szCs w:val="16"/>
          <w:color w:val="3D3935"/>
        </w:rPr>
        <w:t>Our superb portfolio provided great new choices for customers. We led the industry in U.S. sales and became the #2 seller of EVs in the U.S. in the second half of 2024.</w:t>
      </w:r>
    </w:p>
    <w:p>
      <w:pPr>
        <w:spacing w:after="0" w:line="351" w:lineRule="exact"/>
        <w:rPr>
          <w:sz w:val="20"/>
          <w:szCs w:val="20"/>
          <w:color w:val="auto"/>
        </w:rPr>
      </w:pPr>
    </w:p>
    <w:p>
      <w:pPr>
        <w:ind w:right="1140"/>
        <w:spacing w:after="0" w:line="293" w:lineRule="auto"/>
        <w:rPr>
          <w:sz w:val="20"/>
          <w:szCs w:val="20"/>
          <w:color w:val="auto"/>
        </w:rPr>
      </w:pPr>
      <w:r>
        <w:rPr>
          <w:rFonts w:ascii="Arial" w:cs="Arial" w:eastAsia="Arial" w:hAnsi="Arial"/>
          <w:sz w:val="16"/>
          <w:szCs w:val="16"/>
          <w:color w:val="3D3935"/>
        </w:rPr>
        <w:t xml:space="preserve">We grew our U.S. market share to its highest quarterly point since the fourth quarter of 2018, with incentives significantly lower than the industry average. </w:t>
      </w:r>
      <w:r>
        <w:rPr>
          <w:rFonts w:ascii="Arial" w:cs="Arial" w:eastAsia="Arial" w:hAnsi="Arial"/>
          <w:sz w:val="21"/>
          <w:szCs w:val="21"/>
          <w:color w:val="3D3935"/>
          <w:vertAlign w:val="superscript"/>
        </w:rPr>
        <w:t>(1)</w:t>
      </w:r>
    </w:p>
    <w:p>
      <w:pPr>
        <w:spacing w:after="0" w:line="295" w:lineRule="exact"/>
        <w:rPr>
          <w:sz w:val="20"/>
          <w:szCs w:val="20"/>
          <w:color w:val="auto"/>
        </w:rPr>
      </w:pPr>
    </w:p>
    <w:p>
      <w:pPr>
        <w:ind w:right="1020"/>
        <w:spacing w:after="0" w:line="301" w:lineRule="auto"/>
        <w:rPr>
          <w:sz w:val="20"/>
          <w:szCs w:val="20"/>
          <w:color w:val="auto"/>
        </w:rPr>
      </w:pPr>
      <w:r>
        <w:rPr>
          <w:rFonts w:ascii="Arial" w:cs="Arial" w:eastAsia="Arial" w:hAnsi="Arial"/>
          <w:sz w:val="16"/>
          <w:szCs w:val="16"/>
          <w:color w:val="3D3935"/>
        </w:rPr>
        <w:t>We launched a series of redesigned gas-powered SUVs with higher margins than their predecessors. Our EV portfolio grew and reached positive variable profit.</w:t>
      </w:r>
    </w:p>
    <w:p>
      <w:pPr>
        <w:spacing w:after="0" w:line="1433" w:lineRule="exact"/>
        <w:rPr>
          <w:sz w:val="20"/>
          <w:szCs w:val="20"/>
          <w:color w:val="auto"/>
        </w:rPr>
      </w:pPr>
    </w:p>
    <w:p>
      <w:pPr>
        <w:sectPr>
          <w:pgSz w:w="11900" w:h="16838" w:orient="portrait"/>
          <w:cols w:equalWidth="0" w:num="2">
            <w:col w:w="4960" w:space="720"/>
            <w:col w:w="5040"/>
          </w:cols>
          <w:pgMar w:left="580" w:top="140" w:right="599" w:bottom="0" w:gutter="0" w:footer="0" w:header="0"/>
          <w:type w:val="continuous"/>
        </w:sectPr>
      </w:pPr>
    </w:p>
    <w:p>
      <w:pPr>
        <w:spacing w:after="0" w:line="62" w:lineRule="exact"/>
        <w:rPr>
          <w:sz w:val="20"/>
          <w:szCs w:val="20"/>
          <w:color w:val="auto"/>
        </w:rPr>
      </w:pPr>
    </w:p>
    <w:tbl>
      <w:tblPr>
        <w:tblLayout w:type="fixed"/>
        <w:tblInd w:w="820" w:type="dxa"/>
        <w:tblCellMar>
          <w:top w:w="0" w:type="dxa"/>
          <w:left w:w="0" w:type="dxa"/>
          <w:bottom w:w="0" w:type="dxa"/>
          <w:right w:w="0" w:type="dxa"/>
        </w:tblCellMar>
      </w:tblPr>
      <w:tr>
        <w:trPr>
          <w:trHeight w:val="715"/>
        </w:trPr>
        <w:tc>
          <w:tcPr>
            <w:tcW w:w="2240" w:type="dxa"/>
            <w:vAlign w:val="bottom"/>
            <w:shd w:val="clear" w:color="auto" w:fill="F0F3F6"/>
          </w:tcPr>
          <w:p>
            <w:pPr>
              <w:ind w:left="240"/>
              <w:spacing w:after="0"/>
              <w:rPr>
                <w:sz w:val="20"/>
                <w:szCs w:val="20"/>
                <w:color w:val="auto"/>
              </w:rPr>
            </w:pPr>
            <w:r>
              <w:rPr>
                <w:rFonts w:ascii="Arial" w:cs="Arial" w:eastAsia="Arial" w:hAnsi="Arial"/>
                <w:sz w:val="43"/>
                <w:szCs w:val="43"/>
                <w:b w:val="1"/>
                <w:bCs w:val="1"/>
                <w:color w:val="0072CE"/>
              </w:rPr>
              <w:t>$187.4B</w:t>
            </w:r>
          </w:p>
        </w:tc>
        <w:tc>
          <w:tcPr>
            <w:tcW w:w="40" w:type="dxa"/>
            <w:vAlign w:val="bottom"/>
          </w:tcPr>
          <w:p>
            <w:pPr>
              <w:spacing w:after="0"/>
              <w:rPr>
                <w:sz w:val="24"/>
                <w:szCs w:val="24"/>
                <w:color w:val="auto"/>
              </w:rPr>
            </w:pPr>
          </w:p>
        </w:tc>
        <w:tc>
          <w:tcPr>
            <w:tcW w:w="2240" w:type="dxa"/>
            <w:vAlign w:val="bottom"/>
            <w:shd w:val="clear" w:color="auto" w:fill="F0F3F6"/>
          </w:tcPr>
          <w:p>
            <w:pPr>
              <w:ind w:left="240"/>
              <w:spacing w:after="0"/>
              <w:rPr>
                <w:sz w:val="20"/>
                <w:szCs w:val="20"/>
                <w:color w:val="auto"/>
              </w:rPr>
            </w:pPr>
            <w:r>
              <w:rPr>
                <w:rFonts w:ascii="Arial" w:cs="Arial" w:eastAsia="Arial" w:hAnsi="Arial"/>
                <w:sz w:val="43"/>
                <w:szCs w:val="43"/>
                <w:b w:val="1"/>
                <w:bCs w:val="1"/>
                <w:color w:val="0072CE"/>
              </w:rPr>
              <w:t>$6.0B</w:t>
            </w:r>
          </w:p>
        </w:tc>
        <w:tc>
          <w:tcPr>
            <w:tcW w:w="60" w:type="dxa"/>
            <w:vAlign w:val="bottom"/>
          </w:tcPr>
          <w:p>
            <w:pPr>
              <w:spacing w:after="0"/>
              <w:rPr>
                <w:sz w:val="24"/>
                <w:szCs w:val="24"/>
                <w:color w:val="auto"/>
              </w:rPr>
            </w:pPr>
          </w:p>
        </w:tc>
        <w:tc>
          <w:tcPr>
            <w:tcW w:w="2220" w:type="dxa"/>
            <w:vAlign w:val="bottom"/>
            <w:shd w:val="clear" w:color="auto" w:fill="F0F3F6"/>
          </w:tcPr>
          <w:p>
            <w:pPr>
              <w:ind w:left="220"/>
              <w:spacing w:after="0"/>
              <w:rPr>
                <w:sz w:val="20"/>
                <w:szCs w:val="20"/>
                <w:color w:val="auto"/>
              </w:rPr>
            </w:pPr>
            <w:r>
              <w:rPr>
                <w:rFonts w:ascii="Arial" w:cs="Arial" w:eastAsia="Arial" w:hAnsi="Arial"/>
                <w:sz w:val="43"/>
                <w:szCs w:val="43"/>
                <w:b w:val="1"/>
                <w:bCs w:val="1"/>
                <w:color w:val="0072CE"/>
              </w:rPr>
              <w:t>3.2%</w:t>
            </w:r>
          </w:p>
        </w:tc>
        <w:tc>
          <w:tcPr>
            <w:tcW w:w="60" w:type="dxa"/>
            <w:vAlign w:val="bottom"/>
          </w:tcPr>
          <w:p>
            <w:pPr>
              <w:spacing w:after="0"/>
              <w:rPr>
                <w:sz w:val="24"/>
                <w:szCs w:val="24"/>
                <w:color w:val="auto"/>
              </w:rPr>
            </w:pPr>
          </w:p>
        </w:tc>
        <w:tc>
          <w:tcPr>
            <w:tcW w:w="2220" w:type="dxa"/>
            <w:vAlign w:val="bottom"/>
            <w:shd w:val="clear" w:color="auto" w:fill="F0F3F6"/>
          </w:tcPr>
          <w:p>
            <w:pPr>
              <w:ind w:left="220"/>
              <w:spacing w:after="0"/>
              <w:rPr>
                <w:sz w:val="20"/>
                <w:szCs w:val="20"/>
                <w:color w:val="auto"/>
              </w:rPr>
            </w:pPr>
            <w:r>
              <w:rPr>
                <w:rFonts w:ascii="Arial" w:cs="Arial" w:eastAsia="Arial" w:hAnsi="Arial"/>
                <w:sz w:val="43"/>
                <w:szCs w:val="43"/>
                <w:b w:val="1"/>
                <w:bCs w:val="1"/>
                <w:color w:val="0072CE"/>
              </w:rPr>
              <w:t>$6.37</w:t>
            </w:r>
          </w:p>
        </w:tc>
      </w:tr>
      <w:tr>
        <w:trPr>
          <w:trHeight w:val="215"/>
        </w:trPr>
        <w:tc>
          <w:tcPr>
            <w:tcW w:w="2240" w:type="dxa"/>
            <w:vAlign w:val="bottom"/>
            <w:shd w:val="clear" w:color="auto" w:fill="F0F3F6"/>
          </w:tcPr>
          <w:p>
            <w:pPr>
              <w:ind w:left="240"/>
              <w:spacing w:after="0"/>
              <w:rPr>
                <w:sz w:val="20"/>
                <w:szCs w:val="20"/>
                <w:color w:val="auto"/>
              </w:rPr>
            </w:pPr>
            <w:r>
              <w:rPr>
                <w:rFonts w:ascii="Arial" w:cs="Arial" w:eastAsia="Arial" w:hAnsi="Arial"/>
                <w:sz w:val="16"/>
                <w:szCs w:val="16"/>
                <w:color w:val="3D3935"/>
              </w:rPr>
              <w:t>Revenue</w:t>
            </w:r>
          </w:p>
        </w:tc>
        <w:tc>
          <w:tcPr>
            <w:tcW w:w="40" w:type="dxa"/>
            <w:vAlign w:val="bottom"/>
          </w:tcPr>
          <w:p>
            <w:pPr>
              <w:spacing w:after="0"/>
              <w:rPr>
                <w:sz w:val="18"/>
                <w:szCs w:val="18"/>
                <w:color w:val="auto"/>
              </w:rPr>
            </w:pPr>
          </w:p>
        </w:tc>
        <w:tc>
          <w:tcPr>
            <w:tcW w:w="2240" w:type="dxa"/>
            <w:vAlign w:val="bottom"/>
            <w:shd w:val="clear" w:color="auto" w:fill="F0F3F6"/>
          </w:tcPr>
          <w:p>
            <w:pPr>
              <w:ind w:left="240"/>
              <w:spacing w:after="0"/>
              <w:rPr>
                <w:sz w:val="20"/>
                <w:szCs w:val="20"/>
                <w:color w:val="auto"/>
              </w:rPr>
            </w:pPr>
            <w:r>
              <w:rPr>
                <w:rFonts w:ascii="Arial" w:cs="Arial" w:eastAsia="Arial" w:hAnsi="Arial"/>
                <w:sz w:val="16"/>
                <w:szCs w:val="16"/>
                <w:color w:val="3D3935"/>
              </w:rPr>
              <w:t>Net Income Attributable</w:t>
            </w:r>
          </w:p>
        </w:tc>
        <w:tc>
          <w:tcPr>
            <w:tcW w:w="60" w:type="dxa"/>
            <w:vAlign w:val="bottom"/>
          </w:tcPr>
          <w:p>
            <w:pPr>
              <w:spacing w:after="0"/>
              <w:rPr>
                <w:sz w:val="18"/>
                <w:szCs w:val="18"/>
                <w:color w:val="auto"/>
              </w:rPr>
            </w:pPr>
          </w:p>
        </w:tc>
        <w:tc>
          <w:tcPr>
            <w:tcW w:w="2220" w:type="dxa"/>
            <w:vAlign w:val="bottom"/>
            <w:shd w:val="clear" w:color="auto" w:fill="F0F3F6"/>
          </w:tcPr>
          <w:p>
            <w:pPr>
              <w:ind w:left="220"/>
              <w:spacing w:after="0"/>
              <w:rPr>
                <w:sz w:val="20"/>
                <w:szCs w:val="20"/>
                <w:color w:val="auto"/>
              </w:rPr>
            </w:pPr>
            <w:r>
              <w:rPr>
                <w:rFonts w:ascii="Arial" w:cs="Arial" w:eastAsia="Arial" w:hAnsi="Arial"/>
                <w:sz w:val="16"/>
                <w:szCs w:val="16"/>
                <w:color w:val="3D3935"/>
              </w:rPr>
              <w:t>Net Income Margin</w:t>
            </w:r>
          </w:p>
        </w:tc>
        <w:tc>
          <w:tcPr>
            <w:tcW w:w="60" w:type="dxa"/>
            <w:vAlign w:val="bottom"/>
          </w:tcPr>
          <w:p>
            <w:pPr>
              <w:spacing w:after="0"/>
              <w:rPr>
                <w:sz w:val="18"/>
                <w:szCs w:val="18"/>
                <w:color w:val="auto"/>
              </w:rPr>
            </w:pPr>
          </w:p>
        </w:tc>
        <w:tc>
          <w:tcPr>
            <w:tcW w:w="2220" w:type="dxa"/>
            <w:vAlign w:val="bottom"/>
            <w:shd w:val="clear" w:color="auto" w:fill="F0F3F6"/>
          </w:tcPr>
          <w:p>
            <w:pPr>
              <w:ind w:left="220"/>
              <w:spacing w:after="0"/>
              <w:rPr>
                <w:sz w:val="20"/>
                <w:szCs w:val="20"/>
                <w:color w:val="auto"/>
              </w:rPr>
            </w:pPr>
            <w:r>
              <w:rPr>
                <w:rFonts w:ascii="Arial" w:cs="Arial" w:eastAsia="Arial" w:hAnsi="Arial"/>
                <w:sz w:val="16"/>
                <w:szCs w:val="16"/>
                <w:color w:val="3D3935"/>
              </w:rPr>
              <w:t>EPS-diluted</w:t>
            </w:r>
          </w:p>
        </w:tc>
      </w:tr>
      <w:tr>
        <w:trPr>
          <w:trHeight w:val="191"/>
        </w:trPr>
        <w:tc>
          <w:tcPr>
            <w:tcW w:w="2240" w:type="dxa"/>
            <w:vAlign w:val="bottom"/>
            <w:shd w:val="clear" w:color="auto" w:fill="F0F3F6"/>
          </w:tcPr>
          <w:p>
            <w:pPr>
              <w:spacing w:after="0"/>
              <w:rPr>
                <w:sz w:val="16"/>
                <w:szCs w:val="16"/>
                <w:color w:val="auto"/>
              </w:rPr>
            </w:pPr>
          </w:p>
        </w:tc>
        <w:tc>
          <w:tcPr>
            <w:tcW w:w="40" w:type="dxa"/>
            <w:vAlign w:val="bottom"/>
          </w:tcPr>
          <w:p>
            <w:pPr>
              <w:spacing w:after="0"/>
              <w:rPr>
                <w:sz w:val="16"/>
                <w:szCs w:val="16"/>
                <w:color w:val="auto"/>
              </w:rPr>
            </w:pPr>
          </w:p>
        </w:tc>
        <w:tc>
          <w:tcPr>
            <w:tcW w:w="2240" w:type="dxa"/>
            <w:vAlign w:val="bottom"/>
            <w:shd w:val="clear" w:color="auto" w:fill="F0F3F6"/>
          </w:tcPr>
          <w:p>
            <w:pPr>
              <w:ind w:left="240"/>
              <w:spacing w:after="0"/>
              <w:rPr>
                <w:sz w:val="20"/>
                <w:szCs w:val="20"/>
                <w:color w:val="auto"/>
              </w:rPr>
            </w:pPr>
            <w:r>
              <w:rPr>
                <w:rFonts w:ascii="Arial" w:cs="Arial" w:eastAsia="Arial" w:hAnsi="Arial"/>
                <w:sz w:val="16"/>
                <w:szCs w:val="16"/>
                <w:color w:val="3D3935"/>
              </w:rPr>
              <w:t>to Stockholders</w:t>
            </w:r>
          </w:p>
        </w:tc>
        <w:tc>
          <w:tcPr>
            <w:tcW w:w="60" w:type="dxa"/>
            <w:vAlign w:val="bottom"/>
          </w:tcPr>
          <w:p>
            <w:pPr>
              <w:spacing w:after="0"/>
              <w:rPr>
                <w:sz w:val="16"/>
                <w:szCs w:val="16"/>
                <w:color w:val="auto"/>
              </w:rPr>
            </w:pPr>
          </w:p>
        </w:tc>
        <w:tc>
          <w:tcPr>
            <w:tcW w:w="2220" w:type="dxa"/>
            <w:vAlign w:val="bottom"/>
            <w:shd w:val="clear" w:color="auto" w:fill="F0F3F6"/>
          </w:tcPr>
          <w:p>
            <w:pPr>
              <w:spacing w:after="0"/>
              <w:rPr>
                <w:sz w:val="16"/>
                <w:szCs w:val="16"/>
                <w:color w:val="auto"/>
              </w:rPr>
            </w:pPr>
          </w:p>
        </w:tc>
        <w:tc>
          <w:tcPr>
            <w:tcW w:w="60" w:type="dxa"/>
            <w:vAlign w:val="bottom"/>
          </w:tcPr>
          <w:p>
            <w:pPr>
              <w:spacing w:after="0"/>
              <w:rPr>
                <w:sz w:val="16"/>
                <w:szCs w:val="16"/>
                <w:color w:val="auto"/>
              </w:rPr>
            </w:pPr>
          </w:p>
        </w:tc>
        <w:tc>
          <w:tcPr>
            <w:tcW w:w="2220" w:type="dxa"/>
            <w:vAlign w:val="bottom"/>
            <w:shd w:val="clear" w:color="auto" w:fill="F0F3F6"/>
          </w:tcPr>
          <w:p>
            <w:pPr>
              <w:spacing w:after="0"/>
              <w:rPr>
                <w:sz w:val="16"/>
                <w:szCs w:val="16"/>
                <w:color w:val="auto"/>
              </w:rPr>
            </w:pPr>
          </w:p>
        </w:tc>
      </w:tr>
      <w:tr>
        <w:trPr>
          <w:trHeight w:val="149"/>
        </w:trPr>
        <w:tc>
          <w:tcPr>
            <w:tcW w:w="2240" w:type="dxa"/>
            <w:vAlign w:val="bottom"/>
            <w:shd w:val="clear" w:color="auto" w:fill="F0F3F6"/>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shd w:val="clear" w:color="auto" w:fill="F0F3F6"/>
          </w:tcPr>
          <w:p>
            <w:pPr>
              <w:spacing w:after="0"/>
              <w:rPr>
                <w:sz w:val="12"/>
                <w:szCs w:val="12"/>
                <w:color w:val="auto"/>
              </w:rPr>
            </w:pPr>
          </w:p>
        </w:tc>
        <w:tc>
          <w:tcPr>
            <w:tcW w:w="60" w:type="dxa"/>
            <w:vAlign w:val="bottom"/>
          </w:tcPr>
          <w:p>
            <w:pPr>
              <w:spacing w:after="0"/>
              <w:rPr>
                <w:sz w:val="12"/>
                <w:szCs w:val="12"/>
                <w:color w:val="auto"/>
              </w:rPr>
            </w:pPr>
          </w:p>
        </w:tc>
        <w:tc>
          <w:tcPr>
            <w:tcW w:w="2220" w:type="dxa"/>
            <w:vAlign w:val="bottom"/>
            <w:shd w:val="clear" w:color="auto" w:fill="F0F3F6"/>
          </w:tcPr>
          <w:p>
            <w:pPr>
              <w:spacing w:after="0"/>
              <w:rPr>
                <w:sz w:val="12"/>
                <w:szCs w:val="12"/>
                <w:color w:val="auto"/>
              </w:rPr>
            </w:pPr>
          </w:p>
        </w:tc>
        <w:tc>
          <w:tcPr>
            <w:tcW w:w="60" w:type="dxa"/>
            <w:vAlign w:val="bottom"/>
          </w:tcPr>
          <w:p>
            <w:pPr>
              <w:spacing w:after="0"/>
              <w:rPr>
                <w:sz w:val="12"/>
                <w:szCs w:val="12"/>
                <w:color w:val="auto"/>
              </w:rPr>
            </w:pPr>
          </w:p>
        </w:tc>
        <w:tc>
          <w:tcPr>
            <w:tcW w:w="2220" w:type="dxa"/>
            <w:vAlign w:val="bottom"/>
            <w:shd w:val="clear" w:color="auto" w:fill="F0F3F6"/>
          </w:tcPr>
          <w:p>
            <w:pPr>
              <w:spacing w:after="0"/>
              <w:rPr>
                <w:sz w:val="12"/>
                <w:szCs w:val="12"/>
                <w:color w:val="auto"/>
              </w:rPr>
            </w:pPr>
          </w:p>
        </w:tc>
      </w:tr>
      <w:tr>
        <w:trPr>
          <w:trHeight w:val="54"/>
        </w:trPr>
        <w:tc>
          <w:tcPr>
            <w:tcW w:w="2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280" w:type="dxa"/>
            <w:vAlign w:val="bottom"/>
            <w:gridSpan w:val="2"/>
          </w:tcPr>
          <w:p>
            <w:pPr>
              <w:spacing w:after="0"/>
              <w:rPr>
                <w:sz w:val="4"/>
                <w:szCs w:val="4"/>
                <w:color w:val="auto"/>
              </w:rPr>
            </w:pPr>
          </w:p>
        </w:tc>
        <w:tc>
          <w:tcPr>
            <w:tcW w:w="2280" w:type="dxa"/>
            <w:vAlign w:val="bottom"/>
            <w:gridSpan w:val="2"/>
          </w:tcPr>
          <w:p>
            <w:pPr>
              <w:spacing w:after="0"/>
              <w:rPr>
                <w:sz w:val="4"/>
                <w:szCs w:val="4"/>
                <w:color w:val="auto"/>
              </w:rPr>
            </w:pPr>
          </w:p>
        </w:tc>
      </w:tr>
      <w:tr>
        <w:trPr>
          <w:trHeight w:val="705"/>
        </w:trPr>
        <w:tc>
          <w:tcPr>
            <w:tcW w:w="2240" w:type="dxa"/>
            <w:vAlign w:val="bottom"/>
            <w:shd w:val="clear" w:color="auto" w:fill="F0F3F6"/>
          </w:tcPr>
          <w:p>
            <w:pPr>
              <w:ind w:left="240"/>
              <w:spacing w:after="0"/>
              <w:rPr>
                <w:sz w:val="20"/>
                <w:szCs w:val="20"/>
                <w:color w:val="auto"/>
              </w:rPr>
            </w:pPr>
            <w:r>
              <w:rPr>
                <w:rFonts w:ascii="Arial" w:cs="Arial" w:eastAsia="Arial" w:hAnsi="Arial"/>
                <w:sz w:val="43"/>
                <w:szCs w:val="43"/>
                <w:b w:val="1"/>
                <w:bCs w:val="1"/>
                <w:color w:val="0072CE"/>
              </w:rPr>
              <w:t>20.8%</w:t>
            </w:r>
          </w:p>
        </w:tc>
        <w:tc>
          <w:tcPr>
            <w:tcW w:w="40" w:type="dxa"/>
            <w:vAlign w:val="bottom"/>
          </w:tcPr>
          <w:p>
            <w:pPr>
              <w:spacing w:after="0"/>
              <w:rPr>
                <w:sz w:val="24"/>
                <w:szCs w:val="24"/>
                <w:color w:val="auto"/>
              </w:rPr>
            </w:pPr>
          </w:p>
        </w:tc>
        <w:tc>
          <w:tcPr>
            <w:tcW w:w="2240" w:type="dxa"/>
            <w:vAlign w:val="bottom"/>
            <w:shd w:val="clear" w:color="auto" w:fill="F0F3F6"/>
          </w:tcPr>
          <w:p>
            <w:pPr>
              <w:ind w:left="240"/>
              <w:spacing w:after="0"/>
              <w:rPr>
                <w:sz w:val="20"/>
                <w:szCs w:val="20"/>
                <w:color w:val="auto"/>
              </w:rPr>
            </w:pPr>
            <w:r>
              <w:rPr>
                <w:rFonts w:ascii="Arial" w:cs="Arial" w:eastAsia="Arial" w:hAnsi="Arial"/>
                <w:sz w:val="43"/>
                <w:szCs w:val="43"/>
                <w:b w:val="1"/>
                <w:bCs w:val="1"/>
                <w:color w:val="0072CE"/>
              </w:rPr>
              <w:t>$14.9B</w:t>
            </w:r>
          </w:p>
        </w:tc>
        <w:tc>
          <w:tcPr>
            <w:tcW w:w="60" w:type="dxa"/>
            <w:vAlign w:val="bottom"/>
          </w:tcPr>
          <w:p>
            <w:pPr>
              <w:spacing w:after="0"/>
              <w:rPr>
                <w:sz w:val="24"/>
                <w:szCs w:val="24"/>
                <w:color w:val="auto"/>
              </w:rPr>
            </w:pPr>
          </w:p>
        </w:tc>
        <w:tc>
          <w:tcPr>
            <w:tcW w:w="2220" w:type="dxa"/>
            <w:vAlign w:val="bottom"/>
            <w:shd w:val="clear" w:color="auto" w:fill="F0F3F6"/>
          </w:tcPr>
          <w:p>
            <w:pPr>
              <w:ind w:left="220"/>
              <w:spacing w:after="0"/>
              <w:rPr>
                <w:sz w:val="20"/>
                <w:szCs w:val="20"/>
                <w:color w:val="auto"/>
              </w:rPr>
            </w:pPr>
            <w:r>
              <w:rPr>
                <w:rFonts w:ascii="Arial" w:cs="Arial" w:eastAsia="Arial" w:hAnsi="Arial"/>
                <w:sz w:val="43"/>
                <w:szCs w:val="43"/>
                <w:b w:val="1"/>
                <w:bCs w:val="1"/>
                <w:color w:val="0072CE"/>
              </w:rPr>
              <w:t>8.0%</w:t>
            </w:r>
          </w:p>
        </w:tc>
        <w:tc>
          <w:tcPr>
            <w:tcW w:w="60" w:type="dxa"/>
            <w:vAlign w:val="bottom"/>
          </w:tcPr>
          <w:p>
            <w:pPr>
              <w:spacing w:after="0"/>
              <w:rPr>
                <w:sz w:val="24"/>
                <w:szCs w:val="24"/>
                <w:color w:val="auto"/>
              </w:rPr>
            </w:pPr>
          </w:p>
        </w:tc>
        <w:tc>
          <w:tcPr>
            <w:tcW w:w="2220" w:type="dxa"/>
            <w:vAlign w:val="bottom"/>
            <w:shd w:val="clear" w:color="auto" w:fill="F0F3F6"/>
          </w:tcPr>
          <w:p>
            <w:pPr>
              <w:ind w:left="220"/>
              <w:spacing w:after="0"/>
              <w:rPr>
                <w:sz w:val="20"/>
                <w:szCs w:val="20"/>
                <w:color w:val="auto"/>
              </w:rPr>
            </w:pPr>
            <w:r>
              <w:rPr>
                <w:rFonts w:ascii="Arial" w:cs="Arial" w:eastAsia="Arial" w:hAnsi="Arial"/>
                <w:sz w:val="43"/>
                <w:szCs w:val="43"/>
                <w:b w:val="1"/>
                <w:bCs w:val="1"/>
                <w:color w:val="0072CE"/>
              </w:rPr>
              <w:t>$10.60</w:t>
            </w:r>
          </w:p>
        </w:tc>
      </w:tr>
      <w:tr>
        <w:trPr>
          <w:trHeight w:val="200"/>
        </w:trPr>
        <w:tc>
          <w:tcPr>
            <w:tcW w:w="2240" w:type="dxa"/>
            <w:vAlign w:val="bottom"/>
            <w:shd w:val="clear" w:color="auto" w:fill="F0F3F6"/>
          </w:tcPr>
          <w:p>
            <w:pPr>
              <w:ind w:left="240"/>
              <w:spacing w:after="0" w:line="200" w:lineRule="exact"/>
              <w:rPr>
                <w:sz w:val="20"/>
                <w:szCs w:val="20"/>
                <w:color w:val="auto"/>
              </w:rPr>
            </w:pPr>
            <w:r>
              <w:rPr>
                <w:rFonts w:ascii="Arial" w:cs="Arial" w:eastAsia="Arial" w:hAnsi="Arial"/>
                <w:sz w:val="16"/>
                <w:szCs w:val="16"/>
                <w:color w:val="3D3935"/>
              </w:rPr>
              <w:t>ROIC-adjusted</w:t>
            </w:r>
            <w:r>
              <w:rPr>
                <w:rFonts w:ascii="Arial" w:cs="Arial" w:eastAsia="Arial" w:hAnsi="Arial"/>
                <w:sz w:val="21"/>
                <w:szCs w:val="21"/>
                <w:color w:val="3D3935"/>
                <w:vertAlign w:val="superscript"/>
              </w:rPr>
              <w:t>(2)</w:t>
            </w:r>
          </w:p>
        </w:tc>
        <w:tc>
          <w:tcPr>
            <w:tcW w:w="40" w:type="dxa"/>
            <w:vAlign w:val="bottom"/>
          </w:tcPr>
          <w:p>
            <w:pPr>
              <w:spacing w:after="0"/>
              <w:rPr>
                <w:sz w:val="17"/>
                <w:szCs w:val="17"/>
                <w:color w:val="auto"/>
              </w:rPr>
            </w:pPr>
          </w:p>
        </w:tc>
        <w:tc>
          <w:tcPr>
            <w:tcW w:w="2240" w:type="dxa"/>
            <w:vAlign w:val="bottom"/>
            <w:shd w:val="clear" w:color="auto" w:fill="F0F3F6"/>
          </w:tcPr>
          <w:p>
            <w:pPr>
              <w:ind w:left="240"/>
              <w:spacing w:after="0" w:line="200" w:lineRule="exact"/>
              <w:rPr>
                <w:sz w:val="20"/>
                <w:szCs w:val="20"/>
                <w:color w:val="auto"/>
              </w:rPr>
            </w:pPr>
            <w:r>
              <w:rPr>
                <w:rFonts w:ascii="Arial" w:cs="Arial" w:eastAsia="Arial" w:hAnsi="Arial"/>
                <w:sz w:val="16"/>
                <w:szCs w:val="16"/>
                <w:color w:val="3D3935"/>
              </w:rPr>
              <w:t xml:space="preserve">EBIT-adjusted </w:t>
            </w:r>
            <w:r>
              <w:rPr>
                <w:rFonts w:ascii="Arial" w:cs="Arial" w:eastAsia="Arial" w:hAnsi="Arial"/>
                <w:sz w:val="21"/>
                <w:szCs w:val="21"/>
                <w:color w:val="3D3935"/>
                <w:vertAlign w:val="superscript"/>
              </w:rPr>
              <w:t>(2)</w:t>
            </w:r>
          </w:p>
        </w:tc>
        <w:tc>
          <w:tcPr>
            <w:tcW w:w="60" w:type="dxa"/>
            <w:vAlign w:val="bottom"/>
          </w:tcPr>
          <w:p>
            <w:pPr>
              <w:spacing w:after="0"/>
              <w:rPr>
                <w:sz w:val="17"/>
                <w:szCs w:val="17"/>
                <w:color w:val="auto"/>
              </w:rPr>
            </w:pPr>
          </w:p>
        </w:tc>
        <w:tc>
          <w:tcPr>
            <w:tcW w:w="2220" w:type="dxa"/>
            <w:vAlign w:val="bottom"/>
            <w:shd w:val="clear" w:color="auto" w:fill="F0F3F6"/>
          </w:tcPr>
          <w:p>
            <w:pPr>
              <w:ind w:left="220"/>
              <w:spacing w:after="0" w:line="200" w:lineRule="exact"/>
              <w:rPr>
                <w:sz w:val="20"/>
                <w:szCs w:val="20"/>
                <w:color w:val="auto"/>
              </w:rPr>
            </w:pPr>
            <w:r>
              <w:rPr>
                <w:rFonts w:ascii="Arial" w:cs="Arial" w:eastAsia="Arial" w:hAnsi="Arial"/>
                <w:sz w:val="16"/>
                <w:szCs w:val="16"/>
                <w:color w:val="3D3935"/>
              </w:rPr>
              <w:t xml:space="preserve">EBIT-adjusted </w:t>
            </w:r>
            <w:r>
              <w:rPr>
                <w:rFonts w:ascii="Arial" w:cs="Arial" w:eastAsia="Arial" w:hAnsi="Arial"/>
                <w:sz w:val="21"/>
                <w:szCs w:val="21"/>
                <w:color w:val="3D3935"/>
                <w:vertAlign w:val="superscript"/>
              </w:rPr>
              <w:t>(2)</w:t>
            </w:r>
            <w:r>
              <w:rPr>
                <w:rFonts w:ascii="Arial" w:cs="Arial" w:eastAsia="Arial" w:hAnsi="Arial"/>
                <w:sz w:val="16"/>
                <w:szCs w:val="16"/>
                <w:color w:val="3D3935"/>
              </w:rPr>
              <w:t xml:space="preserve"> Margin</w:t>
            </w:r>
          </w:p>
        </w:tc>
        <w:tc>
          <w:tcPr>
            <w:tcW w:w="60" w:type="dxa"/>
            <w:vAlign w:val="bottom"/>
          </w:tcPr>
          <w:p>
            <w:pPr>
              <w:spacing w:after="0"/>
              <w:rPr>
                <w:sz w:val="17"/>
                <w:szCs w:val="17"/>
                <w:color w:val="auto"/>
              </w:rPr>
            </w:pPr>
          </w:p>
        </w:tc>
        <w:tc>
          <w:tcPr>
            <w:tcW w:w="2220" w:type="dxa"/>
            <w:vAlign w:val="bottom"/>
            <w:shd w:val="clear" w:color="auto" w:fill="F0F3F6"/>
          </w:tcPr>
          <w:p>
            <w:pPr>
              <w:ind w:left="220"/>
              <w:spacing w:after="0" w:line="200" w:lineRule="exact"/>
              <w:rPr>
                <w:sz w:val="20"/>
                <w:szCs w:val="20"/>
                <w:color w:val="auto"/>
              </w:rPr>
            </w:pPr>
            <w:r>
              <w:rPr>
                <w:rFonts w:ascii="Arial" w:cs="Arial" w:eastAsia="Arial" w:hAnsi="Arial"/>
                <w:sz w:val="16"/>
                <w:szCs w:val="16"/>
                <w:color w:val="3D3935"/>
              </w:rPr>
              <w:t xml:space="preserve">EPS-diluted-adjusted </w:t>
            </w:r>
            <w:r>
              <w:rPr>
                <w:rFonts w:ascii="Arial" w:cs="Arial" w:eastAsia="Arial" w:hAnsi="Arial"/>
                <w:sz w:val="21"/>
                <w:szCs w:val="21"/>
                <w:color w:val="3D3935"/>
                <w:vertAlign w:val="superscript"/>
              </w:rPr>
              <w:t>(2)</w:t>
            </w:r>
          </w:p>
        </w:tc>
      </w:tr>
      <w:tr>
        <w:trPr>
          <w:trHeight w:val="148"/>
        </w:trPr>
        <w:tc>
          <w:tcPr>
            <w:tcW w:w="2240" w:type="dxa"/>
            <w:vAlign w:val="bottom"/>
            <w:shd w:val="clear" w:color="auto" w:fill="F0F3F6"/>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shd w:val="clear" w:color="auto" w:fill="F0F3F6"/>
          </w:tcPr>
          <w:p>
            <w:pPr>
              <w:spacing w:after="0"/>
              <w:rPr>
                <w:sz w:val="12"/>
                <w:szCs w:val="12"/>
                <w:color w:val="auto"/>
              </w:rPr>
            </w:pPr>
          </w:p>
        </w:tc>
        <w:tc>
          <w:tcPr>
            <w:tcW w:w="60" w:type="dxa"/>
            <w:vAlign w:val="bottom"/>
          </w:tcPr>
          <w:p>
            <w:pPr>
              <w:spacing w:after="0"/>
              <w:rPr>
                <w:sz w:val="12"/>
                <w:szCs w:val="12"/>
                <w:color w:val="auto"/>
              </w:rPr>
            </w:pPr>
          </w:p>
        </w:tc>
        <w:tc>
          <w:tcPr>
            <w:tcW w:w="2220" w:type="dxa"/>
            <w:vAlign w:val="bottom"/>
            <w:shd w:val="clear" w:color="auto" w:fill="F0F3F6"/>
          </w:tcPr>
          <w:p>
            <w:pPr>
              <w:spacing w:after="0"/>
              <w:rPr>
                <w:sz w:val="12"/>
                <w:szCs w:val="12"/>
                <w:color w:val="auto"/>
              </w:rPr>
            </w:pPr>
          </w:p>
        </w:tc>
        <w:tc>
          <w:tcPr>
            <w:tcW w:w="60" w:type="dxa"/>
            <w:vAlign w:val="bottom"/>
          </w:tcPr>
          <w:p>
            <w:pPr>
              <w:spacing w:after="0"/>
              <w:rPr>
                <w:sz w:val="12"/>
                <w:szCs w:val="12"/>
                <w:color w:val="auto"/>
              </w:rPr>
            </w:pPr>
          </w:p>
        </w:tc>
        <w:tc>
          <w:tcPr>
            <w:tcW w:w="2220" w:type="dxa"/>
            <w:vAlign w:val="bottom"/>
            <w:shd w:val="clear" w:color="auto" w:fill="F0F3F6"/>
          </w:tcPr>
          <w:p>
            <w:pPr>
              <w:spacing w:after="0"/>
              <w:rPr>
                <w:sz w:val="12"/>
                <w:szCs w:val="12"/>
                <w:color w:val="auto"/>
              </w:rPr>
            </w:pPr>
          </w:p>
        </w:tc>
      </w:tr>
    </w:tbl>
    <w:p>
      <w:pPr>
        <w:spacing w:after="0" w:line="180" w:lineRule="exact"/>
        <w:rPr>
          <w:sz w:val="20"/>
          <w:szCs w:val="20"/>
          <w:color w:val="auto"/>
        </w:rPr>
      </w:pPr>
    </w:p>
    <w:p>
      <w:pPr>
        <w:sectPr>
          <w:pgSz w:w="11900" w:h="16838" w:orient="portrait"/>
          <w:cols w:equalWidth="0" w:num="1">
            <w:col w:w="10720"/>
          </w:cols>
          <w:pgMar w:left="580" w:top="140" w:right="599" w:bottom="0" w:gutter="0" w:footer="0" w:header="0"/>
          <w:type w:val="continuous"/>
        </w:sectPr>
      </w:pPr>
    </w:p>
    <w:p>
      <w:pPr>
        <w:ind w:left="1020" w:right="1320" w:hanging="192"/>
        <w:spacing w:after="0" w:line="231" w:lineRule="auto"/>
        <w:tabs>
          <w:tab w:leader="none" w:pos="1042" w:val="left"/>
        </w:tabs>
        <w:numPr>
          <w:ilvl w:val="0"/>
          <w:numId w:val="70"/>
        </w:numPr>
        <w:rPr>
          <w:rFonts w:ascii="Arial" w:cs="Arial" w:eastAsia="Arial" w:hAnsi="Arial"/>
          <w:sz w:val="19"/>
          <w:szCs w:val="19"/>
          <w:color w:val="3D3935"/>
          <w:vertAlign w:val="superscript"/>
        </w:rPr>
      </w:pPr>
      <w:r>
        <w:rPr>
          <w:rFonts w:ascii="Arial" w:cs="Arial" w:eastAsia="Arial" w:hAnsi="Arial"/>
          <w:sz w:val="14"/>
          <w:szCs w:val="14"/>
          <w:color w:val="3D3935"/>
        </w:rPr>
        <w:t>Non-GAAP financial measure. Refer to Appendix A for a reconciliation of Non-GAAP financial measures to their closest comparable GAAP measure.</w:t>
      </w:r>
    </w:p>
    <w:p>
      <w:pPr>
        <w:sectPr>
          <w:pgSz w:w="11900" w:h="16838" w:orient="portrait"/>
          <w:cols w:equalWidth="0" w:num="1">
            <w:col w:w="10720"/>
          </w:cols>
          <w:pgMar w:left="580" w:top="140" w:right="599" w:bottom="0" w:gutter="0" w:footer="0" w:header="0"/>
          <w:type w:val="continuous"/>
        </w:sectPr>
      </w:pPr>
    </w:p>
    <w:bookmarkStart w:id="45" w:name="page46"/>
    <w:bookmarkEnd w:id="45"/>
    <w:p>
      <w:pPr>
        <w:ind w:left="60"/>
        <w:spacing w:after="0"/>
        <w:rPr>
          <w:sz w:val="20"/>
          <w:szCs w:val="20"/>
          <w:color w:val="auto"/>
        </w:rPr>
      </w:pPr>
      <w:r>
        <w:rPr>
          <w:rFonts w:ascii="Arial" w:cs="Arial" w:eastAsia="Arial" w:hAnsi="Arial"/>
          <w:sz w:val="14"/>
          <w:szCs w:val="14"/>
          <w:b w:val="1"/>
          <w:bCs w:val="1"/>
          <w:color w:val="3D3935"/>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6191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10375" cy="619125"/>
                    </a:xfrm>
                    <a:prstGeom prst="rect">
                      <a:avLst/>
                    </a:prstGeom>
                    <a:noFill/>
                  </pic:spPr>
                </pic:pic>
              </a:graphicData>
            </a:graphic>
          </wp:anchor>
        </w:drawing>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88677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53" w:lineRule="exact"/>
        <w:rPr>
          <w:sz w:val="20"/>
          <w:szCs w:val="20"/>
          <w:color w:val="auto"/>
        </w:rPr>
      </w:pPr>
    </w:p>
    <w:p>
      <w:pPr>
        <w:ind w:right="3200"/>
        <w:spacing w:after="0" w:line="297" w:lineRule="auto"/>
        <w:rPr>
          <w:sz w:val="20"/>
          <w:szCs w:val="20"/>
          <w:color w:val="auto"/>
        </w:rPr>
      </w:pPr>
      <w:r>
        <w:rPr>
          <w:rFonts w:ascii="Arial" w:cs="Arial" w:eastAsia="Arial" w:hAnsi="Arial"/>
          <w:sz w:val="25"/>
          <w:szCs w:val="25"/>
          <w:b w:val="1"/>
          <w:bCs w:val="1"/>
          <w:color w:val="0072CE"/>
        </w:rPr>
        <w:t>Summary of Compensation Program Changes and Disclosure Enhancements</w:t>
      </w:r>
    </w:p>
    <w:p>
      <w:pPr>
        <w:spacing w:after="0" w:line="1" w:lineRule="exact"/>
        <w:rPr>
          <w:sz w:val="20"/>
          <w:szCs w:val="20"/>
          <w:color w:val="auto"/>
        </w:rPr>
      </w:pPr>
    </w:p>
    <w:p>
      <w:pPr>
        <w:ind w:right="300"/>
        <w:spacing w:after="0" w:line="287" w:lineRule="auto"/>
        <w:rPr>
          <w:sz w:val="20"/>
          <w:szCs w:val="20"/>
          <w:color w:val="auto"/>
        </w:rPr>
      </w:pPr>
      <w:r>
        <w:rPr>
          <w:rFonts w:ascii="Arial" w:cs="Arial" w:eastAsia="Arial" w:hAnsi="Arial"/>
          <w:sz w:val="16"/>
          <w:szCs w:val="16"/>
          <w:color w:val="3D3935"/>
        </w:rPr>
        <w:t>The Compensation Committee continuously evaluates the compensation program and seeks to make enhancements aligned with shareholder feedback as well as our strategic priorities and the pace of the Company’s transformation strategy. Based on its annual evaluation process, which includes conversations with key stakeholders, the Committee approved changes to our 2024 executive compensation program and additional changes and disclosure enhancements for 2025, as summarized below and with detailed information found on the page numbers noted.</w:t>
      </w:r>
    </w:p>
    <w:p>
      <w:pPr>
        <w:spacing w:after="0" w:line="196" w:lineRule="exact"/>
        <w:rPr>
          <w:sz w:val="20"/>
          <w:szCs w:val="20"/>
          <w:color w:val="auto"/>
        </w:rPr>
      </w:pPr>
    </w:p>
    <w:p>
      <w:pPr>
        <w:ind w:left="60"/>
        <w:spacing w:after="0"/>
        <w:tabs>
          <w:tab w:leader="none" w:pos="7820" w:val="left"/>
        </w:tabs>
        <w:rPr>
          <w:sz w:val="20"/>
          <w:szCs w:val="20"/>
          <w:color w:val="auto"/>
        </w:rPr>
      </w:pPr>
      <w:r>
        <w:rPr>
          <w:rFonts w:ascii="Arial" w:cs="Arial" w:eastAsia="Arial" w:hAnsi="Arial"/>
          <w:sz w:val="16"/>
          <w:szCs w:val="16"/>
          <w:color w:val="3D3935"/>
        </w:rPr>
        <w:t>Program Design Changes</w:t>
      </w:r>
      <w:r>
        <w:rPr>
          <w:sz w:val="20"/>
          <w:szCs w:val="20"/>
          <w:color w:val="auto"/>
        </w:rPr>
        <w:tab/>
      </w:r>
      <w:r>
        <w:rPr>
          <w:rFonts w:ascii="Arial" w:cs="Arial" w:eastAsia="Arial" w:hAnsi="Arial"/>
          <w:sz w:val="16"/>
          <w:szCs w:val="16"/>
          <w:color w:val="3D3935"/>
        </w:rPr>
        <w:t>Page Number(s)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6"/>
          <w:szCs w:val="16"/>
          <w:color w:val="3D3935"/>
        </w:rPr>
        <w:t>STIP</w:t>
      </w:r>
    </w:p>
    <w:p>
      <w:pPr>
        <w:spacing w:after="0" w:line="32" w:lineRule="exact"/>
        <w:rPr>
          <w:sz w:val="20"/>
          <w:szCs w:val="20"/>
          <w:color w:val="auto"/>
        </w:rPr>
      </w:pPr>
    </w:p>
    <w:p>
      <w:pPr>
        <w:ind w:left="240" w:hanging="185"/>
        <w:spacing w:after="0"/>
        <w:tabs>
          <w:tab w:leader="none" w:pos="240" w:val="left"/>
        </w:tabs>
        <w:numPr>
          <w:ilvl w:val="0"/>
          <w:numId w:val="71"/>
        </w:numPr>
        <w:rPr>
          <w:rFonts w:ascii="Arial" w:cs="Arial" w:eastAsia="Arial" w:hAnsi="Arial"/>
          <w:sz w:val="16"/>
          <w:szCs w:val="16"/>
          <w:color w:val="0072CE"/>
        </w:rPr>
      </w:pPr>
      <w:r>
        <w:rPr>
          <w:rFonts w:ascii="Arial" w:cs="Arial" w:eastAsia="Arial" w:hAnsi="Arial"/>
          <w:sz w:val="16"/>
          <w:szCs w:val="16"/>
          <w:color w:val="3D3935"/>
        </w:rPr>
        <w:t>Incorporated EV (25% of STIP), S&amp;S (10% of STIP), and AV (5% of STIP) goals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0" w:type="dxa"/>
            <w:vAlign w:val="bottom"/>
          </w:tcPr>
          <w:p>
            <w:pPr>
              <w:ind w:left="60"/>
              <w:spacing w:after="0"/>
              <w:rPr>
                <w:sz w:val="20"/>
                <w:szCs w:val="20"/>
                <w:color w:val="auto"/>
              </w:rPr>
            </w:pPr>
            <w:r>
              <w:rPr>
                <w:rFonts w:ascii="Arial" w:cs="Arial" w:eastAsia="Arial" w:hAnsi="Arial"/>
                <w:sz w:val="16"/>
                <w:szCs w:val="16"/>
                <w:color w:val="0072CE"/>
              </w:rPr>
              <w:t>•</w:t>
            </w:r>
          </w:p>
        </w:tc>
        <w:tc>
          <w:tcPr>
            <w:tcW w:w="7560" w:type="dxa"/>
            <w:vAlign w:val="bottom"/>
          </w:tcPr>
          <w:p>
            <w:pPr>
              <w:ind w:left="60"/>
              <w:spacing w:after="0"/>
              <w:rPr>
                <w:sz w:val="20"/>
                <w:szCs w:val="20"/>
                <w:color w:val="auto"/>
              </w:rPr>
            </w:pPr>
            <w:r>
              <w:rPr>
                <w:rFonts w:ascii="Arial" w:cs="Arial" w:eastAsia="Arial" w:hAnsi="Arial"/>
                <w:sz w:val="16"/>
                <w:szCs w:val="16"/>
                <w:color w:val="3D3935"/>
              </w:rPr>
              <w:t>Final STIP payout subject to an individual performance modifier not to exceed 110% of the STIP</w:t>
            </w:r>
          </w:p>
        </w:tc>
        <w:tc>
          <w:tcPr>
            <w:tcW w:w="1340" w:type="dxa"/>
            <w:vAlign w:val="bottom"/>
          </w:tcPr>
          <w:p>
            <w:pPr>
              <w:jc w:val="right"/>
              <w:spacing w:after="0"/>
              <w:rPr>
                <w:sz w:val="20"/>
                <w:szCs w:val="20"/>
                <w:color w:val="auto"/>
              </w:rPr>
            </w:pPr>
            <w:r>
              <w:rPr>
                <w:rFonts w:ascii="Arial" w:cs="Arial" w:eastAsia="Arial" w:hAnsi="Arial"/>
                <w:sz w:val="16"/>
                <w:szCs w:val="16"/>
                <w:color w:val="3D3935"/>
              </w:rPr>
              <w:t>51, 53-57</w:t>
            </w:r>
          </w:p>
        </w:tc>
      </w:tr>
      <w:tr>
        <w:trPr>
          <w:trHeight w:val="216"/>
        </w:trPr>
        <w:tc>
          <w:tcPr>
            <w:tcW w:w="180" w:type="dxa"/>
            <w:vAlign w:val="bottom"/>
          </w:tcPr>
          <w:p>
            <w:pPr>
              <w:spacing w:after="0"/>
              <w:rPr>
                <w:sz w:val="18"/>
                <w:szCs w:val="18"/>
                <w:color w:val="auto"/>
              </w:rPr>
            </w:pPr>
          </w:p>
        </w:tc>
        <w:tc>
          <w:tcPr>
            <w:tcW w:w="7560" w:type="dxa"/>
            <w:vAlign w:val="bottom"/>
          </w:tcPr>
          <w:p>
            <w:pPr>
              <w:ind w:left="60"/>
              <w:spacing w:after="0"/>
              <w:rPr>
                <w:sz w:val="20"/>
                <w:szCs w:val="20"/>
                <w:color w:val="auto"/>
              </w:rPr>
            </w:pPr>
            <w:r>
              <w:rPr>
                <w:rFonts w:ascii="Arial" w:cs="Arial" w:eastAsia="Arial" w:hAnsi="Arial"/>
                <w:sz w:val="16"/>
                <w:szCs w:val="16"/>
                <w:color w:val="3D3935"/>
              </w:rPr>
              <w:t>payout amount generated by Company performance</w:t>
            </w:r>
          </w:p>
        </w:tc>
        <w:tc>
          <w:tcPr>
            <w:tcW w:w="1340" w:type="dxa"/>
            <w:vAlign w:val="bottom"/>
          </w:tcPr>
          <w:p>
            <w:pPr>
              <w:spacing w:after="0"/>
              <w:rPr>
                <w:sz w:val="18"/>
                <w:szCs w:val="18"/>
                <w:color w:val="auto"/>
              </w:rPr>
            </w:pPr>
          </w:p>
        </w:tc>
      </w:tr>
      <w:tr>
        <w:trPr>
          <w:trHeight w:val="270"/>
        </w:trPr>
        <w:tc>
          <w:tcPr>
            <w:tcW w:w="180" w:type="dxa"/>
            <w:vAlign w:val="bottom"/>
          </w:tcPr>
          <w:p>
            <w:pPr>
              <w:ind w:left="60"/>
              <w:spacing w:after="0"/>
              <w:rPr>
                <w:sz w:val="20"/>
                <w:szCs w:val="20"/>
                <w:color w:val="auto"/>
              </w:rPr>
            </w:pPr>
            <w:r>
              <w:rPr>
                <w:rFonts w:ascii="Arial" w:cs="Arial" w:eastAsia="Arial" w:hAnsi="Arial"/>
                <w:sz w:val="16"/>
                <w:szCs w:val="16"/>
                <w:color w:val="0072CE"/>
              </w:rPr>
              <w:t>•</w:t>
            </w:r>
          </w:p>
        </w:tc>
        <w:tc>
          <w:tcPr>
            <w:tcW w:w="7560" w:type="dxa"/>
            <w:vAlign w:val="bottom"/>
          </w:tcPr>
          <w:p>
            <w:pPr>
              <w:ind w:left="60"/>
              <w:spacing w:after="0"/>
              <w:rPr>
                <w:sz w:val="20"/>
                <w:szCs w:val="20"/>
                <w:color w:val="auto"/>
              </w:rPr>
            </w:pPr>
            <w:r>
              <w:rPr>
                <w:rFonts w:ascii="Arial" w:cs="Arial" w:eastAsia="Arial" w:hAnsi="Arial"/>
                <w:sz w:val="16"/>
                <w:szCs w:val="16"/>
                <w:color w:val="3D3935"/>
              </w:rPr>
              <w:t>Eliminated the Strategic Goals component of the STIP, previously weighted 25%</w:t>
            </w:r>
          </w:p>
        </w:tc>
        <w:tc>
          <w:tcPr>
            <w:tcW w:w="1340" w:type="dxa"/>
            <w:vAlign w:val="bottom"/>
          </w:tcPr>
          <w:p>
            <w:pPr>
              <w:spacing w:after="0"/>
              <w:rPr>
                <w:sz w:val="23"/>
                <w:szCs w:val="23"/>
                <w:color w:val="auto"/>
              </w:rPr>
            </w:pPr>
          </w:p>
        </w:tc>
      </w:tr>
      <w:tr>
        <w:trPr>
          <w:trHeight w:val="56"/>
        </w:trPr>
        <w:tc>
          <w:tcPr>
            <w:tcW w:w="180" w:type="dxa"/>
            <w:vAlign w:val="bottom"/>
            <w:tcBorders>
              <w:bottom w:val="single" w:sz="8" w:color="D9D9D6"/>
            </w:tcBorders>
          </w:tcPr>
          <w:p>
            <w:pPr>
              <w:spacing w:after="0"/>
              <w:rPr>
                <w:sz w:val="4"/>
                <w:szCs w:val="4"/>
                <w:color w:val="auto"/>
              </w:rPr>
            </w:pPr>
          </w:p>
        </w:tc>
        <w:tc>
          <w:tcPr>
            <w:tcW w:w="7560" w:type="dxa"/>
            <w:vAlign w:val="bottom"/>
            <w:tcBorders>
              <w:bottom w:val="single" w:sz="8" w:color="D9D9D6"/>
            </w:tcBorders>
          </w:tcPr>
          <w:p>
            <w:pPr>
              <w:spacing w:after="0"/>
              <w:rPr>
                <w:sz w:val="4"/>
                <w:szCs w:val="4"/>
                <w:color w:val="auto"/>
              </w:rPr>
            </w:pPr>
          </w:p>
        </w:tc>
        <w:tc>
          <w:tcPr>
            <w:tcW w:w="1340" w:type="dxa"/>
            <w:vAlign w:val="bottom"/>
            <w:tcBorders>
              <w:bottom w:val="single" w:sz="8" w:color="D9D9D6"/>
            </w:tcBorders>
          </w:tcPr>
          <w:p>
            <w:pPr>
              <w:spacing w:after="0"/>
              <w:rPr>
                <w:sz w:val="4"/>
                <w:szCs w:val="4"/>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6"/>
          <w:szCs w:val="16"/>
          <w:color w:val="3D3935"/>
        </w:rPr>
        <w:t>LTIP</w:t>
      </w:r>
    </w:p>
    <w:p>
      <w:pPr>
        <w:spacing w:after="0" w:line="32" w:lineRule="exact"/>
        <w:rPr>
          <w:sz w:val="20"/>
          <w:szCs w:val="20"/>
          <w:color w:val="auto"/>
        </w:rPr>
      </w:pPr>
    </w:p>
    <w:p>
      <w:pPr>
        <w:ind w:left="240" w:right="2460" w:hanging="185"/>
        <w:spacing w:after="0" w:line="256" w:lineRule="auto"/>
        <w:tabs>
          <w:tab w:leader="none" w:pos="240" w:val="left"/>
        </w:tabs>
        <w:numPr>
          <w:ilvl w:val="0"/>
          <w:numId w:val="72"/>
        </w:numPr>
        <w:rPr>
          <w:rFonts w:ascii="Arial" w:cs="Arial" w:eastAsia="Arial" w:hAnsi="Arial"/>
          <w:sz w:val="16"/>
          <w:szCs w:val="16"/>
          <w:color w:val="0072CE"/>
        </w:rPr>
      </w:pPr>
      <w:r>
        <w:rPr>
          <w:rFonts w:ascii="Arial" w:cs="Arial" w:eastAsia="Arial" w:hAnsi="Arial"/>
          <w:sz w:val="16"/>
          <w:szCs w:val="16"/>
          <w:color w:val="3D3935"/>
        </w:rPr>
        <w:t>Cumulative AAOCF was added to the 2024 PSU performance measures (30% of LTIP); EV measures were transitioned into our STIP as noted above</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6260" w:type="dxa"/>
            <w:vAlign w:val="bottom"/>
            <w:vMerge w:val="restart"/>
          </w:tcPr>
          <w:p>
            <w:pPr>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Incorporated RSUs (25% of LTIP) in lieu of stock options</w:t>
            </w:r>
          </w:p>
        </w:tc>
        <w:tc>
          <w:tcPr>
            <w:tcW w:w="2700" w:type="dxa"/>
            <w:vAlign w:val="bottom"/>
          </w:tcPr>
          <w:p>
            <w:pPr>
              <w:jc w:val="right"/>
              <w:spacing w:after="0"/>
              <w:rPr>
                <w:sz w:val="20"/>
                <w:szCs w:val="20"/>
                <w:color w:val="auto"/>
              </w:rPr>
            </w:pPr>
            <w:r>
              <w:rPr>
                <w:rFonts w:ascii="Arial" w:cs="Arial" w:eastAsia="Arial" w:hAnsi="Arial"/>
                <w:sz w:val="16"/>
                <w:szCs w:val="16"/>
                <w:color w:val="3D3935"/>
              </w:rPr>
              <w:t>51, 58-59</w:t>
            </w:r>
          </w:p>
        </w:tc>
        <w:tc>
          <w:tcPr>
            <w:tcW w:w="0" w:type="dxa"/>
            <w:vAlign w:val="bottom"/>
          </w:tcPr>
          <w:p>
            <w:pPr>
              <w:spacing w:after="0"/>
              <w:rPr>
                <w:sz w:val="1"/>
                <w:szCs w:val="1"/>
                <w:color w:val="auto"/>
              </w:rPr>
            </w:pPr>
          </w:p>
        </w:tc>
      </w:tr>
      <w:tr>
        <w:trPr>
          <w:trHeight w:val="92"/>
        </w:trPr>
        <w:tc>
          <w:tcPr>
            <w:tcW w:w="6260" w:type="dxa"/>
            <w:vAlign w:val="bottom"/>
            <w:vMerge w:val="continue"/>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240" w:right="2320" w:hanging="185"/>
        <w:spacing w:after="0" w:line="321" w:lineRule="auto"/>
        <w:tabs>
          <w:tab w:leader="none" w:pos="240" w:val="left"/>
        </w:tabs>
        <w:numPr>
          <w:ilvl w:val="0"/>
          <w:numId w:val="73"/>
        </w:numPr>
        <w:rPr>
          <w:rFonts w:ascii="Arial" w:cs="Arial" w:eastAsia="Arial" w:hAnsi="Arial"/>
          <w:sz w:val="16"/>
          <w:szCs w:val="16"/>
          <w:color w:val="0072CE"/>
        </w:rPr>
      </w:pPr>
      <w:r>
        <w:rPr>
          <w:rFonts w:ascii="Arial" w:cs="Arial" w:eastAsia="Arial" w:hAnsi="Arial"/>
          <w:sz w:val="16"/>
          <w:szCs w:val="16"/>
          <w:color w:val="3D3935"/>
        </w:rPr>
        <w:t>Increased target performance for the relative TSR portion of the PSUs from 50th percentile to 55th percentile starting with awards granted in 2025</w:t>
      </w:r>
    </w:p>
    <w:p>
      <w:pPr>
        <w:spacing w:after="0" w:line="102" w:lineRule="exact"/>
        <w:rPr>
          <w:sz w:val="20"/>
          <w:szCs w:val="20"/>
          <w:color w:val="auto"/>
        </w:rPr>
      </w:pPr>
    </w:p>
    <w:p>
      <w:pPr>
        <w:ind w:left="60"/>
        <w:spacing w:after="0"/>
        <w:rPr>
          <w:sz w:val="20"/>
          <w:szCs w:val="20"/>
          <w:color w:val="auto"/>
        </w:rPr>
      </w:pPr>
      <w:r>
        <w:rPr>
          <w:rFonts w:ascii="Arial" w:cs="Arial" w:eastAsia="Arial" w:hAnsi="Arial"/>
          <w:sz w:val="16"/>
          <w:szCs w:val="16"/>
          <w:color w:val="3D3935"/>
        </w:rPr>
        <w:t>Notable Enhanced Disclosure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40" w:type="dxa"/>
            <w:vAlign w:val="bottom"/>
          </w:tcPr>
          <w:p>
            <w:pPr>
              <w:ind w:left="60"/>
              <w:spacing w:after="0"/>
              <w:rPr>
                <w:sz w:val="20"/>
                <w:szCs w:val="20"/>
                <w:color w:val="auto"/>
              </w:rPr>
            </w:pPr>
            <w:r>
              <w:rPr>
                <w:rFonts w:ascii="Arial" w:cs="Arial" w:eastAsia="Arial" w:hAnsi="Arial"/>
                <w:sz w:val="16"/>
                <w:szCs w:val="16"/>
                <w:color w:val="3D3935"/>
              </w:rPr>
              <w:t>Shareholder Outreach and Responsiveness</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6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Provided detailed disclosure on our shareholder engagement, including director participation,</w:t>
            </w:r>
          </w:p>
        </w:tc>
        <w:tc>
          <w:tcPr>
            <w:tcW w:w="1440" w:type="dxa"/>
            <w:vAlign w:val="bottom"/>
            <w:gridSpan w:val="2"/>
          </w:tcPr>
          <w:p>
            <w:pPr>
              <w:jc w:val="right"/>
              <w:spacing w:after="0"/>
              <w:rPr>
                <w:sz w:val="20"/>
                <w:szCs w:val="20"/>
                <w:color w:val="auto"/>
              </w:rPr>
            </w:pPr>
            <w:r>
              <w:rPr>
                <w:rFonts w:ascii="Arial" w:cs="Arial" w:eastAsia="Arial" w:hAnsi="Arial"/>
                <w:sz w:val="16"/>
                <w:szCs w:val="16"/>
                <w:color w:val="3D3935"/>
              </w:rPr>
              <w:t>48 -49</w:t>
            </w:r>
          </w:p>
        </w:tc>
        <w:tc>
          <w:tcPr>
            <w:tcW w:w="0" w:type="dxa"/>
            <w:vAlign w:val="bottom"/>
          </w:tcPr>
          <w:p>
            <w:pPr>
              <w:spacing w:after="0"/>
              <w:rPr>
                <w:sz w:val="1"/>
                <w:szCs w:val="1"/>
                <w:color w:val="auto"/>
              </w:rPr>
            </w:pPr>
          </w:p>
        </w:tc>
      </w:tr>
      <w:tr>
        <w:trPr>
          <w:trHeight w:val="216"/>
        </w:trPr>
        <w:tc>
          <w:tcPr>
            <w:tcW w:w="7640" w:type="dxa"/>
            <w:vAlign w:val="bottom"/>
          </w:tcPr>
          <w:p>
            <w:pPr>
              <w:ind w:left="240"/>
              <w:spacing w:after="0"/>
              <w:rPr>
                <w:sz w:val="20"/>
                <w:szCs w:val="20"/>
                <w:color w:val="auto"/>
              </w:rPr>
            </w:pPr>
            <w:r>
              <w:rPr>
                <w:rFonts w:ascii="Arial" w:cs="Arial" w:eastAsia="Arial" w:hAnsi="Arial"/>
                <w:sz w:val="16"/>
                <w:szCs w:val="16"/>
                <w:color w:val="3D3935"/>
              </w:rPr>
              <w:t>summary of feedback themes, and key responsive actions taken</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7640" w:type="dxa"/>
            <w:vAlign w:val="bottom"/>
          </w:tcPr>
          <w:p>
            <w:pPr>
              <w:ind w:left="60"/>
              <w:spacing w:after="0"/>
              <w:rPr>
                <w:sz w:val="20"/>
                <w:szCs w:val="20"/>
                <w:color w:val="auto"/>
              </w:rPr>
            </w:pPr>
            <w:r>
              <w:rPr>
                <w:rFonts w:ascii="Arial" w:cs="Arial" w:eastAsia="Arial" w:hAnsi="Arial"/>
                <w:sz w:val="16"/>
                <w:szCs w:val="16"/>
                <w:color w:val="3D3935"/>
              </w:rPr>
              <w:t>Target Rigor</w:t>
            </w: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6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Updated discussion of our STIP and LTIP target-setting processes including additional insight into</w:t>
            </w:r>
          </w:p>
        </w:tc>
        <w:tc>
          <w:tcPr>
            <w:tcW w:w="1120" w:type="dxa"/>
            <w:vAlign w:val="bottom"/>
          </w:tcPr>
          <w:p>
            <w:pPr>
              <w:jc w:val="right"/>
              <w:spacing w:after="0"/>
              <w:rPr>
                <w:sz w:val="20"/>
                <w:szCs w:val="20"/>
                <w:color w:val="auto"/>
              </w:rPr>
            </w:pPr>
            <w:r>
              <w:rPr>
                <w:rFonts w:ascii="Arial" w:cs="Arial" w:eastAsia="Arial" w:hAnsi="Arial"/>
                <w:sz w:val="16"/>
                <w:szCs w:val="16"/>
                <w:color w:val="3D3935"/>
              </w:rPr>
              <w:t>55-56, 58</w:t>
            </w:r>
          </w:p>
        </w:tc>
        <w:tc>
          <w:tcPr>
            <w:tcW w:w="320" w:type="dxa"/>
            <w:vAlign w:val="bottom"/>
          </w:tcPr>
          <w:p>
            <w:pPr>
              <w:jc w:val="right"/>
              <w:spacing w:after="0"/>
              <w:rPr>
                <w:sz w:val="20"/>
                <w:szCs w:val="20"/>
                <w:color w:val="auto"/>
              </w:rPr>
            </w:pPr>
            <w:r>
              <w:rPr>
                <w:rFonts w:ascii="Arial" w:cs="Arial" w:eastAsia="Arial" w:hAnsi="Arial"/>
                <w:sz w:val="16"/>
                <w:szCs w:val="16"/>
                <w:color w:val="3D3935"/>
              </w:rPr>
              <w:t>-59</w:t>
            </w:r>
          </w:p>
        </w:tc>
        <w:tc>
          <w:tcPr>
            <w:tcW w:w="0" w:type="dxa"/>
            <w:vAlign w:val="bottom"/>
          </w:tcPr>
          <w:p>
            <w:pPr>
              <w:spacing w:after="0"/>
              <w:rPr>
                <w:sz w:val="1"/>
                <w:szCs w:val="1"/>
                <w:color w:val="auto"/>
              </w:rPr>
            </w:pPr>
          </w:p>
        </w:tc>
      </w:tr>
      <w:tr>
        <w:trPr>
          <w:trHeight w:val="216"/>
        </w:trPr>
        <w:tc>
          <w:tcPr>
            <w:tcW w:w="7640" w:type="dxa"/>
            <w:vAlign w:val="bottom"/>
          </w:tcPr>
          <w:p>
            <w:pPr>
              <w:ind w:left="240"/>
              <w:spacing w:after="0"/>
              <w:rPr>
                <w:sz w:val="20"/>
                <w:szCs w:val="20"/>
                <w:color w:val="auto"/>
              </w:rPr>
            </w:pPr>
            <w:r>
              <w:rPr>
                <w:rFonts w:ascii="Arial" w:cs="Arial" w:eastAsia="Arial" w:hAnsi="Arial"/>
                <w:sz w:val="16"/>
                <w:szCs w:val="16"/>
                <w:color w:val="3D3935"/>
              </w:rPr>
              <w:t>the factors the Committee considers when setting targets</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7640" w:type="dxa"/>
            <w:vAlign w:val="bottom"/>
          </w:tcPr>
          <w:p>
            <w:pPr>
              <w:ind w:left="60"/>
              <w:spacing w:after="0"/>
              <w:rPr>
                <w:sz w:val="20"/>
                <w:szCs w:val="20"/>
                <w:color w:val="auto"/>
              </w:rPr>
            </w:pPr>
            <w:r>
              <w:rPr>
                <w:rFonts w:ascii="Arial" w:cs="Arial" w:eastAsia="Arial" w:hAnsi="Arial"/>
                <w:sz w:val="16"/>
                <w:szCs w:val="16"/>
                <w:color w:val="3D3935"/>
              </w:rPr>
              <w:t>Compensation Peer Group</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3D3935"/>
              </w:rPr>
              <w:t>62</w:t>
            </w:r>
          </w:p>
        </w:tc>
        <w:tc>
          <w:tcPr>
            <w:tcW w:w="320" w:type="dxa"/>
            <w:vAlign w:val="bottom"/>
            <w:vMerge w:val="restart"/>
          </w:tcPr>
          <w:p>
            <w:pPr>
              <w:jc w:val="right"/>
              <w:spacing w:after="0"/>
              <w:rPr>
                <w:sz w:val="20"/>
                <w:szCs w:val="20"/>
                <w:color w:val="auto"/>
              </w:rPr>
            </w:pPr>
            <w:r>
              <w:rPr>
                <w:rFonts w:ascii="Arial" w:cs="Arial" w:eastAsia="Arial" w:hAnsi="Arial"/>
                <w:sz w:val="16"/>
                <w:szCs w:val="16"/>
                <w:color w:val="3D3935"/>
              </w:rPr>
              <w:t>-63</w:t>
            </w:r>
          </w:p>
        </w:tc>
        <w:tc>
          <w:tcPr>
            <w:tcW w:w="0" w:type="dxa"/>
            <w:vAlign w:val="bottom"/>
          </w:tcPr>
          <w:p>
            <w:pPr>
              <w:spacing w:after="0"/>
              <w:rPr>
                <w:sz w:val="1"/>
                <w:szCs w:val="1"/>
                <w:color w:val="auto"/>
              </w:rPr>
            </w:pPr>
          </w:p>
        </w:tc>
      </w:tr>
      <w:tr>
        <w:trPr>
          <w:trHeight w:val="108"/>
        </w:trPr>
        <w:tc>
          <w:tcPr>
            <w:tcW w:w="7640" w:type="dxa"/>
            <w:vAlign w:val="bottom"/>
            <w:vMerge w:val="restart"/>
          </w:tcPr>
          <w:p>
            <w:pPr>
              <w:ind w:left="6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Enhanced discussion of peer group selection</w:t>
            </w:r>
          </w:p>
        </w:tc>
        <w:tc>
          <w:tcPr>
            <w:tcW w:w="112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6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7640" w:type="dxa"/>
            <w:vAlign w:val="bottom"/>
            <w:tcBorders>
              <w:bottom w:val="single" w:sz="8" w:color="0072CE"/>
            </w:tcBorders>
          </w:tcPr>
          <w:p>
            <w:pPr>
              <w:spacing w:after="0"/>
              <w:rPr>
                <w:sz w:val="4"/>
                <w:szCs w:val="4"/>
                <w:color w:val="auto"/>
              </w:rPr>
            </w:pPr>
          </w:p>
        </w:tc>
        <w:tc>
          <w:tcPr>
            <w:tcW w:w="1120" w:type="dxa"/>
            <w:vAlign w:val="bottom"/>
            <w:tcBorders>
              <w:bottom w:val="single" w:sz="8" w:color="0072CE"/>
            </w:tcBorders>
          </w:tcPr>
          <w:p>
            <w:pPr>
              <w:spacing w:after="0"/>
              <w:rPr>
                <w:sz w:val="4"/>
                <w:szCs w:val="4"/>
                <w:color w:val="auto"/>
              </w:rPr>
            </w:pPr>
          </w:p>
        </w:tc>
        <w:tc>
          <w:tcPr>
            <w:tcW w:w="320" w:type="dxa"/>
            <w:vAlign w:val="bottom"/>
            <w:tcBorders>
              <w:bottom w:val="single" w:sz="8" w:color="0072CE"/>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7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640" w:type="dxa"/>
            <w:vAlign w:val="bottom"/>
            <w:shd w:val="clear" w:color="auto" w:fill="F0F3F5"/>
          </w:tcPr>
          <w:p>
            <w:pPr>
              <w:spacing w:after="0"/>
              <w:rPr>
                <w:sz w:val="15"/>
                <w:szCs w:val="15"/>
                <w:color w:val="auto"/>
              </w:rPr>
            </w:pPr>
          </w:p>
        </w:tc>
        <w:tc>
          <w:tcPr>
            <w:tcW w:w="1120" w:type="dxa"/>
            <w:vAlign w:val="bottom"/>
            <w:shd w:val="clear" w:color="auto" w:fill="F0F3F5"/>
          </w:tcPr>
          <w:p>
            <w:pPr>
              <w:spacing w:after="0"/>
              <w:rPr>
                <w:sz w:val="15"/>
                <w:szCs w:val="15"/>
                <w:color w:val="auto"/>
              </w:rPr>
            </w:pPr>
          </w:p>
        </w:tc>
        <w:tc>
          <w:tcPr>
            <w:tcW w:w="320" w:type="dxa"/>
            <w:vAlign w:val="bottom"/>
            <w:shd w:val="clear" w:color="auto" w:fill="F0F3F5"/>
          </w:tcPr>
          <w:p>
            <w:pPr>
              <w:spacing w:after="0"/>
              <w:rPr>
                <w:sz w:val="15"/>
                <w:szCs w:val="15"/>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0072CE"/>
        </w:rPr>
        <w:t>2025 Relative TSR Target</w:t>
      </w:r>
    </w:p>
    <w:p>
      <w:pPr>
        <w:spacing w:after="0" w:line="122" w:lineRule="exact"/>
        <w:rPr>
          <w:sz w:val="20"/>
          <w:szCs w:val="20"/>
          <w:color w:val="auto"/>
        </w:rPr>
      </w:pPr>
    </w:p>
    <w:p>
      <w:pPr>
        <w:ind w:left="240" w:right="700"/>
        <w:spacing w:after="0" w:line="301" w:lineRule="auto"/>
        <w:rPr>
          <w:sz w:val="20"/>
          <w:szCs w:val="20"/>
          <w:color w:val="auto"/>
        </w:rPr>
      </w:pPr>
      <w:r>
        <w:rPr>
          <w:rFonts w:ascii="Arial" w:cs="Arial" w:eastAsia="Arial" w:hAnsi="Arial"/>
          <w:sz w:val="16"/>
          <w:szCs w:val="16"/>
          <w:color w:val="3D3935"/>
        </w:rPr>
        <w:t>Starting with PSU awards granted in 2025, the Committee increased the relative TSR percentile required for target payout to the 55th percentile, previously at median, based on feedback received from shareholders in meetings held after our 2024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3D3935"/>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8648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10375" cy="864870"/>
                    </a:xfrm>
                    <a:prstGeom prst="rect">
                      <a:avLst/>
                    </a:prstGeom>
                    <a:noFill/>
                  </pic:spPr>
                </pic:pic>
              </a:graphicData>
            </a:graphic>
          </wp:anchor>
        </w:drawing>
      </w:r>
    </w:p>
    <w:p>
      <w:pPr>
        <w:sectPr>
          <w:pgSz w:w="11900" w:h="16838" w:orient="portrait"/>
          <w:cols w:equalWidth="0" w:num="1">
            <w:col w:w="9240"/>
          </w:cols>
          <w:pgMar w:left="1400" w:top="562" w:right="1259" w:bottom="3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ectPr>
          <w:pgSz w:w="11900" w:h="16838" w:orient="portrait"/>
          <w:cols w:equalWidth="0" w:num="1">
            <w:col w:w="9240"/>
          </w:cols>
          <w:pgMar w:left="1400" w:top="562" w:right="1259" w:bottom="390" w:gutter="0" w:footer="0" w:header="0"/>
          <w:type w:val="continuous"/>
        </w:sectPr>
      </w:pPr>
    </w:p>
    <w:bookmarkStart w:id="46" w:name="page47"/>
    <w:bookmarkEnd w:id="46"/>
    <w:p>
      <w:pPr>
        <w:spacing w:after="0" w:line="231" w:lineRule="auto"/>
        <w:rPr>
          <w:sz w:val="20"/>
          <w:szCs w:val="20"/>
          <w:color w:val="auto"/>
        </w:rPr>
      </w:pPr>
      <w:r>
        <w:rPr>
          <w:rFonts w:ascii="Arial" w:cs="Arial" w:eastAsia="Arial" w:hAnsi="Arial"/>
          <w:sz w:val="25"/>
          <w:szCs w:val="25"/>
          <w:b w:val="1"/>
          <w:bCs w:val="1"/>
          <w:color w:val="0072CE"/>
        </w:rPr>
        <w:t>Shareholder Outreach and Responsiveness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-86360</wp:posOffset>
            </wp:positionV>
            <wp:extent cx="6810375" cy="79914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10375" cy="7991475"/>
                    </a:xfrm>
                    <a:prstGeom prst="rect">
                      <a:avLst/>
                    </a:prstGeom>
                    <a:noFill/>
                  </pic:spPr>
                </pic:pic>
              </a:graphicData>
            </a:graphic>
          </wp:anchor>
        </w:drawing>
      </w:r>
    </w:p>
    <w:p>
      <w:pPr>
        <w:ind w:right="380"/>
        <w:spacing w:after="0" w:line="267" w:lineRule="auto"/>
        <w:rPr>
          <w:sz w:val="20"/>
          <w:szCs w:val="20"/>
          <w:color w:val="auto"/>
        </w:rPr>
      </w:pPr>
      <w:r>
        <w:rPr>
          <w:rFonts w:ascii="Arial" w:cs="Arial" w:eastAsia="Arial" w:hAnsi="Arial"/>
          <w:sz w:val="16"/>
          <w:szCs w:val="16"/>
          <w:color w:val="3D3935"/>
        </w:rPr>
        <w:t>As previously discussed in this Proxy Statement, shareholder feedback is an important input to how our Board and Compensation Committee evolve our executive compensation program to ensure continued alignment with our business strategy and the interests of our senior leaders and shareholders. To that end, the Company has undertaken a multi-phased engagement approach to help inform the Committee’s existing and robust decision-making process in approving program and disclosure enhancements. As part of the Committee’s continuous efforts to enhance the program, it seeks to be responsive to shareholder feedback.</w:t>
      </w:r>
    </w:p>
    <w:p>
      <w:pPr>
        <w:spacing w:after="0" w:line="38" w:lineRule="exact"/>
        <w:rPr>
          <w:sz w:val="20"/>
          <w:szCs w:val="20"/>
          <w:color w:val="auto"/>
        </w:rPr>
      </w:pPr>
    </w:p>
    <w:p>
      <w:pPr>
        <w:ind w:right="380"/>
        <w:spacing w:after="0" w:line="266" w:lineRule="auto"/>
        <w:rPr>
          <w:sz w:val="20"/>
          <w:szCs w:val="20"/>
          <w:color w:val="auto"/>
        </w:rPr>
      </w:pPr>
      <w:r>
        <w:rPr>
          <w:rFonts w:ascii="Arial" w:cs="Arial" w:eastAsia="Arial" w:hAnsi="Arial"/>
          <w:sz w:val="16"/>
          <w:szCs w:val="16"/>
          <w:color w:val="3D3935"/>
        </w:rPr>
        <w:t>First, in early 2024, the Company conducted shareholder outreach to our investors to preview and solicit input on its 2024 executive compensation program changes. The Chair of our Compensation Committee Wesley Bush and our Independent Lead Director Patricia Russo participated in several of these meetings (with shares representing approximately 25% of our outstanding common stock), and feedback was communicated to the Compensation Committee and Board. Then, the Company, often joined by Mr. Bush, engaged with a broad range of our larger and smaller shareholders in advance of our 2024 Annual Meeting to discuss our Say-on-Pay vote (with shares representing approximately 30% of our outstanding common stock) and sought additional feedback on the 2024 executive compensation program changes forward-disclosed in our 2024 Proxy Statement. In these meetings, our shareholders were largely supportive of the proposed changes to our 2024 executive compensation program.</w:t>
      </w:r>
    </w:p>
    <w:p>
      <w:pPr>
        <w:spacing w:after="0" w:line="41" w:lineRule="exact"/>
        <w:rPr>
          <w:sz w:val="20"/>
          <w:szCs w:val="20"/>
          <w:color w:val="auto"/>
        </w:rPr>
      </w:pPr>
    </w:p>
    <w:p>
      <w:pPr>
        <w:ind w:right="480"/>
        <w:spacing w:after="0" w:line="274" w:lineRule="auto"/>
        <w:rPr>
          <w:sz w:val="20"/>
          <w:szCs w:val="20"/>
          <w:color w:val="auto"/>
        </w:rPr>
      </w:pPr>
      <w:r>
        <w:rPr>
          <w:rFonts w:ascii="Arial" w:cs="Arial" w:eastAsia="Arial" w:hAnsi="Arial"/>
          <w:sz w:val="16"/>
          <w:szCs w:val="16"/>
          <w:color w:val="3D3935"/>
        </w:rPr>
        <w:t>The Board was disappointed with the outcome of our Say-on-Pay vote of approximately 58% at our 2024 Annual Meeting, which was significantly lower than our historically strong support. As described above in our Proxy Statement Summary on page 5, the Board determined that it was therefore important to continue our compensation-focused stewardship engagement effort in order to better understand and respond to investor perspectives and concerns, particularly of those who voted against our 2024 Say-on-Pay proposal.</w:t>
      </w:r>
    </w:p>
    <w:p>
      <w:pPr>
        <w:spacing w:after="0" w:line="30" w:lineRule="exact"/>
        <w:rPr>
          <w:sz w:val="20"/>
          <w:szCs w:val="20"/>
          <w:color w:val="auto"/>
        </w:rPr>
      </w:pPr>
    </w:p>
    <w:p>
      <w:pPr>
        <w:ind w:right="460"/>
        <w:spacing w:after="0" w:line="268" w:lineRule="auto"/>
        <w:rPr>
          <w:sz w:val="20"/>
          <w:szCs w:val="20"/>
          <w:color w:val="auto"/>
        </w:rPr>
      </w:pPr>
      <w:r>
        <w:rPr>
          <w:rFonts w:ascii="Arial" w:cs="Arial" w:eastAsia="Arial" w:hAnsi="Arial"/>
          <w:sz w:val="16"/>
          <w:szCs w:val="16"/>
          <w:color w:val="3D3935"/>
        </w:rPr>
        <w:t>To that end, the Company conducted shareholder outreach following the 2024 Annual Meeting (with shares representing approximately 30% of our outstanding common stock), with a specific focus on understanding rationale for 2024 Say-on-Pay votes, further discussing the program changes disclosed for our 2024 executive compensation program and seeking input on potential enhancements to program features and disclosures to be included in our 2025 Proxy Statement. Mr. Bush and Ms. Russo again participated in many of these meetings to ensure a direct line of communication between shareholders and our Board.</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Summary of Feedback Themes and Key Actions</w:t>
      </w:r>
    </w:p>
    <w:p>
      <w:pPr>
        <w:spacing w:after="0" w:line="99" w:lineRule="exact"/>
        <w:rPr>
          <w:sz w:val="20"/>
          <w:szCs w:val="20"/>
          <w:color w:val="auto"/>
        </w:rPr>
      </w:pPr>
    </w:p>
    <w:p>
      <w:pPr>
        <w:ind w:right="340"/>
        <w:spacing w:after="0" w:line="267" w:lineRule="auto"/>
        <w:rPr>
          <w:sz w:val="20"/>
          <w:szCs w:val="20"/>
          <w:color w:val="auto"/>
        </w:rPr>
      </w:pPr>
      <w:r>
        <w:rPr>
          <w:rFonts w:ascii="Arial" w:cs="Arial" w:eastAsia="Arial" w:hAnsi="Arial"/>
          <w:sz w:val="16"/>
          <w:szCs w:val="16"/>
          <w:color w:val="3D3935"/>
        </w:rPr>
        <w:t>In our meetings, we confirmed that shareholder concerns, including those that drove votes against our 2024 Say-on-Pay proposal, were largely related to shareholder desire for enhanced alignment of management compensation with shareholder outcomes, and that shareholders were broadly supportive of the changes we had forward-disclosed to our 2024 program, which shareholders are voting on at this Annual Meeting. We also previewed and received positive feedback on additional changes we determined to make following our 2024 Say-on-Pay vote. In these meetings, we also received valuable perspectives on opportunities to enhance our disclosure to better explain our rationale for program design and decision-making.</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3D3935"/>
        </w:rPr>
        <w:t>Below is a summary of feedback we received from our shareholders since the 2024 Annual Meeting:</w:t>
      </w:r>
    </w:p>
    <w:p>
      <w:pPr>
        <w:spacing w:after="0" w:line="162" w:lineRule="exact"/>
        <w:rPr>
          <w:sz w:val="20"/>
          <w:szCs w:val="20"/>
          <w:color w:val="auto"/>
        </w:rPr>
      </w:pPr>
    </w:p>
    <w:p>
      <w:pPr>
        <w:ind w:left="60"/>
        <w:spacing w:after="0"/>
        <w:tabs>
          <w:tab w:leader="none" w:pos="2840" w:val="left"/>
        </w:tabs>
        <w:rPr>
          <w:sz w:val="20"/>
          <w:szCs w:val="20"/>
          <w:color w:val="auto"/>
        </w:rPr>
      </w:pPr>
      <w:r>
        <w:rPr>
          <w:rFonts w:ascii="Arial" w:cs="Arial" w:eastAsia="Arial" w:hAnsi="Arial"/>
          <w:sz w:val="18"/>
          <w:szCs w:val="18"/>
          <w:b w:val="1"/>
          <w:bCs w:val="1"/>
          <w:color w:val="3D3935"/>
        </w:rPr>
        <w:t>Key Themes</w:t>
      </w:r>
      <w:r>
        <w:rPr>
          <w:sz w:val="20"/>
          <w:szCs w:val="20"/>
          <w:color w:val="auto"/>
        </w:rPr>
        <w:tab/>
      </w:r>
      <w:r>
        <w:rPr>
          <w:rFonts w:ascii="Arial" w:cs="Arial" w:eastAsia="Arial" w:hAnsi="Arial"/>
          <w:sz w:val="18"/>
          <w:szCs w:val="18"/>
          <w:b w:val="1"/>
          <w:bCs w:val="1"/>
          <w:color w:val="3D3935"/>
        </w:rPr>
        <w:t>Feedback</w:t>
      </w:r>
    </w:p>
    <w:p>
      <w:pPr>
        <w:spacing w:after="0" w:line="135" w:lineRule="exact"/>
        <w:rPr>
          <w:sz w:val="20"/>
          <w:szCs w:val="20"/>
          <w:color w:val="auto"/>
        </w:rPr>
      </w:pPr>
    </w:p>
    <w:p>
      <w:pPr>
        <w:ind w:left="3060" w:hanging="197"/>
        <w:spacing w:after="0"/>
        <w:tabs>
          <w:tab w:leader="none" w:pos="3060" w:val="left"/>
        </w:tabs>
        <w:numPr>
          <w:ilvl w:val="0"/>
          <w:numId w:val="74"/>
        </w:numPr>
        <w:rPr>
          <w:rFonts w:ascii="Arial" w:cs="Arial" w:eastAsia="Arial" w:hAnsi="Arial"/>
          <w:sz w:val="16"/>
          <w:szCs w:val="16"/>
          <w:color w:val="0072CE"/>
        </w:rPr>
      </w:pPr>
      <w:r>
        <w:rPr>
          <w:rFonts w:ascii="Arial" w:cs="Arial" w:eastAsia="Arial" w:hAnsi="Arial"/>
          <w:sz w:val="16"/>
          <w:szCs w:val="16"/>
          <w:color w:val="3D3935"/>
        </w:rPr>
        <w:t>Shareholders supported closer alignment of metrics with strategic pillars</w:t>
      </w:r>
    </w:p>
    <w:p>
      <w:pPr>
        <w:spacing w:after="0" w:line="86" w:lineRule="exact"/>
        <w:rPr>
          <w:rFonts w:ascii="Arial" w:cs="Arial" w:eastAsia="Arial" w:hAnsi="Arial"/>
          <w:sz w:val="16"/>
          <w:szCs w:val="16"/>
          <w:color w:val="0072CE"/>
        </w:rPr>
      </w:pPr>
    </w:p>
    <w:p>
      <w:pPr>
        <w:ind w:left="3060" w:hanging="197"/>
        <w:spacing w:after="0"/>
        <w:tabs>
          <w:tab w:leader="none" w:pos="3060" w:val="left"/>
        </w:tabs>
        <w:numPr>
          <w:ilvl w:val="0"/>
          <w:numId w:val="74"/>
        </w:numPr>
        <w:rPr>
          <w:rFonts w:ascii="Arial" w:cs="Arial" w:eastAsia="Arial" w:hAnsi="Arial"/>
          <w:sz w:val="16"/>
          <w:szCs w:val="16"/>
          <w:color w:val="0072CE"/>
        </w:rPr>
      </w:pPr>
      <w:r>
        <w:rPr>
          <w:rFonts w:ascii="Arial" w:cs="Arial" w:eastAsia="Arial" w:hAnsi="Arial"/>
          <w:sz w:val="16"/>
          <w:szCs w:val="16"/>
          <w:color w:val="3D3935"/>
        </w:rPr>
        <w:t>Encouragement for incorporation of EV metrics in STIP instead of LTIP due to the</w:t>
      </w:r>
    </w:p>
    <w:p>
      <w:pPr>
        <w:spacing w:after="0" w:line="31" w:lineRule="exact"/>
        <w:rPr>
          <w:sz w:val="20"/>
          <w:szCs w:val="20"/>
          <w:color w:val="auto"/>
        </w:rPr>
      </w:pPr>
    </w:p>
    <w:p>
      <w:pPr>
        <w:ind w:left="60"/>
        <w:spacing w:after="0"/>
        <w:tabs>
          <w:tab w:leader="none" w:pos="3040" w:val="left"/>
        </w:tabs>
        <w:rPr>
          <w:sz w:val="20"/>
          <w:szCs w:val="20"/>
          <w:color w:val="auto"/>
        </w:rPr>
      </w:pPr>
      <w:r>
        <w:rPr>
          <w:rFonts w:ascii="Arial" w:cs="Arial" w:eastAsia="Arial" w:hAnsi="Arial"/>
          <w:sz w:val="16"/>
          <w:szCs w:val="16"/>
          <w:b w:val="1"/>
          <w:bCs w:val="1"/>
          <w:color w:val="3D3935"/>
        </w:rPr>
        <w:t>STIP Program Design</w:t>
      </w:r>
      <w:r>
        <w:rPr>
          <w:sz w:val="20"/>
          <w:szCs w:val="20"/>
          <w:color w:val="auto"/>
        </w:rPr>
        <w:tab/>
      </w:r>
      <w:r>
        <w:rPr>
          <w:rFonts w:ascii="Arial" w:cs="Arial" w:eastAsia="Arial" w:hAnsi="Arial"/>
          <w:sz w:val="16"/>
          <w:szCs w:val="16"/>
          <w:color w:val="3D3935"/>
        </w:rPr>
        <w:t>dynamic nature of the EV market</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80" w:type="dxa"/>
            <w:vAlign w:val="bottom"/>
          </w:tcPr>
          <w:p>
            <w:pPr>
              <w:spacing w:after="0"/>
              <w:rPr>
                <w:sz w:val="18"/>
                <w:szCs w:val="18"/>
                <w:color w:val="auto"/>
              </w:rPr>
            </w:pPr>
          </w:p>
        </w:tc>
        <w:tc>
          <w:tcPr>
            <w:tcW w:w="6600" w:type="dxa"/>
            <w:vAlign w:val="bottom"/>
          </w:tcPr>
          <w:p>
            <w:pPr>
              <w:ind w:left="38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Shareholders are more focused on EV profitability than production volume</w:t>
            </w:r>
          </w:p>
        </w:tc>
        <w:tc>
          <w:tcPr>
            <w:tcW w:w="0" w:type="dxa"/>
            <w:vAlign w:val="bottom"/>
          </w:tcPr>
          <w:p>
            <w:pPr>
              <w:spacing w:after="0"/>
              <w:rPr>
                <w:sz w:val="1"/>
                <w:szCs w:val="1"/>
                <w:color w:val="auto"/>
              </w:rPr>
            </w:pPr>
          </w:p>
        </w:tc>
      </w:tr>
      <w:tr>
        <w:trPr>
          <w:trHeight w:val="270"/>
        </w:trPr>
        <w:tc>
          <w:tcPr>
            <w:tcW w:w="2480" w:type="dxa"/>
            <w:vAlign w:val="bottom"/>
          </w:tcPr>
          <w:p>
            <w:pPr>
              <w:spacing w:after="0"/>
              <w:rPr>
                <w:sz w:val="23"/>
                <w:szCs w:val="23"/>
                <w:color w:val="auto"/>
              </w:rPr>
            </w:pPr>
          </w:p>
        </w:tc>
        <w:tc>
          <w:tcPr>
            <w:tcW w:w="6600" w:type="dxa"/>
            <w:vAlign w:val="bottom"/>
          </w:tcPr>
          <w:p>
            <w:pPr>
              <w:ind w:left="38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Interest in improved metric transparency and objectivity</w:t>
            </w:r>
          </w:p>
        </w:tc>
        <w:tc>
          <w:tcPr>
            <w:tcW w:w="0" w:type="dxa"/>
            <w:vAlign w:val="bottom"/>
          </w:tcPr>
          <w:p>
            <w:pPr>
              <w:spacing w:after="0"/>
              <w:rPr>
                <w:sz w:val="1"/>
                <w:szCs w:val="1"/>
                <w:color w:val="auto"/>
              </w:rPr>
            </w:pPr>
          </w:p>
        </w:tc>
      </w:tr>
      <w:tr>
        <w:trPr>
          <w:trHeight w:val="56"/>
        </w:trPr>
        <w:tc>
          <w:tcPr>
            <w:tcW w:w="2480" w:type="dxa"/>
            <w:vAlign w:val="bottom"/>
            <w:tcBorders>
              <w:bottom w:val="single" w:sz="8" w:color="D9D9D6"/>
            </w:tcBorders>
          </w:tcPr>
          <w:p>
            <w:pPr>
              <w:spacing w:after="0"/>
              <w:rPr>
                <w:sz w:val="4"/>
                <w:szCs w:val="4"/>
                <w:color w:val="auto"/>
              </w:rPr>
            </w:pPr>
          </w:p>
        </w:tc>
        <w:tc>
          <w:tcPr>
            <w:tcW w:w="6600" w:type="dxa"/>
            <w:vAlign w:val="bottom"/>
            <w:tcBorders>
              <w:bottom w:val="single" w:sz="8" w:color="D9D9D6"/>
            </w:tcBorders>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2480" w:type="dxa"/>
            <w:vAlign w:val="bottom"/>
          </w:tcPr>
          <w:p>
            <w:pPr>
              <w:spacing w:after="0"/>
              <w:rPr>
                <w:sz w:val="24"/>
                <w:szCs w:val="24"/>
                <w:color w:val="auto"/>
              </w:rPr>
            </w:pPr>
          </w:p>
        </w:tc>
        <w:tc>
          <w:tcPr>
            <w:tcW w:w="6600" w:type="dxa"/>
            <w:vAlign w:val="bottom"/>
          </w:tcPr>
          <w:p>
            <w:pPr>
              <w:ind w:left="38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Shareholders generally expressed preference for RSUs in lieu of options</w:t>
            </w:r>
          </w:p>
        </w:tc>
        <w:tc>
          <w:tcPr>
            <w:tcW w:w="0" w:type="dxa"/>
            <w:vAlign w:val="bottom"/>
          </w:tcPr>
          <w:p>
            <w:pPr>
              <w:spacing w:after="0"/>
              <w:rPr>
                <w:sz w:val="1"/>
                <w:szCs w:val="1"/>
                <w:color w:val="auto"/>
              </w:rPr>
            </w:pPr>
          </w:p>
        </w:tc>
      </w:tr>
      <w:tr>
        <w:trPr>
          <w:trHeight w:val="270"/>
        </w:trPr>
        <w:tc>
          <w:tcPr>
            <w:tcW w:w="2480" w:type="dxa"/>
            <w:vAlign w:val="bottom"/>
          </w:tcPr>
          <w:p>
            <w:pPr>
              <w:ind w:left="60"/>
              <w:spacing w:after="0"/>
              <w:rPr>
                <w:sz w:val="20"/>
                <w:szCs w:val="20"/>
                <w:color w:val="auto"/>
              </w:rPr>
            </w:pPr>
            <w:r>
              <w:rPr>
                <w:rFonts w:ascii="Arial" w:cs="Arial" w:eastAsia="Arial" w:hAnsi="Arial"/>
                <w:sz w:val="16"/>
                <w:szCs w:val="16"/>
                <w:b w:val="1"/>
                <w:bCs w:val="1"/>
                <w:color w:val="3D3935"/>
              </w:rPr>
              <w:t>LTIP Program Design</w:t>
            </w:r>
          </w:p>
        </w:tc>
        <w:tc>
          <w:tcPr>
            <w:tcW w:w="6600" w:type="dxa"/>
            <w:vAlign w:val="bottom"/>
          </w:tcPr>
          <w:p>
            <w:pPr>
              <w:ind w:left="38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Shareholders were supportive of requiring above-median relative TSR</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6600" w:type="dxa"/>
            <w:vAlign w:val="bottom"/>
          </w:tcPr>
          <w:p>
            <w:pPr>
              <w:ind w:left="580"/>
              <w:spacing w:after="0"/>
              <w:rPr>
                <w:sz w:val="20"/>
                <w:szCs w:val="20"/>
                <w:color w:val="auto"/>
              </w:rPr>
            </w:pPr>
            <w:r>
              <w:rPr>
                <w:rFonts w:ascii="Arial" w:cs="Arial" w:eastAsia="Arial" w:hAnsi="Arial"/>
                <w:sz w:val="16"/>
                <w:szCs w:val="16"/>
                <w:color w:val="3D3935"/>
              </w:rPr>
              <w:t>performance to achieve target payout on our PSUs</w:t>
            </w:r>
          </w:p>
        </w:tc>
        <w:tc>
          <w:tcPr>
            <w:tcW w:w="0" w:type="dxa"/>
            <w:vAlign w:val="bottom"/>
          </w:tcPr>
          <w:p>
            <w:pPr>
              <w:spacing w:after="0"/>
              <w:rPr>
                <w:sz w:val="1"/>
                <w:szCs w:val="1"/>
                <w:color w:val="auto"/>
              </w:rPr>
            </w:pPr>
          </w:p>
        </w:tc>
      </w:tr>
      <w:tr>
        <w:trPr>
          <w:trHeight w:val="56"/>
        </w:trPr>
        <w:tc>
          <w:tcPr>
            <w:tcW w:w="2480" w:type="dxa"/>
            <w:vAlign w:val="bottom"/>
            <w:tcBorders>
              <w:bottom w:val="single" w:sz="8" w:color="D9D9D6"/>
            </w:tcBorders>
          </w:tcPr>
          <w:p>
            <w:pPr>
              <w:spacing w:after="0"/>
              <w:rPr>
                <w:sz w:val="4"/>
                <w:szCs w:val="4"/>
                <w:color w:val="auto"/>
              </w:rPr>
            </w:pPr>
          </w:p>
        </w:tc>
        <w:tc>
          <w:tcPr>
            <w:tcW w:w="6600" w:type="dxa"/>
            <w:vAlign w:val="bottom"/>
            <w:tcBorders>
              <w:bottom w:val="single" w:sz="8" w:color="D9D9D6"/>
            </w:tcBorders>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2480" w:type="dxa"/>
            <w:vAlign w:val="bottom"/>
            <w:vMerge w:val="restart"/>
          </w:tcPr>
          <w:p>
            <w:pPr>
              <w:ind w:left="60"/>
              <w:spacing w:after="0"/>
              <w:rPr>
                <w:sz w:val="20"/>
                <w:szCs w:val="20"/>
                <w:color w:val="auto"/>
              </w:rPr>
            </w:pPr>
            <w:r>
              <w:rPr>
                <w:rFonts w:ascii="Arial" w:cs="Arial" w:eastAsia="Arial" w:hAnsi="Arial"/>
                <w:sz w:val="16"/>
                <w:szCs w:val="16"/>
                <w:b w:val="1"/>
                <w:bCs w:val="1"/>
                <w:color w:val="3D3935"/>
              </w:rPr>
              <w:t>Target Rigor</w:t>
            </w:r>
          </w:p>
        </w:tc>
        <w:tc>
          <w:tcPr>
            <w:tcW w:w="6600" w:type="dxa"/>
            <w:vAlign w:val="bottom"/>
          </w:tcPr>
          <w:p>
            <w:pPr>
              <w:ind w:left="38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Interest in more robust disclosure regarding target-setting process to assess</w:t>
            </w:r>
          </w:p>
        </w:tc>
        <w:tc>
          <w:tcPr>
            <w:tcW w:w="0" w:type="dxa"/>
            <w:vAlign w:val="bottom"/>
          </w:tcPr>
          <w:p>
            <w:pPr>
              <w:spacing w:after="0"/>
              <w:rPr>
                <w:sz w:val="1"/>
                <w:szCs w:val="1"/>
                <w:color w:val="auto"/>
              </w:rPr>
            </w:pPr>
          </w:p>
        </w:tc>
      </w:tr>
      <w:tr>
        <w:trPr>
          <w:trHeight w:val="116"/>
        </w:trPr>
        <w:tc>
          <w:tcPr>
            <w:tcW w:w="2480" w:type="dxa"/>
            <w:vAlign w:val="bottom"/>
            <w:vMerge w:val="continue"/>
          </w:tcPr>
          <w:p>
            <w:pPr>
              <w:spacing w:after="0"/>
              <w:rPr>
                <w:sz w:val="10"/>
                <w:szCs w:val="10"/>
                <w:color w:val="auto"/>
              </w:rPr>
            </w:pPr>
          </w:p>
        </w:tc>
        <w:tc>
          <w:tcPr>
            <w:tcW w:w="6600" w:type="dxa"/>
            <w:vAlign w:val="bottom"/>
            <w:vMerge w:val="restart"/>
          </w:tcPr>
          <w:p>
            <w:pPr>
              <w:ind w:left="580"/>
              <w:spacing w:after="0"/>
              <w:rPr>
                <w:sz w:val="20"/>
                <w:szCs w:val="20"/>
                <w:color w:val="auto"/>
              </w:rPr>
            </w:pPr>
            <w:r>
              <w:rPr>
                <w:rFonts w:ascii="Arial" w:cs="Arial" w:eastAsia="Arial" w:hAnsi="Arial"/>
                <w:sz w:val="16"/>
                <w:szCs w:val="16"/>
                <w:color w:val="3D3935"/>
              </w:rPr>
              <w:t>rigor and performance</w:t>
            </w:r>
          </w:p>
        </w:tc>
        <w:tc>
          <w:tcPr>
            <w:tcW w:w="0" w:type="dxa"/>
            <w:vAlign w:val="bottom"/>
          </w:tcPr>
          <w:p>
            <w:pPr>
              <w:spacing w:after="0"/>
              <w:rPr>
                <w:sz w:val="1"/>
                <w:szCs w:val="1"/>
                <w:color w:val="auto"/>
              </w:rPr>
            </w:pPr>
          </w:p>
        </w:tc>
      </w:tr>
      <w:tr>
        <w:trPr>
          <w:trHeight w:val="100"/>
        </w:trPr>
        <w:tc>
          <w:tcPr>
            <w:tcW w:w="2480" w:type="dxa"/>
            <w:vAlign w:val="bottom"/>
          </w:tcPr>
          <w:p>
            <w:pPr>
              <w:spacing w:after="0"/>
              <w:rPr>
                <w:sz w:val="8"/>
                <w:szCs w:val="8"/>
                <w:color w:val="auto"/>
              </w:rPr>
            </w:pPr>
          </w:p>
        </w:tc>
        <w:tc>
          <w:tcPr>
            <w:tcW w:w="6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480" w:type="dxa"/>
            <w:vAlign w:val="bottom"/>
            <w:tcBorders>
              <w:bottom w:val="single" w:sz="8" w:color="D9D9D6"/>
            </w:tcBorders>
          </w:tcPr>
          <w:p>
            <w:pPr>
              <w:spacing w:after="0"/>
              <w:rPr>
                <w:sz w:val="4"/>
                <w:szCs w:val="4"/>
                <w:color w:val="auto"/>
              </w:rPr>
            </w:pPr>
          </w:p>
        </w:tc>
        <w:tc>
          <w:tcPr>
            <w:tcW w:w="6600" w:type="dxa"/>
            <w:vAlign w:val="bottom"/>
            <w:tcBorders>
              <w:bottom w:val="single" w:sz="8" w:color="D9D9D6"/>
            </w:tcBorders>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480" w:type="dxa"/>
            <w:vAlign w:val="bottom"/>
          </w:tcPr>
          <w:p>
            <w:pPr>
              <w:ind w:left="60"/>
              <w:spacing w:after="0"/>
              <w:rPr>
                <w:sz w:val="20"/>
                <w:szCs w:val="20"/>
                <w:color w:val="auto"/>
              </w:rPr>
            </w:pPr>
            <w:r>
              <w:rPr>
                <w:rFonts w:ascii="Arial" w:cs="Arial" w:eastAsia="Arial" w:hAnsi="Arial"/>
                <w:sz w:val="16"/>
                <w:szCs w:val="16"/>
                <w:b w:val="1"/>
                <w:bCs w:val="1"/>
                <w:color w:val="3D3935"/>
              </w:rPr>
              <w:t>Compensation Peer Group</w:t>
            </w:r>
          </w:p>
        </w:tc>
        <w:tc>
          <w:tcPr>
            <w:tcW w:w="6600" w:type="dxa"/>
            <w:vAlign w:val="bottom"/>
          </w:tcPr>
          <w:p>
            <w:pPr>
              <w:ind w:left="38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Interest in better understanding rationale for compensation peer group selection</w:t>
            </w:r>
          </w:p>
        </w:tc>
        <w:tc>
          <w:tcPr>
            <w:tcW w:w="0" w:type="dxa"/>
            <w:vAlign w:val="bottom"/>
          </w:tcPr>
          <w:p>
            <w:pPr>
              <w:spacing w:after="0"/>
              <w:rPr>
                <w:sz w:val="1"/>
                <w:szCs w:val="1"/>
                <w:color w:val="auto"/>
              </w:rPr>
            </w:pPr>
          </w:p>
        </w:tc>
      </w:tr>
      <w:tr>
        <w:trPr>
          <w:trHeight w:val="48"/>
        </w:trPr>
        <w:tc>
          <w:tcPr>
            <w:tcW w:w="2480" w:type="dxa"/>
            <w:vAlign w:val="bottom"/>
            <w:tcBorders>
              <w:bottom w:val="single" w:sz="8" w:color="0072CE"/>
            </w:tcBorders>
          </w:tcPr>
          <w:p>
            <w:pPr>
              <w:spacing w:after="0"/>
              <w:rPr>
                <w:sz w:val="4"/>
                <w:szCs w:val="4"/>
                <w:color w:val="auto"/>
              </w:rPr>
            </w:pPr>
          </w:p>
        </w:tc>
        <w:tc>
          <w:tcPr>
            <w:tcW w:w="6600" w:type="dxa"/>
            <w:vAlign w:val="bottom"/>
            <w:tcBorders>
              <w:bottom w:val="single" w:sz="8" w:color="0072CE"/>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24422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10375" cy="2442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Company Perspective and Key Actions</w:t>
      </w:r>
    </w:p>
    <w:p>
      <w:pPr>
        <w:spacing w:after="0" w:line="99" w:lineRule="exact"/>
        <w:rPr>
          <w:sz w:val="20"/>
          <w:szCs w:val="20"/>
          <w:color w:val="auto"/>
        </w:rPr>
      </w:pPr>
    </w:p>
    <w:p>
      <w:pPr>
        <w:ind w:right="360"/>
        <w:spacing w:after="0" w:line="287" w:lineRule="auto"/>
        <w:rPr>
          <w:sz w:val="20"/>
          <w:szCs w:val="20"/>
          <w:color w:val="auto"/>
        </w:rPr>
      </w:pPr>
      <w:r>
        <w:rPr>
          <w:rFonts w:ascii="Arial" w:cs="Arial" w:eastAsia="Arial" w:hAnsi="Arial"/>
          <w:sz w:val="16"/>
          <w:szCs w:val="16"/>
          <w:color w:val="3D3935"/>
        </w:rPr>
        <w:t>The Compensation Committee continually seeks to enhance the compensation program and undergoes its normal course processes for doing so on an annual basis. Conversations with stakeholders, including business leaders and Company shareholders (as described above), serve as a valuable input to the Committee’s ongoing process. Below is a summary of changes made to our programs as a result of the Committee’s internal evaluation and analysis and feedback received from shareholders. We believe the program changes previously disclosed, in addition to further changes made subsequent to our 2024 Say-on-Pay vote (summarized below), collectively respond to key shareholder concerns and demonstrate the Compensation Committee and Board’s commitment to its process of evaluating the compensation program on a continuous basis and to take responsive action to the 2024 vote.</w:t>
      </w:r>
    </w:p>
    <w:p>
      <w:pPr>
        <w:sectPr>
          <w:pgSz w:w="11900" w:h="16838" w:orient="portrait"/>
          <w:cols w:equalWidth="0" w:num="1">
            <w:col w:w="9240"/>
          </w:cols>
          <w:pgMar w:left="1400" w:top="0" w:right="1259" w:bottom="0" w:gutter="0" w:footer="0" w:header="0"/>
        </w:sectPr>
      </w:pPr>
    </w:p>
    <w:p>
      <w:pPr>
        <w:spacing w:after="0" w:line="179" w:lineRule="exact"/>
        <w:rPr>
          <w:sz w:val="20"/>
          <w:szCs w:val="20"/>
          <w:color w:val="auto"/>
        </w:rPr>
      </w:pPr>
    </w:p>
    <w:p>
      <w:pPr>
        <w:ind w:left="60"/>
        <w:spacing w:after="0"/>
        <w:tabs>
          <w:tab w:leader="none" w:pos="4000" w:val="left"/>
        </w:tabs>
        <w:rPr>
          <w:sz w:val="20"/>
          <w:szCs w:val="20"/>
          <w:color w:val="auto"/>
        </w:rPr>
      </w:pPr>
      <w:r>
        <w:rPr>
          <w:rFonts w:ascii="Arial" w:cs="Arial" w:eastAsia="Arial" w:hAnsi="Arial"/>
          <w:sz w:val="18"/>
          <w:szCs w:val="18"/>
          <w:b w:val="1"/>
          <w:bCs w:val="1"/>
          <w:color w:val="3D3935"/>
        </w:rPr>
        <w:t>Key Themes</w:t>
      </w:r>
      <w:r>
        <w:rPr>
          <w:sz w:val="20"/>
          <w:szCs w:val="20"/>
          <w:color w:val="auto"/>
        </w:rPr>
        <w:tab/>
      </w:r>
      <w:r>
        <w:rPr>
          <w:rFonts w:ascii="Arial" w:cs="Arial" w:eastAsia="Arial" w:hAnsi="Arial"/>
          <w:sz w:val="17"/>
          <w:szCs w:val="17"/>
          <w:b w:val="1"/>
          <w:bCs w:val="1"/>
          <w:color w:val="3D3935"/>
        </w:rPr>
        <w:t>Company Perspective and Key Actions</w:t>
      </w:r>
    </w:p>
    <w:p>
      <w:pPr>
        <w:sectPr>
          <w:pgSz w:w="11900" w:h="16838" w:orient="portrait"/>
          <w:cols w:equalWidth="0" w:num="1">
            <w:col w:w="9240"/>
          </w:cols>
          <w:pgMar w:left="1400" w:top="0" w:right="1259" w:bottom="0" w:gutter="0" w:footer="0" w:header="0"/>
          <w:type w:val="continuous"/>
        </w:sectPr>
      </w:pPr>
    </w:p>
    <w:bookmarkStart w:id="47" w:name="page48"/>
    <w:bookmarkEnd w:id="47"/>
    <w:tbl>
      <w:tblPr>
        <w:tblLayout w:type="fixed"/>
        <w:tblInd w:w="10" w:type="dxa"/>
        <w:tblCellMar>
          <w:top w:w="0" w:type="dxa"/>
          <w:left w:w="0" w:type="dxa"/>
          <w:bottom w:w="0" w:type="dxa"/>
          <w:right w:w="0" w:type="dxa"/>
        </w:tblCellMar>
      </w:tblPr>
      <w:tr>
        <w:trPr>
          <w:trHeight w:val="184"/>
        </w:trPr>
        <w:tc>
          <w:tcPr>
            <w:tcW w:w="820" w:type="dxa"/>
            <w:vAlign w:val="bottom"/>
            <w:tcBorders>
              <w:left w:val="single" w:sz="8" w:color="CCCCCC"/>
            </w:tcBorders>
          </w:tcPr>
          <w:p>
            <w:pPr>
              <w:spacing w:after="0"/>
              <w:rPr>
                <w:sz w:val="16"/>
                <w:szCs w:val="16"/>
                <w:color w:val="auto"/>
              </w:rPr>
            </w:pPr>
          </w:p>
        </w:tc>
        <w:tc>
          <w:tcPr>
            <w:tcW w:w="1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0" w:type="dxa"/>
            <w:vAlign w:val="bottom"/>
            <w:gridSpan w:val="2"/>
          </w:tcPr>
          <w:p>
            <w:pPr>
              <w:ind w:left="60"/>
              <w:spacing w:after="0"/>
              <w:rPr>
                <w:sz w:val="20"/>
                <w:szCs w:val="20"/>
                <w:color w:val="auto"/>
              </w:rPr>
            </w:pPr>
            <w:r>
              <w:rPr>
                <w:rFonts w:ascii="Arial" w:cs="Arial" w:eastAsia="Arial" w:hAnsi="Arial"/>
                <w:sz w:val="16"/>
                <w:szCs w:val="16"/>
                <w:b w:val="1"/>
                <w:bCs w:val="1"/>
                <w:color w:val="3D3935"/>
              </w:rPr>
              <w:t xml:space="preserve">Incorporating EV, S&amp;S,   </w:t>
            </w:r>
            <w:r>
              <w:rPr>
                <w:rFonts w:ascii="Arial" w:cs="Arial" w:eastAsia="Arial" w:hAnsi="Arial"/>
                <w:sz w:val="16"/>
                <w:szCs w:val="16"/>
                <w:color w:val="0072CE"/>
              </w:rPr>
              <w:t>•</w:t>
            </w:r>
          </w:p>
        </w:tc>
        <w:tc>
          <w:tcPr>
            <w:tcW w:w="4620" w:type="dxa"/>
            <w:vAlign w:val="bottom"/>
          </w:tcPr>
          <w:p>
            <w:pPr>
              <w:ind w:left="80"/>
              <w:spacing w:after="0"/>
              <w:rPr>
                <w:sz w:val="20"/>
                <w:szCs w:val="20"/>
                <w:color w:val="auto"/>
              </w:rPr>
            </w:pPr>
            <w:r>
              <w:rPr>
                <w:rFonts w:ascii="Arial" w:cs="Arial" w:eastAsia="Arial" w:hAnsi="Arial"/>
                <w:sz w:val="16"/>
                <w:szCs w:val="16"/>
                <w:color w:val="3D3935"/>
              </w:rPr>
              <w:t>Starting in 2024, incorporated EV (25% of STIP), S&amp;S (10% of</w:t>
            </w:r>
          </w:p>
        </w:tc>
        <w:tc>
          <w:tcPr>
            <w:tcW w:w="260" w:type="dxa"/>
            <w:vAlign w:val="bottom"/>
          </w:tcPr>
          <w:p>
            <w:pPr>
              <w:spacing w:after="0"/>
              <w:rPr>
                <w:sz w:val="16"/>
                <w:szCs w:val="16"/>
                <w:color w:val="auto"/>
              </w:rPr>
            </w:pPr>
          </w:p>
        </w:tc>
        <w:tc>
          <w:tcPr>
            <w:tcW w:w="82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20" w:type="dxa"/>
            <w:vAlign w:val="bottom"/>
            <w:tcBorders>
              <w:left w:val="single" w:sz="8" w:color="CCCCCC"/>
            </w:tcBorders>
          </w:tcPr>
          <w:p>
            <w:pPr>
              <w:spacing w:after="0"/>
              <w:rPr>
                <w:sz w:val="11"/>
                <w:szCs w:val="11"/>
                <w:color w:val="auto"/>
              </w:rPr>
            </w:pPr>
          </w:p>
        </w:tc>
        <w:tc>
          <w:tcPr>
            <w:tcW w:w="1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960" w:type="dxa"/>
            <w:vAlign w:val="bottom"/>
            <w:vMerge w:val="restart"/>
          </w:tcPr>
          <w:p>
            <w:pPr>
              <w:ind w:left="60"/>
              <w:spacing w:after="0"/>
              <w:rPr>
                <w:sz w:val="20"/>
                <w:szCs w:val="20"/>
                <w:color w:val="auto"/>
              </w:rPr>
            </w:pPr>
            <w:r>
              <w:rPr>
                <w:rFonts w:ascii="Arial" w:cs="Arial" w:eastAsia="Arial" w:hAnsi="Arial"/>
                <w:sz w:val="16"/>
                <w:szCs w:val="16"/>
                <w:b w:val="1"/>
                <w:bCs w:val="1"/>
                <w:color w:val="3D3935"/>
              </w:rPr>
              <w:t>and AV Goals that Align</w:t>
            </w:r>
          </w:p>
        </w:tc>
        <w:tc>
          <w:tcPr>
            <w:tcW w:w="240" w:type="dxa"/>
            <w:vAlign w:val="bottom"/>
          </w:tcPr>
          <w:p>
            <w:pPr>
              <w:spacing w:after="0"/>
              <w:rPr>
                <w:sz w:val="11"/>
                <w:szCs w:val="11"/>
                <w:color w:val="auto"/>
              </w:rPr>
            </w:pPr>
          </w:p>
        </w:tc>
        <w:tc>
          <w:tcPr>
            <w:tcW w:w="4620" w:type="dxa"/>
            <w:vAlign w:val="bottom"/>
          </w:tcPr>
          <w:p>
            <w:pPr>
              <w:ind w:left="80"/>
              <w:spacing w:after="0" w:line="135" w:lineRule="exact"/>
              <w:rPr>
                <w:sz w:val="20"/>
                <w:szCs w:val="20"/>
                <w:color w:val="auto"/>
              </w:rPr>
            </w:pPr>
            <w:r>
              <w:rPr>
                <w:rFonts w:ascii="Arial" w:cs="Arial" w:eastAsia="Arial" w:hAnsi="Arial"/>
                <w:sz w:val="15"/>
                <w:szCs w:val="15"/>
                <w:color w:val="3D3935"/>
              </w:rPr>
              <w:t>STIP), and AV (5% of STIP) goals to better align with the</w:t>
            </w:r>
          </w:p>
        </w:tc>
        <w:tc>
          <w:tcPr>
            <w:tcW w:w="260" w:type="dxa"/>
            <w:vAlign w:val="bottom"/>
          </w:tcPr>
          <w:p>
            <w:pPr>
              <w:spacing w:after="0"/>
              <w:rPr>
                <w:sz w:val="11"/>
                <w:szCs w:val="11"/>
                <w:color w:val="auto"/>
              </w:rPr>
            </w:pPr>
          </w:p>
        </w:tc>
        <w:tc>
          <w:tcPr>
            <w:tcW w:w="82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820" w:type="dxa"/>
            <w:vAlign w:val="bottom"/>
            <w:tcBorders>
              <w:left w:val="single" w:sz="8" w:color="CCCCCC"/>
            </w:tcBorders>
          </w:tcPr>
          <w:p>
            <w:pPr>
              <w:spacing w:after="0"/>
              <w:rPr>
                <w:sz w:val="10"/>
                <w:szCs w:val="10"/>
                <w:color w:val="auto"/>
              </w:rPr>
            </w:pPr>
          </w:p>
        </w:tc>
        <w:tc>
          <w:tcPr>
            <w:tcW w:w="1300" w:type="dxa"/>
            <w:vAlign w:val="bottom"/>
          </w:tcPr>
          <w:p>
            <w:pPr>
              <w:spacing w:after="0"/>
              <w:rPr>
                <w:sz w:val="10"/>
                <w:szCs w:val="10"/>
                <w:color w:val="auto"/>
              </w:rPr>
            </w:pPr>
          </w:p>
        </w:tc>
        <w:tc>
          <w:tcPr>
            <w:tcW w:w="700" w:type="dxa"/>
            <w:vAlign w:val="bottom"/>
            <w:shd w:val="clear" w:color="auto" w:fill="F0F3F6"/>
          </w:tcPr>
          <w:p>
            <w:pPr>
              <w:spacing w:after="0"/>
              <w:rPr>
                <w:sz w:val="10"/>
                <w:szCs w:val="10"/>
                <w:color w:val="auto"/>
              </w:rPr>
            </w:pPr>
          </w:p>
        </w:tc>
        <w:tc>
          <w:tcPr>
            <w:tcW w:w="19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4620" w:type="dxa"/>
            <w:vAlign w:val="bottom"/>
            <w:vMerge w:val="restart"/>
          </w:tcPr>
          <w:p>
            <w:pPr>
              <w:ind w:left="80"/>
              <w:spacing w:after="0"/>
              <w:rPr>
                <w:sz w:val="20"/>
                <w:szCs w:val="20"/>
                <w:color w:val="auto"/>
              </w:rPr>
            </w:pPr>
            <w:r>
              <w:rPr>
                <w:rFonts w:ascii="Arial" w:cs="Arial" w:eastAsia="Arial" w:hAnsi="Arial"/>
                <w:sz w:val="16"/>
                <w:szCs w:val="16"/>
                <w:color w:val="3D3935"/>
              </w:rPr>
              <w:t>strategic pillars of our business and the pace of the Company’s</w:t>
            </w:r>
          </w:p>
        </w:tc>
        <w:tc>
          <w:tcPr>
            <w:tcW w:w="260" w:type="dxa"/>
            <w:vAlign w:val="bottom"/>
          </w:tcPr>
          <w:p>
            <w:pPr>
              <w:spacing w:after="0"/>
              <w:rPr>
                <w:sz w:val="10"/>
                <w:szCs w:val="10"/>
                <w:color w:val="auto"/>
              </w:rPr>
            </w:pPr>
          </w:p>
        </w:tc>
        <w:tc>
          <w:tcPr>
            <w:tcW w:w="820" w:type="dxa"/>
            <w:vAlign w:val="bottom"/>
            <w:tcBorders>
              <w:right w:val="single" w:sz="8" w:color="CCCCCC"/>
            </w:tcBorders>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820" w:type="dxa"/>
            <w:vAlign w:val="bottom"/>
            <w:tcBorders>
              <w:left w:val="single" w:sz="8" w:color="CCCCCC"/>
            </w:tcBorders>
          </w:tcPr>
          <w:p>
            <w:pPr>
              <w:spacing w:after="0"/>
              <w:rPr>
                <w:sz w:val="9"/>
                <w:szCs w:val="9"/>
                <w:color w:val="auto"/>
              </w:rPr>
            </w:pPr>
          </w:p>
        </w:tc>
        <w:tc>
          <w:tcPr>
            <w:tcW w:w="1300" w:type="dxa"/>
            <w:vAlign w:val="bottom"/>
          </w:tcPr>
          <w:p>
            <w:pPr>
              <w:spacing w:after="0"/>
              <w:rPr>
                <w:sz w:val="9"/>
                <w:szCs w:val="9"/>
                <w:color w:val="auto"/>
              </w:rPr>
            </w:pPr>
          </w:p>
        </w:tc>
        <w:tc>
          <w:tcPr>
            <w:tcW w:w="700" w:type="dxa"/>
            <w:vAlign w:val="bottom"/>
            <w:shd w:val="clear" w:color="auto" w:fill="F0F3F6"/>
          </w:tcPr>
          <w:p>
            <w:pPr>
              <w:spacing w:after="0"/>
              <w:rPr>
                <w:sz w:val="9"/>
                <w:szCs w:val="9"/>
                <w:color w:val="auto"/>
              </w:rPr>
            </w:pPr>
          </w:p>
        </w:tc>
        <w:tc>
          <w:tcPr>
            <w:tcW w:w="1960" w:type="dxa"/>
            <w:vAlign w:val="bottom"/>
            <w:vMerge w:val="restart"/>
          </w:tcPr>
          <w:p>
            <w:pPr>
              <w:ind w:left="60"/>
              <w:spacing w:after="0"/>
              <w:rPr>
                <w:sz w:val="20"/>
                <w:szCs w:val="20"/>
                <w:color w:val="auto"/>
              </w:rPr>
            </w:pPr>
            <w:r>
              <w:rPr>
                <w:rFonts w:ascii="Arial" w:cs="Arial" w:eastAsia="Arial" w:hAnsi="Arial"/>
                <w:sz w:val="16"/>
                <w:szCs w:val="16"/>
                <w:b w:val="1"/>
                <w:bCs w:val="1"/>
                <w:color w:val="3D3935"/>
              </w:rPr>
              <w:t>with Company Strategy</w:t>
            </w:r>
          </w:p>
        </w:tc>
        <w:tc>
          <w:tcPr>
            <w:tcW w:w="240" w:type="dxa"/>
            <w:vAlign w:val="bottom"/>
          </w:tcPr>
          <w:p>
            <w:pPr>
              <w:spacing w:after="0"/>
              <w:rPr>
                <w:sz w:val="9"/>
                <w:szCs w:val="9"/>
                <w:color w:val="auto"/>
              </w:rPr>
            </w:pPr>
          </w:p>
        </w:tc>
        <w:tc>
          <w:tcPr>
            <w:tcW w:w="4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Borders>
              <w:right w:val="single" w:sz="8" w:color="CCCCCC"/>
            </w:tcBorders>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820" w:type="dxa"/>
            <w:vAlign w:val="bottom"/>
            <w:tcBorders>
              <w:left w:val="single" w:sz="8" w:color="CCCCCC"/>
            </w:tcBorders>
          </w:tcPr>
          <w:p>
            <w:pPr>
              <w:spacing w:after="0"/>
              <w:rPr>
                <w:sz w:val="10"/>
                <w:szCs w:val="10"/>
                <w:color w:val="auto"/>
              </w:rPr>
            </w:pPr>
          </w:p>
        </w:tc>
        <w:tc>
          <w:tcPr>
            <w:tcW w:w="1300" w:type="dxa"/>
            <w:vAlign w:val="bottom"/>
          </w:tcPr>
          <w:p>
            <w:pPr>
              <w:spacing w:after="0"/>
              <w:rPr>
                <w:sz w:val="10"/>
                <w:szCs w:val="10"/>
                <w:color w:val="auto"/>
              </w:rPr>
            </w:pPr>
          </w:p>
        </w:tc>
        <w:tc>
          <w:tcPr>
            <w:tcW w:w="700" w:type="dxa"/>
            <w:vAlign w:val="bottom"/>
            <w:shd w:val="clear" w:color="auto" w:fill="F0F3F6"/>
          </w:tcPr>
          <w:p>
            <w:pPr>
              <w:spacing w:after="0"/>
              <w:rPr>
                <w:sz w:val="10"/>
                <w:szCs w:val="10"/>
                <w:color w:val="auto"/>
              </w:rPr>
            </w:pPr>
          </w:p>
        </w:tc>
        <w:tc>
          <w:tcPr>
            <w:tcW w:w="19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4620" w:type="dxa"/>
            <w:vAlign w:val="bottom"/>
            <w:vMerge w:val="restart"/>
          </w:tcPr>
          <w:p>
            <w:pPr>
              <w:ind w:left="80"/>
              <w:spacing w:after="0"/>
              <w:rPr>
                <w:sz w:val="20"/>
                <w:szCs w:val="20"/>
                <w:color w:val="auto"/>
              </w:rPr>
            </w:pPr>
            <w:r>
              <w:rPr>
                <w:rFonts w:ascii="Arial" w:cs="Arial" w:eastAsia="Arial" w:hAnsi="Arial"/>
                <w:sz w:val="16"/>
                <w:szCs w:val="16"/>
                <w:color w:val="3D3935"/>
              </w:rPr>
              <w:t>transformation strategy</w:t>
            </w:r>
          </w:p>
        </w:tc>
        <w:tc>
          <w:tcPr>
            <w:tcW w:w="260" w:type="dxa"/>
            <w:vAlign w:val="bottom"/>
          </w:tcPr>
          <w:p>
            <w:pPr>
              <w:spacing w:after="0"/>
              <w:rPr>
                <w:sz w:val="10"/>
                <w:szCs w:val="10"/>
                <w:color w:val="auto"/>
              </w:rPr>
            </w:pPr>
          </w:p>
        </w:tc>
        <w:tc>
          <w:tcPr>
            <w:tcW w:w="820" w:type="dxa"/>
            <w:vAlign w:val="bottom"/>
            <w:tcBorders>
              <w:right w:val="single" w:sz="8" w:color="CCCCCC"/>
            </w:tcBorders>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820" w:type="dxa"/>
            <w:vAlign w:val="bottom"/>
            <w:tcBorders>
              <w:left w:val="single" w:sz="8" w:color="CCCCCC"/>
            </w:tcBorders>
          </w:tcPr>
          <w:p>
            <w:pPr>
              <w:spacing w:after="0"/>
              <w:rPr>
                <w:sz w:val="8"/>
                <w:szCs w:val="8"/>
                <w:color w:val="auto"/>
              </w:rPr>
            </w:pPr>
          </w:p>
        </w:tc>
        <w:tc>
          <w:tcPr>
            <w:tcW w:w="1300" w:type="dxa"/>
            <w:vAlign w:val="bottom"/>
          </w:tcPr>
          <w:p>
            <w:pPr>
              <w:spacing w:after="0"/>
              <w:rPr>
                <w:sz w:val="8"/>
                <w:szCs w:val="8"/>
                <w:color w:val="auto"/>
              </w:rPr>
            </w:pPr>
          </w:p>
        </w:tc>
        <w:tc>
          <w:tcPr>
            <w:tcW w:w="700" w:type="dxa"/>
            <w:vAlign w:val="bottom"/>
            <w:shd w:val="clear" w:color="auto" w:fill="F0F3F6"/>
          </w:tcPr>
          <w:p>
            <w:pPr>
              <w:spacing w:after="0"/>
              <w:rPr>
                <w:sz w:val="8"/>
                <w:szCs w:val="8"/>
                <w:color w:val="auto"/>
              </w:rPr>
            </w:pPr>
          </w:p>
        </w:tc>
        <w:tc>
          <w:tcPr>
            <w:tcW w:w="1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Borders>
              <w:right w:val="single" w:sz="8" w:color="CCCCCC"/>
            </w:tcBorders>
          </w:tcPr>
          <w:p>
            <w:pPr>
              <w:spacing w:after="0"/>
              <w:rPr>
                <w:sz w:val="8"/>
                <w:szCs w:val="8"/>
                <w:color w:val="auto"/>
              </w:rPr>
            </w:pPr>
          </w:p>
        </w:tc>
        <w:tc>
          <w:tcPr>
            <w:tcW w:w="0" w:type="dxa"/>
            <w:vAlign w:val="bottom"/>
          </w:tcPr>
          <w:p>
            <w:pPr>
              <w:spacing w:after="0"/>
              <w:rPr>
                <w:sz w:val="1"/>
                <w:szCs w:val="1"/>
                <w:color w:val="auto"/>
              </w:rPr>
            </w:pPr>
          </w:p>
        </w:tc>
      </w:tr>
      <w:tr>
        <w:trPr>
          <w:trHeight w:val="433"/>
        </w:trPr>
        <w:tc>
          <w:tcPr>
            <w:tcW w:w="820" w:type="dxa"/>
            <w:vAlign w:val="bottom"/>
            <w:tcBorders>
              <w:left w:val="single" w:sz="8" w:color="CCCCCC"/>
            </w:tcBorders>
          </w:tcPr>
          <w:p>
            <w:pPr>
              <w:spacing w:after="0"/>
              <w:rPr>
                <w:sz w:val="24"/>
                <w:szCs w:val="24"/>
                <w:color w:val="auto"/>
              </w:rPr>
            </w:pPr>
          </w:p>
        </w:tc>
        <w:tc>
          <w:tcPr>
            <w:tcW w:w="1300" w:type="dxa"/>
            <w:vAlign w:val="bottom"/>
            <w:vMerge w:val="restart"/>
          </w:tcPr>
          <w:p>
            <w:pPr>
              <w:ind w:left="60"/>
              <w:spacing w:after="0"/>
              <w:rPr>
                <w:sz w:val="20"/>
                <w:szCs w:val="20"/>
                <w:color w:val="auto"/>
              </w:rPr>
            </w:pPr>
            <w:r>
              <w:rPr>
                <w:rFonts w:ascii="Arial" w:cs="Arial" w:eastAsia="Arial" w:hAnsi="Arial"/>
                <w:sz w:val="16"/>
                <w:szCs w:val="16"/>
                <w:b w:val="1"/>
                <w:bCs w:val="1"/>
                <w:color w:val="3D3935"/>
              </w:rPr>
              <w:t>STIP Program</w:t>
            </w:r>
          </w:p>
        </w:tc>
        <w:tc>
          <w:tcPr>
            <w:tcW w:w="700" w:type="dxa"/>
            <w:vAlign w:val="bottom"/>
            <w:shd w:val="clear" w:color="auto" w:fill="F0F3F6"/>
          </w:tcPr>
          <w:p>
            <w:pPr>
              <w:spacing w:after="0"/>
              <w:rPr>
                <w:sz w:val="24"/>
                <w:szCs w:val="24"/>
                <w:color w:val="auto"/>
              </w:rPr>
            </w:pPr>
          </w:p>
        </w:tc>
        <w:tc>
          <w:tcPr>
            <w:tcW w:w="1960" w:type="dxa"/>
            <w:vAlign w:val="bottom"/>
          </w:tcPr>
          <w:p>
            <w:pPr>
              <w:ind w:left="60"/>
              <w:spacing w:after="0"/>
              <w:rPr>
                <w:sz w:val="20"/>
                <w:szCs w:val="20"/>
                <w:color w:val="auto"/>
              </w:rPr>
            </w:pPr>
            <w:r>
              <w:rPr>
                <w:rFonts w:ascii="Arial" w:cs="Arial" w:eastAsia="Arial" w:hAnsi="Arial"/>
                <w:sz w:val="16"/>
                <w:szCs w:val="16"/>
                <w:b w:val="1"/>
                <w:bCs w:val="1"/>
                <w:color w:val="3D3935"/>
              </w:rPr>
              <w:t>Enhanced Disclosure</w:t>
            </w:r>
          </w:p>
        </w:tc>
        <w:tc>
          <w:tcPr>
            <w:tcW w:w="240" w:type="dxa"/>
            <w:vAlign w:val="bottom"/>
            <w:vMerge w:val="restart"/>
          </w:tcPr>
          <w:p>
            <w:pPr>
              <w:ind w:left="120"/>
              <w:spacing w:after="0"/>
              <w:rPr>
                <w:sz w:val="20"/>
                <w:szCs w:val="20"/>
                <w:color w:val="auto"/>
              </w:rPr>
            </w:pPr>
            <w:r>
              <w:rPr>
                <w:rFonts w:ascii="Arial" w:cs="Arial" w:eastAsia="Arial" w:hAnsi="Arial"/>
                <w:sz w:val="16"/>
                <w:szCs w:val="16"/>
                <w:color w:val="0072CE"/>
              </w:rPr>
              <w:t>•</w:t>
            </w:r>
          </w:p>
        </w:tc>
        <w:tc>
          <w:tcPr>
            <w:tcW w:w="4620" w:type="dxa"/>
            <w:vAlign w:val="bottom"/>
            <w:vMerge w:val="restart"/>
          </w:tcPr>
          <w:p>
            <w:pPr>
              <w:ind w:left="80"/>
              <w:spacing w:after="0"/>
              <w:rPr>
                <w:sz w:val="20"/>
                <w:szCs w:val="20"/>
                <w:color w:val="auto"/>
              </w:rPr>
            </w:pPr>
            <w:r>
              <w:rPr>
                <w:rFonts w:ascii="Arial" w:cs="Arial" w:eastAsia="Arial" w:hAnsi="Arial"/>
                <w:sz w:val="16"/>
                <w:szCs w:val="16"/>
                <w:color w:val="3D3935"/>
              </w:rPr>
              <w:t>Enhanced disclosures of plan metrics</w:t>
            </w:r>
          </w:p>
        </w:tc>
        <w:tc>
          <w:tcPr>
            <w:tcW w:w="260" w:type="dxa"/>
            <w:vAlign w:val="bottom"/>
          </w:tcPr>
          <w:p>
            <w:pPr>
              <w:spacing w:after="0"/>
              <w:rPr>
                <w:sz w:val="24"/>
                <w:szCs w:val="24"/>
                <w:color w:val="auto"/>
              </w:rPr>
            </w:pPr>
          </w:p>
        </w:tc>
        <w:tc>
          <w:tcPr>
            <w:tcW w:w="820" w:type="dxa"/>
            <w:vAlign w:val="bottom"/>
            <w:tcBorders>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20" w:type="dxa"/>
            <w:vAlign w:val="bottom"/>
            <w:tcBorders>
              <w:left w:val="single" w:sz="8" w:color="CCCCCC"/>
            </w:tcBorders>
          </w:tcPr>
          <w:p>
            <w:pPr>
              <w:spacing w:after="0"/>
              <w:rPr>
                <w:sz w:val="9"/>
                <w:szCs w:val="9"/>
                <w:color w:val="auto"/>
              </w:rPr>
            </w:pPr>
          </w:p>
        </w:tc>
        <w:tc>
          <w:tcPr>
            <w:tcW w:w="1300" w:type="dxa"/>
            <w:vAlign w:val="bottom"/>
            <w:vMerge w:val="continue"/>
          </w:tcPr>
          <w:p>
            <w:pPr>
              <w:spacing w:after="0"/>
              <w:rPr>
                <w:sz w:val="9"/>
                <w:szCs w:val="9"/>
                <w:color w:val="auto"/>
              </w:rPr>
            </w:pPr>
          </w:p>
        </w:tc>
        <w:tc>
          <w:tcPr>
            <w:tcW w:w="700" w:type="dxa"/>
            <w:vAlign w:val="bottom"/>
            <w:shd w:val="clear" w:color="auto" w:fill="F0F3F6"/>
          </w:tcPr>
          <w:p>
            <w:pPr>
              <w:spacing w:after="0"/>
              <w:rPr>
                <w:sz w:val="9"/>
                <w:szCs w:val="9"/>
                <w:color w:val="auto"/>
              </w:rPr>
            </w:pPr>
          </w:p>
        </w:tc>
        <w:tc>
          <w:tcPr>
            <w:tcW w:w="1960" w:type="dxa"/>
            <w:vAlign w:val="bottom"/>
            <w:vMerge w:val="restart"/>
          </w:tcPr>
          <w:p>
            <w:pPr>
              <w:ind w:left="60"/>
              <w:spacing w:after="0"/>
              <w:rPr>
                <w:sz w:val="20"/>
                <w:szCs w:val="20"/>
                <w:color w:val="auto"/>
              </w:rPr>
            </w:pPr>
            <w:r>
              <w:rPr>
                <w:rFonts w:ascii="Arial" w:cs="Arial" w:eastAsia="Arial" w:hAnsi="Arial"/>
                <w:sz w:val="16"/>
                <w:szCs w:val="16"/>
                <w:b w:val="1"/>
                <w:bCs w:val="1"/>
                <w:color w:val="3D3935"/>
              </w:rPr>
              <w:t>of Plan Metrics</w:t>
            </w:r>
          </w:p>
        </w:tc>
        <w:tc>
          <w:tcPr>
            <w:tcW w:w="240" w:type="dxa"/>
            <w:vAlign w:val="bottom"/>
            <w:vMerge w:val="continue"/>
          </w:tcPr>
          <w:p>
            <w:pPr>
              <w:spacing w:after="0"/>
              <w:rPr>
                <w:sz w:val="9"/>
                <w:szCs w:val="9"/>
                <w:color w:val="auto"/>
              </w:rPr>
            </w:pPr>
          </w:p>
        </w:tc>
        <w:tc>
          <w:tcPr>
            <w:tcW w:w="4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Borders>
              <w:right w:val="single" w:sz="8" w:color="CCCCCC"/>
            </w:tcBorders>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820" w:type="dxa"/>
            <w:vAlign w:val="bottom"/>
            <w:tcBorders>
              <w:left w:val="single" w:sz="8" w:color="CCCCCC"/>
            </w:tcBorders>
          </w:tcPr>
          <w:p>
            <w:pPr>
              <w:spacing w:after="0"/>
              <w:rPr>
                <w:sz w:val="9"/>
                <w:szCs w:val="9"/>
                <w:color w:val="auto"/>
              </w:rPr>
            </w:pPr>
          </w:p>
        </w:tc>
        <w:tc>
          <w:tcPr>
            <w:tcW w:w="1300" w:type="dxa"/>
            <w:vAlign w:val="bottom"/>
            <w:vMerge w:val="restart"/>
          </w:tcPr>
          <w:p>
            <w:pPr>
              <w:ind w:left="60"/>
              <w:spacing w:after="0"/>
              <w:rPr>
                <w:sz w:val="20"/>
                <w:szCs w:val="20"/>
                <w:color w:val="auto"/>
              </w:rPr>
            </w:pPr>
            <w:r>
              <w:rPr>
                <w:rFonts w:ascii="Arial" w:cs="Arial" w:eastAsia="Arial" w:hAnsi="Arial"/>
                <w:sz w:val="16"/>
                <w:szCs w:val="16"/>
                <w:b w:val="1"/>
                <w:bCs w:val="1"/>
                <w:color w:val="3D3935"/>
              </w:rPr>
              <w:t>Design</w:t>
            </w:r>
          </w:p>
        </w:tc>
        <w:tc>
          <w:tcPr>
            <w:tcW w:w="700" w:type="dxa"/>
            <w:vAlign w:val="bottom"/>
            <w:shd w:val="clear" w:color="auto" w:fill="F0F3F6"/>
          </w:tcPr>
          <w:p>
            <w:pPr>
              <w:spacing w:after="0"/>
              <w:rPr>
                <w:sz w:val="9"/>
                <w:szCs w:val="9"/>
                <w:color w:val="auto"/>
              </w:rPr>
            </w:pPr>
          </w:p>
        </w:tc>
        <w:tc>
          <w:tcPr>
            <w:tcW w:w="19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Borders>
              <w:right w:val="single" w:sz="8" w:color="CCCCCC"/>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20" w:type="dxa"/>
            <w:vAlign w:val="bottom"/>
            <w:tcBorders>
              <w:left w:val="single" w:sz="8" w:color="CCCCCC"/>
            </w:tcBorders>
          </w:tcPr>
          <w:p>
            <w:pPr>
              <w:spacing w:after="0"/>
              <w:rPr>
                <w:sz w:val="9"/>
                <w:szCs w:val="9"/>
                <w:color w:val="auto"/>
              </w:rPr>
            </w:pPr>
          </w:p>
        </w:tc>
        <w:tc>
          <w:tcPr>
            <w:tcW w:w="1300" w:type="dxa"/>
            <w:vAlign w:val="bottom"/>
            <w:vMerge w:val="continue"/>
          </w:tcPr>
          <w:p>
            <w:pPr>
              <w:spacing w:after="0"/>
              <w:rPr>
                <w:sz w:val="9"/>
                <w:szCs w:val="9"/>
                <w:color w:val="auto"/>
              </w:rPr>
            </w:pPr>
          </w:p>
        </w:tc>
        <w:tc>
          <w:tcPr>
            <w:tcW w:w="700" w:type="dxa"/>
            <w:vAlign w:val="bottom"/>
            <w:shd w:val="clear" w:color="auto" w:fill="F0F3F6"/>
          </w:tcPr>
          <w:p>
            <w:pPr>
              <w:spacing w:after="0"/>
              <w:rPr>
                <w:sz w:val="9"/>
                <w:szCs w:val="9"/>
                <w:color w:val="auto"/>
              </w:rPr>
            </w:pPr>
          </w:p>
        </w:tc>
        <w:tc>
          <w:tcPr>
            <w:tcW w:w="1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Borders>
              <w:right w:val="single" w:sz="8" w:color="CCCCCC"/>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820" w:type="dxa"/>
            <w:vAlign w:val="bottom"/>
            <w:tcBorders>
              <w:left w:val="single" w:sz="8" w:color="CCCCCC"/>
            </w:tcBorders>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shd w:val="clear" w:color="auto" w:fill="F0F3F6"/>
          </w:tcPr>
          <w:p>
            <w:pPr>
              <w:spacing w:after="0"/>
              <w:rPr>
                <w:sz w:val="24"/>
                <w:szCs w:val="24"/>
                <w:color w:val="auto"/>
              </w:rPr>
            </w:pPr>
          </w:p>
        </w:tc>
        <w:tc>
          <w:tcPr>
            <w:tcW w:w="1960" w:type="dxa"/>
            <w:vAlign w:val="bottom"/>
            <w:vMerge w:val="restart"/>
          </w:tcPr>
          <w:p>
            <w:pPr>
              <w:ind w:left="60"/>
              <w:spacing w:after="0"/>
              <w:rPr>
                <w:sz w:val="20"/>
                <w:szCs w:val="20"/>
                <w:color w:val="auto"/>
              </w:rPr>
            </w:pPr>
            <w:r>
              <w:rPr>
                <w:rFonts w:ascii="Arial" w:cs="Arial" w:eastAsia="Arial" w:hAnsi="Arial"/>
                <w:sz w:val="16"/>
                <w:szCs w:val="16"/>
                <w:b w:val="1"/>
                <w:bCs w:val="1"/>
                <w:color w:val="3D3935"/>
              </w:rPr>
              <w:t>Strategic Goals</w:t>
            </w:r>
          </w:p>
        </w:tc>
        <w:tc>
          <w:tcPr>
            <w:tcW w:w="5940" w:type="dxa"/>
            <w:vAlign w:val="bottom"/>
            <w:tcBorders>
              <w:right w:val="single" w:sz="8" w:color="CCCCCC"/>
            </w:tcBorders>
            <w:gridSpan w:val="4"/>
          </w:tcPr>
          <w:p>
            <w:pPr>
              <w:ind w:left="12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Eliminated the Strategic Goals component of the STIP, previously</w:t>
            </w:r>
          </w:p>
        </w:tc>
        <w:tc>
          <w:tcPr>
            <w:tcW w:w="0" w:type="dxa"/>
            <w:vAlign w:val="bottom"/>
          </w:tcPr>
          <w:p>
            <w:pPr>
              <w:spacing w:after="0"/>
              <w:rPr>
                <w:sz w:val="1"/>
                <w:szCs w:val="1"/>
                <w:color w:val="auto"/>
              </w:rPr>
            </w:pPr>
          </w:p>
        </w:tc>
      </w:tr>
      <w:tr>
        <w:trPr>
          <w:trHeight w:val="109"/>
        </w:trPr>
        <w:tc>
          <w:tcPr>
            <w:tcW w:w="820" w:type="dxa"/>
            <w:vAlign w:val="bottom"/>
            <w:tcBorders>
              <w:left w:val="single" w:sz="8" w:color="CCCCCC"/>
            </w:tcBorders>
          </w:tcPr>
          <w:p>
            <w:pPr>
              <w:spacing w:after="0"/>
              <w:rPr>
                <w:sz w:val="9"/>
                <w:szCs w:val="9"/>
                <w:color w:val="auto"/>
              </w:rPr>
            </w:pPr>
          </w:p>
        </w:tc>
        <w:tc>
          <w:tcPr>
            <w:tcW w:w="1300" w:type="dxa"/>
            <w:vAlign w:val="bottom"/>
          </w:tcPr>
          <w:p>
            <w:pPr>
              <w:spacing w:after="0"/>
              <w:rPr>
                <w:sz w:val="9"/>
                <w:szCs w:val="9"/>
                <w:color w:val="auto"/>
              </w:rPr>
            </w:pPr>
          </w:p>
        </w:tc>
        <w:tc>
          <w:tcPr>
            <w:tcW w:w="700" w:type="dxa"/>
            <w:vAlign w:val="bottom"/>
            <w:shd w:val="clear" w:color="auto" w:fill="F0F3F6"/>
          </w:tcPr>
          <w:p>
            <w:pPr>
              <w:spacing w:after="0"/>
              <w:rPr>
                <w:sz w:val="9"/>
                <w:szCs w:val="9"/>
                <w:color w:val="auto"/>
              </w:rPr>
            </w:pPr>
          </w:p>
        </w:tc>
        <w:tc>
          <w:tcPr>
            <w:tcW w:w="19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4620" w:type="dxa"/>
            <w:vAlign w:val="bottom"/>
            <w:vMerge w:val="restart"/>
          </w:tcPr>
          <w:p>
            <w:pPr>
              <w:ind w:left="80"/>
              <w:spacing w:after="0"/>
              <w:rPr>
                <w:sz w:val="20"/>
                <w:szCs w:val="20"/>
                <w:color w:val="auto"/>
              </w:rPr>
            </w:pPr>
            <w:r>
              <w:rPr>
                <w:rFonts w:ascii="Arial" w:cs="Arial" w:eastAsia="Arial" w:hAnsi="Arial"/>
                <w:sz w:val="16"/>
                <w:szCs w:val="16"/>
                <w:color w:val="3D3935"/>
              </w:rPr>
              <w:t>weighted 25%; final STIP payout now subject to an individual</w:t>
            </w:r>
          </w:p>
        </w:tc>
        <w:tc>
          <w:tcPr>
            <w:tcW w:w="260" w:type="dxa"/>
            <w:vAlign w:val="bottom"/>
          </w:tcPr>
          <w:p>
            <w:pPr>
              <w:spacing w:after="0"/>
              <w:rPr>
                <w:sz w:val="9"/>
                <w:szCs w:val="9"/>
                <w:color w:val="auto"/>
              </w:rPr>
            </w:pPr>
          </w:p>
        </w:tc>
        <w:tc>
          <w:tcPr>
            <w:tcW w:w="820" w:type="dxa"/>
            <w:vAlign w:val="bottom"/>
            <w:tcBorders>
              <w:right w:val="single" w:sz="8" w:color="CCCCCC"/>
            </w:tcBorders>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820" w:type="dxa"/>
            <w:vAlign w:val="bottom"/>
            <w:tcBorders>
              <w:left w:val="single" w:sz="8" w:color="CCCCCC"/>
            </w:tcBorders>
          </w:tcPr>
          <w:p>
            <w:pPr>
              <w:spacing w:after="0"/>
              <w:rPr>
                <w:sz w:val="7"/>
                <w:szCs w:val="7"/>
                <w:color w:val="auto"/>
              </w:rPr>
            </w:pPr>
          </w:p>
        </w:tc>
        <w:tc>
          <w:tcPr>
            <w:tcW w:w="1300" w:type="dxa"/>
            <w:vAlign w:val="bottom"/>
          </w:tcPr>
          <w:p>
            <w:pPr>
              <w:spacing w:after="0"/>
              <w:rPr>
                <w:sz w:val="7"/>
                <w:szCs w:val="7"/>
                <w:color w:val="auto"/>
              </w:rPr>
            </w:pPr>
          </w:p>
        </w:tc>
        <w:tc>
          <w:tcPr>
            <w:tcW w:w="700" w:type="dxa"/>
            <w:vAlign w:val="bottom"/>
            <w:shd w:val="clear" w:color="auto" w:fill="F0F3F6"/>
          </w:tcPr>
          <w:p>
            <w:pPr>
              <w:spacing w:after="0"/>
              <w:rPr>
                <w:sz w:val="7"/>
                <w:szCs w:val="7"/>
                <w:color w:val="auto"/>
              </w:rPr>
            </w:pPr>
          </w:p>
        </w:tc>
        <w:tc>
          <w:tcPr>
            <w:tcW w:w="1960" w:type="dxa"/>
            <w:vAlign w:val="bottom"/>
            <w:vMerge w:val="restart"/>
          </w:tcPr>
          <w:p>
            <w:pPr>
              <w:ind w:left="60"/>
              <w:spacing w:after="0"/>
              <w:rPr>
                <w:sz w:val="20"/>
                <w:szCs w:val="20"/>
                <w:color w:val="auto"/>
              </w:rPr>
            </w:pPr>
            <w:r>
              <w:rPr>
                <w:rFonts w:ascii="Arial" w:cs="Arial" w:eastAsia="Arial" w:hAnsi="Arial"/>
                <w:sz w:val="16"/>
                <w:szCs w:val="16"/>
                <w:b w:val="1"/>
                <w:bCs w:val="1"/>
                <w:color w:val="3D3935"/>
              </w:rPr>
              <w:t>Eliminated in Favor of</w:t>
            </w:r>
          </w:p>
        </w:tc>
        <w:tc>
          <w:tcPr>
            <w:tcW w:w="240" w:type="dxa"/>
            <w:vAlign w:val="bottom"/>
          </w:tcPr>
          <w:p>
            <w:pPr>
              <w:spacing w:after="0"/>
              <w:rPr>
                <w:sz w:val="7"/>
                <w:szCs w:val="7"/>
                <w:color w:val="auto"/>
              </w:rPr>
            </w:pPr>
          </w:p>
        </w:tc>
        <w:tc>
          <w:tcPr>
            <w:tcW w:w="46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Borders>
              <w:right w:val="single" w:sz="8" w:color="CCCCCC"/>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820" w:type="dxa"/>
            <w:vAlign w:val="bottom"/>
            <w:tcBorders>
              <w:left w:val="single" w:sz="8" w:color="CCCCCC"/>
            </w:tcBorders>
          </w:tcPr>
          <w:p>
            <w:pPr>
              <w:spacing w:after="0"/>
              <w:rPr>
                <w:sz w:val="11"/>
                <w:szCs w:val="11"/>
                <w:color w:val="auto"/>
              </w:rPr>
            </w:pPr>
          </w:p>
        </w:tc>
        <w:tc>
          <w:tcPr>
            <w:tcW w:w="1300" w:type="dxa"/>
            <w:vAlign w:val="bottom"/>
          </w:tcPr>
          <w:p>
            <w:pPr>
              <w:spacing w:after="0"/>
              <w:rPr>
                <w:sz w:val="11"/>
                <w:szCs w:val="11"/>
                <w:color w:val="auto"/>
              </w:rPr>
            </w:pPr>
          </w:p>
        </w:tc>
        <w:tc>
          <w:tcPr>
            <w:tcW w:w="700" w:type="dxa"/>
            <w:vAlign w:val="bottom"/>
            <w:shd w:val="clear" w:color="auto" w:fill="F0F3F6"/>
          </w:tcPr>
          <w:p>
            <w:pPr>
              <w:spacing w:after="0"/>
              <w:rPr>
                <w:sz w:val="11"/>
                <w:szCs w:val="11"/>
                <w:color w:val="auto"/>
              </w:rPr>
            </w:pPr>
          </w:p>
        </w:tc>
        <w:tc>
          <w:tcPr>
            <w:tcW w:w="19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4620" w:type="dxa"/>
            <w:vAlign w:val="bottom"/>
            <w:vMerge w:val="restart"/>
          </w:tcPr>
          <w:p>
            <w:pPr>
              <w:ind w:left="80"/>
              <w:spacing w:after="0"/>
              <w:rPr>
                <w:sz w:val="20"/>
                <w:szCs w:val="20"/>
                <w:color w:val="auto"/>
              </w:rPr>
            </w:pPr>
            <w:r>
              <w:rPr>
                <w:rFonts w:ascii="Arial" w:cs="Arial" w:eastAsia="Arial" w:hAnsi="Arial"/>
                <w:sz w:val="16"/>
                <w:szCs w:val="16"/>
                <w:color w:val="3D3935"/>
              </w:rPr>
              <w:t>performance modifier not to exceed 110% of the STIP payout</w:t>
            </w:r>
          </w:p>
        </w:tc>
        <w:tc>
          <w:tcPr>
            <w:tcW w:w="260" w:type="dxa"/>
            <w:vAlign w:val="bottom"/>
          </w:tcPr>
          <w:p>
            <w:pPr>
              <w:spacing w:after="0"/>
              <w:rPr>
                <w:sz w:val="11"/>
                <w:szCs w:val="11"/>
                <w:color w:val="auto"/>
              </w:rPr>
            </w:pPr>
          </w:p>
        </w:tc>
        <w:tc>
          <w:tcPr>
            <w:tcW w:w="820" w:type="dxa"/>
            <w:vAlign w:val="bottom"/>
            <w:tcBorders>
              <w:right w:val="single" w:sz="8" w:color="CCCCCC"/>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820" w:type="dxa"/>
            <w:vAlign w:val="bottom"/>
            <w:tcBorders>
              <w:left w:val="single" w:sz="8" w:color="CCCCCC"/>
            </w:tcBorders>
          </w:tcPr>
          <w:p>
            <w:pPr>
              <w:spacing w:after="0"/>
              <w:rPr>
                <w:sz w:val="8"/>
                <w:szCs w:val="8"/>
                <w:color w:val="auto"/>
              </w:rPr>
            </w:pPr>
          </w:p>
        </w:tc>
        <w:tc>
          <w:tcPr>
            <w:tcW w:w="1300" w:type="dxa"/>
            <w:vAlign w:val="bottom"/>
          </w:tcPr>
          <w:p>
            <w:pPr>
              <w:spacing w:after="0"/>
              <w:rPr>
                <w:sz w:val="8"/>
                <w:szCs w:val="8"/>
                <w:color w:val="auto"/>
              </w:rPr>
            </w:pPr>
          </w:p>
        </w:tc>
        <w:tc>
          <w:tcPr>
            <w:tcW w:w="700" w:type="dxa"/>
            <w:vAlign w:val="bottom"/>
            <w:shd w:val="clear" w:color="auto" w:fill="F0F3F6"/>
          </w:tcPr>
          <w:p>
            <w:pPr>
              <w:spacing w:after="0"/>
              <w:rPr>
                <w:sz w:val="8"/>
                <w:szCs w:val="8"/>
                <w:color w:val="auto"/>
              </w:rPr>
            </w:pPr>
          </w:p>
        </w:tc>
        <w:tc>
          <w:tcPr>
            <w:tcW w:w="1960" w:type="dxa"/>
            <w:vAlign w:val="bottom"/>
            <w:vMerge w:val="restart"/>
          </w:tcPr>
          <w:p>
            <w:pPr>
              <w:ind w:left="60"/>
              <w:spacing w:after="0"/>
              <w:rPr>
                <w:sz w:val="20"/>
                <w:szCs w:val="20"/>
                <w:color w:val="auto"/>
              </w:rPr>
            </w:pPr>
            <w:r>
              <w:rPr>
                <w:rFonts w:ascii="Arial" w:cs="Arial" w:eastAsia="Arial" w:hAnsi="Arial"/>
                <w:sz w:val="16"/>
                <w:szCs w:val="16"/>
                <w:b w:val="1"/>
                <w:bCs w:val="1"/>
                <w:color w:val="3D3935"/>
              </w:rPr>
              <w:t>Individual Performance</w:t>
            </w:r>
          </w:p>
        </w:tc>
        <w:tc>
          <w:tcPr>
            <w:tcW w:w="240" w:type="dxa"/>
            <w:vAlign w:val="bottom"/>
          </w:tcPr>
          <w:p>
            <w:pPr>
              <w:spacing w:after="0"/>
              <w:rPr>
                <w:sz w:val="8"/>
                <w:szCs w:val="8"/>
                <w:color w:val="auto"/>
              </w:rPr>
            </w:pPr>
          </w:p>
        </w:tc>
        <w:tc>
          <w:tcPr>
            <w:tcW w:w="46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Borders>
              <w:right w:val="single" w:sz="8" w:color="CCCCCC"/>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20" w:type="dxa"/>
            <w:vAlign w:val="bottom"/>
            <w:tcBorders>
              <w:left w:val="single" w:sz="8" w:color="CCCCCC"/>
            </w:tcBorders>
          </w:tcPr>
          <w:p>
            <w:pPr>
              <w:spacing w:after="0"/>
              <w:rPr>
                <w:sz w:val="9"/>
                <w:szCs w:val="9"/>
                <w:color w:val="auto"/>
              </w:rPr>
            </w:pPr>
          </w:p>
        </w:tc>
        <w:tc>
          <w:tcPr>
            <w:tcW w:w="1300" w:type="dxa"/>
            <w:vAlign w:val="bottom"/>
          </w:tcPr>
          <w:p>
            <w:pPr>
              <w:spacing w:after="0"/>
              <w:rPr>
                <w:sz w:val="9"/>
                <w:szCs w:val="9"/>
                <w:color w:val="auto"/>
              </w:rPr>
            </w:pPr>
          </w:p>
        </w:tc>
        <w:tc>
          <w:tcPr>
            <w:tcW w:w="700" w:type="dxa"/>
            <w:vAlign w:val="bottom"/>
            <w:shd w:val="clear" w:color="auto" w:fill="F0F3F6"/>
          </w:tcPr>
          <w:p>
            <w:pPr>
              <w:spacing w:after="0"/>
              <w:rPr>
                <w:sz w:val="9"/>
                <w:szCs w:val="9"/>
                <w:color w:val="auto"/>
              </w:rPr>
            </w:pPr>
          </w:p>
        </w:tc>
        <w:tc>
          <w:tcPr>
            <w:tcW w:w="19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4620" w:type="dxa"/>
            <w:vAlign w:val="bottom"/>
            <w:vMerge w:val="restart"/>
          </w:tcPr>
          <w:p>
            <w:pPr>
              <w:ind w:left="80"/>
              <w:spacing w:after="0"/>
              <w:rPr>
                <w:sz w:val="20"/>
                <w:szCs w:val="20"/>
                <w:color w:val="auto"/>
              </w:rPr>
            </w:pPr>
            <w:r>
              <w:rPr>
                <w:rFonts w:ascii="Arial" w:cs="Arial" w:eastAsia="Arial" w:hAnsi="Arial"/>
                <w:sz w:val="16"/>
                <w:szCs w:val="16"/>
                <w:color w:val="3D3935"/>
              </w:rPr>
              <w:t>amount generated by Company performance. Total payout</w:t>
            </w:r>
          </w:p>
        </w:tc>
        <w:tc>
          <w:tcPr>
            <w:tcW w:w="260" w:type="dxa"/>
            <w:vAlign w:val="bottom"/>
          </w:tcPr>
          <w:p>
            <w:pPr>
              <w:spacing w:after="0"/>
              <w:rPr>
                <w:sz w:val="9"/>
                <w:szCs w:val="9"/>
                <w:color w:val="auto"/>
              </w:rPr>
            </w:pPr>
          </w:p>
        </w:tc>
        <w:tc>
          <w:tcPr>
            <w:tcW w:w="820" w:type="dxa"/>
            <w:vAlign w:val="bottom"/>
            <w:tcBorders>
              <w:right w:val="single" w:sz="8" w:color="CCCCCC"/>
            </w:tcBorders>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820" w:type="dxa"/>
            <w:vAlign w:val="bottom"/>
            <w:tcBorders>
              <w:left w:val="single" w:sz="8" w:color="CCCCCC"/>
            </w:tcBorders>
          </w:tcPr>
          <w:p>
            <w:pPr>
              <w:spacing w:after="0"/>
              <w:rPr>
                <w:sz w:val="9"/>
                <w:szCs w:val="9"/>
                <w:color w:val="auto"/>
              </w:rPr>
            </w:pPr>
          </w:p>
        </w:tc>
        <w:tc>
          <w:tcPr>
            <w:tcW w:w="1300" w:type="dxa"/>
            <w:vAlign w:val="bottom"/>
          </w:tcPr>
          <w:p>
            <w:pPr>
              <w:spacing w:after="0"/>
              <w:rPr>
                <w:sz w:val="9"/>
                <w:szCs w:val="9"/>
                <w:color w:val="auto"/>
              </w:rPr>
            </w:pPr>
          </w:p>
        </w:tc>
        <w:tc>
          <w:tcPr>
            <w:tcW w:w="700" w:type="dxa"/>
            <w:vAlign w:val="bottom"/>
            <w:shd w:val="clear" w:color="auto" w:fill="F0F3F6"/>
          </w:tcPr>
          <w:p>
            <w:pPr>
              <w:spacing w:after="0"/>
              <w:rPr>
                <w:sz w:val="9"/>
                <w:szCs w:val="9"/>
                <w:color w:val="auto"/>
              </w:rPr>
            </w:pPr>
          </w:p>
        </w:tc>
        <w:tc>
          <w:tcPr>
            <w:tcW w:w="1960" w:type="dxa"/>
            <w:vAlign w:val="bottom"/>
            <w:vMerge w:val="restart"/>
          </w:tcPr>
          <w:p>
            <w:pPr>
              <w:ind w:left="60"/>
              <w:spacing w:after="0"/>
              <w:rPr>
                <w:sz w:val="20"/>
                <w:szCs w:val="20"/>
                <w:color w:val="auto"/>
              </w:rPr>
            </w:pPr>
            <w:r>
              <w:rPr>
                <w:rFonts w:ascii="Arial" w:cs="Arial" w:eastAsia="Arial" w:hAnsi="Arial"/>
                <w:sz w:val="16"/>
                <w:szCs w:val="16"/>
                <w:b w:val="1"/>
                <w:bCs w:val="1"/>
                <w:color w:val="3D3935"/>
              </w:rPr>
              <w:t>Modifier</w:t>
            </w:r>
          </w:p>
        </w:tc>
        <w:tc>
          <w:tcPr>
            <w:tcW w:w="240" w:type="dxa"/>
            <w:vAlign w:val="bottom"/>
          </w:tcPr>
          <w:p>
            <w:pPr>
              <w:spacing w:after="0"/>
              <w:rPr>
                <w:sz w:val="9"/>
                <w:szCs w:val="9"/>
                <w:color w:val="auto"/>
              </w:rPr>
            </w:pPr>
          </w:p>
        </w:tc>
        <w:tc>
          <w:tcPr>
            <w:tcW w:w="4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Borders>
              <w:right w:val="single" w:sz="8" w:color="CCCCCC"/>
            </w:tcBorders>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820" w:type="dxa"/>
            <w:vAlign w:val="bottom"/>
            <w:tcBorders>
              <w:left w:val="single" w:sz="8" w:color="CCCCCC"/>
            </w:tcBorders>
          </w:tcPr>
          <w:p>
            <w:pPr>
              <w:spacing w:after="0"/>
              <w:rPr>
                <w:sz w:val="10"/>
                <w:szCs w:val="10"/>
                <w:color w:val="auto"/>
              </w:rPr>
            </w:pPr>
          </w:p>
        </w:tc>
        <w:tc>
          <w:tcPr>
            <w:tcW w:w="1300" w:type="dxa"/>
            <w:vAlign w:val="bottom"/>
          </w:tcPr>
          <w:p>
            <w:pPr>
              <w:spacing w:after="0"/>
              <w:rPr>
                <w:sz w:val="10"/>
                <w:szCs w:val="10"/>
                <w:color w:val="auto"/>
              </w:rPr>
            </w:pPr>
          </w:p>
        </w:tc>
        <w:tc>
          <w:tcPr>
            <w:tcW w:w="700" w:type="dxa"/>
            <w:vAlign w:val="bottom"/>
            <w:shd w:val="clear" w:color="auto" w:fill="F0F3F6"/>
          </w:tcPr>
          <w:p>
            <w:pPr>
              <w:spacing w:after="0"/>
              <w:rPr>
                <w:sz w:val="10"/>
                <w:szCs w:val="10"/>
                <w:color w:val="auto"/>
              </w:rPr>
            </w:pPr>
          </w:p>
        </w:tc>
        <w:tc>
          <w:tcPr>
            <w:tcW w:w="19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4620" w:type="dxa"/>
            <w:vAlign w:val="bottom"/>
            <w:vMerge w:val="restart"/>
          </w:tcPr>
          <w:p>
            <w:pPr>
              <w:ind w:left="80"/>
              <w:spacing w:after="0"/>
              <w:rPr>
                <w:sz w:val="20"/>
                <w:szCs w:val="20"/>
                <w:color w:val="auto"/>
              </w:rPr>
            </w:pPr>
            <w:r>
              <w:rPr>
                <w:rFonts w:ascii="Arial" w:cs="Arial" w:eastAsia="Arial" w:hAnsi="Arial"/>
                <w:sz w:val="16"/>
                <w:szCs w:val="16"/>
                <w:color w:val="3D3935"/>
              </w:rPr>
              <w:t>remains capped at 200% of target</w:t>
            </w:r>
          </w:p>
        </w:tc>
        <w:tc>
          <w:tcPr>
            <w:tcW w:w="260" w:type="dxa"/>
            <w:vAlign w:val="bottom"/>
          </w:tcPr>
          <w:p>
            <w:pPr>
              <w:spacing w:after="0"/>
              <w:rPr>
                <w:sz w:val="10"/>
                <w:szCs w:val="10"/>
                <w:color w:val="auto"/>
              </w:rPr>
            </w:pPr>
          </w:p>
        </w:tc>
        <w:tc>
          <w:tcPr>
            <w:tcW w:w="820" w:type="dxa"/>
            <w:vAlign w:val="bottom"/>
            <w:tcBorders>
              <w:right w:val="single" w:sz="8" w:color="CCCCCC"/>
            </w:tcBorders>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820" w:type="dxa"/>
            <w:vAlign w:val="bottom"/>
            <w:tcBorders>
              <w:left w:val="single" w:sz="8" w:color="CCCCCC"/>
            </w:tcBorders>
          </w:tcPr>
          <w:p>
            <w:pPr>
              <w:spacing w:after="0"/>
              <w:rPr>
                <w:sz w:val="8"/>
                <w:szCs w:val="8"/>
                <w:color w:val="auto"/>
              </w:rPr>
            </w:pPr>
          </w:p>
        </w:tc>
        <w:tc>
          <w:tcPr>
            <w:tcW w:w="1300" w:type="dxa"/>
            <w:vAlign w:val="bottom"/>
          </w:tcPr>
          <w:p>
            <w:pPr>
              <w:spacing w:after="0"/>
              <w:rPr>
                <w:sz w:val="8"/>
                <w:szCs w:val="8"/>
                <w:color w:val="auto"/>
              </w:rPr>
            </w:pPr>
          </w:p>
        </w:tc>
        <w:tc>
          <w:tcPr>
            <w:tcW w:w="700" w:type="dxa"/>
            <w:vAlign w:val="bottom"/>
            <w:shd w:val="clear" w:color="auto" w:fill="F0F3F6"/>
          </w:tcPr>
          <w:p>
            <w:pPr>
              <w:spacing w:after="0"/>
              <w:rPr>
                <w:sz w:val="8"/>
                <w:szCs w:val="8"/>
                <w:color w:val="auto"/>
              </w:rPr>
            </w:pPr>
          </w:p>
        </w:tc>
        <w:tc>
          <w:tcPr>
            <w:tcW w:w="1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Borders>
              <w:right w:val="single" w:sz="8" w:color="CCCCCC"/>
            </w:tcBorders>
          </w:tcPr>
          <w:p>
            <w:pPr>
              <w:spacing w:after="0"/>
              <w:rPr>
                <w:sz w:val="8"/>
                <w:szCs w:val="8"/>
                <w:color w:val="auto"/>
              </w:rPr>
            </w:pPr>
          </w:p>
        </w:tc>
        <w:tc>
          <w:tcPr>
            <w:tcW w:w="0" w:type="dxa"/>
            <w:vAlign w:val="bottom"/>
          </w:tcPr>
          <w:p>
            <w:pPr>
              <w:spacing w:after="0"/>
              <w:rPr>
                <w:sz w:val="1"/>
                <w:szCs w:val="1"/>
                <w:color w:val="auto"/>
              </w:rPr>
            </w:pPr>
          </w:p>
        </w:tc>
      </w:tr>
      <w:tr>
        <w:trPr>
          <w:trHeight w:val="378"/>
        </w:trPr>
        <w:tc>
          <w:tcPr>
            <w:tcW w:w="820" w:type="dxa"/>
            <w:vAlign w:val="bottom"/>
            <w:tcBorders>
              <w:left w:val="single" w:sz="8" w:color="CCCCCC"/>
            </w:tcBorders>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shd w:val="clear" w:color="auto" w:fill="F0F3F6"/>
          </w:tcPr>
          <w:p>
            <w:pPr>
              <w:spacing w:after="0"/>
              <w:rPr>
                <w:sz w:val="24"/>
                <w:szCs w:val="24"/>
                <w:color w:val="auto"/>
              </w:rPr>
            </w:pPr>
          </w:p>
        </w:tc>
        <w:tc>
          <w:tcPr>
            <w:tcW w:w="1960" w:type="dxa"/>
            <w:vAlign w:val="bottom"/>
          </w:tcPr>
          <w:p>
            <w:pPr>
              <w:spacing w:after="0"/>
              <w:rPr>
                <w:sz w:val="24"/>
                <w:szCs w:val="24"/>
                <w:color w:val="auto"/>
              </w:rPr>
            </w:pPr>
          </w:p>
        </w:tc>
        <w:tc>
          <w:tcPr>
            <w:tcW w:w="4860" w:type="dxa"/>
            <w:vAlign w:val="bottom"/>
            <w:gridSpan w:val="2"/>
          </w:tcPr>
          <w:p>
            <w:pPr>
              <w:ind w:left="12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Cumulative AAOCF was added to the 2024 PSU performance</w:t>
            </w:r>
          </w:p>
        </w:tc>
        <w:tc>
          <w:tcPr>
            <w:tcW w:w="260" w:type="dxa"/>
            <w:vAlign w:val="bottom"/>
          </w:tcPr>
          <w:p>
            <w:pPr>
              <w:spacing w:after="0"/>
              <w:rPr>
                <w:sz w:val="24"/>
                <w:szCs w:val="24"/>
                <w:color w:val="auto"/>
              </w:rPr>
            </w:pPr>
          </w:p>
        </w:tc>
        <w:tc>
          <w:tcPr>
            <w:tcW w:w="820" w:type="dxa"/>
            <w:vAlign w:val="bottom"/>
            <w:tcBorders>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20" w:type="dxa"/>
            <w:vAlign w:val="bottom"/>
            <w:tcBorders>
              <w:left w:val="single" w:sz="8" w:color="CCCCCC"/>
            </w:tcBorders>
          </w:tcPr>
          <w:p>
            <w:pPr>
              <w:spacing w:after="0"/>
              <w:rPr>
                <w:sz w:val="16"/>
                <w:szCs w:val="16"/>
                <w:color w:val="auto"/>
              </w:rPr>
            </w:pPr>
          </w:p>
        </w:tc>
        <w:tc>
          <w:tcPr>
            <w:tcW w:w="1300" w:type="dxa"/>
            <w:vAlign w:val="bottom"/>
          </w:tcPr>
          <w:p>
            <w:pPr>
              <w:spacing w:after="0"/>
              <w:rPr>
                <w:sz w:val="16"/>
                <w:szCs w:val="16"/>
                <w:color w:val="auto"/>
              </w:rPr>
            </w:pPr>
          </w:p>
        </w:tc>
        <w:tc>
          <w:tcPr>
            <w:tcW w:w="700" w:type="dxa"/>
            <w:vAlign w:val="bottom"/>
            <w:shd w:val="clear" w:color="auto" w:fill="F0F3F6"/>
          </w:tcPr>
          <w:p>
            <w:pPr>
              <w:spacing w:after="0"/>
              <w:rPr>
                <w:sz w:val="16"/>
                <w:szCs w:val="16"/>
                <w:color w:val="auto"/>
              </w:rPr>
            </w:pPr>
          </w:p>
        </w:tc>
        <w:tc>
          <w:tcPr>
            <w:tcW w:w="1960" w:type="dxa"/>
            <w:vAlign w:val="bottom"/>
          </w:tcPr>
          <w:p>
            <w:pPr>
              <w:ind w:left="60"/>
              <w:spacing w:after="0"/>
              <w:rPr>
                <w:sz w:val="20"/>
                <w:szCs w:val="20"/>
                <w:color w:val="auto"/>
              </w:rPr>
            </w:pPr>
            <w:r>
              <w:rPr>
                <w:rFonts w:ascii="Arial" w:cs="Arial" w:eastAsia="Arial" w:hAnsi="Arial"/>
                <w:sz w:val="16"/>
                <w:szCs w:val="16"/>
                <w:b w:val="1"/>
                <w:bCs w:val="1"/>
                <w:color w:val="3D3935"/>
              </w:rPr>
              <w:t>Cumulative AAOCF</w:t>
            </w:r>
          </w:p>
        </w:tc>
        <w:tc>
          <w:tcPr>
            <w:tcW w:w="240" w:type="dxa"/>
            <w:vAlign w:val="bottom"/>
          </w:tcPr>
          <w:p>
            <w:pPr>
              <w:spacing w:after="0"/>
              <w:rPr>
                <w:sz w:val="16"/>
                <w:szCs w:val="16"/>
                <w:color w:val="auto"/>
              </w:rPr>
            </w:pPr>
          </w:p>
        </w:tc>
        <w:tc>
          <w:tcPr>
            <w:tcW w:w="5700" w:type="dxa"/>
            <w:vAlign w:val="bottom"/>
            <w:tcBorders>
              <w:right w:val="single" w:sz="8" w:color="CCCCCC"/>
            </w:tcBorders>
            <w:gridSpan w:val="3"/>
          </w:tcPr>
          <w:p>
            <w:pPr>
              <w:ind w:left="80"/>
              <w:spacing w:after="0"/>
              <w:rPr>
                <w:sz w:val="20"/>
                <w:szCs w:val="20"/>
                <w:color w:val="auto"/>
              </w:rPr>
            </w:pPr>
            <w:r>
              <w:rPr>
                <w:rFonts w:ascii="Arial" w:cs="Arial" w:eastAsia="Arial" w:hAnsi="Arial"/>
                <w:sz w:val="16"/>
                <w:szCs w:val="16"/>
                <w:color w:val="3D3935"/>
              </w:rPr>
              <w:t>measures (30% of LTIP) to continue focus on driving shareholder</w:t>
            </w:r>
          </w:p>
        </w:tc>
        <w:tc>
          <w:tcPr>
            <w:tcW w:w="0" w:type="dxa"/>
            <w:vAlign w:val="bottom"/>
          </w:tcPr>
          <w:p>
            <w:pPr>
              <w:spacing w:after="0"/>
              <w:rPr>
                <w:sz w:val="1"/>
                <w:szCs w:val="1"/>
                <w:color w:val="auto"/>
              </w:rPr>
            </w:pPr>
          </w:p>
        </w:tc>
      </w:tr>
      <w:tr>
        <w:trPr>
          <w:trHeight w:val="209"/>
        </w:trPr>
        <w:tc>
          <w:tcPr>
            <w:tcW w:w="820" w:type="dxa"/>
            <w:vAlign w:val="bottom"/>
            <w:tcBorders>
              <w:left w:val="single" w:sz="8" w:color="CCCCCC"/>
            </w:tcBorders>
          </w:tcPr>
          <w:p>
            <w:pPr>
              <w:spacing w:after="0"/>
              <w:rPr>
                <w:sz w:val="18"/>
                <w:szCs w:val="18"/>
                <w:color w:val="auto"/>
              </w:rPr>
            </w:pPr>
          </w:p>
        </w:tc>
        <w:tc>
          <w:tcPr>
            <w:tcW w:w="1300" w:type="dxa"/>
            <w:vAlign w:val="bottom"/>
            <w:tcBorders>
              <w:top w:val="single" w:sz="8" w:color="D9D9D6"/>
            </w:tcBorders>
          </w:tcPr>
          <w:p>
            <w:pPr>
              <w:spacing w:after="0"/>
              <w:rPr>
                <w:sz w:val="18"/>
                <w:szCs w:val="18"/>
                <w:color w:val="auto"/>
              </w:rPr>
            </w:pPr>
          </w:p>
        </w:tc>
        <w:tc>
          <w:tcPr>
            <w:tcW w:w="700" w:type="dxa"/>
            <w:vAlign w:val="bottom"/>
            <w:tcBorders>
              <w:top w:val="single" w:sz="8" w:color="D9D9D6"/>
            </w:tcBorders>
            <w:shd w:val="clear" w:color="auto" w:fill="F0F3F6"/>
          </w:tcPr>
          <w:p>
            <w:pPr>
              <w:spacing w:after="0"/>
              <w:rPr>
                <w:sz w:val="18"/>
                <w:szCs w:val="18"/>
                <w:color w:val="auto"/>
              </w:rPr>
            </w:pPr>
          </w:p>
        </w:tc>
        <w:tc>
          <w:tcPr>
            <w:tcW w:w="1960" w:type="dxa"/>
            <w:vAlign w:val="bottom"/>
            <w:tcBorders>
              <w:top w:val="single" w:sz="8" w:color="D9D9D6"/>
            </w:tcBorders>
          </w:tcPr>
          <w:p>
            <w:pPr>
              <w:ind w:left="60"/>
              <w:spacing w:after="0"/>
              <w:rPr>
                <w:sz w:val="20"/>
                <w:szCs w:val="20"/>
                <w:color w:val="auto"/>
              </w:rPr>
            </w:pPr>
            <w:r>
              <w:rPr>
                <w:rFonts w:ascii="Arial" w:cs="Arial" w:eastAsia="Arial" w:hAnsi="Arial"/>
                <w:sz w:val="16"/>
                <w:szCs w:val="16"/>
                <w:b w:val="1"/>
                <w:bCs w:val="1"/>
                <w:color w:val="3D3935"/>
              </w:rPr>
              <w:t>Added to 2024 PSU</w:t>
            </w:r>
          </w:p>
        </w:tc>
        <w:tc>
          <w:tcPr>
            <w:tcW w:w="240" w:type="dxa"/>
            <w:vAlign w:val="bottom"/>
            <w:tcBorders>
              <w:top w:val="single" w:sz="8" w:color="D9D9D6"/>
            </w:tcBorders>
          </w:tcPr>
          <w:p>
            <w:pPr>
              <w:spacing w:after="0"/>
              <w:rPr>
                <w:sz w:val="18"/>
                <w:szCs w:val="18"/>
                <w:color w:val="auto"/>
              </w:rPr>
            </w:pPr>
          </w:p>
        </w:tc>
        <w:tc>
          <w:tcPr>
            <w:tcW w:w="4620" w:type="dxa"/>
            <w:vAlign w:val="bottom"/>
            <w:tcBorders>
              <w:top w:val="single" w:sz="8" w:color="D9D9D6"/>
            </w:tcBorders>
          </w:tcPr>
          <w:p>
            <w:pPr>
              <w:ind w:left="80"/>
              <w:spacing w:after="0"/>
              <w:rPr>
                <w:sz w:val="20"/>
                <w:szCs w:val="20"/>
                <w:color w:val="auto"/>
              </w:rPr>
            </w:pPr>
            <w:r>
              <w:rPr>
                <w:rFonts w:ascii="Arial" w:cs="Arial" w:eastAsia="Arial" w:hAnsi="Arial"/>
                <w:sz w:val="16"/>
                <w:szCs w:val="16"/>
                <w:color w:val="3D3935"/>
              </w:rPr>
              <w:t>value and Company profitability, while increasing focus on cash</w:t>
            </w:r>
          </w:p>
        </w:tc>
        <w:tc>
          <w:tcPr>
            <w:tcW w:w="260" w:type="dxa"/>
            <w:vAlign w:val="bottom"/>
            <w:tcBorders>
              <w:top w:val="single" w:sz="8" w:color="D9D9D6"/>
            </w:tcBorders>
          </w:tcPr>
          <w:p>
            <w:pPr>
              <w:spacing w:after="0"/>
              <w:rPr>
                <w:sz w:val="18"/>
                <w:szCs w:val="18"/>
                <w:color w:val="auto"/>
              </w:rPr>
            </w:pPr>
          </w:p>
        </w:tc>
        <w:tc>
          <w:tcPr>
            <w:tcW w:w="820" w:type="dxa"/>
            <w:vAlign w:val="bottom"/>
            <w:tcBorders>
              <w:right w:val="single" w:sz="8" w:color="CCCC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CCCCCC"/>
            </w:tcBorders>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shd w:val="clear" w:color="auto" w:fill="F0F3F6"/>
          </w:tcPr>
          <w:p>
            <w:pPr>
              <w:spacing w:after="0"/>
              <w:rPr>
                <w:sz w:val="18"/>
                <w:szCs w:val="18"/>
                <w:color w:val="auto"/>
              </w:rPr>
            </w:pPr>
          </w:p>
        </w:tc>
        <w:tc>
          <w:tcPr>
            <w:tcW w:w="1960" w:type="dxa"/>
            <w:vAlign w:val="bottom"/>
          </w:tcPr>
          <w:p>
            <w:pPr>
              <w:ind w:left="60"/>
              <w:spacing w:after="0"/>
              <w:rPr>
                <w:sz w:val="20"/>
                <w:szCs w:val="20"/>
                <w:color w:val="auto"/>
              </w:rPr>
            </w:pPr>
            <w:r>
              <w:rPr>
                <w:rFonts w:ascii="Arial" w:cs="Arial" w:eastAsia="Arial" w:hAnsi="Arial"/>
                <w:sz w:val="16"/>
                <w:szCs w:val="16"/>
                <w:b w:val="1"/>
                <w:bCs w:val="1"/>
                <w:color w:val="3D3935"/>
              </w:rPr>
              <w:t>Performance Measures</w:t>
            </w:r>
          </w:p>
        </w:tc>
        <w:tc>
          <w:tcPr>
            <w:tcW w:w="240" w:type="dxa"/>
            <w:vAlign w:val="bottom"/>
          </w:tcPr>
          <w:p>
            <w:pPr>
              <w:spacing w:after="0"/>
              <w:rPr>
                <w:sz w:val="18"/>
                <w:szCs w:val="18"/>
                <w:color w:val="auto"/>
              </w:rPr>
            </w:pPr>
          </w:p>
        </w:tc>
        <w:tc>
          <w:tcPr>
            <w:tcW w:w="4620" w:type="dxa"/>
            <w:vAlign w:val="bottom"/>
          </w:tcPr>
          <w:p>
            <w:pPr>
              <w:ind w:left="80"/>
              <w:spacing w:after="0"/>
              <w:rPr>
                <w:sz w:val="20"/>
                <w:szCs w:val="20"/>
                <w:color w:val="auto"/>
              </w:rPr>
            </w:pPr>
            <w:r>
              <w:rPr>
                <w:rFonts w:ascii="Arial" w:cs="Arial" w:eastAsia="Arial" w:hAnsi="Arial"/>
                <w:sz w:val="16"/>
                <w:szCs w:val="16"/>
                <w:color w:val="3D3935"/>
              </w:rPr>
              <w:t>generation; EV measures were transitioned into our STIP as</w:t>
            </w:r>
          </w:p>
        </w:tc>
        <w:tc>
          <w:tcPr>
            <w:tcW w:w="260" w:type="dxa"/>
            <w:vAlign w:val="bottom"/>
          </w:tcPr>
          <w:p>
            <w:pPr>
              <w:spacing w:after="0"/>
              <w:rPr>
                <w:sz w:val="18"/>
                <w:szCs w:val="18"/>
                <w:color w:val="auto"/>
              </w:rPr>
            </w:pPr>
          </w:p>
        </w:tc>
        <w:tc>
          <w:tcPr>
            <w:tcW w:w="820" w:type="dxa"/>
            <w:vAlign w:val="bottom"/>
            <w:tcBorders>
              <w:right w:val="single" w:sz="8" w:color="CCCCCC"/>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Borders>
              <w:left w:val="single" w:sz="8" w:color="CCCCCC"/>
            </w:tcBorders>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shd w:val="clear" w:color="auto" w:fill="F0F3F6"/>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20" w:type="dxa"/>
            <w:vAlign w:val="bottom"/>
          </w:tcPr>
          <w:p>
            <w:pPr>
              <w:ind w:left="80"/>
              <w:spacing w:after="0"/>
              <w:rPr>
                <w:sz w:val="20"/>
                <w:szCs w:val="20"/>
                <w:color w:val="auto"/>
              </w:rPr>
            </w:pPr>
            <w:r>
              <w:rPr>
                <w:rFonts w:ascii="Arial" w:cs="Arial" w:eastAsia="Arial" w:hAnsi="Arial"/>
                <w:sz w:val="16"/>
                <w:szCs w:val="16"/>
                <w:color w:val="3D3935"/>
              </w:rPr>
              <w:t>described above</w:t>
            </w:r>
          </w:p>
        </w:tc>
        <w:tc>
          <w:tcPr>
            <w:tcW w:w="260" w:type="dxa"/>
            <w:vAlign w:val="bottom"/>
          </w:tcPr>
          <w:p>
            <w:pPr>
              <w:spacing w:after="0"/>
              <w:rPr>
                <w:sz w:val="18"/>
                <w:szCs w:val="18"/>
                <w:color w:val="auto"/>
              </w:rPr>
            </w:pPr>
          </w:p>
        </w:tc>
        <w:tc>
          <w:tcPr>
            <w:tcW w:w="820" w:type="dxa"/>
            <w:vAlign w:val="bottom"/>
            <w:tcBorders>
              <w:right w:val="single" w:sz="8" w:color="CCCCCC"/>
            </w:tcBorders>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820" w:type="dxa"/>
            <w:vAlign w:val="bottom"/>
            <w:tcBorders>
              <w:left w:val="single" w:sz="8" w:color="CCCCCC"/>
            </w:tcBorders>
          </w:tcPr>
          <w:p>
            <w:pPr>
              <w:spacing w:after="0"/>
              <w:rPr>
                <w:sz w:val="24"/>
                <w:szCs w:val="24"/>
                <w:color w:val="auto"/>
              </w:rPr>
            </w:pPr>
          </w:p>
        </w:tc>
        <w:tc>
          <w:tcPr>
            <w:tcW w:w="1300" w:type="dxa"/>
            <w:vAlign w:val="bottom"/>
            <w:vMerge w:val="restart"/>
          </w:tcPr>
          <w:p>
            <w:pPr>
              <w:ind w:left="60"/>
              <w:spacing w:after="0"/>
              <w:rPr>
                <w:sz w:val="20"/>
                <w:szCs w:val="20"/>
                <w:color w:val="auto"/>
              </w:rPr>
            </w:pPr>
            <w:r>
              <w:rPr>
                <w:rFonts w:ascii="Arial" w:cs="Arial" w:eastAsia="Arial" w:hAnsi="Arial"/>
                <w:sz w:val="16"/>
                <w:szCs w:val="16"/>
                <w:b w:val="1"/>
                <w:bCs w:val="1"/>
                <w:color w:val="3D3935"/>
              </w:rPr>
              <w:t>LTIP Program</w:t>
            </w:r>
          </w:p>
        </w:tc>
        <w:tc>
          <w:tcPr>
            <w:tcW w:w="700" w:type="dxa"/>
            <w:vAlign w:val="bottom"/>
            <w:shd w:val="clear" w:color="auto" w:fill="F0F3F6"/>
          </w:tcPr>
          <w:p>
            <w:pPr>
              <w:spacing w:after="0"/>
              <w:rPr>
                <w:sz w:val="24"/>
                <w:szCs w:val="24"/>
                <w:color w:val="auto"/>
              </w:rPr>
            </w:pPr>
          </w:p>
        </w:tc>
        <w:tc>
          <w:tcPr>
            <w:tcW w:w="1960" w:type="dxa"/>
            <w:vAlign w:val="bottom"/>
          </w:tcPr>
          <w:p>
            <w:pPr>
              <w:spacing w:after="0"/>
              <w:rPr>
                <w:sz w:val="24"/>
                <w:szCs w:val="24"/>
                <w:color w:val="auto"/>
              </w:rPr>
            </w:pPr>
          </w:p>
        </w:tc>
        <w:tc>
          <w:tcPr>
            <w:tcW w:w="4860" w:type="dxa"/>
            <w:vAlign w:val="bottom"/>
            <w:gridSpan w:val="2"/>
          </w:tcPr>
          <w:p>
            <w:pPr>
              <w:ind w:left="12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Starting in 2024, incorporated RSUs (25% of LTIP) in lieu of</w:t>
            </w:r>
          </w:p>
        </w:tc>
        <w:tc>
          <w:tcPr>
            <w:tcW w:w="260" w:type="dxa"/>
            <w:vAlign w:val="bottom"/>
          </w:tcPr>
          <w:p>
            <w:pPr>
              <w:spacing w:after="0"/>
              <w:rPr>
                <w:sz w:val="24"/>
                <w:szCs w:val="24"/>
                <w:color w:val="auto"/>
              </w:rPr>
            </w:pPr>
          </w:p>
        </w:tc>
        <w:tc>
          <w:tcPr>
            <w:tcW w:w="820" w:type="dxa"/>
            <w:vAlign w:val="bottom"/>
            <w:tcBorders>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820" w:type="dxa"/>
            <w:vAlign w:val="bottom"/>
            <w:tcBorders>
              <w:left w:val="single" w:sz="8" w:color="CCCCCC"/>
            </w:tcBorders>
          </w:tcPr>
          <w:p>
            <w:pPr>
              <w:spacing w:after="0"/>
              <w:rPr>
                <w:sz w:val="9"/>
                <w:szCs w:val="9"/>
                <w:color w:val="auto"/>
              </w:rPr>
            </w:pPr>
          </w:p>
        </w:tc>
        <w:tc>
          <w:tcPr>
            <w:tcW w:w="1300" w:type="dxa"/>
            <w:vAlign w:val="bottom"/>
            <w:vMerge w:val="continue"/>
          </w:tcPr>
          <w:p>
            <w:pPr>
              <w:spacing w:after="0"/>
              <w:rPr>
                <w:sz w:val="9"/>
                <w:szCs w:val="9"/>
                <w:color w:val="auto"/>
              </w:rPr>
            </w:pPr>
          </w:p>
        </w:tc>
        <w:tc>
          <w:tcPr>
            <w:tcW w:w="700" w:type="dxa"/>
            <w:vAlign w:val="bottom"/>
            <w:shd w:val="clear" w:color="auto" w:fill="F0F3F6"/>
          </w:tcPr>
          <w:p>
            <w:pPr>
              <w:spacing w:after="0"/>
              <w:rPr>
                <w:sz w:val="9"/>
                <w:szCs w:val="9"/>
                <w:color w:val="auto"/>
              </w:rPr>
            </w:pPr>
          </w:p>
        </w:tc>
        <w:tc>
          <w:tcPr>
            <w:tcW w:w="1960" w:type="dxa"/>
            <w:vAlign w:val="bottom"/>
            <w:vMerge w:val="restart"/>
          </w:tcPr>
          <w:p>
            <w:pPr>
              <w:ind w:left="60"/>
              <w:spacing w:after="0"/>
              <w:rPr>
                <w:sz w:val="20"/>
                <w:szCs w:val="20"/>
                <w:color w:val="auto"/>
              </w:rPr>
            </w:pPr>
            <w:r>
              <w:rPr>
                <w:rFonts w:ascii="Arial" w:cs="Arial" w:eastAsia="Arial" w:hAnsi="Arial"/>
                <w:sz w:val="16"/>
                <w:szCs w:val="16"/>
                <w:b w:val="1"/>
                <w:bCs w:val="1"/>
                <w:color w:val="3D3935"/>
              </w:rPr>
              <w:t>RSUs Replace</w:t>
            </w:r>
          </w:p>
        </w:tc>
        <w:tc>
          <w:tcPr>
            <w:tcW w:w="240" w:type="dxa"/>
            <w:vAlign w:val="bottom"/>
          </w:tcPr>
          <w:p>
            <w:pPr>
              <w:spacing w:after="0"/>
              <w:rPr>
                <w:sz w:val="9"/>
                <w:szCs w:val="9"/>
                <w:color w:val="auto"/>
              </w:rPr>
            </w:pPr>
          </w:p>
        </w:tc>
        <w:tc>
          <w:tcPr>
            <w:tcW w:w="4620" w:type="dxa"/>
            <w:vAlign w:val="bottom"/>
            <w:vMerge w:val="restart"/>
          </w:tcPr>
          <w:p>
            <w:pPr>
              <w:ind w:left="80"/>
              <w:spacing w:after="0"/>
              <w:rPr>
                <w:sz w:val="20"/>
                <w:szCs w:val="20"/>
                <w:color w:val="auto"/>
              </w:rPr>
            </w:pPr>
            <w:r>
              <w:rPr>
                <w:rFonts w:ascii="Arial" w:cs="Arial" w:eastAsia="Arial" w:hAnsi="Arial"/>
                <w:sz w:val="16"/>
                <w:szCs w:val="16"/>
                <w:color w:val="3D3935"/>
              </w:rPr>
              <w:t>stock options, to improve our ability to attract and retain critical</w:t>
            </w:r>
          </w:p>
        </w:tc>
        <w:tc>
          <w:tcPr>
            <w:tcW w:w="260" w:type="dxa"/>
            <w:vAlign w:val="bottom"/>
          </w:tcPr>
          <w:p>
            <w:pPr>
              <w:spacing w:after="0"/>
              <w:rPr>
                <w:sz w:val="9"/>
                <w:szCs w:val="9"/>
                <w:color w:val="auto"/>
              </w:rPr>
            </w:pPr>
          </w:p>
        </w:tc>
        <w:tc>
          <w:tcPr>
            <w:tcW w:w="820" w:type="dxa"/>
            <w:vAlign w:val="bottom"/>
            <w:tcBorders>
              <w:right w:val="single" w:sz="8" w:color="CCCCCC"/>
            </w:tcBorders>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820" w:type="dxa"/>
            <w:vAlign w:val="bottom"/>
            <w:tcBorders>
              <w:left w:val="single" w:sz="8" w:color="CCCCCC"/>
            </w:tcBorders>
          </w:tcPr>
          <w:p>
            <w:pPr>
              <w:spacing w:after="0"/>
              <w:rPr>
                <w:sz w:val="7"/>
                <w:szCs w:val="7"/>
                <w:color w:val="auto"/>
              </w:rPr>
            </w:pPr>
          </w:p>
        </w:tc>
        <w:tc>
          <w:tcPr>
            <w:tcW w:w="1300" w:type="dxa"/>
            <w:vAlign w:val="bottom"/>
            <w:vMerge w:val="restart"/>
          </w:tcPr>
          <w:p>
            <w:pPr>
              <w:ind w:left="60"/>
              <w:spacing w:after="0"/>
              <w:rPr>
                <w:sz w:val="20"/>
                <w:szCs w:val="20"/>
                <w:color w:val="auto"/>
              </w:rPr>
            </w:pPr>
            <w:r>
              <w:rPr>
                <w:rFonts w:ascii="Arial" w:cs="Arial" w:eastAsia="Arial" w:hAnsi="Arial"/>
                <w:sz w:val="16"/>
                <w:szCs w:val="16"/>
                <w:b w:val="1"/>
                <w:bCs w:val="1"/>
                <w:color w:val="3D3935"/>
              </w:rPr>
              <w:t>Design</w:t>
            </w:r>
          </w:p>
        </w:tc>
        <w:tc>
          <w:tcPr>
            <w:tcW w:w="700" w:type="dxa"/>
            <w:vAlign w:val="bottom"/>
            <w:tcBorders>
              <w:bottom w:val="single" w:sz="8" w:color="D9D9D6"/>
            </w:tcBorders>
            <w:shd w:val="clear" w:color="auto" w:fill="F0F3F6"/>
          </w:tcPr>
          <w:p>
            <w:pPr>
              <w:spacing w:after="0"/>
              <w:rPr>
                <w:sz w:val="7"/>
                <w:szCs w:val="7"/>
                <w:color w:val="auto"/>
              </w:rPr>
            </w:pPr>
          </w:p>
        </w:tc>
        <w:tc>
          <w:tcPr>
            <w:tcW w:w="1960" w:type="dxa"/>
            <w:vAlign w:val="bottom"/>
            <w:tcBorders>
              <w:bottom w:val="single" w:sz="8" w:color="D9D9D6"/>
            </w:tcBorders>
            <w:vMerge w:val="continue"/>
          </w:tcPr>
          <w:p>
            <w:pPr>
              <w:spacing w:after="0"/>
              <w:rPr>
                <w:sz w:val="7"/>
                <w:szCs w:val="7"/>
                <w:color w:val="auto"/>
              </w:rPr>
            </w:pPr>
          </w:p>
        </w:tc>
        <w:tc>
          <w:tcPr>
            <w:tcW w:w="240" w:type="dxa"/>
            <w:vAlign w:val="bottom"/>
            <w:tcBorders>
              <w:bottom w:val="single" w:sz="8" w:color="D9D9D6"/>
            </w:tcBorders>
          </w:tcPr>
          <w:p>
            <w:pPr>
              <w:spacing w:after="0"/>
              <w:rPr>
                <w:sz w:val="7"/>
                <w:szCs w:val="7"/>
                <w:color w:val="auto"/>
              </w:rPr>
            </w:pPr>
          </w:p>
        </w:tc>
        <w:tc>
          <w:tcPr>
            <w:tcW w:w="4620" w:type="dxa"/>
            <w:vAlign w:val="bottom"/>
            <w:tcBorders>
              <w:bottom w:val="single" w:sz="8" w:color="D9D9D6"/>
            </w:tcBorders>
            <w:vMerge w:val="continue"/>
          </w:tcPr>
          <w:p>
            <w:pPr>
              <w:spacing w:after="0"/>
              <w:rPr>
                <w:sz w:val="7"/>
                <w:szCs w:val="7"/>
                <w:color w:val="auto"/>
              </w:rPr>
            </w:pPr>
          </w:p>
        </w:tc>
        <w:tc>
          <w:tcPr>
            <w:tcW w:w="260" w:type="dxa"/>
            <w:vAlign w:val="bottom"/>
            <w:tcBorders>
              <w:bottom w:val="single" w:sz="8" w:color="D9D9D6"/>
            </w:tcBorders>
          </w:tcPr>
          <w:p>
            <w:pPr>
              <w:spacing w:after="0"/>
              <w:rPr>
                <w:sz w:val="7"/>
                <w:szCs w:val="7"/>
                <w:color w:val="auto"/>
              </w:rPr>
            </w:pPr>
          </w:p>
        </w:tc>
        <w:tc>
          <w:tcPr>
            <w:tcW w:w="820" w:type="dxa"/>
            <w:vAlign w:val="bottom"/>
            <w:tcBorders>
              <w:right w:val="single" w:sz="8" w:color="CCCCCC"/>
            </w:tcBorders>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820" w:type="dxa"/>
            <w:vAlign w:val="bottom"/>
            <w:tcBorders>
              <w:left w:val="single" w:sz="8" w:color="CCCCCC"/>
            </w:tcBorders>
          </w:tcPr>
          <w:p>
            <w:pPr>
              <w:spacing w:after="0"/>
              <w:rPr>
                <w:sz w:val="10"/>
                <w:szCs w:val="10"/>
                <w:color w:val="auto"/>
              </w:rPr>
            </w:pPr>
          </w:p>
        </w:tc>
        <w:tc>
          <w:tcPr>
            <w:tcW w:w="1300" w:type="dxa"/>
            <w:vAlign w:val="bottom"/>
            <w:vMerge w:val="continue"/>
          </w:tcPr>
          <w:p>
            <w:pPr>
              <w:spacing w:after="0"/>
              <w:rPr>
                <w:sz w:val="10"/>
                <w:szCs w:val="10"/>
                <w:color w:val="auto"/>
              </w:rPr>
            </w:pPr>
          </w:p>
        </w:tc>
        <w:tc>
          <w:tcPr>
            <w:tcW w:w="700" w:type="dxa"/>
            <w:vAlign w:val="bottom"/>
            <w:shd w:val="clear" w:color="auto" w:fill="F0F3F6"/>
          </w:tcPr>
          <w:p>
            <w:pPr>
              <w:spacing w:after="0"/>
              <w:rPr>
                <w:sz w:val="10"/>
                <w:szCs w:val="10"/>
                <w:color w:val="auto"/>
              </w:rPr>
            </w:pPr>
          </w:p>
        </w:tc>
        <w:tc>
          <w:tcPr>
            <w:tcW w:w="1960" w:type="dxa"/>
            <w:vAlign w:val="bottom"/>
            <w:vMerge w:val="restart"/>
          </w:tcPr>
          <w:p>
            <w:pPr>
              <w:ind w:left="60"/>
              <w:spacing w:after="0"/>
              <w:rPr>
                <w:sz w:val="20"/>
                <w:szCs w:val="20"/>
                <w:color w:val="auto"/>
              </w:rPr>
            </w:pPr>
            <w:r>
              <w:rPr>
                <w:rFonts w:ascii="Arial" w:cs="Arial" w:eastAsia="Arial" w:hAnsi="Arial"/>
                <w:sz w:val="16"/>
                <w:szCs w:val="16"/>
                <w:b w:val="1"/>
                <w:bCs w:val="1"/>
                <w:color w:val="3D3935"/>
              </w:rPr>
              <w:t>Stock Options</w:t>
            </w:r>
          </w:p>
        </w:tc>
        <w:tc>
          <w:tcPr>
            <w:tcW w:w="240" w:type="dxa"/>
            <w:vAlign w:val="bottom"/>
          </w:tcPr>
          <w:p>
            <w:pPr>
              <w:spacing w:after="0"/>
              <w:rPr>
                <w:sz w:val="10"/>
                <w:szCs w:val="10"/>
                <w:color w:val="auto"/>
              </w:rPr>
            </w:pPr>
          </w:p>
        </w:tc>
        <w:tc>
          <w:tcPr>
            <w:tcW w:w="4620" w:type="dxa"/>
            <w:vAlign w:val="bottom"/>
            <w:vMerge w:val="restart"/>
          </w:tcPr>
          <w:p>
            <w:pPr>
              <w:ind w:left="80"/>
              <w:spacing w:after="0"/>
              <w:rPr>
                <w:sz w:val="20"/>
                <w:szCs w:val="20"/>
                <w:color w:val="auto"/>
              </w:rPr>
            </w:pPr>
            <w:r>
              <w:rPr>
                <w:rFonts w:ascii="Arial" w:cs="Arial" w:eastAsia="Arial" w:hAnsi="Arial"/>
                <w:sz w:val="16"/>
                <w:szCs w:val="16"/>
                <w:color w:val="3D3935"/>
              </w:rPr>
              <w:t>talent and to more efficiently use the shares available in the</w:t>
            </w:r>
          </w:p>
        </w:tc>
        <w:tc>
          <w:tcPr>
            <w:tcW w:w="260" w:type="dxa"/>
            <w:vAlign w:val="bottom"/>
          </w:tcPr>
          <w:p>
            <w:pPr>
              <w:spacing w:after="0"/>
              <w:rPr>
                <w:sz w:val="10"/>
                <w:szCs w:val="10"/>
                <w:color w:val="auto"/>
              </w:rPr>
            </w:pPr>
          </w:p>
        </w:tc>
        <w:tc>
          <w:tcPr>
            <w:tcW w:w="820" w:type="dxa"/>
            <w:vAlign w:val="bottom"/>
            <w:tcBorders>
              <w:right w:val="single" w:sz="8" w:color="CCCCCC"/>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820" w:type="dxa"/>
            <w:vAlign w:val="bottom"/>
            <w:tcBorders>
              <w:left w:val="single" w:sz="8" w:color="CCCCCC"/>
            </w:tcBorders>
          </w:tcPr>
          <w:p>
            <w:pPr>
              <w:spacing w:after="0"/>
              <w:rPr>
                <w:sz w:val="7"/>
                <w:szCs w:val="7"/>
                <w:color w:val="auto"/>
              </w:rPr>
            </w:pPr>
          </w:p>
        </w:tc>
        <w:tc>
          <w:tcPr>
            <w:tcW w:w="1300" w:type="dxa"/>
            <w:vAlign w:val="bottom"/>
          </w:tcPr>
          <w:p>
            <w:pPr>
              <w:spacing w:after="0"/>
              <w:rPr>
                <w:sz w:val="7"/>
                <w:szCs w:val="7"/>
                <w:color w:val="auto"/>
              </w:rPr>
            </w:pPr>
          </w:p>
        </w:tc>
        <w:tc>
          <w:tcPr>
            <w:tcW w:w="700" w:type="dxa"/>
            <w:vAlign w:val="bottom"/>
            <w:shd w:val="clear" w:color="auto" w:fill="F0F3F6"/>
          </w:tcPr>
          <w:p>
            <w:pPr>
              <w:spacing w:after="0"/>
              <w:rPr>
                <w:sz w:val="7"/>
                <w:szCs w:val="7"/>
                <w:color w:val="auto"/>
              </w:rPr>
            </w:pPr>
          </w:p>
        </w:tc>
        <w:tc>
          <w:tcPr>
            <w:tcW w:w="19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46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Borders>
              <w:right w:val="single" w:sz="8" w:color="CCCCCC"/>
            </w:tcBorders>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820" w:type="dxa"/>
            <w:vAlign w:val="bottom"/>
            <w:tcBorders>
              <w:left w:val="single" w:sz="8" w:color="CCCCCC"/>
            </w:tcBorders>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shd w:val="clear" w:color="auto" w:fill="F0F3F6"/>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20" w:type="dxa"/>
            <w:vAlign w:val="bottom"/>
          </w:tcPr>
          <w:p>
            <w:pPr>
              <w:ind w:left="80"/>
              <w:spacing w:after="0"/>
              <w:rPr>
                <w:sz w:val="20"/>
                <w:szCs w:val="20"/>
                <w:color w:val="auto"/>
              </w:rPr>
            </w:pPr>
            <w:r>
              <w:rPr>
                <w:rFonts w:ascii="Arial" w:cs="Arial" w:eastAsia="Arial" w:hAnsi="Arial"/>
                <w:sz w:val="16"/>
                <w:szCs w:val="16"/>
                <w:color w:val="3D3935"/>
              </w:rPr>
              <w:t>equity plan</w:t>
            </w:r>
          </w:p>
        </w:tc>
        <w:tc>
          <w:tcPr>
            <w:tcW w:w="260" w:type="dxa"/>
            <w:vAlign w:val="bottom"/>
          </w:tcPr>
          <w:p>
            <w:pPr>
              <w:spacing w:after="0"/>
              <w:rPr>
                <w:sz w:val="18"/>
                <w:szCs w:val="18"/>
                <w:color w:val="auto"/>
              </w:rPr>
            </w:pPr>
          </w:p>
        </w:tc>
        <w:tc>
          <w:tcPr>
            <w:tcW w:w="820" w:type="dxa"/>
            <w:vAlign w:val="bottom"/>
            <w:tcBorders>
              <w:right w:val="single" w:sz="8" w:color="CCCCCC"/>
            </w:tcBorders>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820" w:type="dxa"/>
            <w:vAlign w:val="bottom"/>
            <w:tcBorders>
              <w:left w:val="single" w:sz="8" w:color="CCCCCC"/>
            </w:tcBorders>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shd w:val="clear" w:color="auto" w:fill="F0F3F6"/>
          </w:tcPr>
          <w:p>
            <w:pPr>
              <w:spacing w:after="0"/>
              <w:rPr>
                <w:sz w:val="24"/>
                <w:szCs w:val="24"/>
                <w:color w:val="auto"/>
              </w:rPr>
            </w:pPr>
          </w:p>
        </w:tc>
        <w:tc>
          <w:tcPr>
            <w:tcW w:w="1960" w:type="dxa"/>
            <w:vAlign w:val="bottom"/>
          </w:tcPr>
          <w:p>
            <w:pPr>
              <w:ind w:left="60"/>
              <w:spacing w:after="0"/>
              <w:rPr>
                <w:sz w:val="20"/>
                <w:szCs w:val="20"/>
                <w:color w:val="auto"/>
              </w:rPr>
            </w:pPr>
            <w:r>
              <w:rPr>
                <w:rFonts w:ascii="Arial" w:cs="Arial" w:eastAsia="Arial" w:hAnsi="Arial"/>
                <w:sz w:val="16"/>
                <w:szCs w:val="16"/>
                <w:b w:val="1"/>
                <w:bCs w:val="1"/>
                <w:color w:val="3D3935"/>
              </w:rPr>
              <w:t>Target Relative TSR</w:t>
            </w:r>
          </w:p>
        </w:tc>
        <w:tc>
          <w:tcPr>
            <w:tcW w:w="4860" w:type="dxa"/>
            <w:vAlign w:val="bottom"/>
            <w:gridSpan w:val="2"/>
            <w:vMerge w:val="restart"/>
          </w:tcPr>
          <w:p>
            <w:pPr>
              <w:ind w:left="12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Increased target performance for the relative TSR portion of</w:t>
            </w:r>
          </w:p>
        </w:tc>
        <w:tc>
          <w:tcPr>
            <w:tcW w:w="260" w:type="dxa"/>
            <w:vAlign w:val="bottom"/>
          </w:tcPr>
          <w:p>
            <w:pPr>
              <w:spacing w:after="0"/>
              <w:rPr>
                <w:sz w:val="24"/>
                <w:szCs w:val="24"/>
                <w:color w:val="auto"/>
              </w:rPr>
            </w:pPr>
          </w:p>
        </w:tc>
        <w:tc>
          <w:tcPr>
            <w:tcW w:w="820" w:type="dxa"/>
            <w:vAlign w:val="bottom"/>
            <w:tcBorders>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820" w:type="dxa"/>
            <w:vAlign w:val="bottom"/>
            <w:tcBorders>
              <w:left w:val="single" w:sz="8" w:color="CCCCCC"/>
            </w:tcBorders>
          </w:tcPr>
          <w:p>
            <w:pPr>
              <w:spacing w:after="0"/>
              <w:rPr>
                <w:sz w:val="9"/>
                <w:szCs w:val="9"/>
                <w:color w:val="auto"/>
              </w:rPr>
            </w:pPr>
          </w:p>
        </w:tc>
        <w:tc>
          <w:tcPr>
            <w:tcW w:w="1300" w:type="dxa"/>
            <w:vAlign w:val="bottom"/>
          </w:tcPr>
          <w:p>
            <w:pPr>
              <w:spacing w:after="0"/>
              <w:rPr>
                <w:sz w:val="9"/>
                <w:szCs w:val="9"/>
                <w:color w:val="auto"/>
              </w:rPr>
            </w:pPr>
          </w:p>
        </w:tc>
        <w:tc>
          <w:tcPr>
            <w:tcW w:w="700" w:type="dxa"/>
            <w:vAlign w:val="bottom"/>
            <w:shd w:val="clear" w:color="auto" w:fill="F0F3F6"/>
          </w:tcPr>
          <w:p>
            <w:pPr>
              <w:spacing w:after="0"/>
              <w:rPr>
                <w:sz w:val="9"/>
                <w:szCs w:val="9"/>
                <w:color w:val="auto"/>
              </w:rPr>
            </w:pPr>
          </w:p>
        </w:tc>
        <w:tc>
          <w:tcPr>
            <w:tcW w:w="1960" w:type="dxa"/>
            <w:vAlign w:val="bottom"/>
            <w:vMerge w:val="restart"/>
          </w:tcPr>
          <w:p>
            <w:pPr>
              <w:ind w:left="60"/>
              <w:spacing w:after="0"/>
              <w:rPr>
                <w:sz w:val="20"/>
                <w:szCs w:val="20"/>
                <w:color w:val="auto"/>
              </w:rPr>
            </w:pPr>
            <w:r>
              <w:rPr>
                <w:rFonts w:ascii="Arial" w:cs="Arial" w:eastAsia="Arial" w:hAnsi="Arial"/>
                <w:sz w:val="16"/>
                <w:szCs w:val="16"/>
                <w:b w:val="1"/>
                <w:bCs w:val="1"/>
                <w:color w:val="3D3935"/>
              </w:rPr>
              <w:t>Performance in PSUs</w:t>
            </w:r>
          </w:p>
        </w:tc>
        <w:tc>
          <w:tcPr>
            <w:tcW w:w="48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Borders>
              <w:right w:val="single" w:sz="8" w:color="CCCCCC"/>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820" w:type="dxa"/>
            <w:vAlign w:val="bottom"/>
            <w:tcBorders>
              <w:left w:val="single" w:sz="8" w:color="CCCCCC"/>
            </w:tcBorders>
          </w:tcPr>
          <w:p>
            <w:pPr>
              <w:spacing w:after="0"/>
              <w:rPr>
                <w:sz w:val="7"/>
                <w:szCs w:val="7"/>
                <w:color w:val="auto"/>
              </w:rPr>
            </w:pPr>
          </w:p>
        </w:tc>
        <w:tc>
          <w:tcPr>
            <w:tcW w:w="1300" w:type="dxa"/>
            <w:vAlign w:val="bottom"/>
          </w:tcPr>
          <w:p>
            <w:pPr>
              <w:spacing w:after="0"/>
              <w:rPr>
                <w:sz w:val="7"/>
                <w:szCs w:val="7"/>
                <w:color w:val="auto"/>
              </w:rPr>
            </w:pPr>
          </w:p>
        </w:tc>
        <w:tc>
          <w:tcPr>
            <w:tcW w:w="700" w:type="dxa"/>
            <w:vAlign w:val="bottom"/>
            <w:shd w:val="clear" w:color="auto" w:fill="F0F3F6"/>
          </w:tcPr>
          <w:p>
            <w:pPr>
              <w:spacing w:after="0"/>
              <w:rPr>
                <w:sz w:val="7"/>
                <w:szCs w:val="7"/>
                <w:color w:val="auto"/>
              </w:rPr>
            </w:pPr>
          </w:p>
        </w:tc>
        <w:tc>
          <w:tcPr>
            <w:tcW w:w="19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4620" w:type="dxa"/>
            <w:vAlign w:val="bottom"/>
            <w:vMerge w:val="restart"/>
          </w:tcPr>
          <w:p>
            <w:pPr>
              <w:ind w:left="80"/>
              <w:spacing w:after="0"/>
              <w:rPr>
                <w:sz w:val="20"/>
                <w:szCs w:val="20"/>
                <w:color w:val="auto"/>
              </w:rPr>
            </w:pPr>
            <w:r>
              <w:rPr>
                <w:rFonts w:ascii="Arial" w:cs="Arial" w:eastAsia="Arial" w:hAnsi="Arial"/>
                <w:sz w:val="16"/>
                <w:szCs w:val="16"/>
                <w:color w:val="3D3935"/>
              </w:rPr>
              <w:t>PSUs from 50th percentile to 55th percentile starting with</w:t>
            </w:r>
          </w:p>
        </w:tc>
        <w:tc>
          <w:tcPr>
            <w:tcW w:w="260" w:type="dxa"/>
            <w:vAlign w:val="bottom"/>
          </w:tcPr>
          <w:p>
            <w:pPr>
              <w:spacing w:after="0"/>
              <w:rPr>
                <w:sz w:val="7"/>
                <w:szCs w:val="7"/>
                <w:color w:val="auto"/>
              </w:rPr>
            </w:pPr>
          </w:p>
        </w:tc>
        <w:tc>
          <w:tcPr>
            <w:tcW w:w="820" w:type="dxa"/>
            <w:vAlign w:val="bottom"/>
            <w:tcBorders>
              <w:right w:val="single" w:sz="8" w:color="CCCCCC"/>
            </w:tcBorders>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820" w:type="dxa"/>
            <w:vAlign w:val="bottom"/>
            <w:tcBorders>
              <w:left w:val="single" w:sz="8" w:color="CCCCCC"/>
            </w:tcBorders>
          </w:tcPr>
          <w:p>
            <w:pPr>
              <w:spacing w:after="0"/>
              <w:rPr>
                <w:sz w:val="10"/>
                <w:szCs w:val="10"/>
                <w:color w:val="auto"/>
              </w:rPr>
            </w:pPr>
          </w:p>
        </w:tc>
        <w:tc>
          <w:tcPr>
            <w:tcW w:w="1300" w:type="dxa"/>
            <w:vAlign w:val="bottom"/>
          </w:tcPr>
          <w:p>
            <w:pPr>
              <w:spacing w:after="0"/>
              <w:rPr>
                <w:sz w:val="10"/>
                <w:szCs w:val="10"/>
                <w:color w:val="auto"/>
              </w:rPr>
            </w:pPr>
          </w:p>
        </w:tc>
        <w:tc>
          <w:tcPr>
            <w:tcW w:w="700" w:type="dxa"/>
            <w:vAlign w:val="bottom"/>
            <w:shd w:val="clear" w:color="auto" w:fill="F0F3F6"/>
          </w:tcPr>
          <w:p>
            <w:pPr>
              <w:spacing w:after="0"/>
              <w:rPr>
                <w:sz w:val="10"/>
                <w:szCs w:val="10"/>
                <w:color w:val="auto"/>
              </w:rPr>
            </w:pPr>
          </w:p>
        </w:tc>
        <w:tc>
          <w:tcPr>
            <w:tcW w:w="1960" w:type="dxa"/>
            <w:vAlign w:val="bottom"/>
            <w:vMerge w:val="restart"/>
          </w:tcPr>
          <w:p>
            <w:pPr>
              <w:ind w:left="60"/>
              <w:spacing w:after="0"/>
              <w:rPr>
                <w:sz w:val="20"/>
                <w:szCs w:val="20"/>
                <w:color w:val="auto"/>
              </w:rPr>
            </w:pPr>
            <w:r>
              <w:rPr>
                <w:rFonts w:ascii="Arial" w:cs="Arial" w:eastAsia="Arial" w:hAnsi="Arial"/>
                <w:sz w:val="16"/>
                <w:szCs w:val="16"/>
                <w:b w:val="1"/>
                <w:bCs w:val="1"/>
                <w:color w:val="3D3935"/>
              </w:rPr>
              <w:t>Increased to 55th</w:t>
            </w:r>
          </w:p>
        </w:tc>
        <w:tc>
          <w:tcPr>
            <w:tcW w:w="240" w:type="dxa"/>
            <w:vAlign w:val="bottom"/>
          </w:tcPr>
          <w:p>
            <w:pPr>
              <w:spacing w:after="0"/>
              <w:rPr>
                <w:sz w:val="10"/>
                <w:szCs w:val="10"/>
                <w:color w:val="auto"/>
              </w:rPr>
            </w:pPr>
          </w:p>
        </w:tc>
        <w:tc>
          <w:tcPr>
            <w:tcW w:w="46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Borders>
              <w:right w:val="single" w:sz="8" w:color="CCCCCC"/>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20" w:type="dxa"/>
            <w:vAlign w:val="bottom"/>
            <w:tcBorders>
              <w:left w:val="single" w:sz="8" w:color="CCCCCC"/>
            </w:tcBorders>
          </w:tcPr>
          <w:p>
            <w:pPr>
              <w:spacing w:after="0"/>
              <w:rPr>
                <w:sz w:val="9"/>
                <w:szCs w:val="9"/>
                <w:color w:val="auto"/>
              </w:rPr>
            </w:pPr>
          </w:p>
        </w:tc>
        <w:tc>
          <w:tcPr>
            <w:tcW w:w="1300" w:type="dxa"/>
            <w:vAlign w:val="bottom"/>
          </w:tcPr>
          <w:p>
            <w:pPr>
              <w:spacing w:after="0"/>
              <w:rPr>
                <w:sz w:val="9"/>
                <w:szCs w:val="9"/>
                <w:color w:val="auto"/>
              </w:rPr>
            </w:pPr>
          </w:p>
        </w:tc>
        <w:tc>
          <w:tcPr>
            <w:tcW w:w="700" w:type="dxa"/>
            <w:vAlign w:val="bottom"/>
            <w:shd w:val="clear" w:color="auto" w:fill="F0F3F6"/>
          </w:tcPr>
          <w:p>
            <w:pPr>
              <w:spacing w:after="0"/>
              <w:rPr>
                <w:sz w:val="9"/>
                <w:szCs w:val="9"/>
                <w:color w:val="auto"/>
              </w:rPr>
            </w:pPr>
          </w:p>
        </w:tc>
        <w:tc>
          <w:tcPr>
            <w:tcW w:w="19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4620" w:type="dxa"/>
            <w:vAlign w:val="bottom"/>
            <w:vMerge w:val="restart"/>
          </w:tcPr>
          <w:p>
            <w:pPr>
              <w:ind w:left="80"/>
              <w:spacing w:after="0"/>
              <w:rPr>
                <w:sz w:val="20"/>
                <w:szCs w:val="20"/>
                <w:color w:val="auto"/>
              </w:rPr>
            </w:pPr>
            <w:r>
              <w:rPr>
                <w:rFonts w:ascii="Arial" w:cs="Arial" w:eastAsia="Arial" w:hAnsi="Arial"/>
                <w:sz w:val="16"/>
                <w:szCs w:val="16"/>
                <w:color w:val="3D3935"/>
              </w:rPr>
              <w:t>awards granted in 2025</w:t>
            </w:r>
          </w:p>
        </w:tc>
        <w:tc>
          <w:tcPr>
            <w:tcW w:w="260" w:type="dxa"/>
            <w:vAlign w:val="bottom"/>
          </w:tcPr>
          <w:p>
            <w:pPr>
              <w:spacing w:after="0"/>
              <w:rPr>
                <w:sz w:val="9"/>
                <w:szCs w:val="9"/>
                <w:color w:val="auto"/>
              </w:rPr>
            </w:pPr>
          </w:p>
        </w:tc>
        <w:tc>
          <w:tcPr>
            <w:tcW w:w="820" w:type="dxa"/>
            <w:vAlign w:val="bottom"/>
            <w:tcBorders>
              <w:right w:val="single" w:sz="8" w:color="CCCCCC"/>
            </w:tcBorders>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820" w:type="dxa"/>
            <w:vAlign w:val="bottom"/>
            <w:tcBorders>
              <w:left w:val="single" w:sz="8" w:color="CCCCCC"/>
            </w:tcBorders>
          </w:tcPr>
          <w:p>
            <w:pPr>
              <w:spacing w:after="0"/>
              <w:rPr>
                <w:sz w:val="9"/>
                <w:szCs w:val="9"/>
                <w:color w:val="auto"/>
              </w:rPr>
            </w:pPr>
          </w:p>
        </w:tc>
        <w:tc>
          <w:tcPr>
            <w:tcW w:w="1300" w:type="dxa"/>
            <w:vAlign w:val="bottom"/>
          </w:tcPr>
          <w:p>
            <w:pPr>
              <w:spacing w:after="0"/>
              <w:rPr>
                <w:sz w:val="9"/>
                <w:szCs w:val="9"/>
                <w:color w:val="auto"/>
              </w:rPr>
            </w:pPr>
          </w:p>
        </w:tc>
        <w:tc>
          <w:tcPr>
            <w:tcW w:w="700" w:type="dxa"/>
            <w:vAlign w:val="bottom"/>
            <w:shd w:val="clear" w:color="auto" w:fill="F0F3F6"/>
          </w:tcPr>
          <w:p>
            <w:pPr>
              <w:spacing w:after="0"/>
              <w:rPr>
                <w:sz w:val="9"/>
                <w:szCs w:val="9"/>
                <w:color w:val="auto"/>
              </w:rPr>
            </w:pPr>
          </w:p>
        </w:tc>
        <w:tc>
          <w:tcPr>
            <w:tcW w:w="1960" w:type="dxa"/>
            <w:vAlign w:val="bottom"/>
            <w:vMerge w:val="restart"/>
          </w:tcPr>
          <w:p>
            <w:pPr>
              <w:ind w:left="60"/>
              <w:spacing w:after="0"/>
              <w:rPr>
                <w:sz w:val="20"/>
                <w:szCs w:val="20"/>
                <w:color w:val="auto"/>
              </w:rPr>
            </w:pPr>
            <w:r>
              <w:rPr>
                <w:rFonts w:ascii="Arial" w:cs="Arial" w:eastAsia="Arial" w:hAnsi="Arial"/>
                <w:sz w:val="16"/>
                <w:szCs w:val="16"/>
                <w:b w:val="1"/>
                <w:bCs w:val="1"/>
                <w:color w:val="3D3935"/>
              </w:rPr>
              <w:t>Percentile</w:t>
            </w:r>
          </w:p>
        </w:tc>
        <w:tc>
          <w:tcPr>
            <w:tcW w:w="240" w:type="dxa"/>
            <w:vAlign w:val="bottom"/>
          </w:tcPr>
          <w:p>
            <w:pPr>
              <w:spacing w:after="0"/>
              <w:rPr>
                <w:sz w:val="9"/>
                <w:szCs w:val="9"/>
                <w:color w:val="auto"/>
              </w:rPr>
            </w:pPr>
          </w:p>
        </w:tc>
        <w:tc>
          <w:tcPr>
            <w:tcW w:w="4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Borders>
              <w:right w:val="single" w:sz="8" w:color="CCCCCC"/>
            </w:tcBorders>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820" w:type="dxa"/>
            <w:vAlign w:val="bottom"/>
            <w:tcBorders>
              <w:left w:val="single" w:sz="8" w:color="CCCCCC"/>
            </w:tcBorders>
          </w:tcPr>
          <w:p>
            <w:pPr>
              <w:spacing w:after="0"/>
              <w:rPr>
                <w:sz w:val="10"/>
                <w:szCs w:val="10"/>
                <w:color w:val="auto"/>
              </w:rPr>
            </w:pPr>
          </w:p>
        </w:tc>
        <w:tc>
          <w:tcPr>
            <w:tcW w:w="1300" w:type="dxa"/>
            <w:vAlign w:val="bottom"/>
          </w:tcPr>
          <w:p>
            <w:pPr>
              <w:spacing w:after="0"/>
              <w:rPr>
                <w:sz w:val="10"/>
                <w:szCs w:val="10"/>
                <w:color w:val="auto"/>
              </w:rPr>
            </w:pPr>
          </w:p>
        </w:tc>
        <w:tc>
          <w:tcPr>
            <w:tcW w:w="700" w:type="dxa"/>
            <w:vAlign w:val="bottom"/>
            <w:shd w:val="clear" w:color="auto" w:fill="F0F3F6"/>
          </w:tcPr>
          <w:p>
            <w:pPr>
              <w:spacing w:after="0"/>
              <w:rPr>
                <w:sz w:val="10"/>
                <w:szCs w:val="10"/>
                <w:color w:val="auto"/>
              </w:rPr>
            </w:pPr>
          </w:p>
        </w:tc>
        <w:tc>
          <w:tcPr>
            <w:tcW w:w="19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Borders>
              <w:right w:val="single" w:sz="8" w:color="CCCCCC"/>
            </w:tcBorders>
          </w:tcPr>
          <w:p>
            <w:pPr>
              <w:spacing w:after="0"/>
              <w:rPr>
                <w:sz w:val="10"/>
                <w:szCs w:val="10"/>
                <w:color w:val="auto"/>
              </w:rPr>
            </w:pPr>
          </w:p>
        </w:tc>
        <w:tc>
          <w:tcPr>
            <w:tcW w:w="0" w:type="dxa"/>
            <w:vAlign w:val="bottom"/>
          </w:tcPr>
          <w:p>
            <w:pPr>
              <w:spacing w:after="0"/>
              <w:rPr>
                <w:sz w:val="1"/>
                <w:szCs w:val="1"/>
                <w:color w:val="auto"/>
              </w:rPr>
            </w:pPr>
          </w:p>
        </w:tc>
      </w:tr>
      <w:tr>
        <w:trPr>
          <w:trHeight w:val="370"/>
        </w:trPr>
        <w:tc>
          <w:tcPr>
            <w:tcW w:w="820" w:type="dxa"/>
            <w:vAlign w:val="bottom"/>
            <w:tcBorders>
              <w:left w:val="single" w:sz="8" w:color="CCCCCC"/>
            </w:tcBorders>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shd w:val="clear" w:color="auto" w:fill="F0F3F6"/>
          </w:tcPr>
          <w:p>
            <w:pPr>
              <w:spacing w:after="0"/>
              <w:rPr>
                <w:sz w:val="24"/>
                <w:szCs w:val="24"/>
                <w:color w:val="auto"/>
              </w:rPr>
            </w:pPr>
          </w:p>
        </w:tc>
        <w:tc>
          <w:tcPr>
            <w:tcW w:w="1960" w:type="dxa"/>
            <w:vAlign w:val="bottom"/>
          </w:tcPr>
          <w:p>
            <w:pPr>
              <w:spacing w:after="0"/>
              <w:rPr>
                <w:sz w:val="24"/>
                <w:szCs w:val="24"/>
                <w:color w:val="auto"/>
              </w:rPr>
            </w:pPr>
          </w:p>
        </w:tc>
        <w:tc>
          <w:tcPr>
            <w:tcW w:w="240" w:type="dxa"/>
            <w:vAlign w:val="bottom"/>
          </w:tcPr>
          <w:p>
            <w:pPr>
              <w:ind w:left="120"/>
              <w:spacing w:after="0"/>
              <w:rPr>
                <w:sz w:val="20"/>
                <w:szCs w:val="20"/>
                <w:color w:val="auto"/>
              </w:rPr>
            </w:pPr>
            <w:r>
              <w:rPr>
                <w:rFonts w:ascii="Arial" w:cs="Arial" w:eastAsia="Arial" w:hAnsi="Arial"/>
                <w:sz w:val="16"/>
                <w:szCs w:val="16"/>
                <w:color w:val="0072CE"/>
              </w:rPr>
              <w:t>•</w:t>
            </w:r>
          </w:p>
        </w:tc>
        <w:tc>
          <w:tcPr>
            <w:tcW w:w="4620" w:type="dxa"/>
            <w:vAlign w:val="bottom"/>
          </w:tcPr>
          <w:p>
            <w:pPr>
              <w:ind w:left="80"/>
              <w:spacing w:after="0"/>
              <w:rPr>
                <w:sz w:val="20"/>
                <w:szCs w:val="20"/>
                <w:color w:val="auto"/>
              </w:rPr>
            </w:pPr>
            <w:r>
              <w:rPr>
                <w:rFonts w:ascii="Arial" w:cs="Arial" w:eastAsia="Arial" w:hAnsi="Arial"/>
                <w:sz w:val="16"/>
                <w:szCs w:val="16"/>
                <w:color w:val="3D3935"/>
              </w:rPr>
              <w:t>As further described on page 55, our 2024 STIP targets for</w:t>
            </w:r>
          </w:p>
        </w:tc>
        <w:tc>
          <w:tcPr>
            <w:tcW w:w="260" w:type="dxa"/>
            <w:vAlign w:val="bottom"/>
          </w:tcPr>
          <w:p>
            <w:pPr>
              <w:spacing w:after="0"/>
              <w:rPr>
                <w:sz w:val="24"/>
                <w:szCs w:val="24"/>
                <w:color w:val="auto"/>
              </w:rPr>
            </w:pPr>
          </w:p>
        </w:tc>
        <w:tc>
          <w:tcPr>
            <w:tcW w:w="820" w:type="dxa"/>
            <w:vAlign w:val="bottom"/>
            <w:tcBorders>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20" w:type="dxa"/>
            <w:vAlign w:val="bottom"/>
            <w:tcBorders>
              <w:left w:val="single" w:sz="8" w:color="CCCCCC"/>
            </w:tcBorders>
          </w:tcPr>
          <w:p>
            <w:pPr>
              <w:spacing w:after="0"/>
              <w:rPr>
                <w:sz w:val="16"/>
                <w:szCs w:val="16"/>
                <w:color w:val="auto"/>
              </w:rPr>
            </w:pPr>
          </w:p>
        </w:tc>
        <w:tc>
          <w:tcPr>
            <w:tcW w:w="1300" w:type="dxa"/>
            <w:vAlign w:val="bottom"/>
            <w:tcBorders>
              <w:bottom w:val="single" w:sz="8" w:color="D9D9D6"/>
            </w:tcBorders>
          </w:tcPr>
          <w:p>
            <w:pPr>
              <w:spacing w:after="0"/>
              <w:rPr>
                <w:sz w:val="16"/>
                <w:szCs w:val="16"/>
                <w:color w:val="auto"/>
              </w:rPr>
            </w:pPr>
          </w:p>
        </w:tc>
        <w:tc>
          <w:tcPr>
            <w:tcW w:w="700" w:type="dxa"/>
            <w:vAlign w:val="bottom"/>
            <w:tcBorders>
              <w:bottom w:val="single" w:sz="8" w:color="D9D9D6"/>
            </w:tcBorders>
            <w:shd w:val="clear" w:color="auto" w:fill="F0F3F6"/>
          </w:tcPr>
          <w:p>
            <w:pPr>
              <w:spacing w:after="0"/>
              <w:rPr>
                <w:sz w:val="16"/>
                <w:szCs w:val="16"/>
                <w:color w:val="auto"/>
              </w:rPr>
            </w:pPr>
          </w:p>
        </w:tc>
        <w:tc>
          <w:tcPr>
            <w:tcW w:w="196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2024 STIP Targets Set</w:t>
            </w:r>
          </w:p>
        </w:tc>
        <w:tc>
          <w:tcPr>
            <w:tcW w:w="240" w:type="dxa"/>
            <w:vAlign w:val="bottom"/>
            <w:tcBorders>
              <w:bottom w:val="single" w:sz="8" w:color="D9D9D6"/>
            </w:tcBorders>
          </w:tcPr>
          <w:p>
            <w:pPr>
              <w:spacing w:after="0"/>
              <w:rPr>
                <w:sz w:val="16"/>
                <w:szCs w:val="16"/>
                <w:color w:val="auto"/>
              </w:rPr>
            </w:pPr>
          </w:p>
        </w:tc>
        <w:tc>
          <w:tcPr>
            <w:tcW w:w="4620" w:type="dxa"/>
            <w:vAlign w:val="bottom"/>
            <w:tcBorders>
              <w:bottom w:val="single" w:sz="8" w:color="D9D9D6"/>
            </w:tcBorders>
          </w:tcPr>
          <w:p>
            <w:pPr>
              <w:ind w:left="80"/>
              <w:spacing w:after="0"/>
              <w:rPr>
                <w:sz w:val="20"/>
                <w:szCs w:val="20"/>
                <w:color w:val="auto"/>
              </w:rPr>
            </w:pPr>
            <w:r>
              <w:rPr>
                <w:rFonts w:ascii="Arial" w:cs="Arial" w:eastAsia="Arial" w:hAnsi="Arial"/>
                <w:sz w:val="16"/>
                <w:szCs w:val="16"/>
                <w:color w:val="3D3935"/>
              </w:rPr>
              <w:t>AAFCF and EBIT-adjusted (including Cruise) were set above</w:t>
            </w:r>
          </w:p>
        </w:tc>
        <w:tc>
          <w:tcPr>
            <w:tcW w:w="260" w:type="dxa"/>
            <w:vAlign w:val="bottom"/>
            <w:tcBorders>
              <w:bottom w:val="single" w:sz="8" w:color="D9D9D6"/>
            </w:tcBorders>
          </w:tcPr>
          <w:p>
            <w:pPr>
              <w:spacing w:after="0"/>
              <w:rPr>
                <w:sz w:val="16"/>
                <w:szCs w:val="16"/>
                <w:color w:val="auto"/>
              </w:rPr>
            </w:pPr>
          </w:p>
        </w:tc>
        <w:tc>
          <w:tcPr>
            <w:tcW w:w="820" w:type="dxa"/>
            <w:vAlign w:val="bottom"/>
            <w:tcBorders>
              <w:right w:val="single" w:sz="8" w:color="CCCCCC"/>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20" w:type="dxa"/>
            <w:vAlign w:val="bottom"/>
            <w:tcBorders>
              <w:left w:val="single" w:sz="8" w:color="CCCCCC"/>
            </w:tcBorders>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shd w:val="clear" w:color="auto" w:fill="F0F3F6"/>
          </w:tcPr>
          <w:p>
            <w:pPr>
              <w:spacing w:after="0"/>
              <w:rPr>
                <w:sz w:val="18"/>
                <w:szCs w:val="18"/>
                <w:color w:val="auto"/>
              </w:rPr>
            </w:pPr>
          </w:p>
        </w:tc>
        <w:tc>
          <w:tcPr>
            <w:tcW w:w="1960" w:type="dxa"/>
            <w:vAlign w:val="bottom"/>
          </w:tcPr>
          <w:p>
            <w:pPr>
              <w:ind w:left="60"/>
              <w:spacing w:after="0"/>
              <w:rPr>
                <w:sz w:val="20"/>
                <w:szCs w:val="20"/>
                <w:color w:val="auto"/>
              </w:rPr>
            </w:pPr>
            <w:r>
              <w:rPr>
                <w:rFonts w:ascii="Arial" w:cs="Arial" w:eastAsia="Arial" w:hAnsi="Arial"/>
                <w:sz w:val="16"/>
                <w:szCs w:val="16"/>
                <w:b w:val="1"/>
                <w:bCs w:val="1"/>
                <w:color w:val="3D3935"/>
              </w:rPr>
              <w:t>Above 2023 Actual</w:t>
            </w:r>
          </w:p>
        </w:tc>
        <w:tc>
          <w:tcPr>
            <w:tcW w:w="240" w:type="dxa"/>
            <w:vAlign w:val="bottom"/>
          </w:tcPr>
          <w:p>
            <w:pPr>
              <w:spacing w:after="0"/>
              <w:rPr>
                <w:sz w:val="18"/>
                <w:szCs w:val="18"/>
                <w:color w:val="auto"/>
              </w:rPr>
            </w:pPr>
          </w:p>
        </w:tc>
        <w:tc>
          <w:tcPr>
            <w:tcW w:w="4620" w:type="dxa"/>
            <w:vAlign w:val="bottom"/>
          </w:tcPr>
          <w:p>
            <w:pPr>
              <w:ind w:left="80"/>
              <w:spacing w:after="0"/>
              <w:rPr>
                <w:sz w:val="20"/>
                <w:szCs w:val="20"/>
                <w:color w:val="auto"/>
              </w:rPr>
            </w:pPr>
            <w:r>
              <w:rPr>
                <w:rFonts w:ascii="Arial" w:cs="Arial" w:eastAsia="Arial" w:hAnsi="Arial"/>
                <w:sz w:val="16"/>
                <w:szCs w:val="16"/>
                <w:color w:val="3D3935"/>
              </w:rPr>
              <w:t>2023 actual performance and at levels the Committee</w:t>
            </w:r>
          </w:p>
        </w:tc>
        <w:tc>
          <w:tcPr>
            <w:tcW w:w="260" w:type="dxa"/>
            <w:vAlign w:val="bottom"/>
          </w:tcPr>
          <w:p>
            <w:pPr>
              <w:spacing w:after="0"/>
              <w:rPr>
                <w:sz w:val="18"/>
                <w:szCs w:val="18"/>
                <w:color w:val="auto"/>
              </w:rPr>
            </w:pPr>
          </w:p>
        </w:tc>
        <w:tc>
          <w:tcPr>
            <w:tcW w:w="820" w:type="dxa"/>
            <w:vAlign w:val="bottom"/>
            <w:tcBorders>
              <w:right w:val="single" w:sz="8" w:color="CCCC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CCCCCC"/>
            </w:tcBorders>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shd w:val="clear" w:color="auto" w:fill="F0F3F6"/>
          </w:tcPr>
          <w:p>
            <w:pPr>
              <w:spacing w:after="0"/>
              <w:rPr>
                <w:sz w:val="18"/>
                <w:szCs w:val="18"/>
                <w:color w:val="auto"/>
              </w:rPr>
            </w:pPr>
          </w:p>
        </w:tc>
        <w:tc>
          <w:tcPr>
            <w:tcW w:w="1960" w:type="dxa"/>
            <w:vAlign w:val="bottom"/>
          </w:tcPr>
          <w:p>
            <w:pPr>
              <w:ind w:left="60"/>
              <w:spacing w:after="0"/>
              <w:rPr>
                <w:sz w:val="20"/>
                <w:szCs w:val="20"/>
                <w:color w:val="auto"/>
              </w:rPr>
            </w:pPr>
            <w:r>
              <w:rPr>
                <w:rFonts w:ascii="Arial" w:cs="Arial" w:eastAsia="Arial" w:hAnsi="Arial"/>
                <w:sz w:val="16"/>
                <w:szCs w:val="16"/>
                <w:b w:val="1"/>
                <w:bCs w:val="1"/>
                <w:color w:val="3D3935"/>
              </w:rPr>
              <w:t>Performance</w:t>
            </w:r>
          </w:p>
        </w:tc>
        <w:tc>
          <w:tcPr>
            <w:tcW w:w="240" w:type="dxa"/>
            <w:vAlign w:val="bottom"/>
          </w:tcPr>
          <w:p>
            <w:pPr>
              <w:spacing w:after="0"/>
              <w:rPr>
                <w:sz w:val="18"/>
                <w:szCs w:val="18"/>
                <w:color w:val="auto"/>
              </w:rPr>
            </w:pPr>
          </w:p>
        </w:tc>
        <w:tc>
          <w:tcPr>
            <w:tcW w:w="4620" w:type="dxa"/>
            <w:vAlign w:val="bottom"/>
          </w:tcPr>
          <w:p>
            <w:pPr>
              <w:ind w:left="80"/>
              <w:spacing w:after="0"/>
              <w:rPr>
                <w:sz w:val="20"/>
                <w:szCs w:val="20"/>
                <w:color w:val="auto"/>
              </w:rPr>
            </w:pPr>
            <w:r>
              <w:rPr>
                <w:rFonts w:ascii="Arial" w:cs="Arial" w:eastAsia="Arial" w:hAnsi="Arial"/>
                <w:sz w:val="16"/>
                <w:szCs w:val="16"/>
                <w:color w:val="3D3935"/>
              </w:rPr>
              <w:t>determined to be rigorous in the context of our business plans</w:t>
            </w:r>
          </w:p>
        </w:tc>
        <w:tc>
          <w:tcPr>
            <w:tcW w:w="260" w:type="dxa"/>
            <w:vAlign w:val="bottom"/>
          </w:tcPr>
          <w:p>
            <w:pPr>
              <w:spacing w:after="0"/>
              <w:rPr>
                <w:sz w:val="18"/>
                <w:szCs w:val="18"/>
                <w:color w:val="auto"/>
              </w:rPr>
            </w:pPr>
          </w:p>
        </w:tc>
        <w:tc>
          <w:tcPr>
            <w:tcW w:w="820" w:type="dxa"/>
            <w:vAlign w:val="bottom"/>
            <w:tcBorders>
              <w:right w:val="single" w:sz="8" w:color="CCCCCC"/>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Borders>
              <w:left w:val="single" w:sz="8" w:color="CCCCCC"/>
            </w:tcBorders>
          </w:tcPr>
          <w:p>
            <w:pPr>
              <w:spacing w:after="0"/>
              <w:rPr>
                <w:sz w:val="18"/>
                <w:szCs w:val="18"/>
                <w:color w:val="auto"/>
              </w:rPr>
            </w:pPr>
          </w:p>
        </w:tc>
        <w:tc>
          <w:tcPr>
            <w:tcW w:w="1300" w:type="dxa"/>
            <w:vAlign w:val="bottom"/>
            <w:vMerge w:val="restart"/>
          </w:tcPr>
          <w:p>
            <w:pPr>
              <w:ind w:left="60"/>
              <w:spacing w:after="0"/>
              <w:rPr>
                <w:sz w:val="20"/>
                <w:szCs w:val="20"/>
                <w:color w:val="auto"/>
              </w:rPr>
            </w:pPr>
            <w:r>
              <w:rPr>
                <w:rFonts w:ascii="Arial" w:cs="Arial" w:eastAsia="Arial" w:hAnsi="Arial"/>
                <w:sz w:val="16"/>
                <w:szCs w:val="16"/>
                <w:b w:val="1"/>
                <w:bCs w:val="1"/>
                <w:color w:val="3D3935"/>
              </w:rPr>
              <w:t>Target Rigor</w:t>
            </w:r>
          </w:p>
        </w:tc>
        <w:tc>
          <w:tcPr>
            <w:tcW w:w="700" w:type="dxa"/>
            <w:vAlign w:val="bottom"/>
            <w:shd w:val="clear" w:color="auto" w:fill="F0F3F6"/>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20" w:type="dxa"/>
            <w:vAlign w:val="bottom"/>
          </w:tcPr>
          <w:p>
            <w:pPr>
              <w:ind w:left="80"/>
              <w:spacing w:after="0"/>
              <w:rPr>
                <w:sz w:val="20"/>
                <w:szCs w:val="20"/>
                <w:color w:val="auto"/>
              </w:rPr>
            </w:pPr>
            <w:r>
              <w:rPr>
                <w:rFonts w:ascii="Arial" w:cs="Arial" w:eastAsia="Arial" w:hAnsi="Arial"/>
                <w:sz w:val="16"/>
                <w:szCs w:val="16"/>
                <w:color w:val="3D3935"/>
              </w:rPr>
              <w:t>and expectations for the performance year</w:t>
            </w:r>
          </w:p>
        </w:tc>
        <w:tc>
          <w:tcPr>
            <w:tcW w:w="260" w:type="dxa"/>
            <w:vAlign w:val="bottom"/>
          </w:tcPr>
          <w:p>
            <w:pPr>
              <w:spacing w:after="0"/>
              <w:rPr>
                <w:sz w:val="18"/>
                <w:szCs w:val="18"/>
                <w:color w:val="auto"/>
              </w:rPr>
            </w:pPr>
          </w:p>
        </w:tc>
        <w:tc>
          <w:tcPr>
            <w:tcW w:w="820" w:type="dxa"/>
            <w:vAlign w:val="bottom"/>
            <w:tcBorders>
              <w:right w:val="single" w:sz="8" w:color="CCCCCC"/>
            </w:tcBorders>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820" w:type="dxa"/>
            <w:vAlign w:val="bottom"/>
            <w:tcBorders>
              <w:left w:val="single" w:sz="8" w:color="CCCCCC"/>
            </w:tcBorders>
          </w:tcPr>
          <w:p>
            <w:pPr>
              <w:spacing w:after="0"/>
              <w:rPr>
                <w:sz w:val="7"/>
                <w:szCs w:val="7"/>
                <w:color w:val="auto"/>
              </w:rPr>
            </w:pPr>
          </w:p>
        </w:tc>
        <w:tc>
          <w:tcPr>
            <w:tcW w:w="1300" w:type="dxa"/>
            <w:vAlign w:val="bottom"/>
            <w:vMerge w:val="continue"/>
          </w:tcPr>
          <w:p>
            <w:pPr>
              <w:spacing w:after="0"/>
              <w:rPr>
                <w:sz w:val="7"/>
                <w:szCs w:val="7"/>
                <w:color w:val="auto"/>
              </w:rPr>
            </w:pPr>
          </w:p>
        </w:tc>
        <w:tc>
          <w:tcPr>
            <w:tcW w:w="700" w:type="dxa"/>
            <w:vAlign w:val="bottom"/>
            <w:shd w:val="clear" w:color="auto" w:fill="F0F3F6"/>
          </w:tcPr>
          <w:p>
            <w:pPr>
              <w:spacing w:after="0"/>
              <w:rPr>
                <w:sz w:val="7"/>
                <w:szCs w:val="7"/>
                <w:color w:val="auto"/>
              </w:rPr>
            </w:pPr>
          </w:p>
        </w:tc>
        <w:tc>
          <w:tcPr>
            <w:tcW w:w="19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Borders>
              <w:right w:val="single" w:sz="8" w:color="CCCCCC"/>
            </w:tcBorders>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820" w:type="dxa"/>
            <w:vAlign w:val="bottom"/>
            <w:tcBorders>
              <w:left w:val="single" w:sz="8" w:color="CCCCCC"/>
            </w:tcBorders>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shd w:val="clear" w:color="auto" w:fill="F0F3F6"/>
          </w:tcPr>
          <w:p>
            <w:pPr>
              <w:spacing w:after="0"/>
              <w:rPr>
                <w:sz w:val="24"/>
                <w:szCs w:val="24"/>
                <w:color w:val="auto"/>
              </w:rPr>
            </w:pPr>
          </w:p>
        </w:tc>
        <w:tc>
          <w:tcPr>
            <w:tcW w:w="1960" w:type="dxa"/>
            <w:vAlign w:val="bottom"/>
            <w:vMerge w:val="restart"/>
          </w:tcPr>
          <w:p>
            <w:pPr>
              <w:ind w:left="60"/>
              <w:spacing w:after="0"/>
              <w:rPr>
                <w:sz w:val="20"/>
                <w:szCs w:val="20"/>
                <w:color w:val="auto"/>
              </w:rPr>
            </w:pPr>
            <w:r>
              <w:rPr>
                <w:rFonts w:ascii="Arial" w:cs="Arial" w:eastAsia="Arial" w:hAnsi="Arial"/>
                <w:sz w:val="16"/>
                <w:szCs w:val="16"/>
                <w:b w:val="1"/>
                <w:bCs w:val="1"/>
                <w:color w:val="3D3935"/>
              </w:rPr>
              <w:t>Enhanced Discussion</w:t>
            </w:r>
          </w:p>
        </w:tc>
        <w:tc>
          <w:tcPr>
            <w:tcW w:w="4860" w:type="dxa"/>
            <w:vAlign w:val="bottom"/>
            <w:gridSpan w:val="2"/>
          </w:tcPr>
          <w:p>
            <w:pPr>
              <w:ind w:left="12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Enhanced discussion of our STIP and LTIP target-setting</w:t>
            </w:r>
          </w:p>
        </w:tc>
        <w:tc>
          <w:tcPr>
            <w:tcW w:w="260" w:type="dxa"/>
            <w:vAlign w:val="bottom"/>
          </w:tcPr>
          <w:p>
            <w:pPr>
              <w:spacing w:after="0"/>
              <w:rPr>
                <w:sz w:val="24"/>
                <w:szCs w:val="24"/>
                <w:color w:val="auto"/>
              </w:rPr>
            </w:pPr>
          </w:p>
        </w:tc>
        <w:tc>
          <w:tcPr>
            <w:tcW w:w="820" w:type="dxa"/>
            <w:vAlign w:val="bottom"/>
            <w:tcBorders>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820" w:type="dxa"/>
            <w:vAlign w:val="bottom"/>
            <w:tcBorders>
              <w:left w:val="single" w:sz="8" w:color="CCCCCC"/>
            </w:tcBorders>
          </w:tcPr>
          <w:p>
            <w:pPr>
              <w:spacing w:after="0"/>
              <w:rPr>
                <w:sz w:val="9"/>
                <w:szCs w:val="9"/>
                <w:color w:val="auto"/>
              </w:rPr>
            </w:pPr>
          </w:p>
        </w:tc>
        <w:tc>
          <w:tcPr>
            <w:tcW w:w="1300" w:type="dxa"/>
            <w:vAlign w:val="bottom"/>
          </w:tcPr>
          <w:p>
            <w:pPr>
              <w:spacing w:after="0"/>
              <w:rPr>
                <w:sz w:val="9"/>
                <w:szCs w:val="9"/>
                <w:color w:val="auto"/>
              </w:rPr>
            </w:pPr>
          </w:p>
        </w:tc>
        <w:tc>
          <w:tcPr>
            <w:tcW w:w="700" w:type="dxa"/>
            <w:vAlign w:val="bottom"/>
            <w:shd w:val="clear" w:color="auto" w:fill="F0F3F6"/>
          </w:tcPr>
          <w:p>
            <w:pPr>
              <w:spacing w:after="0"/>
              <w:rPr>
                <w:sz w:val="9"/>
                <w:szCs w:val="9"/>
                <w:color w:val="auto"/>
              </w:rPr>
            </w:pPr>
          </w:p>
        </w:tc>
        <w:tc>
          <w:tcPr>
            <w:tcW w:w="19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700" w:type="dxa"/>
            <w:vAlign w:val="bottom"/>
            <w:tcBorders>
              <w:right w:val="single" w:sz="8" w:color="CCCCCC"/>
            </w:tcBorders>
            <w:gridSpan w:val="3"/>
            <w:vMerge w:val="restart"/>
          </w:tcPr>
          <w:p>
            <w:pPr>
              <w:ind w:left="80"/>
              <w:spacing w:after="0"/>
              <w:rPr>
                <w:sz w:val="20"/>
                <w:szCs w:val="20"/>
                <w:color w:val="auto"/>
              </w:rPr>
            </w:pPr>
            <w:r>
              <w:rPr>
                <w:rFonts w:ascii="Arial" w:cs="Arial" w:eastAsia="Arial" w:hAnsi="Arial"/>
                <w:sz w:val="16"/>
                <w:szCs w:val="16"/>
                <w:color w:val="3D3935"/>
              </w:rPr>
              <w:t>processes on pages 55 and 58 includes additional insight into the</w:t>
            </w:r>
          </w:p>
        </w:tc>
        <w:tc>
          <w:tcPr>
            <w:tcW w:w="0" w:type="dxa"/>
            <w:vAlign w:val="bottom"/>
          </w:tcPr>
          <w:p>
            <w:pPr>
              <w:spacing w:after="0"/>
              <w:rPr>
                <w:sz w:val="1"/>
                <w:szCs w:val="1"/>
                <w:color w:val="auto"/>
              </w:rPr>
            </w:pPr>
          </w:p>
        </w:tc>
      </w:tr>
      <w:tr>
        <w:trPr>
          <w:trHeight w:val="82"/>
        </w:trPr>
        <w:tc>
          <w:tcPr>
            <w:tcW w:w="820" w:type="dxa"/>
            <w:vAlign w:val="bottom"/>
            <w:tcBorders>
              <w:left w:val="single" w:sz="8" w:color="CCCCCC"/>
            </w:tcBorders>
          </w:tcPr>
          <w:p>
            <w:pPr>
              <w:spacing w:after="0"/>
              <w:rPr>
                <w:sz w:val="7"/>
                <w:szCs w:val="7"/>
                <w:color w:val="auto"/>
              </w:rPr>
            </w:pPr>
          </w:p>
        </w:tc>
        <w:tc>
          <w:tcPr>
            <w:tcW w:w="1300" w:type="dxa"/>
            <w:vAlign w:val="bottom"/>
          </w:tcPr>
          <w:p>
            <w:pPr>
              <w:spacing w:after="0"/>
              <w:rPr>
                <w:sz w:val="7"/>
                <w:szCs w:val="7"/>
                <w:color w:val="auto"/>
              </w:rPr>
            </w:pPr>
          </w:p>
        </w:tc>
        <w:tc>
          <w:tcPr>
            <w:tcW w:w="700" w:type="dxa"/>
            <w:vAlign w:val="bottom"/>
            <w:shd w:val="clear" w:color="auto" w:fill="F0F3F6"/>
          </w:tcPr>
          <w:p>
            <w:pPr>
              <w:spacing w:after="0"/>
              <w:rPr>
                <w:sz w:val="7"/>
                <w:szCs w:val="7"/>
                <w:color w:val="auto"/>
              </w:rPr>
            </w:pPr>
          </w:p>
        </w:tc>
        <w:tc>
          <w:tcPr>
            <w:tcW w:w="1960" w:type="dxa"/>
            <w:vAlign w:val="bottom"/>
            <w:vMerge w:val="restart"/>
          </w:tcPr>
          <w:p>
            <w:pPr>
              <w:ind w:left="60"/>
              <w:spacing w:after="0"/>
              <w:rPr>
                <w:sz w:val="20"/>
                <w:szCs w:val="20"/>
                <w:color w:val="auto"/>
              </w:rPr>
            </w:pPr>
            <w:r>
              <w:rPr>
                <w:rFonts w:ascii="Arial" w:cs="Arial" w:eastAsia="Arial" w:hAnsi="Arial"/>
                <w:sz w:val="16"/>
                <w:szCs w:val="16"/>
                <w:b w:val="1"/>
                <w:bCs w:val="1"/>
                <w:color w:val="3D3935"/>
              </w:rPr>
              <w:t>of STIP &amp; LTIP</w:t>
            </w:r>
          </w:p>
        </w:tc>
        <w:tc>
          <w:tcPr>
            <w:tcW w:w="240" w:type="dxa"/>
            <w:vAlign w:val="bottom"/>
          </w:tcPr>
          <w:p>
            <w:pPr>
              <w:spacing w:after="0"/>
              <w:rPr>
                <w:sz w:val="7"/>
                <w:szCs w:val="7"/>
                <w:color w:val="auto"/>
              </w:rPr>
            </w:pPr>
          </w:p>
        </w:tc>
        <w:tc>
          <w:tcPr>
            <w:tcW w:w="5700" w:type="dxa"/>
            <w:vAlign w:val="bottom"/>
            <w:tcBorders>
              <w:right w:val="single" w:sz="8" w:color="CCCCC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820" w:type="dxa"/>
            <w:vAlign w:val="bottom"/>
            <w:tcBorders>
              <w:left w:val="single" w:sz="8" w:color="CCCCCC"/>
            </w:tcBorders>
          </w:tcPr>
          <w:p>
            <w:pPr>
              <w:spacing w:after="0"/>
              <w:rPr>
                <w:sz w:val="10"/>
                <w:szCs w:val="10"/>
                <w:color w:val="auto"/>
              </w:rPr>
            </w:pPr>
          </w:p>
        </w:tc>
        <w:tc>
          <w:tcPr>
            <w:tcW w:w="1300" w:type="dxa"/>
            <w:vAlign w:val="bottom"/>
          </w:tcPr>
          <w:p>
            <w:pPr>
              <w:spacing w:after="0"/>
              <w:rPr>
                <w:sz w:val="10"/>
                <w:szCs w:val="10"/>
                <w:color w:val="auto"/>
              </w:rPr>
            </w:pPr>
          </w:p>
        </w:tc>
        <w:tc>
          <w:tcPr>
            <w:tcW w:w="700" w:type="dxa"/>
            <w:vAlign w:val="bottom"/>
            <w:shd w:val="clear" w:color="auto" w:fill="F0F3F6"/>
          </w:tcPr>
          <w:p>
            <w:pPr>
              <w:spacing w:after="0"/>
              <w:rPr>
                <w:sz w:val="10"/>
                <w:szCs w:val="10"/>
                <w:color w:val="auto"/>
              </w:rPr>
            </w:pPr>
          </w:p>
        </w:tc>
        <w:tc>
          <w:tcPr>
            <w:tcW w:w="19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4620" w:type="dxa"/>
            <w:vAlign w:val="bottom"/>
            <w:vMerge w:val="restart"/>
          </w:tcPr>
          <w:p>
            <w:pPr>
              <w:ind w:left="80"/>
              <w:spacing w:after="0"/>
              <w:rPr>
                <w:sz w:val="20"/>
                <w:szCs w:val="20"/>
                <w:color w:val="auto"/>
              </w:rPr>
            </w:pPr>
            <w:r>
              <w:rPr>
                <w:rFonts w:ascii="Arial" w:cs="Arial" w:eastAsia="Arial" w:hAnsi="Arial"/>
                <w:sz w:val="16"/>
                <w:szCs w:val="16"/>
                <w:color w:val="3D3935"/>
              </w:rPr>
              <w:t>factors the Committee considers when setting targets to ensure</w:t>
            </w:r>
          </w:p>
        </w:tc>
        <w:tc>
          <w:tcPr>
            <w:tcW w:w="260" w:type="dxa"/>
            <w:vAlign w:val="bottom"/>
          </w:tcPr>
          <w:p>
            <w:pPr>
              <w:spacing w:after="0"/>
              <w:rPr>
                <w:sz w:val="10"/>
                <w:szCs w:val="10"/>
                <w:color w:val="auto"/>
              </w:rPr>
            </w:pPr>
          </w:p>
        </w:tc>
        <w:tc>
          <w:tcPr>
            <w:tcW w:w="820" w:type="dxa"/>
            <w:vAlign w:val="bottom"/>
            <w:tcBorders>
              <w:right w:val="single" w:sz="8" w:color="CCCCCC"/>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20" w:type="dxa"/>
            <w:vAlign w:val="bottom"/>
            <w:tcBorders>
              <w:left w:val="single" w:sz="8" w:color="CCCCCC"/>
            </w:tcBorders>
          </w:tcPr>
          <w:p>
            <w:pPr>
              <w:spacing w:after="0"/>
              <w:rPr>
                <w:sz w:val="9"/>
                <w:szCs w:val="9"/>
                <w:color w:val="auto"/>
              </w:rPr>
            </w:pPr>
          </w:p>
        </w:tc>
        <w:tc>
          <w:tcPr>
            <w:tcW w:w="1300" w:type="dxa"/>
            <w:vAlign w:val="bottom"/>
          </w:tcPr>
          <w:p>
            <w:pPr>
              <w:spacing w:after="0"/>
              <w:rPr>
                <w:sz w:val="9"/>
                <w:szCs w:val="9"/>
                <w:color w:val="auto"/>
              </w:rPr>
            </w:pPr>
          </w:p>
        </w:tc>
        <w:tc>
          <w:tcPr>
            <w:tcW w:w="700" w:type="dxa"/>
            <w:vAlign w:val="bottom"/>
            <w:shd w:val="clear" w:color="auto" w:fill="F0F3F6"/>
          </w:tcPr>
          <w:p>
            <w:pPr>
              <w:spacing w:after="0"/>
              <w:rPr>
                <w:sz w:val="9"/>
                <w:szCs w:val="9"/>
                <w:color w:val="auto"/>
              </w:rPr>
            </w:pPr>
          </w:p>
        </w:tc>
        <w:tc>
          <w:tcPr>
            <w:tcW w:w="1960" w:type="dxa"/>
            <w:vAlign w:val="bottom"/>
            <w:vMerge w:val="restart"/>
          </w:tcPr>
          <w:p>
            <w:pPr>
              <w:ind w:left="60"/>
              <w:spacing w:after="0"/>
              <w:rPr>
                <w:sz w:val="20"/>
                <w:szCs w:val="20"/>
                <w:color w:val="auto"/>
              </w:rPr>
            </w:pPr>
            <w:r>
              <w:rPr>
                <w:rFonts w:ascii="Arial" w:cs="Arial" w:eastAsia="Arial" w:hAnsi="Arial"/>
                <w:sz w:val="16"/>
                <w:szCs w:val="16"/>
                <w:b w:val="1"/>
                <w:bCs w:val="1"/>
                <w:color w:val="3D3935"/>
              </w:rPr>
              <w:t>Target-Setting Process</w:t>
            </w:r>
          </w:p>
        </w:tc>
        <w:tc>
          <w:tcPr>
            <w:tcW w:w="240" w:type="dxa"/>
            <w:vAlign w:val="bottom"/>
          </w:tcPr>
          <w:p>
            <w:pPr>
              <w:spacing w:after="0"/>
              <w:rPr>
                <w:sz w:val="9"/>
                <w:szCs w:val="9"/>
                <w:color w:val="auto"/>
              </w:rPr>
            </w:pPr>
          </w:p>
        </w:tc>
        <w:tc>
          <w:tcPr>
            <w:tcW w:w="4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Borders>
              <w:right w:val="single" w:sz="8" w:color="CCCCCC"/>
            </w:tcBorders>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820" w:type="dxa"/>
            <w:vAlign w:val="bottom"/>
            <w:tcBorders>
              <w:left w:val="single" w:sz="8" w:color="CCCCCC"/>
            </w:tcBorders>
          </w:tcPr>
          <w:p>
            <w:pPr>
              <w:spacing w:after="0"/>
              <w:rPr>
                <w:sz w:val="9"/>
                <w:szCs w:val="9"/>
                <w:color w:val="auto"/>
              </w:rPr>
            </w:pPr>
          </w:p>
        </w:tc>
        <w:tc>
          <w:tcPr>
            <w:tcW w:w="1300" w:type="dxa"/>
            <w:vAlign w:val="bottom"/>
          </w:tcPr>
          <w:p>
            <w:pPr>
              <w:spacing w:after="0"/>
              <w:rPr>
                <w:sz w:val="9"/>
                <w:szCs w:val="9"/>
                <w:color w:val="auto"/>
              </w:rPr>
            </w:pPr>
          </w:p>
        </w:tc>
        <w:tc>
          <w:tcPr>
            <w:tcW w:w="700" w:type="dxa"/>
            <w:vAlign w:val="bottom"/>
            <w:shd w:val="clear" w:color="auto" w:fill="F0F3F6"/>
          </w:tcPr>
          <w:p>
            <w:pPr>
              <w:spacing w:after="0"/>
              <w:rPr>
                <w:sz w:val="9"/>
                <w:szCs w:val="9"/>
                <w:color w:val="auto"/>
              </w:rPr>
            </w:pPr>
          </w:p>
        </w:tc>
        <w:tc>
          <w:tcPr>
            <w:tcW w:w="19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4620" w:type="dxa"/>
            <w:vAlign w:val="bottom"/>
            <w:vMerge w:val="restart"/>
          </w:tcPr>
          <w:p>
            <w:pPr>
              <w:ind w:left="80"/>
              <w:spacing w:after="0"/>
              <w:rPr>
                <w:sz w:val="20"/>
                <w:szCs w:val="20"/>
                <w:color w:val="auto"/>
              </w:rPr>
            </w:pPr>
            <w:r>
              <w:rPr>
                <w:rFonts w:ascii="Arial" w:cs="Arial" w:eastAsia="Arial" w:hAnsi="Arial"/>
                <w:sz w:val="16"/>
                <w:szCs w:val="16"/>
                <w:color w:val="3D3935"/>
              </w:rPr>
              <w:t>a strong alignment between pay and performance</w:t>
            </w:r>
          </w:p>
        </w:tc>
        <w:tc>
          <w:tcPr>
            <w:tcW w:w="260" w:type="dxa"/>
            <w:vAlign w:val="bottom"/>
          </w:tcPr>
          <w:p>
            <w:pPr>
              <w:spacing w:after="0"/>
              <w:rPr>
                <w:sz w:val="9"/>
                <w:szCs w:val="9"/>
                <w:color w:val="auto"/>
              </w:rPr>
            </w:pPr>
          </w:p>
        </w:tc>
        <w:tc>
          <w:tcPr>
            <w:tcW w:w="820" w:type="dxa"/>
            <w:vAlign w:val="bottom"/>
            <w:tcBorders>
              <w:right w:val="single" w:sz="8" w:color="CCCCCC"/>
            </w:tcBorders>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820" w:type="dxa"/>
            <w:vAlign w:val="bottom"/>
            <w:tcBorders>
              <w:left w:val="single" w:sz="8" w:color="CCCCCC"/>
            </w:tcBorders>
          </w:tcPr>
          <w:p>
            <w:pPr>
              <w:spacing w:after="0"/>
              <w:rPr>
                <w:sz w:val="8"/>
                <w:szCs w:val="8"/>
                <w:color w:val="auto"/>
              </w:rPr>
            </w:pPr>
          </w:p>
        </w:tc>
        <w:tc>
          <w:tcPr>
            <w:tcW w:w="1300" w:type="dxa"/>
            <w:vAlign w:val="bottom"/>
          </w:tcPr>
          <w:p>
            <w:pPr>
              <w:spacing w:after="0"/>
              <w:rPr>
                <w:sz w:val="8"/>
                <w:szCs w:val="8"/>
                <w:color w:val="auto"/>
              </w:rPr>
            </w:pPr>
          </w:p>
        </w:tc>
        <w:tc>
          <w:tcPr>
            <w:tcW w:w="700" w:type="dxa"/>
            <w:vAlign w:val="bottom"/>
            <w:shd w:val="clear" w:color="auto" w:fill="F0F3F6"/>
          </w:tcPr>
          <w:p>
            <w:pPr>
              <w:spacing w:after="0"/>
              <w:rPr>
                <w:sz w:val="8"/>
                <w:szCs w:val="8"/>
                <w:color w:val="auto"/>
              </w:rPr>
            </w:pPr>
          </w:p>
        </w:tc>
        <w:tc>
          <w:tcPr>
            <w:tcW w:w="1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Borders>
              <w:right w:val="single" w:sz="8" w:color="CCCCCC"/>
            </w:tcBorders>
          </w:tcPr>
          <w:p>
            <w:pPr>
              <w:spacing w:after="0"/>
              <w:rPr>
                <w:sz w:val="8"/>
                <w:szCs w:val="8"/>
                <w:color w:val="auto"/>
              </w:rPr>
            </w:pPr>
          </w:p>
        </w:tc>
        <w:tc>
          <w:tcPr>
            <w:tcW w:w="0" w:type="dxa"/>
            <w:vAlign w:val="bottom"/>
          </w:tcPr>
          <w:p>
            <w:pPr>
              <w:spacing w:after="0"/>
              <w:rPr>
                <w:sz w:val="1"/>
                <w:szCs w:val="1"/>
                <w:color w:val="auto"/>
              </w:rPr>
            </w:pPr>
          </w:p>
        </w:tc>
      </w:tr>
      <w:tr>
        <w:trPr>
          <w:trHeight w:val="378"/>
        </w:trPr>
        <w:tc>
          <w:tcPr>
            <w:tcW w:w="820" w:type="dxa"/>
            <w:vAlign w:val="bottom"/>
            <w:tcBorders>
              <w:left w:val="single" w:sz="8" w:color="CCCCCC"/>
            </w:tcBorders>
          </w:tcPr>
          <w:p>
            <w:pPr>
              <w:spacing w:after="0"/>
              <w:rPr>
                <w:sz w:val="24"/>
                <w:szCs w:val="24"/>
                <w:color w:val="auto"/>
              </w:rPr>
            </w:pPr>
          </w:p>
        </w:tc>
        <w:tc>
          <w:tcPr>
            <w:tcW w:w="1300" w:type="dxa"/>
            <w:vAlign w:val="bottom"/>
            <w:vMerge w:val="restart"/>
          </w:tcPr>
          <w:p>
            <w:pPr>
              <w:ind w:left="60"/>
              <w:spacing w:after="0"/>
              <w:rPr>
                <w:sz w:val="20"/>
                <w:szCs w:val="20"/>
                <w:color w:val="auto"/>
              </w:rPr>
            </w:pPr>
            <w:r>
              <w:rPr>
                <w:rFonts w:ascii="Arial" w:cs="Arial" w:eastAsia="Arial" w:hAnsi="Arial"/>
                <w:sz w:val="16"/>
                <w:szCs w:val="16"/>
                <w:b w:val="1"/>
                <w:bCs w:val="1"/>
                <w:color w:val="3D3935"/>
              </w:rPr>
              <w:t>Compensation</w:t>
            </w:r>
          </w:p>
        </w:tc>
        <w:tc>
          <w:tcPr>
            <w:tcW w:w="700" w:type="dxa"/>
            <w:vAlign w:val="bottom"/>
            <w:shd w:val="clear" w:color="auto" w:fill="F0F3F6"/>
          </w:tcPr>
          <w:p>
            <w:pPr>
              <w:spacing w:after="0"/>
              <w:rPr>
                <w:sz w:val="24"/>
                <w:szCs w:val="24"/>
                <w:color w:val="auto"/>
              </w:rPr>
            </w:pPr>
          </w:p>
        </w:tc>
        <w:tc>
          <w:tcPr>
            <w:tcW w:w="1960" w:type="dxa"/>
            <w:vAlign w:val="bottom"/>
            <w:vMerge w:val="restart"/>
          </w:tcPr>
          <w:p>
            <w:pPr>
              <w:ind w:left="60"/>
              <w:spacing w:after="0"/>
              <w:rPr>
                <w:sz w:val="20"/>
                <w:szCs w:val="20"/>
                <w:color w:val="auto"/>
              </w:rPr>
            </w:pPr>
            <w:r>
              <w:rPr>
                <w:rFonts w:ascii="Arial" w:cs="Arial" w:eastAsia="Arial" w:hAnsi="Arial"/>
                <w:sz w:val="16"/>
                <w:szCs w:val="16"/>
                <w:b w:val="1"/>
                <w:bCs w:val="1"/>
                <w:color w:val="3D3935"/>
              </w:rPr>
              <w:t>Enhanced Discussion</w:t>
            </w:r>
          </w:p>
        </w:tc>
        <w:tc>
          <w:tcPr>
            <w:tcW w:w="5940" w:type="dxa"/>
            <w:vAlign w:val="bottom"/>
            <w:tcBorders>
              <w:right w:val="single" w:sz="8" w:color="CCCCCC"/>
            </w:tcBorders>
            <w:gridSpan w:val="4"/>
          </w:tcPr>
          <w:p>
            <w:pPr>
              <w:ind w:left="12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Enhanced discussion of peer group selection on page 62 provides</w:t>
            </w:r>
          </w:p>
        </w:tc>
        <w:tc>
          <w:tcPr>
            <w:tcW w:w="0" w:type="dxa"/>
            <w:vAlign w:val="bottom"/>
          </w:tcPr>
          <w:p>
            <w:pPr>
              <w:spacing w:after="0"/>
              <w:rPr>
                <w:sz w:val="1"/>
                <w:szCs w:val="1"/>
                <w:color w:val="auto"/>
              </w:rPr>
            </w:pPr>
          </w:p>
        </w:tc>
      </w:tr>
      <w:tr>
        <w:trPr>
          <w:trHeight w:val="109"/>
        </w:trPr>
        <w:tc>
          <w:tcPr>
            <w:tcW w:w="820" w:type="dxa"/>
            <w:vAlign w:val="bottom"/>
            <w:tcBorders>
              <w:left w:val="single" w:sz="8" w:color="CCCCCC"/>
            </w:tcBorders>
          </w:tcPr>
          <w:p>
            <w:pPr>
              <w:spacing w:after="0"/>
              <w:rPr>
                <w:sz w:val="9"/>
                <w:szCs w:val="9"/>
                <w:color w:val="auto"/>
              </w:rPr>
            </w:pPr>
          </w:p>
        </w:tc>
        <w:tc>
          <w:tcPr>
            <w:tcW w:w="1300" w:type="dxa"/>
            <w:vAlign w:val="bottom"/>
            <w:vMerge w:val="continue"/>
          </w:tcPr>
          <w:p>
            <w:pPr>
              <w:spacing w:after="0"/>
              <w:rPr>
                <w:sz w:val="9"/>
                <w:szCs w:val="9"/>
                <w:color w:val="auto"/>
              </w:rPr>
            </w:pPr>
          </w:p>
        </w:tc>
        <w:tc>
          <w:tcPr>
            <w:tcW w:w="700" w:type="dxa"/>
            <w:vAlign w:val="bottom"/>
            <w:shd w:val="clear" w:color="auto" w:fill="F0F3F6"/>
          </w:tcPr>
          <w:p>
            <w:pPr>
              <w:spacing w:after="0"/>
              <w:rPr>
                <w:sz w:val="9"/>
                <w:szCs w:val="9"/>
                <w:color w:val="auto"/>
              </w:rPr>
            </w:pPr>
          </w:p>
        </w:tc>
        <w:tc>
          <w:tcPr>
            <w:tcW w:w="19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700" w:type="dxa"/>
            <w:vAlign w:val="bottom"/>
            <w:tcBorders>
              <w:right w:val="single" w:sz="8" w:color="CCCCCC"/>
            </w:tcBorders>
            <w:gridSpan w:val="3"/>
            <w:vMerge w:val="restart"/>
          </w:tcPr>
          <w:p>
            <w:pPr>
              <w:ind w:left="80"/>
              <w:spacing w:after="0"/>
              <w:rPr>
                <w:sz w:val="20"/>
                <w:szCs w:val="20"/>
                <w:color w:val="auto"/>
              </w:rPr>
            </w:pPr>
            <w:r>
              <w:rPr>
                <w:rFonts w:ascii="Arial" w:cs="Arial" w:eastAsia="Arial" w:hAnsi="Arial"/>
                <w:sz w:val="16"/>
                <w:szCs w:val="16"/>
                <w:color w:val="3D3935"/>
              </w:rPr>
              <w:t>rationale for the industries we include in our peer group and how</w:t>
            </w:r>
          </w:p>
        </w:tc>
        <w:tc>
          <w:tcPr>
            <w:tcW w:w="0" w:type="dxa"/>
            <w:vAlign w:val="bottom"/>
          </w:tcPr>
          <w:p>
            <w:pPr>
              <w:spacing w:after="0"/>
              <w:rPr>
                <w:sz w:val="1"/>
                <w:szCs w:val="1"/>
                <w:color w:val="auto"/>
              </w:rPr>
            </w:pPr>
          </w:p>
        </w:tc>
      </w:tr>
      <w:tr>
        <w:trPr>
          <w:trHeight w:val="82"/>
        </w:trPr>
        <w:tc>
          <w:tcPr>
            <w:tcW w:w="820" w:type="dxa"/>
            <w:vAlign w:val="bottom"/>
            <w:tcBorders>
              <w:left w:val="single" w:sz="8" w:color="CCCCCC"/>
            </w:tcBorders>
          </w:tcPr>
          <w:p>
            <w:pPr>
              <w:spacing w:after="0"/>
              <w:rPr>
                <w:sz w:val="7"/>
                <w:szCs w:val="7"/>
                <w:color w:val="auto"/>
              </w:rPr>
            </w:pPr>
          </w:p>
        </w:tc>
        <w:tc>
          <w:tcPr>
            <w:tcW w:w="1300" w:type="dxa"/>
            <w:vAlign w:val="bottom"/>
            <w:vMerge w:val="restart"/>
          </w:tcPr>
          <w:p>
            <w:pPr>
              <w:ind w:left="60"/>
              <w:spacing w:after="0"/>
              <w:rPr>
                <w:sz w:val="20"/>
                <w:szCs w:val="20"/>
                <w:color w:val="auto"/>
              </w:rPr>
            </w:pPr>
            <w:r>
              <w:rPr>
                <w:rFonts w:ascii="Arial" w:cs="Arial" w:eastAsia="Arial" w:hAnsi="Arial"/>
                <w:sz w:val="16"/>
                <w:szCs w:val="16"/>
                <w:b w:val="1"/>
                <w:bCs w:val="1"/>
                <w:color w:val="3D3935"/>
              </w:rPr>
              <w:t>Peer Group</w:t>
            </w:r>
          </w:p>
        </w:tc>
        <w:tc>
          <w:tcPr>
            <w:tcW w:w="700" w:type="dxa"/>
            <w:vAlign w:val="bottom"/>
            <w:shd w:val="clear" w:color="auto" w:fill="F0F3F6"/>
          </w:tcPr>
          <w:p>
            <w:pPr>
              <w:spacing w:after="0"/>
              <w:rPr>
                <w:sz w:val="7"/>
                <w:szCs w:val="7"/>
                <w:color w:val="auto"/>
              </w:rPr>
            </w:pPr>
          </w:p>
        </w:tc>
        <w:tc>
          <w:tcPr>
            <w:tcW w:w="1960" w:type="dxa"/>
            <w:vAlign w:val="bottom"/>
            <w:vMerge w:val="restart"/>
          </w:tcPr>
          <w:p>
            <w:pPr>
              <w:ind w:left="60"/>
              <w:spacing w:after="0"/>
              <w:rPr>
                <w:sz w:val="20"/>
                <w:szCs w:val="20"/>
                <w:color w:val="auto"/>
              </w:rPr>
            </w:pPr>
            <w:r>
              <w:rPr>
                <w:rFonts w:ascii="Arial" w:cs="Arial" w:eastAsia="Arial" w:hAnsi="Arial"/>
                <w:sz w:val="16"/>
                <w:szCs w:val="16"/>
                <w:b w:val="1"/>
                <w:bCs w:val="1"/>
                <w:color w:val="3D3935"/>
              </w:rPr>
              <w:t>of Peer Group Selection</w:t>
            </w:r>
          </w:p>
        </w:tc>
        <w:tc>
          <w:tcPr>
            <w:tcW w:w="240" w:type="dxa"/>
            <w:vAlign w:val="bottom"/>
          </w:tcPr>
          <w:p>
            <w:pPr>
              <w:spacing w:after="0"/>
              <w:rPr>
                <w:sz w:val="7"/>
                <w:szCs w:val="7"/>
                <w:color w:val="auto"/>
              </w:rPr>
            </w:pPr>
          </w:p>
        </w:tc>
        <w:tc>
          <w:tcPr>
            <w:tcW w:w="5700" w:type="dxa"/>
            <w:vAlign w:val="bottom"/>
            <w:tcBorders>
              <w:right w:val="single" w:sz="8" w:color="CCCCC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820" w:type="dxa"/>
            <w:vAlign w:val="bottom"/>
            <w:tcBorders>
              <w:left w:val="single" w:sz="8" w:color="CCCCCC"/>
            </w:tcBorders>
          </w:tcPr>
          <w:p>
            <w:pPr>
              <w:spacing w:after="0"/>
              <w:rPr>
                <w:sz w:val="12"/>
                <w:szCs w:val="12"/>
                <w:color w:val="auto"/>
              </w:rPr>
            </w:pPr>
          </w:p>
        </w:tc>
        <w:tc>
          <w:tcPr>
            <w:tcW w:w="1300" w:type="dxa"/>
            <w:vAlign w:val="bottom"/>
            <w:vMerge w:val="continue"/>
          </w:tcPr>
          <w:p>
            <w:pPr>
              <w:spacing w:after="0"/>
              <w:rPr>
                <w:sz w:val="12"/>
                <w:szCs w:val="12"/>
                <w:color w:val="auto"/>
              </w:rPr>
            </w:pPr>
          </w:p>
        </w:tc>
        <w:tc>
          <w:tcPr>
            <w:tcW w:w="700" w:type="dxa"/>
            <w:vAlign w:val="bottom"/>
            <w:shd w:val="clear" w:color="auto" w:fill="F0F3F6"/>
          </w:tcPr>
          <w:p>
            <w:pPr>
              <w:spacing w:after="0"/>
              <w:rPr>
                <w:sz w:val="12"/>
                <w:szCs w:val="12"/>
                <w:color w:val="auto"/>
              </w:rPr>
            </w:pPr>
          </w:p>
        </w:tc>
        <w:tc>
          <w:tcPr>
            <w:tcW w:w="19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4620" w:type="dxa"/>
            <w:vAlign w:val="bottom"/>
            <w:vMerge w:val="restart"/>
          </w:tcPr>
          <w:p>
            <w:pPr>
              <w:ind w:left="80"/>
              <w:spacing w:after="0"/>
              <w:rPr>
                <w:sz w:val="20"/>
                <w:szCs w:val="20"/>
                <w:color w:val="auto"/>
              </w:rPr>
            </w:pPr>
            <w:r>
              <w:rPr>
                <w:rFonts w:ascii="Arial" w:cs="Arial" w:eastAsia="Arial" w:hAnsi="Arial"/>
                <w:sz w:val="16"/>
                <w:szCs w:val="16"/>
                <w:color w:val="3D3935"/>
              </w:rPr>
              <w:t>they guide our compensation practices</w:t>
            </w:r>
          </w:p>
        </w:tc>
        <w:tc>
          <w:tcPr>
            <w:tcW w:w="260" w:type="dxa"/>
            <w:vAlign w:val="bottom"/>
          </w:tcPr>
          <w:p>
            <w:pPr>
              <w:spacing w:after="0"/>
              <w:rPr>
                <w:sz w:val="12"/>
                <w:szCs w:val="12"/>
                <w:color w:val="auto"/>
              </w:rPr>
            </w:pPr>
          </w:p>
        </w:tc>
        <w:tc>
          <w:tcPr>
            <w:tcW w:w="820" w:type="dxa"/>
            <w:vAlign w:val="bottom"/>
            <w:tcBorders>
              <w:right w:val="single" w:sz="8" w:color="CCCCCC"/>
            </w:tcBorders>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820" w:type="dxa"/>
            <w:vAlign w:val="bottom"/>
            <w:tcBorders>
              <w:left w:val="single" w:sz="8" w:color="CCCCCC"/>
            </w:tcBorders>
          </w:tcPr>
          <w:p>
            <w:pPr>
              <w:spacing w:after="0"/>
              <w:rPr>
                <w:sz w:val="7"/>
                <w:szCs w:val="7"/>
                <w:color w:val="auto"/>
              </w:rPr>
            </w:pPr>
          </w:p>
        </w:tc>
        <w:tc>
          <w:tcPr>
            <w:tcW w:w="1300" w:type="dxa"/>
            <w:vAlign w:val="bottom"/>
          </w:tcPr>
          <w:p>
            <w:pPr>
              <w:spacing w:after="0"/>
              <w:rPr>
                <w:sz w:val="7"/>
                <w:szCs w:val="7"/>
                <w:color w:val="auto"/>
              </w:rPr>
            </w:pPr>
          </w:p>
        </w:tc>
        <w:tc>
          <w:tcPr>
            <w:tcW w:w="700" w:type="dxa"/>
            <w:vAlign w:val="bottom"/>
            <w:shd w:val="clear" w:color="auto" w:fill="F0F3F6"/>
          </w:tcPr>
          <w:p>
            <w:pPr>
              <w:spacing w:after="0"/>
              <w:rPr>
                <w:sz w:val="7"/>
                <w:szCs w:val="7"/>
                <w:color w:val="auto"/>
              </w:rPr>
            </w:pPr>
          </w:p>
        </w:tc>
        <w:tc>
          <w:tcPr>
            <w:tcW w:w="19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Borders>
              <w:right w:val="single" w:sz="8" w:color="CCCCCC"/>
            </w:tcBorders>
          </w:tcPr>
          <w:p>
            <w:pPr>
              <w:spacing w:after="0"/>
              <w:rPr>
                <w:sz w:val="7"/>
                <w:szCs w:val="7"/>
                <w:color w:val="auto"/>
              </w:rPr>
            </w:pPr>
          </w:p>
        </w:tc>
        <w:tc>
          <w:tcPr>
            <w:tcW w:w="0" w:type="dxa"/>
            <w:vAlign w:val="bottom"/>
          </w:tcPr>
          <w:p>
            <w:pPr>
              <w:spacing w:after="0"/>
              <w:rPr>
                <w:sz w:val="1"/>
                <w:szCs w:val="1"/>
                <w:color w:val="auto"/>
              </w:rPr>
            </w:pPr>
          </w:p>
        </w:tc>
      </w:tr>
      <w:tr>
        <w:trPr>
          <w:trHeight w:val="569"/>
        </w:trPr>
        <w:tc>
          <w:tcPr>
            <w:tcW w:w="820" w:type="dxa"/>
            <w:vAlign w:val="bottom"/>
            <w:tcBorders>
              <w:left w:val="single" w:sz="8" w:color="CCCCCC"/>
            </w:tcBorders>
          </w:tcPr>
          <w:p>
            <w:pPr>
              <w:spacing w:after="0"/>
              <w:rPr>
                <w:sz w:val="24"/>
                <w:szCs w:val="24"/>
                <w:color w:val="auto"/>
              </w:rPr>
            </w:pPr>
          </w:p>
        </w:tc>
        <w:tc>
          <w:tcPr>
            <w:tcW w:w="1300" w:type="dxa"/>
            <w:vAlign w:val="bottom"/>
            <w:tcBorders>
              <w:bottom w:val="single" w:sz="8" w:color="0072CE"/>
            </w:tcBorders>
          </w:tcPr>
          <w:p>
            <w:pPr>
              <w:spacing w:after="0"/>
              <w:rPr>
                <w:sz w:val="24"/>
                <w:szCs w:val="24"/>
                <w:color w:val="auto"/>
              </w:rPr>
            </w:pPr>
          </w:p>
        </w:tc>
        <w:tc>
          <w:tcPr>
            <w:tcW w:w="700" w:type="dxa"/>
            <w:vAlign w:val="bottom"/>
            <w:tcBorders>
              <w:bottom w:val="single" w:sz="8" w:color="0072CE"/>
            </w:tcBorders>
            <w:shd w:val="clear" w:color="auto" w:fill="F0F3F6"/>
          </w:tcPr>
          <w:p>
            <w:pPr>
              <w:spacing w:after="0"/>
              <w:rPr>
                <w:sz w:val="24"/>
                <w:szCs w:val="24"/>
                <w:color w:val="auto"/>
              </w:rPr>
            </w:pPr>
          </w:p>
        </w:tc>
        <w:tc>
          <w:tcPr>
            <w:tcW w:w="1960" w:type="dxa"/>
            <w:vAlign w:val="bottom"/>
            <w:tcBorders>
              <w:bottom w:val="single" w:sz="8" w:color="0072CE"/>
            </w:tcBorders>
          </w:tcPr>
          <w:p>
            <w:pPr>
              <w:spacing w:after="0"/>
              <w:rPr>
                <w:sz w:val="24"/>
                <w:szCs w:val="24"/>
                <w:color w:val="auto"/>
              </w:rPr>
            </w:pPr>
          </w:p>
        </w:tc>
        <w:tc>
          <w:tcPr>
            <w:tcW w:w="240" w:type="dxa"/>
            <w:vAlign w:val="bottom"/>
            <w:tcBorders>
              <w:bottom w:val="single" w:sz="8" w:color="0072CE"/>
            </w:tcBorders>
          </w:tcPr>
          <w:p>
            <w:pPr>
              <w:spacing w:after="0"/>
              <w:rPr>
                <w:sz w:val="24"/>
                <w:szCs w:val="24"/>
                <w:color w:val="auto"/>
              </w:rPr>
            </w:pPr>
          </w:p>
        </w:tc>
        <w:tc>
          <w:tcPr>
            <w:tcW w:w="4620" w:type="dxa"/>
            <w:vAlign w:val="bottom"/>
            <w:tcBorders>
              <w:bottom w:val="single" w:sz="8" w:color="0072CE"/>
            </w:tcBorders>
          </w:tcPr>
          <w:p>
            <w:pPr>
              <w:spacing w:after="0"/>
              <w:rPr>
                <w:sz w:val="24"/>
                <w:szCs w:val="24"/>
                <w:color w:val="auto"/>
              </w:rPr>
            </w:pPr>
          </w:p>
        </w:tc>
        <w:tc>
          <w:tcPr>
            <w:tcW w:w="260" w:type="dxa"/>
            <w:vAlign w:val="bottom"/>
            <w:tcBorders>
              <w:bottom w:val="single" w:sz="8" w:color="0072CE"/>
            </w:tcBorders>
          </w:tcPr>
          <w:p>
            <w:pPr>
              <w:spacing w:after="0"/>
              <w:rPr>
                <w:sz w:val="24"/>
                <w:szCs w:val="24"/>
                <w:color w:val="auto"/>
              </w:rPr>
            </w:pPr>
          </w:p>
        </w:tc>
        <w:tc>
          <w:tcPr>
            <w:tcW w:w="820" w:type="dxa"/>
            <w:vAlign w:val="bottom"/>
            <w:tcBorders>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820" w:type="dxa"/>
            <w:vAlign w:val="bottom"/>
            <w:tcBorders>
              <w:left w:val="single" w:sz="8" w:color="CCCCCC"/>
            </w:tcBorders>
          </w:tcPr>
          <w:p>
            <w:pPr>
              <w:spacing w:after="0"/>
              <w:rPr>
                <w:sz w:val="19"/>
                <w:szCs w:val="19"/>
                <w:color w:val="auto"/>
              </w:rPr>
            </w:pPr>
          </w:p>
        </w:tc>
        <w:tc>
          <w:tcPr>
            <w:tcW w:w="1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20" w:type="dxa"/>
            <w:vAlign w:val="bottom"/>
          </w:tcPr>
          <w:p>
            <w:pPr>
              <w:ind w:left="2800"/>
              <w:spacing w:after="0"/>
              <w:rPr>
                <w:sz w:val="20"/>
                <w:szCs w:val="20"/>
                <w:color w:val="auto"/>
              </w:rPr>
            </w:pPr>
            <w:r>
              <w:rPr>
                <w:rFonts w:ascii="Arial" w:cs="Arial" w:eastAsia="Arial" w:hAnsi="Arial"/>
                <w:sz w:val="14"/>
                <w:szCs w:val="14"/>
                <w:b w:val="1"/>
                <w:bCs w:val="1"/>
                <w:color w:val="0072CE"/>
              </w:rPr>
              <w:t>2025 Proxy Statement</w:t>
            </w:r>
          </w:p>
        </w:tc>
        <w:tc>
          <w:tcPr>
            <w:tcW w:w="260" w:type="dxa"/>
            <w:vAlign w:val="bottom"/>
          </w:tcPr>
          <w:p>
            <w:pPr>
              <w:jc w:val="right"/>
              <w:ind w:right="8"/>
              <w:spacing w:after="0"/>
              <w:rPr>
                <w:sz w:val="20"/>
                <w:szCs w:val="20"/>
                <w:color w:val="auto"/>
              </w:rPr>
            </w:pPr>
            <w:r>
              <w:rPr>
                <w:rFonts w:ascii="Arial" w:cs="Arial" w:eastAsia="Arial" w:hAnsi="Arial"/>
                <w:sz w:val="14"/>
                <w:szCs w:val="14"/>
                <w:b w:val="1"/>
                <w:bCs w:val="1"/>
                <w:color w:val="3D3935"/>
              </w:rPr>
              <w:t>49</w:t>
            </w:r>
          </w:p>
        </w:tc>
        <w:tc>
          <w:tcPr>
            <w:tcW w:w="820" w:type="dxa"/>
            <w:vAlign w:val="bottom"/>
            <w:tcBorders>
              <w:right w:val="single" w:sz="8" w:color="CCCCCC"/>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820" w:type="dxa"/>
            <w:vAlign w:val="bottom"/>
            <w:tcBorders>
              <w:left w:val="single" w:sz="8" w:color="CCCCCC"/>
              <w:bottom w:val="single" w:sz="8" w:color="CCCCCC"/>
            </w:tcBorders>
          </w:tcPr>
          <w:p>
            <w:pPr>
              <w:spacing w:after="0"/>
              <w:rPr>
                <w:sz w:val="24"/>
                <w:szCs w:val="24"/>
                <w:color w:val="auto"/>
              </w:rPr>
            </w:pPr>
          </w:p>
        </w:tc>
        <w:tc>
          <w:tcPr>
            <w:tcW w:w="1300" w:type="dxa"/>
            <w:vAlign w:val="bottom"/>
            <w:tcBorders>
              <w:bottom w:val="single" w:sz="8" w:color="CCCCCC"/>
            </w:tcBorders>
          </w:tcPr>
          <w:p>
            <w:pPr>
              <w:spacing w:after="0"/>
              <w:rPr>
                <w:sz w:val="24"/>
                <w:szCs w:val="24"/>
                <w:color w:val="auto"/>
              </w:rPr>
            </w:pPr>
          </w:p>
        </w:tc>
        <w:tc>
          <w:tcPr>
            <w:tcW w:w="700" w:type="dxa"/>
            <w:vAlign w:val="bottom"/>
            <w:tcBorders>
              <w:bottom w:val="single" w:sz="8" w:color="CCCCCC"/>
            </w:tcBorders>
          </w:tcPr>
          <w:p>
            <w:pPr>
              <w:spacing w:after="0"/>
              <w:rPr>
                <w:sz w:val="24"/>
                <w:szCs w:val="24"/>
                <w:color w:val="auto"/>
              </w:rPr>
            </w:pPr>
          </w:p>
        </w:tc>
        <w:tc>
          <w:tcPr>
            <w:tcW w:w="1960" w:type="dxa"/>
            <w:vAlign w:val="bottom"/>
            <w:tcBorders>
              <w:bottom w:val="single" w:sz="8" w:color="CCCCCC"/>
            </w:tcBorders>
          </w:tcPr>
          <w:p>
            <w:pPr>
              <w:spacing w:after="0"/>
              <w:rPr>
                <w:sz w:val="24"/>
                <w:szCs w:val="24"/>
                <w:color w:val="auto"/>
              </w:rPr>
            </w:pPr>
          </w:p>
        </w:tc>
        <w:tc>
          <w:tcPr>
            <w:tcW w:w="240" w:type="dxa"/>
            <w:vAlign w:val="bottom"/>
            <w:tcBorders>
              <w:bottom w:val="single" w:sz="8" w:color="CCCCCC"/>
            </w:tcBorders>
          </w:tcPr>
          <w:p>
            <w:pPr>
              <w:spacing w:after="0"/>
              <w:rPr>
                <w:sz w:val="24"/>
                <w:szCs w:val="24"/>
                <w:color w:val="auto"/>
              </w:rPr>
            </w:pPr>
          </w:p>
        </w:tc>
        <w:tc>
          <w:tcPr>
            <w:tcW w:w="4620" w:type="dxa"/>
            <w:vAlign w:val="bottom"/>
            <w:tcBorders>
              <w:bottom w:val="single" w:sz="8" w:color="CCCCCC"/>
            </w:tcBorders>
          </w:tcPr>
          <w:p>
            <w:pPr>
              <w:spacing w:after="0"/>
              <w:rPr>
                <w:sz w:val="24"/>
                <w:szCs w:val="24"/>
                <w:color w:val="auto"/>
              </w:rPr>
            </w:pPr>
          </w:p>
        </w:tc>
        <w:tc>
          <w:tcPr>
            <w:tcW w:w="260" w:type="dxa"/>
            <w:vAlign w:val="bottom"/>
            <w:tcBorders>
              <w:bottom w:val="single" w:sz="8" w:color="CCCCCC"/>
            </w:tcBorders>
          </w:tcPr>
          <w:p>
            <w:pPr>
              <w:spacing w:after="0"/>
              <w:rPr>
                <w:sz w:val="24"/>
                <w:szCs w:val="24"/>
                <w:color w:val="auto"/>
              </w:rPr>
            </w:pPr>
          </w:p>
        </w:tc>
        <w:tc>
          <w:tcPr>
            <w:tcW w:w="820" w:type="dxa"/>
            <w:vAlign w:val="bottom"/>
            <w:tcBorders>
              <w:bottom w:val="single" w:sz="8" w:color="CCCCCC"/>
              <w:right w:val="single" w:sz="8" w:color="CCCCC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88900</wp:posOffset>
            </wp:positionV>
            <wp:extent cx="5760720" cy="60350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60720" cy="603504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81915</wp:posOffset>
            </wp:positionV>
            <wp:extent cx="6810375" cy="40195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10375" cy="401955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53" w:lineRule="exact"/>
        <w:rPr>
          <w:sz w:val="20"/>
          <w:szCs w:val="20"/>
          <w:color w:val="auto"/>
        </w:rPr>
      </w:pPr>
    </w:p>
    <w:p>
      <w:pPr>
        <w:ind w:left="820"/>
        <w:spacing w:after="0"/>
        <w:rPr>
          <w:sz w:val="20"/>
          <w:szCs w:val="20"/>
          <w:color w:val="auto"/>
        </w:rPr>
      </w:pPr>
      <w:r>
        <w:rPr>
          <w:rFonts w:ascii="Arial" w:cs="Arial" w:eastAsia="Arial" w:hAnsi="Arial"/>
          <w:sz w:val="25"/>
          <w:szCs w:val="25"/>
          <w:b w:val="1"/>
          <w:bCs w:val="1"/>
          <w:color w:val="0072CE"/>
        </w:rPr>
        <w:t>Compensation Principles</w:t>
      </w:r>
    </w:p>
    <w:p>
      <w:pPr>
        <w:spacing w:after="0" w:line="114" w:lineRule="exact"/>
        <w:rPr>
          <w:sz w:val="20"/>
          <w:szCs w:val="20"/>
          <w:color w:val="auto"/>
        </w:rPr>
      </w:pPr>
    </w:p>
    <w:p>
      <w:pPr>
        <w:ind w:left="820"/>
        <w:spacing w:after="0"/>
        <w:rPr>
          <w:sz w:val="20"/>
          <w:szCs w:val="20"/>
          <w:color w:val="auto"/>
        </w:rPr>
      </w:pPr>
      <w:r>
        <w:rPr>
          <w:rFonts w:ascii="Arial" w:cs="Arial" w:eastAsia="Arial" w:hAnsi="Arial"/>
          <w:sz w:val="16"/>
          <w:szCs w:val="16"/>
          <w:color w:val="3D3935"/>
        </w:rPr>
        <w:t>The compensation provided to our executives is guided by pay-for-performance and the following principles:</w:t>
      </w:r>
    </w:p>
    <w:p>
      <w:pPr>
        <w:spacing w:after="0" w:line="256" w:lineRule="exact"/>
        <w:rPr>
          <w:sz w:val="20"/>
          <w:szCs w:val="20"/>
          <w:color w:val="auto"/>
        </w:rPr>
      </w:pPr>
    </w:p>
    <w:tbl>
      <w:tblPr>
        <w:tblLayout w:type="fixed"/>
        <w:tblInd w:w="820" w:type="dxa"/>
        <w:tblCellMar>
          <w:top w:w="0" w:type="dxa"/>
          <w:left w:w="0" w:type="dxa"/>
          <w:bottom w:w="0" w:type="dxa"/>
          <w:right w:w="0" w:type="dxa"/>
        </w:tblCellMar>
      </w:tblPr>
      <w:tr>
        <w:trPr>
          <w:trHeight w:val="309"/>
        </w:trPr>
        <w:tc>
          <w:tcPr>
            <w:tcW w:w="700" w:type="dxa"/>
            <w:vAlign w:val="bottom"/>
            <w:tcBorders>
              <w:top w:val="single" w:sz="8" w:color="0072CE"/>
            </w:tcBorders>
            <w:shd w:val="clear" w:color="auto" w:fill="F0F3F6"/>
          </w:tcPr>
          <w:p>
            <w:pPr>
              <w:spacing w:after="0"/>
              <w:rPr>
                <w:sz w:val="24"/>
                <w:szCs w:val="24"/>
                <w:color w:val="auto"/>
              </w:rPr>
            </w:pPr>
          </w:p>
        </w:tc>
        <w:tc>
          <w:tcPr>
            <w:tcW w:w="1780" w:type="dxa"/>
            <w:vAlign w:val="bottom"/>
            <w:tcBorders>
              <w:top w:val="single" w:sz="8" w:color="0072CE"/>
            </w:tcBorders>
            <w:vMerge w:val="restart"/>
            <w:shd w:val="clear" w:color="auto" w:fill="F0F3F6"/>
          </w:tcPr>
          <w:p>
            <w:pPr>
              <w:ind w:left="120"/>
              <w:spacing w:after="0"/>
              <w:rPr>
                <w:sz w:val="20"/>
                <w:szCs w:val="20"/>
                <w:color w:val="auto"/>
              </w:rPr>
            </w:pPr>
            <w:r>
              <w:rPr>
                <w:rFonts w:ascii="Arial" w:cs="Arial" w:eastAsia="Arial" w:hAnsi="Arial"/>
                <w:sz w:val="16"/>
                <w:szCs w:val="16"/>
                <w:b w:val="1"/>
                <w:bCs w:val="1"/>
                <w:color w:val="3D3935"/>
              </w:rPr>
              <w:t>Align with</w:t>
            </w:r>
          </w:p>
        </w:tc>
        <w:tc>
          <w:tcPr>
            <w:tcW w:w="6600" w:type="dxa"/>
            <w:vAlign w:val="bottom"/>
            <w:tcBorders>
              <w:top w:val="single" w:sz="8" w:color="0072CE"/>
            </w:tcBorders>
          </w:tcPr>
          <w:p>
            <w:pPr>
              <w:ind w:left="120"/>
              <w:spacing w:after="0"/>
              <w:rPr>
                <w:sz w:val="20"/>
                <w:szCs w:val="20"/>
                <w:color w:val="auto"/>
              </w:rPr>
            </w:pPr>
            <w:r>
              <w:rPr>
                <w:rFonts w:ascii="Arial" w:cs="Arial" w:eastAsia="Arial" w:hAnsi="Arial"/>
                <w:sz w:val="16"/>
                <w:szCs w:val="16"/>
                <w:color w:val="3D3935"/>
              </w:rPr>
              <w:t>Compensation paid should align directly with the long-term interests of our</w:t>
            </w:r>
          </w:p>
        </w:tc>
        <w:tc>
          <w:tcPr>
            <w:tcW w:w="0" w:type="dxa"/>
            <w:vAlign w:val="bottom"/>
          </w:tcPr>
          <w:p>
            <w:pPr>
              <w:spacing w:after="0"/>
              <w:rPr>
                <w:sz w:val="1"/>
                <w:szCs w:val="1"/>
                <w:color w:val="auto"/>
              </w:rPr>
            </w:pPr>
          </w:p>
        </w:tc>
      </w:tr>
      <w:tr>
        <w:trPr>
          <w:trHeight w:val="109"/>
        </w:trPr>
        <w:tc>
          <w:tcPr>
            <w:tcW w:w="700" w:type="dxa"/>
            <w:vAlign w:val="bottom"/>
            <w:shd w:val="clear" w:color="auto" w:fill="F0F3F6"/>
          </w:tcPr>
          <w:p>
            <w:pPr>
              <w:spacing w:after="0"/>
              <w:rPr>
                <w:sz w:val="9"/>
                <w:szCs w:val="9"/>
                <w:color w:val="auto"/>
              </w:rPr>
            </w:pPr>
          </w:p>
        </w:tc>
        <w:tc>
          <w:tcPr>
            <w:tcW w:w="1780" w:type="dxa"/>
            <w:vAlign w:val="bottom"/>
            <w:vMerge w:val="continue"/>
            <w:shd w:val="clear" w:color="auto" w:fill="F0F3F6"/>
          </w:tcPr>
          <w:p>
            <w:pPr>
              <w:spacing w:after="0"/>
              <w:rPr>
                <w:sz w:val="9"/>
                <w:szCs w:val="9"/>
                <w:color w:val="auto"/>
              </w:rPr>
            </w:pPr>
          </w:p>
        </w:tc>
        <w:tc>
          <w:tcPr>
            <w:tcW w:w="6600" w:type="dxa"/>
            <w:vAlign w:val="bottom"/>
            <w:vMerge w:val="restart"/>
          </w:tcPr>
          <w:p>
            <w:pPr>
              <w:ind w:left="120"/>
              <w:spacing w:after="0"/>
              <w:rPr>
                <w:sz w:val="20"/>
                <w:szCs w:val="20"/>
                <w:color w:val="auto"/>
              </w:rPr>
            </w:pPr>
            <w:r>
              <w:rPr>
                <w:rFonts w:ascii="Arial" w:cs="Arial" w:eastAsia="Arial" w:hAnsi="Arial"/>
                <w:sz w:val="16"/>
                <w:szCs w:val="16"/>
                <w:color w:val="3D3935"/>
              </w:rPr>
              <w:t>shareholders, and our executives should share with them in the performance and value</w:t>
            </w:r>
          </w:p>
        </w:tc>
        <w:tc>
          <w:tcPr>
            <w:tcW w:w="0" w:type="dxa"/>
            <w:vAlign w:val="bottom"/>
          </w:tcPr>
          <w:p>
            <w:pPr>
              <w:spacing w:after="0"/>
              <w:rPr>
                <w:sz w:val="1"/>
                <w:szCs w:val="1"/>
                <w:color w:val="auto"/>
              </w:rPr>
            </w:pPr>
          </w:p>
        </w:tc>
      </w:tr>
      <w:tr>
        <w:trPr>
          <w:trHeight w:val="107"/>
        </w:trPr>
        <w:tc>
          <w:tcPr>
            <w:tcW w:w="700" w:type="dxa"/>
            <w:vAlign w:val="bottom"/>
            <w:shd w:val="clear" w:color="auto" w:fill="F0F3F6"/>
          </w:tcPr>
          <w:p>
            <w:pPr>
              <w:spacing w:after="0"/>
              <w:rPr>
                <w:sz w:val="9"/>
                <w:szCs w:val="9"/>
                <w:color w:val="auto"/>
              </w:rPr>
            </w:pPr>
          </w:p>
        </w:tc>
        <w:tc>
          <w:tcPr>
            <w:tcW w:w="1780" w:type="dxa"/>
            <w:vAlign w:val="bottom"/>
            <w:vMerge w:val="restart"/>
            <w:shd w:val="clear" w:color="auto" w:fill="F0F3F6"/>
          </w:tcPr>
          <w:p>
            <w:pPr>
              <w:ind w:left="120"/>
              <w:spacing w:after="0"/>
              <w:rPr>
                <w:sz w:val="20"/>
                <w:szCs w:val="20"/>
                <w:color w:val="auto"/>
              </w:rPr>
            </w:pPr>
            <w:r>
              <w:rPr>
                <w:rFonts w:ascii="Arial" w:cs="Arial" w:eastAsia="Arial" w:hAnsi="Arial"/>
                <w:sz w:val="16"/>
                <w:szCs w:val="16"/>
                <w:b w:val="1"/>
                <w:bCs w:val="1"/>
                <w:color w:val="3D3935"/>
              </w:rPr>
              <w:t>Shareholders</w:t>
            </w:r>
          </w:p>
        </w:tc>
        <w:tc>
          <w:tcPr>
            <w:tcW w:w="6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700" w:type="dxa"/>
            <w:vAlign w:val="bottom"/>
            <w:shd w:val="clear" w:color="auto" w:fill="F0F3F6"/>
          </w:tcPr>
          <w:p>
            <w:pPr>
              <w:spacing w:after="0"/>
              <w:rPr>
                <w:sz w:val="10"/>
                <w:szCs w:val="10"/>
                <w:color w:val="auto"/>
              </w:rPr>
            </w:pPr>
          </w:p>
        </w:tc>
        <w:tc>
          <w:tcPr>
            <w:tcW w:w="1780" w:type="dxa"/>
            <w:vAlign w:val="bottom"/>
            <w:vMerge w:val="continue"/>
            <w:shd w:val="clear" w:color="auto" w:fill="F0F3F6"/>
          </w:tcPr>
          <w:p>
            <w:pPr>
              <w:spacing w:after="0"/>
              <w:rPr>
                <w:sz w:val="10"/>
                <w:szCs w:val="10"/>
                <w:color w:val="auto"/>
              </w:rPr>
            </w:pPr>
          </w:p>
        </w:tc>
        <w:tc>
          <w:tcPr>
            <w:tcW w:w="6600" w:type="dxa"/>
            <w:vAlign w:val="bottom"/>
            <w:vMerge w:val="restart"/>
          </w:tcPr>
          <w:p>
            <w:pPr>
              <w:ind w:left="120"/>
              <w:spacing w:after="0"/>
              <w:rPr>
                <w:sz w:val="20"/>
                <w:szCs w:val="20"/>
                <w:color w:val="auto"/>
              </w:rPr>
            </w:pPr>
            <w:r>
              <w:rPr>
                <w:rFonts w:ascii="Arial" w:cs="Arial" w:eastAsia="Arial" w:hAnsi="Arial"/>
                <w:sz w:val="16"/>
                <w:szCs w:val="16"/>
                <w:color w:val="3D3935"/>
              </w:rPr>
              <w:t>of our common stock.</w:t>
            </w:r>
          </w:p>
        </w:tc>
        <w:tc>
          <w:tcPr>
            <w:tcW w:w="0" w:type="dxa"/>
            <w:vAlign w:val="bottom"/>
          </w:tcPr>
          <w:p>
            <w:pPr>
              <w:spacing w:after="0"/>
              <w:rPr>
                <w:sz w:val="1"/>
                <w:szCs w:val="1"/>
                <w:color w:val="auto"/>
              </w:rPr>
            </w:pPr>
          </w:p>
        </w:tc>
      </w:tr>
      <w:tr>
        <w:trPr>
          <w:trHeight w:val="156"/>
        </w:trPr>
        <w:tc>
          <w:tcPr>
            <w:tcW w:w="700" w:type="dxa"/>
            <w:vAlign w:val="bottom"/>
            <w:tcBorders>
              <w:bottom w:val="single" w:sz="8" w:color="F0F3F6"/>
            </w:tcBorders>
            <w:shd w:val="clear" w:color="auto" w:fill="F0F3F6"/>
          </w:tcPr>
          <w:p>
            <w:pPr>
              <w:spacing w:after="0"/>
              <w:rPr>
                <w:sz w:val="13"/>
                <w:szCs w:val="13"/>
                <w:color w:val="auto"/>
              </w:rPr>
            </w:pPr>
          </w:p>
        </w:tc>
        <w:tc>
          <w:tcPr>
            <w:tcW w:w="1780" w:type="dxa"/>
            <w:vAlign w:val="bottom"/>
            <w:tcBorders>
              <w:bottom w:val="single" w:sz="8" w:color="F0F3F6"/>
            </w:tcBorders>
            <w:shd w:val="clear" w:color="auto" w:fill="F0F3F6"/>
          </w:tcPr>
          <w:p>
            <w:pPr>
              <w:spacing w:after="0"/>
              <w:rPr>
                <w:sz w:val="13"/>
                <w:szCs w:val="13"/>
                <w:color w:val="auto"/>
              </w:rPr>
            </w:pPr>
          </w:p>
        </w:tc>
        <w:tc>
          <w:tcPr>
            <w:tcW w:w="6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9"/>
        </w:trPr>
        <w:tc>
          <w:tcPr>
            <w:tcW w:w="700" w:type="dxa"/>
            <w:vAlign w:val="bottom"/>
            <w:tcBorders>
              <w:top w:val="single" w:sz="8" w:color="F0F3F6"/>
            </w:tcBorders>
            <w:shd w:val="clear" w:color="auto" w:fill="F0F3F6"/>
          </w:tcPr>
          <w:p>
            <w:pPr>
              <w:spacing w:after="0"/>
              <w:rPr>
                <w:sz w:val="24"/>
                <w:szCs w:val="24"/>
                <w:color w:val="auto"/>
              </w:rPr>
            </w:pPr>
          </w:p>
        </w:tc>
        <w:tc>
          <w:tcPr>
            <w:tcW w:w="1780" w:type="dxa"/>
            <w:vAlign w:val="bottom"/>
            <w:tcBorders>
              <w:top w:val="single" w:sz="8" w:color="D9D9D6"/>
            </w:tcBorders>
            <w:vMerge w:val="restart"/>
            <w:shd w:val="clear" w:color="auto" w:fill="F0F3F6"/>
          </w:tcPr>
          <w:p>
            <w:pPr>
              <w:ind w:left="120"/>
              <w:spacing w:after="0"/>
              <w:rPr>
                <w:sz w:val="20"/>
                <w:szCs w:val="20"/>
                <w:color w:val="auto"/>
              </w:rPr>
            </w:pPr>
            <w:r>
              <w:rPr>
                <w:rFonts w:ascii="Arial" w:cs="Arial" w:eastAsia="Arial" w:hAnsi="Arial"/>
                <w:sz w:val="16"/>
                <w:szCs w:val="16"/>
                <w:b w:val="1"/>
                <w:bCs w:val="1"/>
                <w:color w:val="3D3935"/>
              </w:rPr>
              <w:t>Enable Company</w:t>
            </w:r>
          </w:p>
        </w:tc>
        <w:tc>
          <w:tcPr>
            <w:tcW w:w="6600" w:type="dxa"/>
            <w:vAlign w:val="bottom"/>
            <w:tcBorders>
              <w:top w:val="single" w:sz="8" w:color="D9D9D6"/>
            </w:tcBorders>
          </w:tcPr>
          <w:p>
            <w:pPr>
              <w:ind w:left="120"/>
              <w:spacing w:after="0"/>
              <w:rPr>
                <w:sz w:val="20"/>
                <w:szCs w:val="20"/>
                <w:color w:val="auto"/>
              </w:rPr>
            </w:pPr>
            <w:r>
              <w:rPr>
                <w:rFonts w:ascii="Arial" w:cs="Arial" w:eastAsia="Arial" w:hAnsi="Arial"/>
                <w:sz w:val="16"/>
                <w:szCs w:val="16"/>
                <w:color w:val="3D3935"/>
              </w:rPr>
              <w:t>Compensation should be based on challenging Company performance and strategic</w:t>
            </w:r>
          </w:p>
        </w:tc>
        <w:tc>
          <w:tcPr>
            <w:tcW w:w="0" w:type="dxa"/>
            <w:vAlign w:val="bottom"/>
          </w:tcPr>
          <w:p>
            <w:pPr>
              <w:spacing w:after="0"/>
              <w:rPr>
                <w:sz w:val="1"/>
                <w:szCs w:val="1"/>
                <w:color w:val="auto"/>
              </w:rPr>
            </w:pPr>
          </w:p>
        </w:tc>
      </w:tr>
      <w:tr>
        <w:trPr>
          <w:trHeight w:val="109"/>
        </w:trPr>
        <w:tc>
          <w:tcPr>
            <w:tcW w:w="700" w:type="dxa"/>
            <w:vAlign w:val="bottom"/>
            <w:shd w:val="clear" w:color="auto" w:fill="F0F3F6"/>
          </w:tcPr>
          <w:p>
            <w:pPr>
              <w:spacing w:after="0"/>
              <w:rPr>
                <w:sz w:val="9"/>
                <w:szCs w:val="9"/>
                <w:color w:val="auto"/>
              </w:rPr>
            </w:pPr>
          </w:p>
        </w:tc>
        <w:tc>
          <w:tcPr>
            <w:tcW w:w="1780" w:type="dxa"/>
            <w:vAlign w:val="bottom"/>
            <w:vMerge w:val="continue"/>
            <w:shd w:val="clear" w:color="auto" w:fill="F0F3F6"/>
          </w:tcPr>
          <w:p>
            <w:pPr>
              <w:spacing w:after="0"/>
              <w:rPr>
                <w:sz w:val="9"/>
                <w:szCs w:val="9"/>
                <w:color w:val="auto"/>
              </w:rPr>
            </w:pPr>
          </w:p>
        </w:tc>
        <w:tc>
          <w:tcPr>
            <w:tcW w:w="6600" w:type="dxa"/>
            <w:vAlign w:val="bottom"/>
            <w:vMerge w:val="restart"/>
          </w:tcPr>
          <w:p>
            <w:pPr>
              <w:ind w:left="120"/>
              <w:spacing w:after="0"/>
              <w:rPr>
                <w:sz w:val="20"/>
                <w:szCs w:val="20"/>
                <w:color w:val="auto"/>
              </w:rPr>
            </w:pPr>
            <w:r>
              <w:rPr>
                <w:rFonts w:ascii="Arial" w:cs="Arial" w:eastAsia="Arial" w:hAnsi="Arial"/>
                <w:sz w:val="16"/>
                <w:szCs w:val="16"/>
                <w:color w:val="3D3935"/>
              </w:rPr>
              <w:t>goals, which are within our executives’ control, and reward performance aligned with</w:t>
            </w:r>
          </w:p>
        </w:tc>
        <w:tc>
          <w:tcPr>
            <w:tcW w:w="0" w:type="dxa"/>
            <w:vAlign w:val="bottom"/>
          </w:tcPr>
          <w:p>
            <w:pPr>
              <w:spacing w:after="0"/>
              <w:rPr>
                <w:sz w:val="1"/>
                <w:szCs w:val="1"/>
                <w:color w:val="auto"/>
              </w:rPr>
            </w:pPr>
          </w:p>
        </w:tc>
      </w:tr>
      <w:tr>
        <w:trPr>
          <w:trHeight w:val="107"/>
        </w:trPr>
        <w:tc>
          <w:tcPr>
            <w:tcW w:w="700" w:type="dxa"/>
            <w:vAlign w:val="bottom"/>
            <w:shd w:val="clear" w:color="auto" w:fill="F0F3F6"/>
          </w:tcPr>
          <w:p>
            <w:pPr>
              <w:spacing w:after="0"/>
              <w:rPr>
                <w:sz w:val="9"/>
                <w:szCs w:val="9"/>
                <w:color w:val="auto"/>
              </w:rPr>
            </w:pPr>
          </w:p>
        </w:tc>
        <w:tc>
          <w:tcPr>
            <w:tcW w:w="1780" w:type="dxa"/>
            <w:vAlign w:val="bottom"/>
            <w:vMerge w:val="restart"/>
            <w:shd w:val="clear" w:color="auto" w:fill="F0F3F6"/>
          </w:tcPr>
          <w:p>
            <w:pPr>
              <w:ind w:left="120"/>
              <w:spacing w:after="0"/>
              <w:rPr>
                <w:sz w:val="20"/>
                <w:szCs w:val="20"/>
                <w:color w:val="auto"/>
              </w:rPr>
            </w:pPr>
            <w:r>
              <w:rPr>
                <w:rFonts w:ascii="Arial" w:cs="Arial" w:eastAsia="Arial" w:hAnsi="Arial"/>
                <w:sz w:val="16"/>
                <w:szCs w:val="16"/>
                <w:b w:val="1"/>
                <w:bCs w:val="1"/>
                <w:color w:val="3D3935"/>
              </w:rPr>
              <w:t>Strategy</w:t>
            </w:r>
          </w:p>
        </w:tc>
        <w:tc>
          <w:tcPr>
            <w:tcW w:w="6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700" w:type="dxa"/>
            <w:vAlign w:val="bottom"/>
            <w:shd w:val="clear" w:color="auto" w:fill="F0F3F6"/>
          </w:tcPr>
          <w:p>
            <w:pPr>
              <w:spacing w:after="0"/>
              <w:rPr>
                <w:sz w:val="10"/>
                <w:szCs w:val="10"/>
                <w:color w:val="auto"/>
              </w:rPr>
            </w:pPr>
          </w:p>
        </w:tc>
        <w:tc>
          <w:tcPr>
            <w:tcW w:w="1780" w:type="dxa"/>
            <w:vAlign w:val="bottom"/>
            <w:vMerge w:val="continue"/>
            <w:shd w:val="clear" w:color="auto" w:fill="F0F3F6"/>
          </w:tcPr>
          <w:p>
            <w:pPr>
              <w:spacing w:after="0"/>
              <w:rPr>
                <w:sz w:val="10"/>
                <w:szCs w:val="10"/>
                <w:color w:val="auto"/>
              </w:rPr>
            </w:pPr>
          </w:p>
        </w:tc>
        <w:tc>
          <w:tcPr>
            <w:tcW w:w="6600" w:type="dxa"/>
            <w:vAlign w:val="bottom"/>
            <w:vMerge w:val="restart"/>
          </w:tcPr>
          <w:p>
            <w:pPr>
              <w:ind w:left="120"/>
              <w:spacing w:after="0"/>
              <w:rPr>
                <w:sz w:val="20"/>
                <w:szCs w:val="20"/>
                <w:color w:val="auto"/>
              </w:rPr>
            </w:pPr>
            <w:r>
              <w:rPr>
                <w:rFonts w:ascii="Arial" w:cs="Arial" w:eastAsia="Arial" w:hAnsi="Arial"/>
                <w:sz w:val="16"/>
                <w:szCs w:val="16"/>
                <w:color w:val="3D3935"/>
              </w:rPr>
              <w:t>GM’s strategy, values, and expected behaviors.</w:t>
            </w:r>
          </w:p>
        </w:tc>
        <w:tc>
          <w:tcPr>
            <w:tcW w:w="0" w:type="dxa"/>
            <w:vAlign w:val="bottom"/>
          </w:tcPr>
          <w:p>
            <w:pPr>
              <w:spacing w:after="0"/>
              <w:rPr>
                <w:sz w:val="1"/>
                <w:szCs w:val="1"/>
                <w:color w:val="auto"/>
              </w:rPr>
            </w:pPr>
          </w:p>
        </w:tc>
      </w:tr>
      <w:tr>
        <w:trPr>
          <w:trHeight w:val="156"/>
        </w:trPr>
        <w:tc>
          <w:tcPr>
            <w:tcW w:w="700" w:type="dxa"/>
            <w:vAlign w:val="bottom"/>
            <w:tcBorders>
              <w:bottom w:val="single" w:sz="8" w:color="F0F3F6"/>
            </w:tcBorders>
            <w:shd w:val="clear" w:color="auto" w:fill="F0F3F6"/>
          </w:tcPr>
          <w:p>
            <w:pPr>
              <w:spacing w:after="0"/>
              <w:rPr>
                <w:sz w:val="13"/>
                <w:szCs w:val="13"/>
                <w:color w:val="auto"/>
              </w:rPr>
            </w:pPr>
          </w:p>
        </w:tc>
        <w:tc>
          <w:tcPr>
            <w:tcW w:w="1780" w:type="dxa"/>
            <w:vAlign w:val="bottom"/>
            <w:tcBorders>
              <w:bottom w:val="single" w:sz="8" w:color="F0F3F6"/>
            </w:tcBorders>
            <w:shd w:val="clear" w:color="auto" w:fill="F0F3F6"/>
          </w:tcPr>
          <w:p>
            <w:pPr>
              <w:spacing w:after="0"/>
              <w:rPr>
                <w:sz w:val="13"/>
                <w:szCs w:val="13"/>
                <w:color w:val="auto"/>
              </w:rPr>
            </w:pPr>
          </w:p>
        </w:tc>
        <w:tc>
          <w:tcPr>
            <w:tcW w:w="6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9"/>
        </w:trPr>
        <w:tc>
          <w:tcPr>
            <w:tcW w:w="700" w:type="dxa"/>
            <w:vAlign w:val="bottom"/>
            <w:tcBorders>
              <w:top w:val="single" w:sz="8" w:color="F0F3F6"/>
            </w:tcBorders>
            <w:shd w:val="clear" w:color="auto" w:fill="F0F3F6"/>
          </w:tcPr>
          <w:p>
            <w:pPr>
              <w:spacing w:after="0"/>
              <w:rPr>
                <w:sz w:val="24"/>
                <w:szCs w:val="24"/>
                <w:color w:val="auto"/>
              </w:rPr>
            </w:pPr>
          </w:p>
        </w:tc>
        <w:tc>
          <w:tcPr>
            <w:tcW w:w="1780" w:type="dxa"/>
            <w:vAlign w:val="bottom"/>
            <w:tcBorders>
              <w:top w:val="single" w:sz="8" w:color="D9D9D6"/>
            </w:tcBorders>
            <w:shd w:val="clear" w:color="auto" w:fill="F0F3F6"/>
          </w:tcPr>
          <w:p>
            <w:pPr>
              <w:spacing w:after="0"/>
              <w:rPr>
                <w:sz w:val="24"/>
                <w:szCs w:val="24"/>
                <w:color w:val="auto"/>
              </w:rPr>
            </w:pPr>
          </w:p>
        </w:tc>
        <w:tc>
          <w:tcPr>
            <w:tcW w:w="6600" w:type="dxa"/>
            <w:vAlign w:val="bottom"/>
            <w:tcBorders>
              <w:top w:val="single" w:sz="8" w:color="D9D9D6"/>
            </w:tcBorders>
          </w:tcPr>
          <w:p>
            <w:pPr>
              <w:ind w:left="120"/>
              <w:spacing w:after="0"/>
              <w:rPr>
                <w:sz w:val="20"/>
                <w:szCs w:val="20"/>
                <w:color w:val="auto"/>
              </w:rPr>
            </w:pPr>
            <w:r>
              <w:rPr>
                <w:rFonts w:ascii="Arial" w:cs="Arial" w:eastAsia="Arial" w:hAnsi="Arial"/>
                <w:sz w:val="16"/>
                <w:szCs w:val="16"/>
                <w:color w:val="3D3935"/>
              </w:rPr>
              <w:t>Target compensation should have an appropriate mix of short-term and long-term pay</w:t>
            </w:r>
          </w:p>
        </w:tc>
        <w:tc>
          <w:tcPr>
            <w:tcW w:w="0" w:type="dxa"/>
            <w:vAlign w:val="bottom"/>
          </w:tcPr>
          <w:p>
            <w:pPr>
              <w:spacing w:after="0"/>
              <w:rPr>
                <w:sz w:val="1"/>
                <w:szCs w:val="1"/>
                <w:color w:val="auto"/>
              </w:rPr>
            </w:pPr>
          </w:p>
        </w:tc>
      </w:tr>
      <w:tr>
        <w:trPr>
          <w:trHeight w:val="217"/>
        </w:trPr>
        <w:tc>
          <w:tcPr>
            <w:tcW w:w="700" w:type="dxa"/>
            <w:vAlign w:val="bottom"/>
            <w:shd w:val="clear" w:color="auto" w:fill="F0F3F6"/>
          </w:tcPr>
          <w:p>
            <w:pPr>
              <w:spacing w:after="0"/>
              <w:rPr>
                <w:sz w:val="18"/>
                <w:szCs w:val="18"/>
                <w:color w:val="auto"/>
              </w:rPr>
            </w:pPr>
          </w:p>
        </w:tc>
        <w:tc>
          <w:tcPr>
            <w:tcW w:w="1780" w:type="dxa"/>
            <w:vAlign w:val="bottom"/>
            <w:shd w:val="clear" w:color="auto" w:fill="F0F3F6"/>
          </w:tcPr>
          <w:p>
            <w:pPr>
              <w:ind w:left="120"/>
              <w:spacing w:after="0"/>
              <w:rPr>
                <w:sz w:val="20"/>
                <w:szCs w:val="20"/>
                <w:color w:val="auto"/>
              </w:rPr>
            </w:pPr>
            <w:r>
              <w:rPr>
                <w:rFonts w:ascii="Arial" w:cs="Arial" w:eastAsia="Arial" w:hAnsi="Arial"/>
                <w:sz w:val="16"/>
                <w:szCs w:val="16"/>
                <w:b w:val="1"/>
                <w:bCs w:val="1"/>
                <w:color w:val="3D3935"/>
              </w:rPr>
              <w:t>Market-Competitive</w:t>
            </w:r>
          </w:p>
        </w:tc>
        <w:tc>
          <w:tcPr>
            <w:tcW w:w="6600" w:type="dxa"/>
            <w:vAlign w:val="bottom"/>
          </w:tcPr>
          <w:p>
            <w:pPr>
              <w:ind w:left="120"/>
              <w:spacing w:after="0"/>
              <w:rPr>
                <w:sz w:val="20"/>
                <w:szCs w:val="20"/>
                <w:color w:val="auto"/>
              </w:rPr>
            </w:pPr>
            <w:r>
              <w:rPr>
                <w:rFonts w:ascii="Arial" w:cs="Arial" w:eastAsia="Arial" w:hAnsi="Arial"/>
                <w:sz w:val="16"/>
                <w:szCs w:val="16"/>
                <w:color w:val="3D3935"/>
              </w:rPr>
              <w:t>elements and should be competitive with that paid to individuals at peer group</w:t>
            </w:r>
          </w:p>
        </w:tc>
        <w:tc>
          <w:tcPr>
            <w:tcW w:w="0" w:type="dxa"/>
            <w:vAlign w:val="bottom"/>
          </w:tcPr>
          <w:p>
            <w:pPr>
              <w:spacing w:after="0"/>
              <w:rPr>
                <w:sz w:val="1"/>
                <w:szCs w:val="1"/>
                <w:color w:val="auto"/>
              </w:rPr>
            </w:pPr>
          </w:p>
        </w:tc>
      </w:tr>
      <w:tr>
        <w:trPr>
          <w:trHeight w:val="271"/>
        </w:trPr>
        <w:tc>
          <w:tcPr>
            <w:tcW w:w="700" w:type="dxa"/>
            <w:vAlign w:val="bottom"/>
            <w:tcBorders>
              <w:bottom w:val="single" w:sz="8" w:color="F0F3F6"/>
            </w:tcBorders>
            <w:shd w:val="clear" w:color="auto" w:fill="F0F3F6"/>
          </w:tcPr>
          <w:p>
            <w:pPr>
              <w:spacing w:after="0"/>
              <w:rPr>
                <w:sz w:val="23"/>
                <w:szCs w:val="23"/>
                <w:color w:val="auto"/>
              </w:rPr>
            </w:pPr>
          </w:p>
        </w:tc>
        <w:tc>
          <w:tcPr>
            <w:tcW w:w="1780" w:type="dxa"/>
            <w:vAlign w:val="bottom"/>
            <w:tcBorders>
              <w:bottom w:val="single" w:sz="8" w:color="F0F3F6"/>
            </w:tcBorders>
            <w:shd w:val="clear" w:color="auto" w:fill="F0F3F6"/>
          </w:tcPr>
          <w:p>
            <w:pPr>
              <w:spacing w:after="0"/>
              <w:rPr>
                <w:sz w:val="23"/>
                <w:szCs w:val="23"/>
                <w:color w:val="auto"/>
              </w:rPr>
            </w:pPr>
          </w:p>
        </w:tc>
        <w:tc>
          <w:tcPr>
            <w:tcW w:w="6600" w:type="dxa"/>
            <w:vAlign w:val="bottom"/>
          </w:tcPr>
          <w:p>
            <w:pPr>
              <w:ind w:left="120"/>
              <w:spacing w:after="0"/>
              <w:rPr>
                <w:sz w:val="20"/>
                <w:szCs w:val="20"/>
                <w:color w:val="auto"/>
              </w:rPr>
            </w:pPr>
            <w:r>
              <w:rPr>
                <w:rFonts w:ascii="Arial" w:cs="Arial" w:eastAsia="Arial" w:hAnsi="Arial"/>
                <w:sz w:val="16"/>
                <w:szCs w:val="16"/>
                <w:color w:val="3D3935"/>
              </w:rPr>
              <w:t>companies so that we can successfully attract, motivate, and retain top-tier talent.</w:t>
            </w:r>
          </w:p>
        </w:tc>
        <w:tc>
          <w:tcPr>
            <w:tcW w:w="0" w:type="dxa"/>
            <w:vAlign w:val="bottom"/>
          </w:tcPr>
          <w:p>
            <w:pPr>
              <w:spacing w:after="0"/>
              <w:rPr>
                <w:sz w:val="1"/>
                <w:szCs w:val="1"/>
                <w:color w:val="auto"/>
              </w:rPr>
            </w:pPr>
          </w:p>
        </w:tc>
      </w:tr>
      <w:tr>
        <w:trPr>
          <w:trHeight w:val="411"/>
        </w:trPr>
        <w:tc>
          <w:tcPr>
            <w:tcW w:w="700" w:type="dxa"/>
            <w:vAlign w:val="bottom"/>
            <w:tcBorders>
              <w:top w:val="single" w:sz="8" w:color="F0F3F6"/>
            </w:tcBorders>
            <w:shd w:val="clear" w:color="auto" w:fill="F0F3F6"/>
          </w:tcPr>
          <w:p>
            <w:pPr>
              <w:spacing w:after="0"/>
              <w:rPr>
                <w:sz w:val="24"/>
                <w:szCs w:val="24"/>
                <w:color w:val="auto"/>
              </w:rPr>
            </w:pPr>
          </w:p>
        </w:tc>
        <w:tc>
          <w:tcPr>
            <w:tcW w:w="1780" w:type="dxa"/>
            <w:vAlign w:val="bottom"/>
            <w:tcBorders>
              <w:top w:val="single" w:sz="8" w:color="D9D9D6"/>
            </w:tcBorders>
            <w:shd w:val="clear" w:color="auto" w:fill="F0F3F6"/>
          </w:tcPr>
          <w:p>
            <w:pPr>
              <w:ind w:left="120"/>
              <w:spacing w:after="0"/>
              <w:rPr>
                <w:sz w:val="20"/>
                <w:szCs w:val="20"/>
                <w:color w:val="auto"/>
              </w:rPr>
            </w:pPr>
            <w:r>
              <w:rPr>
                <w:rFonts w:ascii="Arial" w:cs="Arial" w:eastAsia="Arial" w:hAnsi="Arial"/>
                <w:sz w:val="16"/>
                <w:szCs w:val="16"/>
                <w:b w:val="1"/>
                <w:bCs w:val="1"/>
                <w:color w:val="3D3935"/>
              </w:rPr>
              <w:t>Avoid Excessive</w:t>
            </w:r>
          </w:p>
        </w:tc>
        <w:tc>
          <w:tcPr>
            <w:tcW w:w="6600" w:type="dxa"/>
            <w:vAlign w:val="bottom"/>
            <w:tcBorders>
              <w:top w:val="single" w:sz="8" w:color="D9D9D6"/>
            </w:tcBorders>
          </w:tcPr>
          <w:p>
            <w:pPr>
              <w:ind w:left="120"/>
              <w:spacing w:after="0"/>
              <w:rPr>
                <w:sz w:val="20"/>
                <w:szCs w:val="20"/>
                <w:color w:val="auto"/>
              </w:rPr>
            </w:pPr>
            <w:r>
              <w:rPr>
                <w:rFonts w:ascii="Arial" w:cs="Arial" w:eastAsia="Arial" w:hAnsi="Arial"/>
                <w:sz w:val="16"/>
                <w:szCs w:val="16"/>
                <w:color w:val="3D3935"/>
              </w:rPr>
              <w:t>Compensation structure should avoid incentivizing unnecessary and excessive</w:t>
            </w:r>
          </w:p>
        </w:tc>
        <w:tc>
          <w:tcPr>
            <w:tcW w:w="0" w:type="dxa"/>
            <w:vAlign w:val="bottom"/>
          </w:tcPr>
          <w:p>
            <w:pPr>
              <w:spacing w:after="0"/>
              <w:rPr>
                <w:sz w:val="1"/>
                <w:szCs w:val="1"/>
                <w:color w:val="auto"/>
              </w:rPr>
            </w:pPr>
          </w:p>
        </w:tc>
      </w:tr>
      <w:tr>
        <w:trPr>
          <w:trHeight w:val="223"/>
        </w:trPr>
        <w:tc>
          <w:tcPr>
            <w:tcW w:w="700" w:type="dxa"/>
            <w:vAlign w:val="bottom"/>
            <w:shd w:val="clear" w:color="auto" w:fill="F0F3F6"/>
          </w:tcPr>
          <w:p>
            <w:pPr>
              <w:spacing w:after="0"/>
              <w:rPr>
                <w:sz w:val="19"/>
                <w:szCs w:val="19"/>
                <w:color w:val="auto"/>
              </w:rPr>
            </w:pPr>
          </w:p>
        </w:tc>
        <w:tc>
          <w:tcPr>
            <w:tcW w:w="1780" w:type="dxa"/>
            <w:vAlign w:val="bottom"/>
            <w:shd w:val="clear" w:color="auto" w:fill="F0F3F6"/>
          </w:tcPr>
          <w:p>
            <w:pPr>
              <w:ind w:left="120"/>
              <w:spacing w:after="0"/>
              <w:rPr>
                <w:sz w:val="20"/>
                <w:szCs w:val="20"/>
                <w:color w:val="auto"/>
              </w:rPr>
            </w:pPr>
            <w:r>
              <w:rPr>
                <w:rFonts w:ascii="Arial" w:cs="Arial" w:eastAsia="Arial" w:hAnsi="Arial"/>
                <w:sz w:val="16"/>
                <w:szCs w:val="16"/>
                <w:b w:val="1"/>
                <w:bCs w:val="1"/>
                <w:color w:val="3D3935"/>
              </w:rPr>
              <w:t>Risk-Taking</w:t>
            </w:r>
          </w:p>
        </w:tc>
        <w:tc>
          <w:tcPr>
            <w:tcW w:w="6600" w:type="dxa"/>
            <w:vAlign w:val="bottom"/>
          </w:tcPr>
          <w:p>
            <w:pPr>
              <w:ind w:left="120"/>
              <w:spacing w:after="0"/>
              <w:rPr>
                <w:sz w:val="20"/>
                <w:szCs w:val="20"/>
                <w:color w:val="auto"/>
              </w:rPr>
            </w:pPr>
            <w:r>
              <w:rPr>
                <w:rFonts w:ascii="Arial" w:cs="Arial" w:eastAsia="Arial" w:hAnsi="Arial"/>
                <w:sz w:val="16"/>
                <w:szCs w:val="16"/>
                <w:color w:val="3D3935"/>
              </w:rPr>
              <w:t>risk-taking.</w:t>
            </w:r>
          </w:p>
        </w:tc>
        <w:tc>
          <w:tcPr>
            <w:tcW w:w="0" w:type="dxa"/>
            <w:vAlign w:val="bottom"/>
          </w:tcPr>
          <w:p>
            <w:pPr>
              <w:spacing w:after="0"/>
              <w:rPr>
                <w:sz w:val="1"/>
                <w:szCs w:val="1"/>
                <w:color w:val="auto"/>
              </w:rPr>
            </w:pPr>
          </w:p>
        </w:tc>
      </w:tr>
      <w:tr>
        <w:trPr>
          <w:trHeight w:val="169"/>
        </w:trPr>
        <w:tc>
          <w:tcPr>
            <w:tcW w:w="700" w:type="dxa"/>
            <w:vAlign w:val="bottom"/>
            <w:tcBorders>
              <w:bottom w:val="single" w:sz="8" w:color="F0F3F6"/>
            </w:tcBorders>
            <w:shd w:val="clear" w:color="auto" w:fill="F0F3F6"/>
          </w:tcPr>
          <w:p>
            <w:pPr>
              <w:spacing w:after="0"/>
              <w:rPr>
                <w:sz w:val="14"/>
                <w:szCs w:val="14"/>
                <w:color w:val="auto"/>
              </w:rPr>
            </w:pPr>
          </w:p>
        </w:tc>
        <w:tc>
          <w:tcPr>
            <w:tcW w:w="1780" w:type="dxa"/>
            <w:vAlign w:val="bottom"/>
            <w:tcBorders>
              <w:bottom w:val="single" w:sz="8" w:color="D9D9D6"/>
            </w:tcBorders>
            <w:shd w:val="clear" w:color="auto" w:fill="F0F3F6"/>
          </w:tcPr>
          <w:p>
            <w:pPr>
              <w:spacing w:after="0"/>
              <w:rPr>
                <w:sz w:val="14"/>
                <w:szCs w:val="14"/>
                <w:color w:val="auto"/>
              </w:rPr>
            </w:pPr>
          </w:p>
        </w:tc>
        <w:tc>
          <w:tcPr>
            <w:tcW w:w="6600" w:type="dxa"/>
            <w:vAlign w:val="bottom"/>
            <w:tcBorders>
              <w:bottom w:val="single" w:sz="8" w:color="D9D9D6"/>
            </w:tcBorders>
          </w:tcPr>
          <w:p>
            <w:pPr>
              <w:spacing w:after="0"/>
              <w:rPr>
                <w:sz w:val="14"/>
                <w:szCs w:val="14"/>
                <w:color w:val="auto"/>
              </w:rPr>
            </w:pPr>
          </w:p>
        </w:tc>
        <w:tc>
          <w:tcPr>
            <w:tcW w:w="0" w:type="dxa"/>
            <w:vAlign w:val="bottom"/>
          </w:tcPr>
          <w:p>
            <w:pPr>
              <w:spacing w:after="0"/>
              <w:rPr>
                <w:sz w:val="1"/>
                <w:szCs w:val="1"/>
                <w:color w:val="auto"/>
              </w:rPr>
            </w:pPr>
          </w:p>
        </w:tc>
      </w:tr>
      <w:tr>
        <w:trPr>
          <w:trHeight w:val="410"/>
        </w:trPr>
        <w:tc>
          <w:tcPr>
            <w:tcW w:w="700" w:type="dxa"/>
            <w:vAlign w:val="bottom"/>
            <w:shd w:val="clear" w:color="auto" w:fill="F0F3F6"/>
          </w:tcPr>
          <w:p>
            <w:pPr>
              <w:spacing w:after="0"/>
              <w:rPr>
                <w:sz w:val="24"/>
                <w:szCs w:val="24"/>
                <w:color w:val="auto"/>
              </w:rPr>
            </w:pPr>
          </w:p>
        </w:tc>
        <w:tc>
          <w:tcPr>
            <w:tcW w:w="1780" w:type="dxa"/>
            <w:vAlign w:val="bottom"/>
            <w:vMerge w:val="restart"/>
            <w:shd w:val="clear" w:color="auto" w:fill="F0F3F6"/>
          </w:tcPr>
          <w:p>
            <w:pPr>
              <w:ind w:left="120"/>
              <w:spacing w:after="0"/>
              <w:rPr>
                <w:sz w:val="20"/>
                <w:szCs w:val="20"/>
                <w:color w:val="auto"/>
              </w:rPr>
            </w:pPr>
            <w:r>
              <w:rPr>
                <w:rFonts w:ascii="Arial" w:cs="Arial" w:eastAsia="Arial" w:hAnsi="Arial"/>
                <w:sz w:val="16"/>
                <w:szCs w:val="16"/>
                <w:b w:val="1"/>
                <w:bCs w:val="1"/>
                <w:color w:val="3D3935"/>
              </w:rPr>
              <w:t>Simple Design</w:t>
            </w:r>
          </w:p>
        </w:tc>
        <w:tc>
          <w:tcPr>
            <w:tcW w:w="6600" w:type="dxa"/>
            <w:vAlign w:val="bottom"/>
          </w:tcPr>
          <w:p>
            <w:pPr>
              <w:ind w:left="120"/>
              <w:spacing w:after="0"/>
              <w:rPr>
                <w:sz w:val="20"/>
                <w:szCs w:val="20"/>
                <w:color w:val="auto"/>
              </w:rPr>
            </w:pPr>
            <w:r>
              <w:rPr>
                <w:rFonts w:ascii="Arial" w:cs="Arial" w:eastAsia="Arial" w:hAnsi="Arial"/>
                <w:sz w:val="16"/>
                <w:szCs w:val="16"/>
                <w:color w:val="3D3935"/>
              </w:rPr>
              <w:t>Compensation plans should be easy to understand and communicate and should</w:t>
            </w:r>
          </w:p>
        </w:tc>
        <w:tc>
          <w:tcPr>
            <w:tcW w:w="0" w:type="dxa"/>
            <w:vAlign w:val="bottom"/>
          </w:tcPr>
          <w:p>
            <w:pPr>
              <w:spacing w:after="0"/>
              <w:rPr>
                <w:sz w:val="1"/>
                <w:szCs w:val="1"/>
                <w:color w:val="auto"/>
              </w:rPr>
            </w:pPr>
          </w:p>
        </w:tc>
      </w:tr>
      <w:tr>
        <w:trPr>
          <w:trHeight w:val="116"/>
        </w:trPr>
        <w:tc>
          <w:tcPr>
            <w:tcW w:w="700" w:type="dxa"/>
            <w:vAlign w:val="bottom"/>
            <w:shd w:val="clear" w:color="auto" w:fill="F0F3F6"/>
          </w:tcPr>
          <w:p>
            <w:pPr>
              <w:spacing w:after="0"/>
              <w:rPr>
                <w:sz w:val="10"/>
                <w:szCs w:val="10"/>
                <w:color w:val="auto"/>
              </w:rPr>
            </w:pPr>
          </w:p>
        </w:tc>
        <w:tc>
          <w:tcPr>
            <w:tcW w:w="1780" w:type="dxa"/>
            <w:vAlign w:val="bottom"/>
            <w:vMerge w:val="continue"/>
            <w:shd w:val="clear" w:color="auto" w:fill="F0F3F6"/>
          </w:tcPr>
          <w:p>
            <w:pPr>
              <w:spacing w:after="0"/>
              <w:rPr>
                <w:sz w:val="10"/>
                <w:szCs w:val="10"/>
                <w:color w:val="auto"/>
              </w:rPr>
            </w:pPr>
          </w:p>
        </w:tc>
        <w:tc>
          <w:tcPr>
            <w:tcW w:w="6600" w:type="dxa"/>
            <w:vAlign w:val="bottom"/>
            <w:vMerge w:val="restart"/>
          </w:tcPr>
          <w:p>
            <w:pPr>
              <w:ind w:left="120"/>
              <w:spacing w:after="0"/>
              <w:rPr>
                <w:sz w:val="20"/>
                <w:szCs w:val="20"/>
                <w:color w:val="auto"/>
              </w:rPr>
            </w:pPr>
            <w:r>
              <w:rPr>
                <w:rFonts w:ascii="Arial" w:cs="Arial" w:eastAsia="Arial" w:hAnsi="Arial"/>
                <w:sz w:val="16"/>
                <w:szCs w:val="16"/>
                <w:color w:val="3D3935"/>
              </w:rPr>
              <w:t>minimize unintended consequences.</w:t>
            </w:r>
          </w:p>
        </w:tc>
        <w:tc>
          <w:tcPr>
            <w:tcW w:w="0" w:type="dxa"/>
            <w:vAlign w:val="bottom"/>
          </w:tcPr>
          <w:p>
            <w:pPr>
              <w:spacing w:after="0"/>
              <w:rPr>
                <w:sz w:val="1"/>
                <w:szCs w:val="1"/>
                <w:color w:val="auto"/>
              </w:rPr>
            </w:pPr>
          </w:p>
        </w:tc>
      </w:tr>
      <w:tr>
        <w:trPr>
          <w:trHeight w:val="100"/>
        </w:trPr>
        <w:tc>
          <w:tcPr>
            <w:tcW w:w="700" w:type="dxa"/>
            <w:vAlign w:val="bottom"/>
            <w:shd w:val="clear" w:color="auto" w:fill="F0F3F6"/>
          </w:tcPr>
          <w:p>
            <w:pPr>
              <w:spacing w:after="0"/>
              <w:rPr>
                <w:sz w:val="8"/>
                <w:szCs w:val="8"/>
                <w:color w:val="auto"/>
              </w:rPr>
            </w:pPr>
          </w:p>
        </w:tc>
        <w:tc>
          <w:tcPr>
            <w:tcW w:w="1780" w:type="dxa"/>
            <w:vAlign w:val="bottom"/>
            <w:shd w:val="clear" w:color="auto" w:fill="F0F3F6"/>
          </w:tcPr>
          <w:p>
            <w:pPr>
              <w:spacing w:after="0"/>
              <w:rPr>
                <w:sz w:val="8"/>
                <w:szCs w:val="8"/>
                <w:color w:val="auto"/>
              </w:rPr>
            </w:pPr>
          </w:p>
        </w:tc>
        <w:tc>
          <w:tcPr>
            <w:tcW w:w="6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700" w:type="dxa"/>
            <w:vAlign w:val="bottom"/>
            <w:tcBorders>
              <w:bottom w:val="single" w:sz="8" w:color="0072CE"/>
            </w:tcBorders>
            <w:shd w:val="clear" w:color="auto" w:fill="F0F3F6"/>
          </w:tcPr>
          <w:p>
            <w:pPr>
              <w:spacing w:after="0"/>
              <w:rPr>
                <w:sz w:val="15"/>
                <w:szCs w:val="15"/>
                <w:color w:val="auto"/>
              </w:rPr>
            </w:pPr>
          </w:p>
        </w:tc>
        <w:tc>
          <w:tcPr>
            <w:tcW w:w="1780" w:type="dxa"/>
            <w:vAlign w:val="bottom"/>
            <w:tcBorders>
              <w:bottom w:val="single" w:sz="8" w:color="0072CE"/>
            </w:tcBorders>
            <w:shd w:val="clear" w:color="auto" w:fill="F0F3F6"/>
          </w:tcPr>
          <w:p>
            <w:pPr>
              <w:spacing w:after="0"/>
              <w:rPr>
                <w:sz w:val="15"/>
                <w:szCs w:val="15"/>
                <w:color w:val="auto"/>
              </w:rPr>
            </w:pPr>
          </w:p>
        </w:tc>
        <w:tc>
          <w:tcPr>
            <w:tcW w:w="6600" w:type="dxa"/>
            <w:vAlign w:val="bottom"/>
            <w:tcBorders>
              <w:bottom w:val="single" w:sz="8" w:color="0072CE"/>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0720"/>
          </w:cols>
          <w:pgMar w:left="580" w:top="104" w:right="599" w:bottom="0" w:gutter="0" w:footer="0" w:header="0"/>
        </w:sectPr>
      </w:pPr>
    </w:p>
    <w:bookmarkStart w:id="48" w:name="page49"/>
    <w:bookmarkEnd w:id="48"/>
    <w:p>
      <w:pPr>
        <w:spacing w:after="0"/>
        <w:rPr>
          <w:sz w:val="20"/>
          <w:szCs w:val="20"/>
          <w:color w:val="auto"/>
        </w:rPr>
      </w:pPr>
      <w:r>
        <w:rPr>
          <w:rFonts w:ascii="Arial" w:cs="Arial" w:eastAsia="Arial" w:hAnsi="Arial"/>
          <w:sz w:val="25"/>
          <w:szCs w:val="25"/>
          <w:b w:val="1"/>
          <w:bCs w:val="1"/>
          <w:color w:val="0072CE"/>
        </w:rPr>
        <w:t>2024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-149860</wp:posOffset>
            </wp:positionV>
            <wp:extent cx="6810375" cy="48367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10375" cy="4836795"/>
                    </a:xfrm>
                    <a:prstGeom prst="rect">
                      <a:avLst/>
                    </a:prstGeom>
                    <a:noFill/>
                  </pic:spPr>
                </pic:pic>
              </a:graphicData>
            </a:graphic>
          </wp:anchor>
        </w:drawing>
      </w:r>
    </w:p>
    <w:p>
      <w:pPr>
        <w:ind w:right="400"/>
        <w:spacing w:after="0" w:line="286" w:lineRule="auto"/>
        <w:rPr>
          <w:sz w:val="20"/>
          <w:szCs w:val="20"/>
          <w:color w:val="auto"/>
        </w:rPr>
      </w:pPr>
      <w:r>
        <w:rPr>
          <w:rFonts w:ascii="Arial" w:cs="Arial" w:eastAsia="Arial" w:hAnsi="Arial"/>
          <w:sz w:val="16"/>
          <w:szCs w:val="16"/>
          <w:color w:val="3D3935"/>
        </w:rPr>
        <w:t>Our incentive plans are designed to optimize long-term financial returns for our shareholders and reward our NEOs for delivering on the Company’s four key strategic pillars. The 2024 performance-based compensation structure incorporated short-term and long-term incentives tied to financial and operational measures to drive Company performance for fiscal year 2024 and beyond. The Compensation Committee believes a majority of the compensation opportunity should be in the form of equity to align the interests of executives with those of shareholders.</w:t>
      </w:r>
    </w:p>
    <w:p>
      <w:pPr>
        <w:spacing w:after="0" w:line="206" w:lineRule="exact"/>
        <w:rPr>
          <w:sz w:val="20"/>
          <w:szCs w:val="20"/>
          <w:color w:val="auto"/>
        </w:rPr>
      </w:pPr>
    </w:p>
    <w:p>
      <w:pPr>
        <w:spacing w:after="0"/>
        <w:tabs>
          <w:tab w:leader="none" w:pos="4680" w:val="left"/>
        </w:tabs>
        <w:rPr>
          <w:sz w:val="20"/>
          <w:szCs w:val="20"/>
          <w:color w:val="auto"/>
        </w:rPr>
      </w:pPr>
      <w:r>
        <w:rPr>
          <w:rFonts w:ascii="Arial" w:cs="Arial" w:eastAsia="Arial" w:hAnsi="Arial"/>
          <w:sz w:val="18"/>
          <w:szCs w:val="18"/>
          <w:b w:val="1"/>
          <w:bCs w:val="1"/>
          <w:color w:val="0072CE"/>
        </w:rPr>
        <w:t>CEO 2024 Target Compensation</w:t>
      </w:r>
      <w:r>
        <w:rPr>
          <w:sz w:val="20"/>
          <w:szCs w:val="20"/>
          <w:color w:val="auto"/>
        </w:rPr>
        <w:tab/>
      </w:r>
      <w:r>
        <w:rPr>
          <w:rFonts w:ascii="Arial" w:cs="Arial" w:eastAsia="Arial" w:hAnsi="Arial"/>
          <w:sz w:val="17"/>
          <w:szCs w:val="17"/>
          <w:b w:val="1"/>
          <w:bCs w:val="1"/>
          <w:color w:val="0072CE"/>
        </w:rPr>
        <w:t>Average NEO 2024 Target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5596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10375" cy="5596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Elements of Compensation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shd w:val="clear" w:color="auto" w:fill="F0F3F6"/>
          </w:tcPr>
          <w:p>
            <w:pPr>
              <w:spacing w:after="0"/>
              <w:rPr>
                <w:sz w:val="20"/>
                <w:szCs w:val="20"/>
                <w:color w:val="auto"/>
              </w:rPr>
            </w:pPr>
          </w:p>
        </w:tc>
        <w:tc>
          <w:tcPr>
            <w:tcW w:w="2220" w:type="dxa"/>
            <w:vAlign w:val="bottom"/>
            <w:shd w:val="clear" w:color="auto" w:fill="F0F3F6"/>
          </w:tcPr>
          <w:p>
            <w:pPr>
              <w:spacing w:after="0"/>
              <w:rPr>
                <w:sz w:val="20"/>
                <w:szCs w:val="20"/>
                <w:color w:val="auto"/>
              </w:rPr>
            </w:pPr>
          </w:p>
        </w:tc>
        <w:tc>
          <w:tcPr>
            <w:tcW w:w="2520" w:type="dxa"/>
            <w:vAlign w:val="bottom"/>
            <w:shd w:val="clear" w:color="auto" w:fill="F0F3F6"/>
          </w:tcPr>
          <w:p>
            <w:pPr>
              <w:ind w:left="1340"/>
              <w:spacing w:after="0"/>
              <w:rPr>
                <w:sz w:val="20"/>
                <w:szCs w:val="20"/>
                <w:color w:val="auto"/>
              </w:rPr>
            </w:pPr>
            <w:r>
              <w:rPr>
                <w:rFonts w:ascii="Arial" w:cs="Arial" w:eastAsia="Arial" w:hAnsi="Arial"/>
                <w:sz w:val="14"/>
                <w:szCs w:val="14"/>
                <w:b w:val="1"/>
                <w:bCs w:val="1"/>
                <w:color w:val="3D3935"/>
              </w:rPr>
              <w:t>Performance</w:t>
            </w:r>
          </w:p>
        </w:tc>
        <w:tc>
          <w:tcPr>
            <w:tcW w:w="1840" w:type="dxa"/>
            <w:vAlign w:val="bottom"/>
            <w:shd w:val="clear" w:color="auto" w:fill="F0F3F6"/>
          </w:tcPr>
          <w:p>
            <w:pPr>
              <w:ind w:left="300"/>
              <w:spacing w:after="0"/>
              <w:rPr>
                <w:sz w:val="20"/>
                <w:szCs w:val="20"/>
                <w:color w:val="auto"/>
              </w:rPr>
            </w:pPr>
            <w:r>
              <w:rPr>
                <w:rFonts w:ascii="Arial" w:cs="Arial" w:eastAsia="Arial" w:hAnsi="Arial"/>
                <w:sz w:val="14"/>
                <w:szCs w:val="14"/>
                <w:b w:val="1"/>
                <w:bCs w:val="1"/>
                <w:color w:val="3D3935"/>
              </w:rPr>
              <w:t>Performance</w:t>
            </w:r>
          </w:p>
        </w:tc>
        <w:tc>
          <w:tcPr>
            <w:tcW w:w="1580" w:type="dxa"/>
            <w:vAlign w:val="bottom"/>
            <w:shd w:val="clear" w:color="auto" w:fill="F0F3F6"/>
          </w:tcPr>
          <w:p>
            <w:pPr>
              <w:spacing w:after="0"/>
              <w:rPr>
                <w:sz w:val="20"/>
                <w:szCs w:val="20"/>
                <w:color w:val="auto"/>
              </w:rPr>
            </w:pPr>
          </w:p>
        </w:tc>
      </w:tr>
      <w:tr>
        <w:trPr>
          <w:trHeight w:val="185"/>
        </w:trPr>
        <w:tc>
          <w:tcPr>
            <w:tcW w:w="920" w:type="dxa"/>
            <w:vAlign w:val="bottom"/>
            <w:tcBorders>
              <w:bottom w:val="single" w:sz="8" w:color="0072CE"/>
            </w:tcBorders>
            <w:shd w:val="clear" w:color="auto" w:fill="F0F3F6"/>
          </w:tcPr>
          <w:p>
            <w:pPr>
              <w:ind w:left="60"/>
              <w:spacing w:after="0"/>
              <w:rPr>
                <w:sz w:val="20"/>
                <w:szCs w:val="20"/>
                <w:color w:val="auto"/>
              </w:rPr>
            </w:pPr>
            <w:r>
              <w:rPr>
                <w:rFonts w:ascii="Arial" w:cs="Arial" w:eastAsia="Arial" w:hAnsi="Arial"/>
                <w:sz w:val="14"/>
                <w:szCs w:val="14"/>
                <w:b w:val="1"/>
                <w:bCs w:val="1"/>
                <w:color w:val="3D3935"/>
              </w:rPr>
              <w:t>Element</w:t>
            </w:r>
          </w:p>
        </w:tc>
        <w:tc>
          <w:tcPr>
            <w:tcW w:w="2220" w:type="dxa"/>
            <w:vAlign w:val="bottom"/>
            <w:tcBorders>
              <w:bottom w:val="single" w:sz="8" w:color="0072CE"/>
            </w:tcBorders>
            <w:shd w:val="clear" w:color="auto" w:fill="F0F3F6"/>
          </w:tcPr>
          <w:p>
            <w:pPr>
              <w:ind w:left="320"/>
              <w:spacing w:after="0"/>
              <w:rPr>
                <w:sz w:val="20"/>
                <w:szCs w:val="20"/>
                <w:color w:val="auto"/>
              </w:rPr>
            </w:pPr>
            <w:r>
              <w:rPr>
                <w:rFonts w:ascii="Arial" w:cs="Arial" w:eastAsia="Arial" w:hAnsi="Arial"/>
                <w:sz w:val="14"/>
                <w:szCs w:val="14"/>
                <w:b w:val="1"/>
                <w:bCs w:val="1"/>
                <w:color w:val="3D3935"/>
              </w:rPr>
              <w:t>Purpose</w:t>
            </w:r>
          </w:p>
        </w:tc>
        <w:tc>
          <w:tcPr>
            <w:tcW w:w="2520" w:type="dxa"/>
            <w:vAlign w:val="bottom"/>
            <w:tcBorders>
              <w:bottom w:val="single" w:sz="8" w:color="0072CE"/>
            </w:tcBorders>
            <w:shd w:val="clear" w:color="auto" w:fill="F0F3F6"/>
          </w:tcPr>
          <w:p>
            <w:pPr>
              <w:ind w:left="1340"/>
              <w:spacing w:after="0"/>
              <w:rPr>
                <w:sz w:val="20"/>
                <w:szCs w:val="20"/>
                <w:color w:val="auto"/>
              </w:rPr>
            </w:pPr>
            <w:r>
              <w:rPr>
                <w:rFonts w:ascii="Arial" w:cs="Arial" w:eastAsia="Arial" w:hAnsi="Arial"/>
                <w:sz w:val="14"/>
                <w:szCs w:val="14"/>
                <w:b w:val="1"/>
                <w:bCs w:val="1"/>
                <w:color w:val="3D3935"/>
              </w:rPr>
              <w:t>Period</w:t>
            </w:r>
          </w:p>
        </w:tc>
        <w:tc>
          <w:tcPr>
            <w:tcW w:w="1840" w:type="dxa"/>
            <w:vAlign w:val="bottom"/>
            <w:tcBorders>
              <w:bottom w:val="single" w:sz="8" w:color="0072CE"/>
            </w:tcBorders>
            <w:shd w:val="clear" w:color="auto" w:fill="F0F3F6"/>
          </w:tcPr>
          <w:p>
            <w:pPr>
              <w:ind w:left="300"/>
              <w:spacing w:after="0"/>
              <w:rPr>
                <w:sz w:val="20"/>
                <w:szCs w:val="20"/>
                <w:color w:val="auto"/>
              </w:rPr>
            </w:pPr>
            <w:r>
              <w:rPr>
                <w:rFonts w:ascii="Arial" w:cs="Arial" w:eastAsia="Arial" w:hAnsi="Arial"/>
                <w:sz w:val="14"/>
                <w:szCs w:val="14"/>
                <w:b w:val="1"/>
                <w:bCs w:val="1"/>
                <w:color w:val="3D3935"/>
              </w:rPr>
              <w:t>Measures</w:t>
            </w:r>
          </w:p>
        </w:tc>
        <w:tc>
          <w:tcPr>
            <w:tcW w:w="1580" w:type="dxa"/>
            <w:vAlign w:val="bottom"/>
            <w:tcBorders>
              <w:bottom w:val="single" w:sz="8" w:color="0072CE"/>
            </w:tcBorders>
            <w:shd w:val="clear" w:color="auto" w:fill="F0F3F6"/>
          </w:tcPr>
          <w:p>
            <w:pPr>
              <w:ind w:left="660"/>
              <w:spacing w:after="0"/>
              <w:rPr>
                <w:sz w:val="20"/>
                <w:szCs w:val="20"/>
                <w:color w:val="auto"/>
              </w:rPr>
            </w:pPr>
            <w:r>
              <w:rPr>
                <w:rFonts w:ascii="Arial" w:cs="Arial" w:eastAsia="Arial" w:hAnsi="Arial"/>
                <w:sz w:val="14"/>
                <w:szCs w:val="14"/>
                <w:b w:val="1"/>
                <w:bCs w:val="1"/>
                <w:color w:val="3D3935"/>
              </w:rPr>
              <w:t>Payout</w:t>
            </w:r>
          </w:p>
        </w:tc>
      </w:tr>
    </w:tbl>
    <w:p>
      <w:pPr>
        <w:spacing w:after="0" w:line="80" w:lineRule="exact"/>
        <w:rPr>
          <w:sz w:val="20"/>
          <w:szCs w:val="20"/>
          <w:color w:val="auto"/>
        </w:rPr>
      </w:pPr>
    </w:p>
    <w:p>
      <w:pPr>
        <w:sectPr>
          <w:pgSz w:w="11900" w:h="16838" w:orient="portrait"/>
          <w:cols w:equalWidth="0" w:num="1">
            <w:col w:w="9240"/>
          </w:cols>
          <w:pgMar w:left="1400" w:top="90" w:right="1259" w:bottom="0" w:gutter="0" w:footer="0" w:header="0"/>
        </w:sectPr>
      </w:pPr>
    </w:p>
    <w:p>
      <w:pPr>
        <w:spacing w:after="0" w:line="216"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3D3935"/>
        </w:rPr>
        <w:t>Salary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FFFFFF"/>
        </w:rPr>
        <w:t>STIP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3D3935"/>
        </w:rPr>
        <w:t>PSUs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3D3935"/>
        </w:rPr>
        <w:t>RSUs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100" w:type="dxa"/>
            <w:vAlign w:val="bottom"/>
          </w:tcPr>
          <w:p>
            <w:pPr>
              <w:ind w:left="120"/>
              <w:spacing w:after="0"/>
              <w:rPr>
                <w:sz w:val="20"/>
                <w:szCs w:val="20"/>
                <w:color w:val="auto"/>
              </w:rPr>
            </w:pPr>
            <w:r>
              <w:rPr>
                <w:rFonts w:ascii="Arial" w:cs="Arial" w:eastAsia="Arial" w:hAnsi="Arial"/>
                <w:sz w:val="16"/>
                <w:szCs w:val="16"/>
                <w:color w:val="3D3935"/>
              </w:rPr>
              <w:t>Market-competitive salary reflects</w:t>
            </w:r>
          </w:p>
        </w:tc>
        <w:tc>
          <w:tcPr>
            <w:tcW w:w="15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120"/>
              <w:spacing w:after="0"/>
              <w:rPr>
                <w:sz w:val="20"/>
                <w:szCs w:val="20"/>
                <w:color w:val="auto"/>
              </w:rPr>
            </w:pPr>
            <w:r>
              <w:rPr>
                <w:rFonts w:ascii="Arial" w:cs="Arial" w:eastAsia="Arial" w:hAnsi="Arial"/>
                <w:sz w:val="16"/>
                <w:szCs w:val="16"/>
                <w:color w:val="3D3935"/>
              </w:rPr>
              <w:t>contribution, experience, knowledge,</w:t>
            </w:r>
          </w:p>
        </w:tc>
        <w:tc>
          <w:tcPr>
            <w:tcW w:w="1580" w:type="dxa"/>
            <w:vAlign w:val="bottom"/>
          </w:tcPr>
          <w:p>
            <w:pPr>
              <w:ind w:left="260"/>
              <w:spacing w:after="0"/>
              <w:rPr>
                <w:sz w:val="20"/>
                <w:szCs w:val="20"/>
                <w:color w:val="auto"/>
              </w:rPr>
            </w:pPr>
            <w:r>
              <w:rPr>
                <w:rFonts w:ascii="Arial" w:cs="Arial" w:eastAsia="Arial" w:hAnsi="Arial"/>
                <w:sz w:val="16"/>
                <w:szCs w:val="16"/>
                <w:color w:val="3D3935"/>
              </w:rPr>
              <w:t>—</w:t>
            </w:r>
          </w:p>
        </w:tc>
        <w:tc>
          <w:tcPr>
            <w:tcW w:w="2220" w:type="dxa"/>
            <w:vAlign w:val="bottom"/>
          </w:tcPr>
          <w:p>
            <w:pPr>
              <w:ind w:left="160"/>
              <w:spacing w:after="0"/>
              <w:rPr>
                <w:sz w:val="20"/>
                <w:szCs w:val="20"/>
                <w:color w:val="auto"/>
              </w:rPr>
            </w:pPr>
            <w:r>
              <w:rPr>
                <w:rFonts w:ascii="Arial" w:cs="Arial" w:eastAsia="Arial" w:hAnsi="Arial"/>
                <w:sz w:val="16"/>
                <w:szCs w:val="16"/>
                <w:color w:val="3D3935"/>
              </w:rPr>
              <w:t>—</w:t>
            </w:r>
          </w:p>
        </w:tc>
        <w:tc>
          <w:tcPr>
            <w:tcW w:w="1060" w:type="dxa"/>
            <w:vAlign w:val="bottom"/>
          </w:tcPr>
          <w:p>
            <w:pPr>
              <w:ind w:left="140"/>
              <w:spacing w:after="0"/>
              <w:rPr>
                <w:sz w:val="20"/>
                <w:szCs w:val="20"/>
                <w:color w:val="auto"/>
              </w:rPr>
            </w:pPr>
            <w:r>
              <w:rPr>
                <w:rFonts w:ascii="Arial" w:cs="Arial" w:eastAsia="Arial" w:hAnsi="Arial"/>
                <w:sz w:val="16"/>
                <w:szCs w:val="16"/>
                <w:color w:val="3D3935"/>
              </w:rPr>
              <w:t>—</w:t>
            </w:r>
          </w:p>
        </w:tc>
        <w:tc>
          <w:tcPr>
            <w:tcW w:w="0" w:type="dxa"/>
            <w:vAlign w:val="bottom"/>
          </w:tcPr>
          <w:p>
            <w:pPr>
              <w:spacing w:after="0"/>
              <w:rPr>
                <w:sz w:val="1"/>
                <w:szCs w:val="1"/>
                <w:color w:val="auto"/>
              </w:rPr>
            </w:pPr>
          </w:p>
        </w:tc>
      </w:tr>
      <w:tr>
        <w:trPr>
          <w:trHeight w:val="216"/>
        </w:trPr>
        <w:tc>
          <w:tcPr>
            <w:tcW w:w="3100" w:type="dxa"/>
            <w:vAlign w:val="bottom"/>
          </w:tcPr>
          <w:p>
            <w:pPr>
              <w:ind w:left="120"/>
              <w:spacing w:after="0"/>
              <w:rPr>
                <w:sz w:val="20"/>
                <w:szCs w:val="20"/>
                <w:color w:val="auto"/>
              </w:rPr>
            </w:pPr>
            <w:r>
              <w:rPr>
                <w:rFonts w:ascii="Arial" w:cs="Arial" w:eastAsia="Arial" w:hAnsi="Arial"/>
                <w:sz w:val="16"/>
                <w:szCs w:val="16"/>
                <w:color w:val="3D3935"/>
              </w:rPr>
              <w:t>skills, and performance</w:t>
            </w:r>
          </w:p>
        </w:tc>
        <w:tc>
          <w:tcPr>
            <w:tcW w:w="15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3100" w:type="dxa"/>
            <w:vAlign w:val="bottom"/>
            <w:tcBorders>
              <w:bottom w:val="single" w:sz="8" w:color="D9D9D6"/>
            </w:tcBorders>
          </w:tcPr>
          <w:p>
            <w:pPr>
              <w:spacing w:after="0"/>
              <w:rPr>
                <w:sz w:val="4"/>
                <w:szCs w:val="4"/>
                <w:color w:val="auto"/>
              </w:rPr>
            </w:pPr>
          </w:p>
        </w:tc>
        <w:tc>
          <w:tcPr>
            <w:tcW w:w="1580" w:type="dxa"/>
            <w:vAlign w:val="bottom"/>
            <w:tcBorders>
              <w:bottom w:val="single" w:sz="8" w:color="D9D9D6"/>
            </w:tcBorders>
          </w:tcPr>
          <w:p>
            <w:pPr>
              <w:spacing w:after="0"/>
              <w:rPr>
                <w:sz w:val="4"/>
                <w:szCs w:val="4"/>
                <w:color w:val="auto"/>
              </w:rPr>
            </w:pPr>
          </w:p>
        </w:tc>
        <w:tc>
          <w:tcPr>
            <w:tcW w:w="2220" w:type="dxa"/>
            <w:vAlign w:val="bottom"/>
            <w:tcBorders>
              <w:bottom w:val="single" w:sz="8" w:color="D9D9D6"/>
            </w:tcBorders>
          </w:tcPr>
          <w:p>
            <w:pPr>
              <w:spacing w:after="0"/>
              <w:rPr>
                <w:sz w:val="4"/>
                <w:szCs w:val="4"/>
                <w:color w:val="auto"/>
              </w:rPr>
            </w:pPr>
          </w:p>
        </w:tc>
        <w:tc>
          <w:tcPr>
            <w:tcW w:w="1060" w:type="dxa"/>
            <w:vAlign w:val="bottom"/>
            <w:tcBorders>
              <w:bottom w:val="single" w:sz="8" w:color="D9D9D6"/>
            </w:tcBorders>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3100" w:type="dxa"/>
            <w:vAlign w:val="bottom"/>
          </w:tcPr>
          <w:p>
            <w:pPr>
              <w:ind w:left="120"/>
              <w:spacing w:after="0"/>
              <w:rPr>
                <w:sz w:val="20"/>
                <w:szCs w:val="20"/>
                <w:color w:val="auto"/>
              </w:rPr>
            </w:pPr>
            <w:r>
              <w:rPr>
                <w:rFonts w:ascii="Arial" w:cs="Arial" w:eastAsia="Arial" w:hAnsi="Arial"/>
                <w:sz w:val="16"/>
                <w:szCs w:val="16"/>
                <w:color w:val="3D3935"/>
              </w:rPr>
              <w:t>Annual cash incentive based on</w:t>
            </w:r>
          </w:p>
        </w:tc>
        <w:tc>
          <w:tcPr>
            <w:tcW w:w="1580" w:type="dxa"/>
            <w:vAlign w:val="bottom"/>
            <w:vMerge w:val="restart"/>
          </w:tcPr>
          <w:p>
            <w:pPr>
              <w:ind w:left="260"/>
              <w:spacing w:after="0"/>
              <w:rPr>
                <w:sz w:val="20"/>
                <w:szCs w:val="20"/>
                <w:color w:val="auto"/>
              </w:rPr>
            </w:pPr>
            <w:r>
              <w:rPr>
                <w:rFonts w:ascii="Arial" w:cs="Arial" w:eastAsia="Arial" w:hAnsi="Arial"/>
                <w:sz w:val="16"/>
                <w:szCs w:val="16"/>
                <w:color w:val="3D3935"/>
              </w:rPr>
              <w:t>One Year</w:t>
            </w:r>
          </w:p>
        </w:tc>
        <w:tc>
          <w:tcPr>
            <w:tcW w:w="2220" w:type="dxa"/>
            <w:vAlign w:val="bottom"/>
          </w:tcPr>
          <w:p>
            <w:pPr>
              <w:ind w:left="160"/>
              <w:spacing w:after="0"/>
              <w:rPr>
                <w:sz w:val="20"/>
                <w:szCs w:val="20"/>
                <w:color w:val="auto"/>
              </w:rPr>
            </w:pPr>
            <w:r>
              <w:rPr>
                <w:rFonts w:ascii="Arial" w:cs="Arial" w:eastAsia="Arial" w:hAnsi="Arial"/>
                <w:sz w:val="16"/>
                <w:szCs w:val="16"/>
                <w:color w:val="3D3935"/>
              </w:rPr>
              <w:t>EBIT-adjusted</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100" w:type="dxa"/>
            <w:vAlign w:val="bottom"/>
            <w:vMerge w:val="restart"/>
          </w:tcPr>
          <w:p>
            <w:pPr>
              <w:ind w:left="120"/>
              <w:spacing w:after="0"/>
              <w:rPr>
                <w:sz w:val="20"/>
                <w:szCs w:val="20"/>
                <w:color w:val="auto"/>
              </w:rPr>
            </w:pPr>
            <w:r>
              <w:rPr>
                <w:rFonts w:ascii="Arial" w:cs="Arial" w:eastAsia="Arial" w:hAnsi="Arial"/>
                <w:sz w:val="16"/>
                <w:szCs w:val="16"/>
                <w:color w:val="3D3935"/>
              </w:rPr>
              <w:t>achievements of Company financial</w:t>
            </w:r>
          </w:p>
        </w:tc>
        <w:tc>
          <w:tcPr>
            <w:tcW w:w="1580" w:type="dxa"/>
            <w:vAlign w:val="bottom"/>
            <w:vMerge w:val="continue"/>
          </w:tcPr>
          <w:p>
            <w:pPr>
              <w:spacing w:after="0"/>
              <w:rPr>
                <w:sz w:val="9"/>
                <w:szCs w:val="9"/>
                <w:color w:val="auto"/>
              </w:rPr>
            </w:pPr>
          </w:p>
        </w:tc>
        <w:tc>
          <w:tcPr>
            <w:tcW w:w="2220" w:type="dxa"/>
            <w:vAlign w:val="bottom"/>
            <w:vMerge w:val="restart"/>
          </w:tcPr>
          <w:p>
            <w:pPr>
              <w:ind w:left="160"/>
              <w:spacing w:after="0"/>
              <w:rPr>
                <w:sz w:val="20"/>
                <w:szCs w:val="20"/>
                <w:color w:val="auto"/>
              </w:rPr>
            </w:pPr>
            <w:r>
              <w:rPr>
                <w:rFonts w:ascii="Arial" w:cs="Arial" w:eastAsia="Arial" w:hAnsi="Arial"/>
                <w:sz w:val="16"/>
                <w:szCs w:val="16"/>
                <w:color w:val="3D3935"/>
              </w:rPr>
              <w:t>AAFCF</w:t>
            </w: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00" w:type="dxa"/>
            <w:vAlign w:val="bottom"/>
            <w:vMerge w:val="continue"/>
          </w:tcPr>
          <w:p>
            <w:pPr>
              <w:spacing w:after="0"/>
              <w:rPr>
                <w:sz w:val="9"/>
                <w:szCs w:val="9"/>
                <w:color w:val="auto"/>
              </w:rPr>
            </w:pPr>
          </w:p>
        </w:tc>
        <w:tc>
          <w:tcPr>
            <w:tcW w:w="1580" w:type="dxa"/>
            <w:vAlign w:val="bottom"/>
            <w:vMerge w:val="restart"/>
          </w:tcPr>
          <w:p>
            <w:pPr>
              <w:ind w:left="260"/>
              <w:spacing w:after="0"/>
              <w:rPr>
                <w:sz w:val="20"/>
                <w:szCs w:val="20"/>
                <w:color w:val="auto"/>
              </w:rPr>
            </w:pPr>
            <w:r>
              <w:rPr>
                <w:rFonts w:ascii="Arial" w:cs="Arial" w:eastAsia="Arial" w:hAnsi="Arial"/>
                <w:sz w:val="16"/>
                <w:szCs w:val="16"/>
                <w:color w:val="3D3935"/>
              </w:rPr>
              <w:t>1/1/2024</w:t>
            </w:r>
          </w:p>
        </w:tc>
        <w:tc>
          <w:tcPr>
            <w:tcW w:w="2220" w:type="dxa"/>
            <w:vAlign w:val="bottom"/>
            <w:vMerge w:val="continue"/>
          </w:tcPr>
          <w:p>
            <w:pPr>
              <w:spacing w:after="0"/>
              <w:rPr>
                <w:sz w:val="9"/>
                <w:szCs w:val="9"/>
                <w:color w:val="auto"/>
              </w:rPr>
            </w:pPr>
          </w:p>
        </w:tc>
        <w:tc>
          <w:tcPr>
            <w:tcW w:w="1060" w:type="dxa"/>
            <w:vAlign w:val="bottom"/>
            <w:vMerge w:val="restart"/>
          </w:tcPr>
          <w:p>
            <w:pPr>
              <w:ind w:left="140"/>
              <w:spacing w:after="0"/>
              <w:rPr>
                <w:sz w:val="20"/>
                <w:szCs w:val="20"/>
                <w:color w:val="auto"/>
              </w:rPr>
            </w:pPr>
            <w:r>
              <w:rPr>
                <w:rFonts w:ascii="Arial" w:cs="Arial" w:eastAsia="Arial" w:hAnsi="Arial"/>
                <w:sz w:val="16"/>
                <w:szCs w:val="16"/>
                <w:color w:val="3D3935"/>
              </w:rPr>
              <w:t>0%-200%</w:t>
            </w:r>
          </w:p>
        </w:tc>
        <w:tc>
          <w:tcPr>
            <w:tcW w:w="0" w:type="dxa"/>
            <w:vAlign w:val="bottom"/>
          </w:tcPr>
          <w:p>
            <w:pPr>
              <w:spacing w:after="0"/>
              <w:rPr>
                <w:sz w:val="1"/>
                <w:szCs w:val="1"/>
                <w:color w:val="auto"/>
              </w:rPr>
            </w:pPr>
          </w:p>
        </w:tc>
      </w:tr>
      <w:tr>
        <w:trPr>
          <w:trHeight w:val="108"/>
        </w:trPr>
        <w:tc>
          <w:tcPr>
            <w:tcW w:w="3100" w:type="dxa"/>
            <w:vAlign w:val="bottom"/>
            <w:vMerge w:val="restart"/>
          </w:tcPr>
          <w:p>
            <w:pPr>
              <w:ind w:left="120"/>
              <w:spacing w:after="0"/>
              <w:rPr>
                <w:sz w:val="20"/>
                <w:szCs w:val="20"/>
                <w:color w:val="auto"/>
              </w:rPr>
            </w:pPr>
            <w:r>
              <w:rPr>
                <w:rFonts w:ascii="Arial" w:cs="Arial" w:eastAsia="Arial" w:hAnsi="Arial"/>
                <w:sz w:val="16"/>
                <w:szCs w:val="16"/>
                <w:color w:val="3D3935"/>
              </w:rPr>
              <w:t>goals and goals linked to our strategic</w:t>
            </w:r>
          </w:p>
        </w:tc>
        <w:tc>
          <w:tcPr>
            <w:tcW w:w="1580" w:type="dxa"/>
            <w:vAlign w:val="bottom"/>
            <w:vMerge w:val="continue"/>
          </w:tcPr>
          <w:p>
            <w:pPr>
              <w:spacing w:after="0"/>
              <w:rPr>
                <w:sz w:val="9"/>
                <w:szCs w:val="9"/>
                <w:color w:val="auto"/>
              </w:rPr>
            </w:pPr>
          </w:p>
        </w:tc>
        <w:tc>
          <w:tcPr>
            <w:tcW w:w="2220" w:type="dxa"/>
            <w:vAlign w:val="bottom"/>
            <w:vMerge w:val="restart"/>
          </w:tcPr>
          <w:p>
            <w:pPr>
              <w:ind w:left="160"/>
              <w:spacing w:after="0"/>
              <w:rPr>
                <w:sz w:val="20"/>
                <w:szCs w:val="20"/>
                <w:color w:val="auto"/>
              </w:rPr>
            </w:pPr>
            <w:r>
              <w:rPr>
                <w:rFonts w:ascii="Arial" w:cs="Arial" w:eastAsia="Arial" w:hAnsi="Arial"/>
                <w:sz w:val="16"/>
                <w:szCs w:val="16"/>
                <w:color w:val="3D3935"/>
              </w:rPr>
              <w:t>Strategic Pillars (EV, S&amp;S,</w:t>
            </w: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3100" w:type="dxa"/>
            <w:vAlign w:val="bottom"/>
            <w:vMerge w:val="continue"/>
          </w:tcPr>
          <w:p>
            <w:pPr>
              <w:spacing w:after="0"/>
              <w:rPr>
                <w:sz w:val="9"/>
                <w:szCs w:val="9"/>
                <w:color w:val="auto"/>
              </w:rPr>
            </w:pPr>
          </w:p>
        </w:tc>
        <w:tc>
          <w:tcPr>
            <w:tcW w:w="1580" w:type="dxa"/>
            <w:vAlign w:val="bottom"/>
            <w:vMerge w:val="restart"/>
          </w:tcPr>
          <w:p>
            <w:pPr>
              <w:ind w:left="260"/>
              <w:spacing w:after="0"/>
              <w:rPr>
                <w:sz w:val="20"/>
                <w:szCs w:val="20"/>
                <w:color w:val="auto"/>
              </w:rPr>
            </w:pPr>
            <w:r>
              <w:rPr>
                <w:rFonts w:ascii="Arial" w:cs="Arial" w:eastAsia="Arial" w:hAnsi="Arial"/>
                <w:sz w:val="16"/>
                <w:szCs w:val="16"/>
                <w:color w:val="3D3935"/>
              </w:rPr>
              <w:t>-12/31/2024</w:t>
            </w:r>
          </w:p>
        </w:tc>
        <w:tc>
          <w:tcPr>
            <w:tcW w:w="22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100" w:type="dxa"/>
            <w:vAlign w:val="bottom"/>
            <w:vMerge w:val="restart"/>
          </w:tcPr>
          <w:p>
            <w:pPr>
              <w:ind w:left="120"/>
              <w:spacing w:after="0"/>
              <w:rPr>
                <w:sz w:val="20"/>
                <w:szCs w:val="20"/>
                <w:color w:val="auto"/>
              </w:rPr>
            </w:pPr>
            <w:r>
              <w:rPr>
                <w:rFonts w:ascii="Arial" w:cs="Arial" w:eastAsia="Arial" w:hAnsi="Arial"/>
                <w:sz w:val="16"/>
                <w:szCs w:val="16"/>
                <w:color w:val="3D3935"/>
              </w:rPr>
              <w:t>pillars</w:t>
            </w:r>
          </w:p>
        </w:tc>
        <w:tc>
          <w:tcPr>
            <w:tcW w:w="1580" w:type="dxa"/>
            <w:vAlign w:val="bottom"/>
            <w:vMerge w:val="continue"/>
          </w:tcPr>
          <w:p>
            <w:pPr>
              <w:spacing w:after="0"/>
              <w:rPr>
                <w:sz w:val="9"/>
                <w:szCs w:val="9"/>
                <w:color w:val="auto"/>
              </w:rPr>
            </w:pPr>
          </w:p>
        </w:tc>
        <w:tc>
          <w:tcPr>
            <w:tcW w:w="2220" w:type="dxa"/>
            <w:vAlign w:val="bottom"/>
            <w:vMerge w:val="restart"/>
          </w:tcPr>
          <w:p>
            <w:pPr>
              <w:ind w:left="160"/>
              <w:spacing w:after="0"/>
              <w:rPr>
                <w:sz w:val="20"/>
                <w:szCs w:val="20"/>
                <w:color w:val="auto"/>
              </w:rPr>
            </w:pPr>
            <w:r>
              <w:rPr>
                <w:rFonts w:ascii="Arial" w:cs="Arial" w:eastAsia="Arial" w:hAnsi="Arial"/>
                <w:sz w:val="16"/>
                <w:szCs w:val="16"/>
                <w:color w:val="3D3935"/>
              </w:rPr>
              <w:t>AV)</w:t>
            </w: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100" w:type="dxa"/>
            <w:vAlign w:val="bottom"/>
            <w:vMerge w:val="continue"/>
          </w:tcPr>
          <w:p>
            <w:pPr>
              <w:spacing w:after="0"/>
              <w:rPr>
                <w:sz w:val="12"/>
                <w:szCs w:val="12"/>
                <w:color w:val="auto"/>
              </w:rPr>
            </w:pPr>
          </w:p>
        </w:tc>
        <w:tc>
          <w:tcPr>
            <w:tcW w:w="1580" w:type="dxa"/>
            <w:vAlign w:val="bottom"/>
          </w:tcPr>
          <w:p>
            <w:pPr>
              <w:spacing w:after="0"/>
              <w:rPr>
                <w:sz w:val="12"/>
                <w:szCs w:val="12"/>
                <w:color w:val="auto"/>
              </w:rPr>
            </w:pPr>
          </w:p>
        </w:tc>
        <w:tc>
          <w:tcPr>
            <w:tcW w:w="222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3100" w:type="dxa"/>
            <w:vAlign w:val="bottom"/>
            <w:tcBorders>
              <w:bottom w:val="single" w:sz="8" w:color="D9D9D6"/>
            </w:tcBorders>
          </w:tcPr>
          <w:p>
            <w:pPr>
              <w:spacing w:after="0"/>
              <w:rPr>
                <w:sz w:val="4"/>
                <w:szCs w:val="4"/>
                <w:color w:val="auto"/>
              </w:rPr>
            </w:pPr>
          </w:p>
        </w:tc>
        <w:tc>
          <w:tcPr>
            <w:tcW w:w="1580" w:type="dxa"/>
            <w:vAlign w:val="bottom"/>
            <w:tcBorders>
              <w:bottom w:val="single" w:sz="8" w:color="D9D9D6"/>
            </w:tcBorders>
          </w:tcPr>
          <w:p>
            <w:pPr>
              <w:spacing w:after="0"/>
              <w:rPr>
                <w:sz w:val="4"/>
                <w:szCs w:val="4"/>
                <w:color w:val="auto"/>
              </w:rPr>
            </w:pPr>
          </w:p>
        </w:tc>
        <w:tc>
          <w:tcPr>
            <w:tcW w:w="2220" w:type="dxa"/>
            <w:vAlign w:val="bottom"/>
            <w:tcBorders>
              <w:bottom w:val="single" w:sz="8" w:color="D9D9D6"/>
            </w:tcBorders>
          </w:tcPr>
          <w:p>
            <w:pPr>
              <w:spacing w:after="0"/>
              <w:rPr>
                <w:sz w:val="4"/>
                <w:szCs w:val="4"/>
                <w:color w:val="auto"/>
              </w:rPr>
            </w:pPr>
          </w:p>
        </w:tc>
        <w:tc>
          <w:tcPr>
            <w:tcW w:w="1060" w:type="dxa"/>
            <w:vAlign w:val="bottom"/>
            <w:tcBorders>
              <w:bottom w:val="single" w:sz="8" w:color="D9D9D6"/>
            </w:tcBorders>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3100" w:type="dxa"/>
            <w:vAlign w:val="bottom"/>
          </w:tcPr>
          <w:p>
            <w:pPr>
              <w:ind w:left="120"/>
              <w:spacing w:after="0"/>
              <w:rPr>
                <w:sz w:val="20"/>
                <w:szCs w:val="20"/>
                <w:color w:val="auto"/>
              </w:rPr>
            </w:pPr>
            <w:r>
              <w:rPr>
                <w:rFonts w:ascii="Arial" w:cs="Arial" w:eastAsia="Arial" w:hAnsi="Arial"/>
                <w:sz w:val="16"/>
                <w:szCs w:val="16"/>
                <w:color w:val="3D3935"/>
              </w:rPr>
              <w:t>Align leadership with long-term</w:t>
            </w:r>
          </w:p>
        </w:tc>
        <w:tc>
          <w:tcPr>
            <w:tcW w:w="1580" w:type="dxa"/>
            <w:vAlign w:val="bottom"/>
            <w:vMerge w:val="restart"/>
          </w:tcPr>
          <w:p>
            <w:pPr>
              <w:ind w:left="260"/>
              <w:spacing w:after="0"/>
              <w:rPr>
                <w:sz w:val="20"/>
                <w:szCs w:val="20"/>
                <w:color w:val="auto"/>
              </w:rPr>
            </w:pPr>
            <w:r>
              <w:rPr>
                <w:rFonts w:ascii="Arial" w:cs="Arial" w:eastAsia="Arial" w:hAnsi="Arial"/>
                <w:sz w:val="16"/>
                <w:szCs w:val="16"/>
                <w:color w:val="3D3935"/>
              </w:rPr>
              <w:t>Three-Year</w:t>
            </w:r>
          </w:p>
        </w:tc>
        <w:tc>
          <w:tcPr>
            <w:tcW w:w="2220" w:type="dxa"/>
            <w:vAlign w:val="bottom"/>
            <w:vMerge w:val="restart"/>
          </w:tcPr>
          <w:p>
            <w:pPr>
              <w:ind w:left="160"/>
              <w:spacing w:after="0"/>
              <w:rPr>
                <w:sz w:val="20"/>
                <w:szCs w:val="20"/>
                <w:color w:val="auto"/>
              </w:rPr>
            </w:pPr>
            <w:r>
              <w:rPr>
                <w:rFonts w:ascii="Arial" w:cs="Arial" w:eastAsia="Arial" w:hAnsi="Arial"/>
                <w:sz w:val="16"/>
                <w:szCs w:val="16"/>
                <w:color w:val="3D3935"/>
              </w:rPr>
              <w:t>Cumulative AAOCF</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100" w:type="dxa"/>
            <w:vAlign w:val="bottom"/>
            <w:vMerge w:val="restart"/>
          </w:tcPr>
          <w:p>
            <w:pPr>
              <w:ind w:left="120"/>
              <w:spacing w:after="0"/>
              <w:rPr>
                <w:sz w:val="20"/>
                <w:szCs w:val="20"/>
                <w:color w:val="auto"/>
              </w:rPr>
            </w:pPr>
            <w:r>
              <w:rPr>
                <w:rFonts w:ascii="Arial" w:cs="Arial" w:eastAsia="Arial" w:hAnsi="Arial"/>
                <w:sz w:val="16"/>
                <w:szCs w:val="16"/>
                <w:color w:val="3D3935"/>
              </w:rPr>
              <w:t>Company goals and shareholders’</w:t>
            </w:r>
          </w:p>
        </w:tc>
        <w:tc>
          <w:tcPr>
            <w:tcW w:w="1580" w:type="dxa"/>
            <w:vAlign w:val="bottom"/>
            <w:vMerge w:val="continue"/>
          </w:tcPr>
          <w:p>
            <w:pPr>
              <w:spacing w:after="0"/>
              <w:rPr>
                <w:sz w:val="9"/>
                <w:szCs w:val="9"/>
                <w:color w:val="auto"/>
              </w:rPr>
            </w:pPr>
          </w:p>
        </w:tc>
        <w:tc>
          <w:tcPr>
            <w:tcW w:w="2220" w:type="dxa"/>
            <w:vAlign w:val="bottom"/>
            <w:vMerge w:val="continue"/>
          </w:tcPr>
          <w:p>
            <w:pPr>
              <w:spacing w:after="0"/>
              <w:rPr>
                <w:sz w:val="9"/>
                <w:szCs w:val="9"/>
                <w:color w:val="auto"/>
              </w:rPr>
            </w:pPr>
          </w:p>
        </w:tc>
        <w:tc>
          <w:tcPr>
            <w:tcW w:w="1060" w:type="dxa"/>
            <w:vAlign w:val="bottom"/>
            <w:vMerge w:val="restart"/>
          </w:tcPr>
          <w:p>
            <w:pPr>
              <w:ind w:left="140"/>
              <w:spacing w:after="0"/>
              <w:rPr>
                <w:sz w:val="20"/>
                <w:szCs w:val="20"/>
                <w:color w:val="auto"/>
              </w:rPr>
            </w:pPr>
            <w:r>
              <w:rPr>
                <w:rFonts w:ascii="Arial" w:cs="Arial" w:eastAsia="Arial" w:hAnsi="Arial"/>
                <w:sz w:val="16"/>
                <w:szCs w:val="16"/>
                <w:color w:val="3D3935"/>
              </w:rPr>
              <w:t>0%-200%</w:t>
            </w:r>
          </w:p>
        </w:tc>
        <w:tc>
          <w:tcPr>
            <w:tcW w:w="0" w:type="dxa"/>
            <w:vAlign w:val="bottom"/>
          </w:tcPr>
          <w:p>
            <w:pPr>
              <w:spacing w:after="0"/>
              <w:rPr>
                <w:sz w:val="1"/>
                <w:szCs w:val="1"/>
                <w:color w:val="auto"/>
              </w:rPr>
            </w:pPr>
          </w:p>
        </w:tc>
      </w:tr>
      <w:tr>
        <w:trPr>
          <w:trHeight w:val="99"/>
        </w:trPr>
        <w:tc>
          <w:tcPr>
            <w:tcW w:w="3100" w:type="dxa"/>
            <w:vAlign w:val="bottom"/>
            <w:vMerge w:val="continue"/>
          </w:tcPr>
          <w:p>
            <w:pPr>
              <w:spacing w:after="0"/>
              <w:rPr>
                <w:sz w:val="8"/>
                <w:szCs w:val="8"/>
                <w:color w:val="auto"/>
              </w:rPr>
            </w:pPr>
          </w:p>
        </w:tc>
        <w:tc>
          <w:tcPr>
            <w:tcW w:w="1580" w:type="dxa"/>
            <w:vAlign w:val="bottom"/>
            <w:vMerge w:val="restart"/>
          </w:tcPr>
          <w:p>
            <w:pPr>
              <w:ind w:left="260"/>
              <w:spacing w:after="0"/>
              <w:rPr>
                <w:sz w:val="20"/>
                <w:szCs w:val="20"/>
                <w:color w:val="auto"/>
              </w:rPr>
            </w:pPr>
            <w:r>
              <w:rPr>
                <w:rFonts w:ascii="Arial" w:cs="Arial" w:eastAsia="Arial" w:hAnsi="Arial"/>
                <w:sz w:val="16"/>
                <w:szCs w:val="16"/>
                <w:color w:val="3D3935"/>
              </w:rPr>
              <w:t>1/1/2024</w:t>
            </w:r>
          </w:p>
        </w:tc>
        <w:tc>
          <w:tcPr>
            <w:tcW w:w="2220" w:type="dxa"/>
            <w:vAlign w:val="bottom"/>
            <w:vMerge w:val="restart"/>
          </w:tcPr>
          <w:p>
            <w:pPr>
              <w:ind w:left="160"/>
              <w:spacing w:after="0"/>
              <w:rPr>
                <w:sz w:val="20"/>
                <w:szCs w:val="20"/>
                <w:color w:val="auto"/>
              </w:rPr>
            </w:pPr>
            <w:r>
              <w:rPr>
                <w:rFonts w:ascii="Arial" w:cs="Arial" w:eastAsia="Arial" w:hAnsi="Arial"/>
                <w:sz w:val="16"/>
                <w:szCs w:val="16"/>
                <w:color w:val="3D3935"/>
              </w:rPr>
              <w:t>Relative TSR</w:t>
            </w: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3100" w:type="dxa"/>
            <w:vAlign w:val="bottom"/>
            <w:vMerge w:val="restart"/>
          </w:tcPr>
          <w:p>
            <w:pPr>
              <w:ind w:left="120"/>
              <w:spacing w:after="0"/>
              <w:rPr>
                <w:sz w:val="20"/>
                <w:szCs w:val="20"/>
                <w:color w:val="auto"/>
              </w:rPr>
            </w:pPr>
            <w:r>
              <w:rPr>
                <w:rFonts w:ascii="Arial" w:cs="Arial" w:eastAsia="Arial" w:hAnsi="Arial"/>
                <w:sz w:val="16"/>
                <w:szCs w:val="16"/>
                <w:color w:val="3D3935"/>
              </w:rPr>
              <w:t>interests, with an increased focus on</w:t>
            </w:r>
          </w:p>
        </w:tc>
        <w:tc>
          <w:tcPr>
            <w:tcW w:w="1580" w:type="dxa"/>
            <w:vAlign w:val="bottom"/>
            <w:vMerge w:val="continue"/>
          </w:tcPr>
          <w:p>
            <w:pPr>
              <w:spacing w:after="0"/>
              <w:rPr>
                <w:sz w:val="10"/>
                <w:szCs w:val="10"/>
                <w:color w:val="auto"/>
              </w:rPr>
            </w:pPr>
          </w:p>
        </w:tc>
        <w:tc>
          <w:tcPr>
            <w:tcW w:w="2220" w:type="dxa"/>
            <w:vAlign w:val="bottom"/>
            <w:vMerge w:val="continue"/>
          </w:tcPr>
          <w:p>
            <w:pPr>
              <w:spacing w:after="0"/>
              <w:rPr>
                <w:sz w:val="10"/>
                <w:szCs w:val="10"/>
                <w:color w:val="auto"/>
              </w:rPr>
            </w:pPr>
          </w:p>
        </w:tc>
        <w:tc>
          <w:tcPr>
            <w:tcW w:w="1060" w:type="dxa"/>
            <w:vAlign w:val="bottom"/>
            <w:vMerge w:val="restart"/>
          </w:tcPr>
          <w:p>
            <w:pPr>
              <w:ind w:left="140"/>
              <w:spacing w:after="0" w:line="226" w:lineRule="exact"/>
              <w:rPr>
                <w:sz w:val="20"/>
                <w:szCs w:val="20"/>
                <w:color w:val="auto"/>
              </w:rPr>
            </w:pPr>
            <w:r>
              <w:rPr>
                <w:rFonts w:ascii="Arial" w:cs="Arial" w:eastAsia="Arial" w:hAnsi="Arial"/>
                <w:sz w:val="16"/>
                <w:szCs w:val="16"/>
                <w:color w:val="3D3935"/>
              </w:rPr>
              <w:t>with cap</w:t>
            </w:r>
            <w:r>
              <w:rPr>
                <w:rFonts w:ascii="Arial" w:cs="Arial" w:eastAsia="Arial" w:hAnsi="Arial"/>
                <w:sz w:val="21"/>
                <w:szCs w:val="21"/>
                <w:color w:val="3D3935"/>
                <w:vertAlign w:val="superscript"/>
              </w:rPr>
              <w:t>(1)</w:t>
            </w:r>
          </w:p>
        </w:tc>
        <w:tc>
          <w:tcPr>
            <w:tcW w:w="0" w:type="dxa"/>
            <w:vAlign w:val="bottom"/>
          </w:tcPr>
          <w:p>
            <w:pPr>
              <w:spacing w:after="0"/>
              <w:rPr>
                <w:sz w:val="1"/>
                <w:szCs w:val="1"/>
                <w:color w:val="auto"/>
              </w:rPr>
            </w:pPr>
          </w:p>
        </w:tc>
      </w:tr>
      <w:tr>
        <w:trPr>
          <w:trHeight w:val="109"/>
        </w:trPr>
        <w:tc>
          <w:tcPr>
            <w:tcW w:w="3100" w:type="dxa"/>
            <w:vAlign w:val="bottom"/>
            <w:vMerge w:val="continue"/>
          </w:tcPr>
          <w:p>
            <w:pPr>
              <w:spacing w:after="0"/>
              <w:rPr>
                <w:sz w:val="9"/>
                <w:szCs w:val="9"/>
                <w:color w:val="auto"/>
              </w:rPr>
            </w:pPr>
          </w:p>
        </w:tc>
        <w:tc>
          <w:tcPr>
            <w:tcW w:w="1580" w:type="dxa"/>
            <w:vAlign w:val="bottom"/>
            <w:vMerge w:val="restart"/>
          </w:tcPr>
          <w:p>
            <w:pPr>
              <w:ind w:left="260"/>
              <w:spacing w:after="0"/>
              <w:rPr>
                <w:sz w:val="20"/>
                <w:szCs w:val="20"/>
                <w:color w:val="auto"/>
              </w:rPr>
            </w:pPr>
            <w:r>
              <w:rPr>
                <w:rFonts w:ascii="Arial" w:cs="Arial" w:eastAsia="Arial" w:hAnsi="Arial"/>
                <w:sz w:val="16"/>
                <w:szCs w:val="16"/>
                <w:color w:val="3D3935"/>
              </w:rPr>
              <w:t>-12/31/2026</w:t>
            </w:r>
          </w:p>
        </w:tc>
        <w:tc>
          <w:tcPr>
            <w:tcW w:w="2220" w:type="dxa"/>
            <w:vAlign w:val="bottom"/>
            <w:vMerge w:val="restart"/>
          </w:tcPr>
          <w:p>
            <w:pPr>
              <w:ind w:left="160"/>
              <w:spacing w:after="0"/>
              <w:rPr>
                <w:sz w:val="20"/>
                <w:szCs w:val="20"/>
                <w:color w:val="auto"/>
              </w:rPr>
            </w:pPr>
            <w:r>
              <w:rPr>
                <w:rFonts w:ascii="Arial" w:cs="Arial" w:eastAsia="Arial" w:hAnsi="Arial"/>
                <w:sz w:val="16"/>
                <w:szCs w:val="16"/>
                <w:color w:val="3D3935"/>
              </w:rPr>
              <w:t>EBIT-adj Margin</w:t>
            </w: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3100" w:type="dxa"/>
            <w:vAlign w:val="bottom"/>
            <w:vMerge w:val="restart"/>
          </w:tcPr>
          <w:p>
            <w:pPr>
              <w:ind w:left="120"/>
              <w:spacing w:after="0"/>
              <w:rPr>
                <w:sz w:val="20"/>
                <w:szCs w:val="20"/>
                <w:color w:val="auto"/>
              </w:rPr>
            </w:pPr>
            <w:r>
              <w:rPr>
                <w:rFonts w:ascii="Arial" w:cs="Arial" w:eastAsia="Arial" w:hAnsi="Arial"/>
                <w:sz w:val="16"/>
                <w:szCs w:val="16"/>
                <w:color w:val="3D3935"/>
              </w:rPr>
              <w:t>Company cash generation</w:t>
            </w:r>
          </w:p>
        </w:tc>
        <w:tc>
          <w:tcPr>
            <w:tcW w:w="1580" w:type="dxa"/>
            <w:vAlign w:val="bottom"/>
            <w:vMerge w:val="continue"/>
          </w:tcPr>
          <w:p>
            <w:pPr>
              <w:spacing w:after="0"/>
              <w:rPr>
                <w:sz w:val="12"/>
                <w:szCs w:val="12"/>
                <w:color w:val="auto"/>
              </w:rPr>
            </w:pPr>
          </w:p>
        </w:tc>
        <w:tc>
          <w:tcPr>
            <w:tcW w:w="222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100" w:type="dxa"/>
            <w:vAlign w:val="bottom"/>
            <w:vMerge w:val="continue"/>
          </w:tcPr>
          <w:p>
            <w:pPr>
              <w:spacing w:after="0"/>
              <w:rPr>
                <w:sz w:val="5"/>
                <w:szCs w:val="5"/>
                <w:color w:val="auto"/>
              </w:rPr>
            </w:pPr>
          </w:p>
        </w:tc>
        <w:tc>
          <w:tcPr>
            <w:tcW w:w="158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3100" w:type="dxa"/>
            <w:vAlign w:val="bottom"/>
            <w:tcBorders>
              <w:bottom w:val="single" w:sz="8" w:color="D9D9D6"/>
            </w:tcBorders>
          </w:tcPr>
          <w:p>
            <w:pPr>
              <w:spacing w:after="0"/>
              <w:rPr>
                <w:sz w:val="4"/>
                <w:szCs w:val="4"/>
                <w:color w:val="auto"/>
              </w:rPr>
            </w:pPr>
          </w:p>
        </w:tc>
        <w:tc>
          <w:tcPr>
            <w:tcW w:w="1580" w:type="dxa"/>
            <w:vAlign w:val="bottom"/>
            <w:tcBorders>
              <w:bottom w:val="single" w:sz="8" w:color="D9D9D6"/>
            </w:tcBorders>
          </w:tcPr>
          <w:p>
            <w:pPr>
              <w:spacing w:after="0"/>
              <w:rPr>
                <w:sz w:val="4"/>
                <w:szCs w:val="4"/>
                <w:color w:val="auto"/>
              </w:rPr>
            </w:pPr>
          </w:p>
        </w:tc>
        <w:tc>
          <w:tcPr>
            <w:tcW w:w="2220" w:type="dxa"/>
            <w:vAlign w:val="bottom"/>
            <w:tcBorders>
              <w:bottom w:val="single" w:sz="8" w:color="D9D9D6"/>
            </w:tcBorders>
          </w:tcPr>
          <w:p>
            <w:pPr>
              <w:spacing w:after="0"/>
              <w:rPr>
                <w:sz w:val="4"/>
                <w:szCs w:val="4"/>
                <w:color w:val="auto"/>
              </w:rPr>
            </w:pPr>
          </w:p>
        </w:tc>
        <w:tc>
          <w:tcPr>
            <w:tcW w:w="1060" w:type="dxa"/>
            <w:vAlign w:val="bottom"/>
            <w:tcBorders>
              <w:bottom w:val="single" w:sz="8" w:color="D9D9D6"/>
            </w:tcBorders>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3100" w:type="dxa"/>
            <w:vAlign w:val="bottom"/>
          </w:tcPr>
          <w:p>
            <w:pPr>
              <w:ind w:left="120"/>
              <w:spacing w:after="0"/>
              <w:rPr>
                <w:sz w:val="20"/>
                <w:szCs w:val="20"/>
                <w:color w:val="auto"/>
              </w:rPr>
            </w:pPr>
            <w:r>
              <w:rPr>
                <w:rFonts w:ascii="Arial" w:cs="Arial" w:eastAsia="Arial" w:hAnsi="Arial"/>
                <w:sz w:val="16"/>
                <w:szCs w:val="16"/>
                <w:color w:val="3D3935"/>
              </w:rPr>
              <w:t>Promotes executive retention, stock</w:t>
            </w:r>
          </w:p>
        </w:tc>
        <w:tc>
          <w:tcPr>
            <w:tcW w:w="1580" w:type="dxa"/>
            <w:vAlign w:val="bottom"/>
            <w:vMerge w:val="restart"/>
          </w:tcPr>
          <w:p>
            <w:pPr>
              <w:ind w:left="260"/>
              <w:spacing w:after="0"/>
              <w:rPr>
                <w:sz w:val="20"/>
                <w:szCs w:val="20"/>
                <w:color w:val="auto"/>
              </w:rPr>
            </w:pPr>
            <w:r>
              <w:rPr>
                <w:rFonts w:ascii="Arial" w:cs="Arial" w:eastAsia="Arial" w:hAnsi="Arial"/>
                <w:sz w:val="16"/>
                <w:szCs w:val="16"/>
                <w:color w:val="3D3935"/>
              </w:rPr>
              <w:t>Three-Year</w:t>
            </w:r>
          </w:p>
        </w:tc>
        <w:tc>
          <w:tcPr>
            <w:tcW w:w="2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100" w:type="dxa"/>
            <w:vAlign w:val="bottom"/>
            <w:vMerge w:val="restart"/>
          </w:tcPr>
          <w:p>
            <w:pPr>
              <w:ind w:left="120"/>
              <w:spacing w:after="0"/>
              <w:rPr>
                <w:sz w:val="20"/>
                <w:szCs w:val="20"/>
                <w:color w:val="auto"/>
              </w:rPr>
            </w:pPr>
            <w:r>
              <w:rPr>
                <w:rFonts w:ascii="Arial" w:cs="Arial" w:eastAsia="Arial" w:hAnsi="Arial"/>
                <w:sz w:val="16"/>
                <w:szCs w:val="16"/>
                <w:color w:val="3D3935"/>
              </w:rPr>
              <w:t>ownership and alignment with</w:t>
            </w:r>
          </w:p>
        </w:tc>
        <w:tc>
          <w:tcPr>
            <w:tcW w:w="1580" w:type="dxa"/>
            <w:vAlign w:val="bottom"/>
            <w:vMerge w:val="continue"/>
          </w:tcPr>
          <w:p>
            <w:pPr>
              <w:spacing w:after="0"/>
              <w:rPr>
                <w:sz w:val="9"/>
                <w:szCs w:val="9"/>
                <w:color w:val="auto"/>
              </w:rPr>
            </w:pPr>
          </w:p>
        </w:tc>
        <w:tc>
          <w:tcPr>
            <w:tcW w:w="2220" w:type="dxa"/>
            <w:vAlign w:val="bottom"/>
            <w:vMerge w:val="restart"/>
          </w:tcPr>
          <w:p>
            <w:pPr>
              <w:ind w:left="160"/>
              <w:spacing w:after="0"/>
              <w:rPr>
                <w:sz w:val="20"/>
                <w:szCs w:val="20"/>
                <w:color w:val="auto"/>
              </w:rPr>
            </w:pPr>
            <w:r>
              <w:rPr>
                <w:rFonts w:ascii="Arial" w:cs="Arial" w:eastAsia="Arial" w:hAnsi="Arial"/>
                <w:sz w:val="16"/>
                <w:szCs w:val="16"/>
                <w:color w:val="3D3935"/>
              </w:rPr>
              <w:t>—</w:t>
            </w:r>
          </w:p>
        </w:tc>
        <w:tc>
          <w:tcPr>
            <w:tcW w:w="1060" w:type="dxa"/>
            <w:vAlign w:val="bottom"/>
            <w:vMerge w:val="restart"/>
          </w:tcPr>
          <w:p>
            <w:pPr>
              <w:ind w:left="140"/>
              <w:spacing w:after="0"/>
              <w:rPr>
                <w:sz w:val="20"/>
                <w:szCs w:val="20"/>
                <w:color w:val="auto"/>
              </w:rPr>
            </w:pPr>
            <w:r>
              <w:rPr>
                <w:rFonts w:ascii="Arial" w:cs="Arial" w:eastAsia="Arial" w:hAnsi="Arial"/>
                <w:sz w:val="16"/>
                <w:szCs w:val="16"/>
                <w:color w:val="3D3935"/>
              </w:rPr>
              <w:t>—</w:t>
            </w:r>
          </w:p>
        </w:tc>
        <w:tc>
          <w:tcPr>
            <w:tcW w:w="0" w:type="dxa"/>
            <w:vAlign w:val="bottom"/>
          </w:tcPr>
          <w:p>
            <w:pPr>
              <w:spacing w:after="0"/>
              <w:rPr>
                <w:sz w:val="1"/>
                <w:szCs w:val="1"/>
                <w:color w:val="auto"/>
              </w:rPr>
            </w:pPr>
          </w:p>
        </w:tc>
      </w:tr>
      <w:tr>
        <w:trPr>
          <w:trHeight w:val="108"/>
        </w:trPr>
        <w:tc>
          <w:tcPr>
            <w:tcW w:w="3100" w:type="dxa"/>
            <w:vAlign w:val="bottom"/>
            <w:vMerge w:val="continue"/>
          </w:tcPr>
          <w:p>
            <w:pPr>
              <w:spacing w:after="0"/>
              <w:rPr>
                <w:sz w:val="9"/>
                <w:szCs w:val="9"/>
                <w:color w:val="auto"/>
              </w:rPr>
            </w:pPr>
          </w:p>
        </w:tc>
        <w:tc>
          <w:tcPr>
            <w:tcW w:w="1580" w:type="dxa"/>
            <w:vAlign w:val="bottom"/>
            <w:vMerge w:val="restart"/>
          </w:tcPr>
          <w:p>
            <w:pPr>
              <w:ind w:left="260"/>
              <w:spacing w:after="0"/>
              <w:rPr>
                <w:sz w:val="20"/>
                <w:szCs w:val="20"/>
                <w:color w:val="auto"/>
              </w:rPr>
            </w:pPr>
            <w:r>
              <w:rPr>
                <w:rFonts w:ascii="Arial" w:cs="Arial" w:eastAsia="Arial" w:hAnsi="Arial"/>
                <w:sz w:val="16"/>
                <w:szCs w:val="16"/>
                <w:color w:val="3D3935"/>
              </w:rPr>
              <w:t>Ratable Vesting</w:t>
            </w:r>
          </w:p>
        </w:tc>
        <w:tc>
          <w:tcPr>
            <w:tcW w:w="222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00" w:type="dxa"/>
            <w:vAlign w:val="bottom"/>
            <w:vMerge w:val="restart"/>
          </w:tcPr>
          <w:p>
            <w:pPr>
              <w:ind w:left="120"/>
              <w:spacing w:after="0"/>
              <w:rPr>
                <w:sz w:val="20"/>
                <w:szCs w:val="20"/>
                <w:color w:val="auto"/>
              </w:rPr>
            </w:pPr>
            <w:r>
              <w:rPr>
                <w:rFonts w:ascii="Arial" w:cs="Arial" w:eastAsia="Arial" w:hAnsi="Arial"/>
                <w:sz w:val="16"/>
                <w:szCs w:val="16"/>
                <w:color w:val="3D3935"/>
              </w:rPr>
              <w:t>shareholder interests</w:t>
            </w:r>
          </w:p>
        </w:tc>
        <w:tc>
          <w:tcPr>
            <w:tcW w:w="1580" w:type="dxa"/>
            <w:vAlign w:val="bottom"/>
            <w:vMerge w:val="continue"/>
          </w:tcPr>
          <w:p>
            <w:pPr>
              <w:spacing w:after="0"/>
              <w:rPr>
                <w:sz w:val="9"/>
                <w:szCs w:val="9"/>
                <w:color w:val="auto"/>
              </w:rPr>
            </w:pPr>
          </w:p>
        </w:tc>
        <w:tc>
          <w:tcPr>
            <w:tcW w:w="2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40" w:space="580"/>
            <w:col w:w="8120"/>
          </w:cols>
          <w:pgMar w:left="1400" w:top="90" w:right="1259" w:bottom="0" w:gutter="0" w:footer="0" w:header="0"/>
          <w:type w:val="continuous"/>
        </w:sectPr>
      </w:pPr>
    </w:p>
    <w:p>
      <w:pPr>
        <w:spacing w:after="0" w:line="8" w:lineRule="exact"/>
        <w:rPr>
          <w:sz w:val="20"/>
          <w:szCs w:val="20"/>
          <w:color w:val="auto"/>
        </w:rPr>
      </w:pPr>
    </w:p>
    <w:p>
      <w:pPr>
        <w:ind w:left="200" w:hanging="192"/>
        <w:spacing w:after="0"/>
        <w:tabs>
          <w:tab w:leader="none" w:pos="200" w:val="left"/>
        </w:tabs>
        <w:numPr>
          <w:ilvl w:val="0"/>
          <w:numId w:val="75"/>
        </w:numPr>
        <w:rPr>
          <w:rFonts w:ascii="Arial" w:cs="Arial" w:eastAsia="Arial" w:hAnsi="Arial"/>
          <w:sz w:val="19"/>
          <w:szCs w:val="19"/>
          <w:color w:val="3D3935"/>
          <w:vertAlign w:val="superscript"/>
        </w:rPr>
      </w:pPr>
      <w:r>
        <w:rPr>
          <w:rFonts w:ascii="Arial" w:cs="Arial" w:eastAsia="Arial" w:hAnsi="Arial"/>
          <w:sz w:val="14"/>
          <w:szCs w:val="14"/>
          <w:color w:val="3D3935"/>
        </w:rPr>
        <w:t>Relative TSR is capped at target payout if GM’s TSR is negative over the performance period.</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Summary of 2024 Performance-Based Compensation Outcomes</w:t>
      </w:r>
    </w:p>
    <w:p>
      <w:pPr>
        <w:spacing w:after="0" w:line="99" w:lineRule="exact"/>
        <w:rPr>
          <w:sz w:val="20"/>
          <w:szCs w:val="20"/>
          <w:color w:val="auto"/>
        </w:rPr>
      </w:pPr>
    </w:p>
    <w:p>
      <w:pPr>
        <w:ind w:right="560"/>
        <w:spacing w:after="0" w:line="321" w:lineRule="auto"/>
        <w:rPr>
          <w:sz w:val="20"/>
          <w:szCs w:val="20"/>
          <w:color w:val="auto"/>
        </w:rPr>
      </w:pPr>
      <w:r>
        <w:rPr>
          <w:rFonts w:ascii="Arial" w:cs="Arial" w:eastAsia="Arial" w:hAnsi="Arial"/>
          <w:sz w:val="16"/>
          <w:szCs w:val="16"/>
          <w:color w:val="3D3935"/>
        </w:rPr>
        <w:t>The outcomes of the incentive plans that concluded in 2024 – the 2024 STIP and 2022-2024 LTIP – closely align with our performance over their respective performance periods.</w:t>
      </w:r>
    </w:p>
    <w:p>
      <w:pPr>
        <w:spacing w:after="0" w:line="88" w:lineRule="exact"/>
        <w:rPr>
          <w:sz w:val="20"/>
          <w:szCs w:val="20"/>
          <w:color w:val="auto"/>
        </w:rPr>
      </w:pPr>
    </w:p>
    <w:p>
      <w:pPr>
        <w:jc w:val="both"/>
        <w:ind w:left="200" w:right="540" w:hanging="192"/>
        <w:spacing w:after="0" w:line="272" w:lineRule="auto"/>
        <w:tabs>
          <w:tab w:leader="none" w:pos="200" w:val="left"/>
        </w:tabs>
        <w:numPr>
          <w:ilvl w:val="0"/>
          <w:numId w:val="76"/>
        </w:numPr>
        <w:rPr>
          <w:rFonts w:ascii="Arial" w:cs="Arial" w:eastAsia="Arial" w:hAnsi="Arial"/>
          <w:sz w:val="16"/>
          <w:szCs w:val="16"/>
          <w:color w:val="0072CE"/>
        </w:rPr>
      </w:pPr>
      <w:r>
        <w:rPr>
          <w:rFonts w:ascii="Arial" w:cs="Arial" w:eastAsia="Arial" w:hAnsi="Arial"/>
          <w:sz w:val="16"/>
          <w:szCs w:val="16"/>
          <w:b w:val="1"/>
          <w:bCs w:val="1"/>
          <w:color w:val="3D3935"/>
        </w:rPr>
        <w:t xml:space="preserve">2024 STIP: </w:t>
      </w:r>
      <w:r>
        <w:rPr>
          <w:rFonts w:ascii="Arial" w:cs="Arial" w:eastAsia="Arial" w:hAnsi="Arial"/>
          <w:sz w:val="16"/>
          <w:szCs w:val="16"/>
          <w:color w:val="3D3935"/>
        </w:rPr>
        <w:t>Our 2024 STIP Company performance payout of 147% of target reflected our strong execution across our</w:t>
      </w:r>
      <w:r>
        <w:rPr>
          <w:rFonts w:ascii="Arial" w:cs="Arial" w:eastAsia="Arial" w:hAnsi="Arial"/>
          <w:sz w:val="16"/>
          <w:szCs w:val="16"/>
          <w:b w:val="1"/>
          <w:bCs w:val="1"/>
          <w:color w:val="3D3935"/>
        </w:rPr>
        <w:t xml:space="preserve"> </w:t>
      </w:r>
      <w:r>
        <w:rPr>
          <w:rFonts w:ascii="Arial" w:cs="Arial" w:eastAsia="Arial" w:hAnsi="Arial"/>
          <w:sz w:val="16"/>
          <w:szCs w:val="16"/>
          <w:color w:val="3D3935"/>
        </w:rPr>
        <w:t>strategic priorities in 2024, including gaining retail market share across our ICE portfolio, and having our best year ever</w:t>
      </w:r>
    </w:p>
    <w:p>
      <w:pPr>
        <w:spacing w:after="0" w:line="1" w:lineRule="exact"/>
        <w:rPr>
          <w:sz w:val="20"/>
          <w:szCs w:val="20"/>
          <w:color w:val="auto"/>
        </w:rPr>
      </w:pPr>
    </w:p>
    <w:p>
      <w:pPr>
        <w:ind w:left="200" w:right="320"/>
        <w:spacing w:after="0" w:line="295" w:lineRule="auto"/>
        <w:rPr>
          <w:sz w:val="20"/>
          <w:szCs w:val="20"/>
          <w:color w:val="auto"/>
        </w:rPr>
      </w:pPr>
      <w:r>
        <w:rPr>
          <w:rFonts w:ascii="Arial" w:cs="Arial" w:eastAsia="Arial" w:hAnsi="Arial"/>
          <w:sz w:val="16"/>
          <w:szCs w:val="16"/>
          <w:color w:val="3D3935"/>
        </w:rPr>
        <w:t>in EV sales. As a result, performance included above-target EBIT-adjusted, AAFCF, and Q4 EV Variable Profit margin. Our CEO and certain NEOs were recognized for extraordinary individual performance, which the Compensation Committee determined merited the application of an individual performance modifier. This ultimately resulted in the achievement of 159% of target STIP payout for our CEO.</w:t>
      </w:r>
    </w:p>
    <w:p>
      <w:pPr>
        <w:spacing w:after="0" w:line="13" w:lineRule="exact"/>
        <w:rPr>
          <w:sz w:val="20"/>
          <w:szCs w:val="20"/>
          <w:color w:val="auto"/>
        </w:rPr>
      </w:pPr>
    </w:p>
    <w:p>
      <w:pPr>
        <w:ind w:left="200" w:hanging="192"/>
        <w:spacing w:after="0"/>
        <w:tabs>
          <w:tab w:leader="none" w:pos="200" w:val="left"/>
        </w:tabs>
        <w:numPr>
          <w:ilvl w:val="0"/>
          <w:numId w:val="77"/>
        </w:numPr>
        <w:rPr>
          <w:rFonts w:ascii="Arial" w:cs="Arial" w:eastAsia="Arial" w:hAnsi="Arial"/>
          <w:sz w:val="16"/>
          <w:szCs w:val="16"/>
          <w:color w:val="0072CE"/>
        </w:rPr>
      </w:pPr>
      <w:r>
        <w:rPr>
          <w:rFonts w:ascii="Arial" w:cs="Arial" w:eastAsia="Arial" w:hAnsi="Arial"/>
          <w:sz w:val="16"/>
          <w:szCs w:val="16"/>
          <w:b w:val="1"/>
          <w:bCs w:val="1"/>
          <w:color w:val="3D3935"/>
        </w:rPr>
        <w:t xml:space="preserve">2022-2024 LTIP PSUs:   </w:t>
      </w:r>
      <w:r>
        <w:rPr>
          <w:rFonts w:ascii="Arial" w:cs="Arial" w:eastAsia="Arial" w:hAnsi="Arial"/>
          <w:sz w:val="16"/>
          <w:szCs w:val="16"/>
          <w:color w:val="3D3935"/>
        </w:rPr>
        <w:t>For the 2022-2024 PSU portion of our LTIP, we achieved between threshold and target</w:t>
      </w:r>
    </w:p>
    <w:p>
      <w:pPr>
        <w:sectPr>
          <w:pgSz w:w="11900" w:h="16838" w:orient="portrait"/>
          <w:cols w:equalWidth="0" w:num="1">
            <w:col w:w="9240"/>
          </w:cols>
          <w:pgMar w:left="1400" w:top="90" w:right="1259" w:bottom="0" w:gutter="0" w:footer="0" w:header="0"/>
          <w:type w:val="continuous"/>
        </w:sectPr>
      </w:pPr>
    </w:p>
    <w:bookmarkStart w:id="49" w:name="page50"/>
    <w:bookmarkEnd w:id="49"/>
    <w:p>
      <w:pPr>
        <w:ind w:left="200" w:right="279"/>
        <w:spacing w:after="0" w:line="226" w:lineRule="auto"/>
        <w:rPr>
          <w:sz w:val="20"/>
          <w:szCs w:val="20"/>
          <w:color w:val="auto"/>
        </w:rPr>
      </w:pPr>
      <w:r>
        <w:rPr>
          <w:rFonts w:ascii="Arial" w:cs="Arial" w:eastAsia="Arial" w:hAnsi="Arial"/>
          <w:sz w:val="16"/>
          <w:szCs w:val="16"/>
          <w:color w:val="3D3935"/>
        </w:rPr>
        <w:t>performance on three-year EBIT-adjusted margin, relative TSR, and EV measures, leading to a payout of 80% of target. This reflects that while our strong 2024 performance was recognized by the market and translated into improved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-203200</wp:posOffset>
            </wp:positionV>
            <wp:extent cx="6810375" cy="32594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10375" cy="3259455"/>
                    </a:xfrm>
                    <a:prstGeom prst="rect">
                      <a:avLst/>
                    </a:prstGeom>
                    <a:noFill/>
                  </pic:spPr>
                </pic:pic>
              </a:graphicData>
            </a:graphic>
          </wp:anchor>
        </w:drawing>
      </w:r>
    </w:p>
    <w:p>
      <w:pPr>
        <w:ind w:left="200" w:right="899"/>
        <w:spacing w:after="0" w:line="321" w:lineRule="auto"/>
        <w:rPr>
          <w:sz w:val="20"/>
          <w:szCs w:val="20"/>
          <w:color w:val="auto"/>
        </w:rPr>
      </w:pPr>
      <w:r>
        <w:rPr>
          <w:rFonts w:ascii="Arial" w:cs="Arial" w:eastAsia="Arial" w:hAnsi="Arial"/>
          <w:sz w:val="16"/>
          <w:szCs w:val="16"/>
          <w:color w:val="3D3935"/>
        </w:rPr>
        <w:t>performance over the year, we continue to be on a multi-year transformation and remain focused on generating long-term shareholder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3D3935"/>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71742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10375" cy="7174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Compensation Governance Best Practices</w:t>
      </w:r>
    </w:p>
    <w:p>
      <w:pPr>
        <w:spacing w:after="0" w:line="34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WHAT WE DO</w:t>
      </w:r>
    </w:p>
    <w:p>
      <w:pPr>
        <w:sectPr>
          <w:pgSz w:w="11900" w:h="16838" w:orient="portrait"/>
          <w:cols w:equalWidth="0" w:num="1">
            <w:col w:w="9059"/>
          </w:cols>
          <w:pgMar w:left="1400" w:top="114" w:right="1440" w:bottom="1440" w:gutter="0" w:footer="0" w:header="0"/>
        </w:sectPr>
      </w:pPr>
    </w:p>
    <w:p>
      <w:pPr>
        <w:spacing w:after="0" w:line="131" w:lineRule="exact"/>
        <w:rPr>
          <w:sz w:val="20"/>
          <w:szCs w:val="20"/>
          <w:color w:val="auto"/>
        </w:rPr>
      </w:pPr>
    </w:p>
    <w:p>
      <w:pPr>
        <w:ind w:left="320" w:right="160" w:hanging="7"/>
        <w:spacing w:after="0" w:line="321" w:lineRule="auto"/>
        <w:rPr>
          <w:sz w:val="20"/>
          <w:szCs w:val="20"/>
          <w:color w:val="auto"/>
        </w:rPr>
      </w:pPr>
      <w:r>
        <w:rPr>
          <w:rFonts w:ascii="Arial" w:cs="Arial" w:eastAsia="Arial" w:hAnsi="Arial"/>
          <w:sz w:val="16"/>
          <w:szCs w:val="16"/>
          <w:color w:val="3D3935"/>
        </w:rPr>
        <w:t>Provide short-term and long-term incentive plans with performance targets aligned to business goals</w:t>
      </w:r>
    </w:p>
    <w:p>
      <w:pPr>
        <w:spacing w:after="0" w:line="7" w:lineRule="exact"/>
        <w:rPr>
          <w:sz w:val="20"/>
          <w:szCs w:val="20"/>
          <w:color w:val="auto"/>
        </w:rPr>
      </w:pPr>
    </w:p>
    <w:p>
      <w:pPr>
        <w:ind w:left="320" w:right="240" w:hanging="7"/>
        <w:spacing w:after="0" w:line="292" w:lineRule="auto"/>
        <w:rPr>
          <w:sz w:val="20"/>
          <w:szCs w:val="20"/>
          <w:color w:val="auto"/>
        </w:rPr>
      </w:pPr>
      <w:r>
        <w:rPr>
          <w:rFonts w:ascii="Arial" w:cs="Arial" w:eastAsia="Arial" w:hAnsi="Arial"/>
          <w:sz w:val="16"/>
          <w:szCs w:val="16"/>
          <w:color w:val="3D3935"/>
        </w:rPr>
        <w:t>Maintain a Compensation Committee composed entirely of independent directors who are advised by an independent compensation consultant</w:t>
      </w:r>
    </w:p>
    <w:p>
      <w:pPr>
        <w:spacing w:after="0" w:line="30" w:lineRule="exact"/>
        <w:rPr>
          <w:sz w:val="20"/>
          <w:szCs w:val="20"/>
          <w:color w:val="auto"/>
        </w:rPr>
      </w:pPr>
    </w:p>
    <w:p>
      <w:pPr>
        <w:ind w:left="320" w:right="140" w:hanging="7"/>
        <w:spacing w:after="0" w:line="321" w:lineRule="auto"/>
        <w:rPr>
          <w:sz w:val="20"/>
          <w:szCs w:val="20"/>
          <w:color w:val="auto"/>
        </w:rPr>
      </w:pPr>
      <w:r>
        <w:rPr>
          <w:rFonts w:ascii="Arial" w:cs="Arial" w:eastAsia="Arial" w:hAnsi="Arial"/>
          <w:sz w:val="16"/>
          <w:szCs w:val="16"/>
          <w:color w:val="3D3935"/>
        </w:rPr>
        <w:t>Require stock ownership for all senior leaders to align with the interests of our shareholders</w:t>
      </w:r>
    </w:p>
    <w:p>
      <w:pPr>
        <w:spacing w:after="0" w:line="7" w:lineRule="exact"/>
        <w:rPr>
          <w:sz w:val="20"/>
          <w:szCs w:val="20"/>
          <w:color w:val="auto"/>
        </w:rPr>
      </w:pPr>
    </w:p>
    <w:p>
      <w:pPr>
        <w:ind w:left="320" w:right="120" w:hanging="7"/>
        <w:spacing w:after="0" w:line="289" w:lineRule="auto"/>
        <w:rPr>
          <w:sz w:val="20"/>
          <w:szCs w:val="20"/>
          <w:color w:val="auto"/>
        </w:rPr>
      </w:pPr>
      <w:r>
        <w:rPr>
          <w:rFonts w:ascii="Arial" w:cs="Arial" w:eastAsia="Arial" w:hAnsi="Arial"/>
          <w:sz w:val="16"/>
          <w:szCs w:val="16"/>
          <w:color w:val="3D3935"/>
        </w:rPr>
        <w:t>Engage with shareholders and other stakeholders on various topics with members of management and directors, including our Compensation Committee and our Independent Lead Director</w:t>
      </w:r>
    </w:p>
    <w:p>
      <w:pPr>
        <w:spacing w:after="0" w:line="32" w:lineRule="exact"/>
        <w:rPr>
          <w:sz w:val="20"/>
          <w:szCs w:val="20"/>
          <w:color w:val="auto"/>
        </w:rPr>
      </w:pPr>
    </w:p>
    <w:p>
      <w:pPr>
        <w:ind w:left="320" w:right="100" w:hanging="7"/>
        <w:spacing w:after="0" w:line="295" w:lineRule="auto"/>
        <w:rPr>
          <w:sz w:val="20"/>
          <w:szCs w:val="20"/>
          <w:color w:val="auto"/>
        </w:rPr>
      </w:pPr>
      <w:r>
        <w:rPr>
          <w:rFonts w:ascii="Arial" w:cs="Arial" w:eastAsia="Arial" w:hAnsi="Arial"/>
          <w:sz w:val="16"/>
          <w:szCs w:val="16"/>
          <w:color w:val="3D3935"/>
        </w:rPr>
        <w:t>Maintain an Insider Trading Policy requiring directors, executive officers, and all other senior leaders to trade only during pre-established periods after receiving preclearance from the GM legal staff</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179" w:hanging="7"/>
        <w:spacing w:after="0" w:line="301" w:lineRule="auto"/>
        <w:rPr>
          <w:sz w:val="20"/>
          <w:szCs w:val="20"/>
          <w:color w:val="auto"/>
        </w:rPr>
      </w:pPr>
      <w:r>
        <w:rPr>
          <w:rFonts w:ascii="Arial" w:cs="Arial" w:eastAsia="Arial" w:hAnsi="Arial"/>
          <w:sz w:val="16"/>
          <w:szCs w:val="16"/>
          <w:color w:val="3D3935"/>
        </w:rPr>
        <w:t>Require equity awards to have double trigger (change in control and termination of employment) vesting provisions</w:t>
      </w:r>
    </w:p>
    <w:p>
      <w:pPr>
        <w:spacing w:after="0" w:line="23" w:lineRule="exact"/>
        <w:rPr>
          <w:sz w:val="20"/>
          <w:szCs w:val="20"/>
          <w:color w:val="auto"/>
        </w:rPr>
      </w:pPr>
    </w:p>
    <w:p>
      <w:pPr>
        <w:ind w:right="319" w:hanging="7"/>
        <w:spacing w:after="0" w:line="304" w:lineRule="auto"/>
        <w:rPr>
          <w:sz w:val="20"/>
          <w:szCs w:val="20"/>
          <w:color w:val="auto"/>
        </w:rPr>
      </w:pPr>
      <w:r>
        <w:rPr>
          <w:rFonts w:ascii="Arial" w:cs="Arial" w:eastAsia="Arial" w:hAnsi="Arial"/>
          <w:sz w:val="16"/>
          <w:szCs w:val="16"/>
          <w:color w:val="3D3935"/>
        </w:rPr>
        <w:t>Complete an annual risk review evaluating incentive compensation plans</w:t>
      </w:r>
    </w:p>
    <w:p>
      <w:pPr>
        <w:spacing w:after="0" w:line="20" w:lineRule="exact"/>
        <w:rPr>
          <w:sz w:val="20"/>
          <w:szCs w:val="20"/>
          <w:color w:val="auto"/>
        </w:rPr>
      </w:pPr>
    </w:p>
    <w:p>
      <w:pPr>
        <w:jc w:val="both"/>
        <w:ind w:right="179" w:hanging="7"/>
        <w:spacing w:after="0" w:line="301" w:lineRule="auto"/>
        <w:rPr>
          <w:sz w:val="20"/>
          <w:szCs w:val="20"/>
          <w:color w:val="auto"/>
        </w:rPr>
      </w:pPr>
      <w:r>
        <w:rPr>
          <w:rFonts w:ascii="Arial" w:cs="Arial" w:eastAsia="Arial" w:hAnsi="Arial"/>
          <w:sz w:val="16"/>
          <w:szCs w:val="16"/>
          <w:color w:val="3D3935"/>
        </w:rPr>
        <w:t>Require short-term cash and long-term equity awards for all executive officers to be subject to clawback and cancellation provisions</w:t>
      </w:r>
    </w:p>
    <w:p>
      <w:pPr>
        <w:spacing w:after="0" w:line="23" w:lineRule="exact"/>
        <w:rPr>
          <w:sz w:val="20"/>
          <w:szCs w:val="20"/>
          <w:color w:val="auto"/>
        </w:rPr>
      </w:pPr>
    </w:p>
    <w:p>
      <w:pPr>
        <w:ind w:right="539" w:hanging="7"/>
        <w:spacing w:after="0" w:line="292" w:lineRule="auto"/>
        <w:rPr>
          <w:sz w:val="20"/>
          <w:szCs w:val="20"/>
          <w:color w:val="auto"/>
        </w:rPr>
      </w:pPr>
      <w:r>
        <w:rPr>
          <w:rFonts w:ascii="Arial" w:cs="Arial" w:eastAsia="Arial" w:hAnsi="Arial"/>
          <w:sz w:val="16"/>
          <w:szCs w:val="16"/>
          <w:color w:val="3D3935"/>
        </w:rPr>
        <w:t>Conduct an annual audit of senior executive expenses and perquisites that is reviewed by the Audit Committee</w:t>
      </w:r>
    </w:p>
    <w:p>
      <w:pPr>
        <w:spacing w:after="0" w:line="30" w:lineRule="exact"/>
        <w:rPr>
          <w:sz w:val="20"/>
          <w:szCs w:val="20"/>
          <w:color w:val="auto"/>
        </w:rPr>
      </w:pPr>
    </w:p>
    <w:p>
      <w:pPr>
        <w:ind w:right="479" w:hanging="13"/>
        <w:spacing w:after="0" w:line="301" w:lineRule="auto"/>
        <w:rPr>
          <w:sz w:val="20"/>
          <w:szCs w:val="20"/>
          <w:color w:val="auto"/>
        </w:rPr>
      </w:pPr>
      <w:r>
        <w:rPr>
          <w:rFonts w:ascii="Arial" w:cs="Arial" w:eastAsia="Arial" w:hAnsi="Arial"/>
          <w:sz w:val="16"/>
          <w:szCs w:val="16"/>
          <w:color w:val="3D3935"/>
        </w:rPr>
        <w:t>Include non-compete and non-solicitation terms in all grant agreements with senior leaders, where enforceable</w:t>
      </w:r>
    </w:p>
    <w:p>
      <w:pPr>
        <w:spacing w:after="0" w:line="412" w:lineRule="exact"/>
        <w:rPr>
          <w:sz w:val="20"/>
          <w:szCs w:val="20"/>
          <w:color w:val="auto"/>
        </w:rPr>
      </w:pPr>
    </w:p>
    <w:p>
      <w:pPr>
        <w:sectPr>
          <w:pgSz w:w="11900" w:h="16838" w:orient="portrait"/>
          <w:cols w:equalWidth="0" w:num="2">
            <w:col w:w="4300" w:space="720"/>
            <w:col w:w="4039"/>
          </w:cols>
          <w:pgMar w:left="1400" w:top="114" w:right="1440" w:bottom="1440" w:gutter="0" w:footer="0" w:header="0"/>
          <w:type w:val="continuous"/>
        </w:sectPr>
      </w:pPr>
    </w:p>
    <w:p>
      <w:pPr>
        <w:spacing w:after="0" w:line="19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WHAT WE DON’T DO</w:t>
      </w:r>
    </w:p>
    <w:p>
      <w:pPr>
        <w:sectPr>
          <w:pgSz w:w="11900" w:h="16838" w:orient="portrait"/>
          <w:cols w:equalWidth="0" w:num="1">
            <w:col w:w="9059"/>
          </w:cols>
          <w:pgMar w:left="1400" w:top="114" w:right="1440" w:bottom="1440" w:gutter="0" w:footer="0" w:header="0"/>
          <w:type w:val="continuous"/>
        </w:sectPr>
      </w:pPr>
    </w:p>
    <w:p>
      <w:pPr>
        <w:spacing w:after="0" w:line="145" w:lineRule="exact"/>
        <w:rPr>
          <w:sz w:val="20"/>
          <w:szCs w:val="20"/>
          <w:color w:val="auto"/>
        </w:rPr>
      </w:pPr>
    </w:p>
    <w:p>
      <w:pPr>
        <w:ind w:left="320" w:right="160" w:hanging="4"/>
        <w:spacing w:after="0" w:line="287" w:lineRule="auto"/>
        <w:rPr>
          <w:sz w:val="20"/>
          <w:szCs w:val="20"/>
          <w:color w:val="auto"/>
        </w:rPr>
      </w:pPr>
      <w:r>
        <w:rPr>
          <w:rFonts w:ascii="Arial" w:cs="Arial" w:eastAsia="Arial" w:hAnsi="Arial"/>
          <w:sz w:val="16"/>
          <w:szCs w:val="16"/>
          <w:color w:val="3D3935"/>
        </w:rPr>
        <w:t>Provide gross-up payments to cover personal income taxes or excise taxes pertaining to executive severance benefits</w:t>
      </w:r>
    </w:p>
    <w:p>
      <w:pPr>
        <w:spacing w:after="0" w:line="1" w:lineRule="exact"/>
        <w:rPr>
          <w:sz w:val="20"/>
          <w:szCs w:val="20"/>
          <w:color w:val="auto"/>
        </w:rPr>
      </w:pPr>
    </w:p>
    <w:p>
      <w:pPr>
        <w:ind w:left="320" w:right="180" w:hanging="4"/>
        <w:spacing w:after="0" w:line="281" w:lineRule="auto"/>
        <w:rPr>
          <w:sz w:val="20"/>
          <w:szCs w:val="20"/>
          <w:color w:val="auto"/>
        </w:rPr>
      </w:pPr>
      <w:r>
        <w:rPr>
          <w:rFonts w:ascii="Arial" w:cs="Arial" w:eastAsia="Arial" w:hAnsi="Arial"/>
          <w:sz w:val="16"/>
          <w:szCs w:val="16"/>
          <w:color w:val="3D3935"/>
        </w:rPr>
        <w:t>Pay above-market interest on deferred compensation in retirement plans</w:t>
      </w:r>
    </w:p>
    <w:p>
      <w:pPr>
        <w:spacing w:after="0" w:line="1" w:lineRule="exact"/>
        <w:rPr>
          <w:sz w:val="20"/>
          <w:szCs w:val="20"/>
          <w:color w:val="auto"/>
        </w:rPr>
      </w:pPr>
    </w:p>
    <w:p>
      <w:pPr>
        <w:ind w:left="320" w:right="220" w:hanging="4"/>
        <w:spacing w:after="0" w:line="321" w:lineRule="auto"/>
        <w:rPr>
          <w:sz w:val="20"/>
          <w:szCs w:val="20"/>
          <w:color w:val="auto"/>
        </w:rPr>
      </w:pPr>
      <w:r>
        <w:rPr>
          <w:rFonts w:ascii="Arial" w:cs="Arial" w:eastAsia="Arial" w:hAnsi="Arial"/>
          <w:sz w:val="16"/>
          <w:szCs w:val="16"/>
          <w:color w:val="3D3935"/>
        </w:rPr>
        <w:t>Allow any director or employee to engage in hedging or pledging of GM securities</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right="819" w:hanging="4"/>
        <w:spacing w:after="0" w:line="290" w:lineRule="auto"/>
        <w:rPr>
          <w:sz w:val="20"/>
          <w:szCs w:val="20"/>
          <w:color w:val="auto"/>
        </w:rPr>
      </w:pPr>
      <w:r>
        <w:rPr>
          <w:rFonts w:ascii="Arial" w:cs="Arial" w:eastAsia="Arial" w:hAnsi="Arial"/>
          <w:sz w:val="16"/>
          <w:szCs w:val="16"/>
          <w:color w:val="3D3935"/>
        </w:rPr>
        <w:t>Reward executives for excessive, imprudent, inappropriate, or unnecessary risk-taking</w:t>
      </w:r>
    </w:p>
    <w:p>
      <w:pPr>
        <w:spacing w:after="0" w:line="1" w:lineRule="exact"/>
        <w:rPr>
          <w:sz w:val="20"/>
          <w:szCs w:val="20"/>
          <w:color w:val="auto"/>
        </w:rPr>
      </w:pPr>
    </w:p>
    <w:p>
      <w:pPr>
        <w:ind w:right="359" w:hanging="4"/>
        <w:spacing w:after="0" w:line="304" w:lineRule="auto"/>
        <w:rPr>
          <w:sz w:val="20"/>
          <w:szCs w:val="20"/>
          <w:color w:val="auto"/>
        </w:rPr>
      </w:pPr>
      <w:r>
        <w:rPr>
          <w:rFonts w:ascii="Arial" w:cs="Arial" w:eastAsia="Arial" w:hAnsi="Arial"/>
          <w:sz w:val="16"/>
          <w:szCs w:val="16"/>
          <w:color w:val="3D3935"/>
        </w:rPr>
        <w:t>Allow the repricing, spring-loading, or backdating of equity awards</w:t>
      </w:r>
    </w:p>
    <w:p>
      <w:pPr>
        <w:sectPr>
          <w:pgSz w:w="11900" w:h="16838" w:orient="portrait"/>
          <w:cols w:equalWidth="0" w:num="2">
            <w:col w:w="4300" w:space="720"/>
            <w:col w:w="4039"/>
          </w:cols>
          <w:pgMar w:left="1400" w:top="114" w:right="1440" w:bottom="1440" w:gutter="0" w:footer="0" w:header="0"/>
          <w:type w:val="continuous"/>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16821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10375" cy="168211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87515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10375" cy="875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2024 NEO Compensation</w:t>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Target Compensation</w:t>
      </w:r>
    </w:p>
    <w:p>
      <w:pPr>
        <w:spacing w:after="0" w:line="114"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3D3935"/>
        </w:rPr>
        <w:t>Target compensation for each of our NEOs comprises an appropriate mix of short-term and long-term pay elements and is intended to be competitive with that paid to individuals at peer group companies so that it attracts, motivates, and retains talent. Each element, and total direct compensation as a whole, is determined starting with reference to competitive market data, and is based on an executive’s current compensation, tenure, performance, position and responsibilities. For 2024, the Compensation Committee maintained Ms. Barra’s target compensation at the same level as 2023 and 2022, respectively,</w:t>
      </w:r>
    </w:p>
    <w:p>
      <w:pPr>
        <w:spacing w:after="0" w:line="3"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3D3935"/>
        </w:rPr>
        <w:t>reflecting the Committee’s view that her compensation continued to be appropriately positioned during this period. The Committee also viewed Mr. Reuss’ target compensation as appropriately positioned and held his 2024 target compensation at the 2023 level.</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3D3935"/>
        </w:rPr>
        <w:t>Our total target direct compensation for each NEO in 2024 was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00" w:type="dxa"/>
            <w:vAlign w:val="bottom"/>
            <w:shd w:val="clear" w:color="auto" w:fill="F0F3F6"/>
          </w:tcPr>
          <w:p>
            <w:pPr>
              <w:spacing w:after="0"/>
              <w:rPr>
                <w:sz w:val="18"/>
                <w:szCs w:val="18"/>
                <w:color w:val="auto"/>
              </w:rPr>
            </w:pPr>
          </w:p>
        </w:tc>
        <w:tc>
          <w:tcPr>
            <w:tcW w:w="1460" w:type="dxa"/>
            <w:vAlign w:val="bottom"/>
            <w:shd w:val="clear" w:color="auto" w:fill="F0F3F6"/>
          </w:tcPr>
          <w:p>
            <w:pPr>
              <w:spacing w:after="0"/>
              <w:rPr>
                <w:sz w:val="18"/>
                <w:szCs w:val="18"/>
                <w:color w:val="auto"/>
              </w:rPr>
            </w:pPr>
          </w:p>
        </w:tc>
        <w:tc>
          <w:tcPr>
            <w:tcW w:w="620" w:type="dxa"/>
            <w:vAlign w:val="bottom"/>
            <w:shd w:val="clear" w:color="auto" w:fill="F0F3F6"/>
          </w:tcPr>
          <w:p>
            <w:pPr>
              <w:spacing w:after="0"/>
              <w:rPr>
                <w:sz w:val="18"/>
                <w:szCs w:val="18"/>
                <w:color w:val="auto"/>
              </w:rPr>
            </w:pPr>
          </w:p>
        </w:tc>
        <w:tc>
          <w:tcPr>
            <w:tcW w:w="960" w:type="dxa"/>
            <w:vAlign w:val="bottom"/>
            <w:shd w:val="clear" w:color="auto" w:fill="F0F3F6"/>
          </w:tcPr>
          <w:p>
            <w:pPr>
              <w:spacing w:after="0"/>
              <w:rPr>
                <w:sz w:val="18"/>
                <w:szCs w:val="18"/>
                <w:color w:val="auto"/>
              </w:rPr>
            </w:pPr>
          </w:p>
        </w:tc>
        <w:tc>
          <w:tcPr>
            <w:tcW w:w="1040" w:type="dxa"/>
            <w:vAlign w:val="bottom"/>
            <w:shd w:val="clear" w:color="auto" w:fill="F0F3F6"/>
          </w:tcPr>
          <w:p>
            <w:pPr>
              <w:jc w:val="right"/>
              <w:ind w:right="12"/>
              <w:spacing w:after="0"/>
              <w:rPr>
                <w:sz w:val="20"/>
                <w:szCs w:val="20"/>
                <w:color w:val="auto"/>
              </w:rPr>
            </w:pPr>
            <w:r>
              <w:rPr>
                <w:rFonts w:ascii="Arial" w:cs="Arial" w:eastAsia="Arial" w:hAnsi="Arial"/>
                <w:sz w:val="13"/>
                <w:szCs w:val="13"/>
                <w:b w:val="1"/>
                <w:bCs w:val="1"/>
                <w:color w:val="3D3935"/>
              </w:rPr>
              <w:t>Total Target</w:t>
            </w:r>
          </w:p>
        </w:tc>
        <w:tc>
          <w:tcPr>
            <w:tcW w:w="1140" w:type="dxa"/>
            <w:vAlign w:val="bottom"/>
            <w:vMerge w:val="restart"/>
            <w:shd w:val="clear" w:color="auto" w:fill="F0F3F6"/>
          </w:tcPr>
          <w:p>
            <w:pPr>
              <w:jc w:val="right"/>
              <w:spacing w:after="0"/>
              <w:rPr>
                <w:sz w:val="20"/>
                <w:szCs w:val="20"/>
                <w:color w:val="auto"/>
              </w:rPr>
            </w:pPr>
            <w:r>
              <w:rPr>
                <w:rFonts w:ascii="Arial" w:cs="Arial" w:eastAsia="Arial" w:hAnsi="Arial"/>
                <w:sz w:val="13"/>
                <w:szCs w:val="13"/>
                <w:b w:val="1"/>
                <w:bCs w:val="1"/>
                <w:color w:val="3D3935"/>
              </w:rPr>
              <w:t>LTIP</w:t>
            </w:r>
          </w:p>
        </w:tc>
        <w:tc>
          <w:tcPr>
            <w:tcW w:w="800" w:type="dxa"/>
            <w:vAlign w:val="bottom"/>
            <w:shd w:val="clear" w:color="auto" w:fill="F0F3F6"/>
          </w:tcPr>
          <w:p>
            <w:pPr>
              <w:spacing w:after="0"/>
              <w:rPr>
                <w:sz w:val="18"/>
                <w:szCs w:val="18"/>
                <w:color w:val="auto"/>
              </w:rPr>
            </w:pPr>
          </w:p>
        </w:tc>
        <w:tc>
          <w:tcPr>
            <w:tcW w:w="1160" w:type="dxa"/>
            <w:vAlign w:val="bottom"/>
            <w:shd w:val="clear" w:color="auto" w:fill="F0F3F6"/>
          </w:tcPr>
          <w:p>
            <w:pPr>
              <w:jc w:val="right"/>
              <w:ind w:right="12"/>
              <w:spacing w:after="0"/>
              <w:rPr>
                <w:sz w:val="20"/>
                <w:szCs w:val="20"/>
                <w:color w:val="auto"/>
              </w:rPr>
            </w:pPr>
            <w:r>
              <w:rPr>
                <w:rFonts w:ascii="Arial" w:cs="Arial" w:eastAsia="Arial" w:hAnsi="Arial"/>
                <w:sz w:val="13"/>
                <w:szCs w:val="13"/>
                <w:b w:val="1"/>
                <w:bCs w:val="1"/>
                <w:color w:val="3D3935"/>
              </w:rPr>
              <w:t>Total Target</w:t>
            </w:r>
          </w:p>
        </w:tc>
        <w:tc>
          <w:tcPr>
            <w:tcW w:w="0" w:type="dxa"/>
            <w:vAlign w:val="bottom"/>
          </w:tcPr>
          <w:p>
            <w:pPr>
              <w:spacing w:after="0"/>
              <w:rPr>
                <w:sz w:val="1"/>
                <w:szCs w:val="1"/>
                <w:color w:val="auto"/>
              </w:rPr>
            </w:pPr>
          </w:p>
        </w:tc>
      </w:tr>
      <w:tr>
        <w:trPr>
          <w:trHeight w:val="95"/>
        </w:trPr>
        <w:tc>
          <w:tcPr>
            <w:tcW w:w="1900" w:type="dxa"/>
            <w:vAlign w:val="bottom"/>
            <w:tcBorders>
              <w:bottom w:val="single" w:sz="8" w:color="F0F3F6"/>
            </w:tcBorders>
            <w:shd w:val="clear" w:color="auto" w:fill="F0F3F6"/>
          </w:tcPr>
          <w:p>
            <w:pPr>
              <w:spacing w:after="0"/>
              <w:rPr>
                <w:sz w:val="8"/>
                <w:szCs w:val="8"/>
                <w:color w:val="auto"/>
              </w:rPr>
            </w:pPr>
          </w:p>
        </w:tc>
        <w:tc>
          <w:tcPr>
            <w:tcW w:w="1460" w:type="dxa"/>
            <w:vAlign w:val="bottom"/>
            <w:tcBorders>
              <w:bottom w:val="single" w:sz="8" w:color="F0F3F6"/>
            </w:tcBorders>
            <w:vMerge w:val="restart"/>
            <w:shd w:val="clear" w:color="auto" w:fill="F0F3F6"/>
          </w:tcPr>
          <w:p>
            <w:pPr>
              <w:jc w:val="right"/>
              <w:ind w:right="31"/>
              <w:spacing w:after="0"/>
              <w:rPr>
                <w:sz w:val="20"/>
                <w:szCs w:val="20"/>
                <w:color w:val="auto"/>
              </w:rPr>
            </w:pPr>
            <w:r>
              <w:rPr>
                <w:rFonts w:ascii="Arial" w:cs="Arial" w:eastAsia="Arial" w:hAnsi="Arial"/>
                <w:sz w:val="13"/>
                <w:szCs w:val="13"/>
                <w:b w:val="1"/>
                <w:bCs w:val="1"/>
                <w:color w:val="3D3935"/>
              </w:rPr>
              <w:t>Base</w:t>
            </w:r>
          </w:p>
        </w:tc>
        <w:tc>
          <w:tcPr>
            <w:tcW w:w="620" w:type="dxa"/>
            <w:vAlign w:val="bottom"/>
            <w:tcBorders>
              <w:bottom w:val="single" w:sz="8" w:color="F0F3F6"/>
            </w:tcBorders>
            <w:shd w:val="clear" w:color="auto" w:fill="F0F3F6"/>
          </w:tcPr>
          <w:p>
            <w:pPr>
              <w:spacing w:after="0"/>
              <w:rPr>
                <w:sz w:val="8"/>
                <w:szCs w:val="8"/>
                <w:color w:val="auto"/>
              </w:rPr>
            </w:pPr>
          </w:p>
        </w:tc>
        <w:tc>
          <w:tcPr>
            <w:tcW w:w="960" w:type="dxa"/>
            <w:vAlign w:val="bottom"/>
            <w:tcBorders>
              <w:bottom w:val="single" w:sz="8" w:color="F0F3F6"/>
            </w:tcBorders>
            <w:shd w:val="clear" w:color="auto" w:fill="F0F3F6"/>
          </w:tcPr>
          <w:p>
            <w:pPr>
              <w:spacing w:after="0"/>
              <w:rPr>
                <w:sz w:val="8"/>
                <w:szCs w:val="8"/>
                <w:color w:val="auto"/>
              </w:rPr>
            </w:pPr>
          </w:p>
        </w:tc>
        <w:tc>
          <w:tcPr>
            <w:tcW w:w="1040" w:type="dxa"/>
            <w:vAlign w:val="bottom"/>
            <w:tcBorders>
              <w:bottom w:val="single" w:sz="8" w:color="F0F3F6"/>
            </w:tcBorders>
            <w:vMerge w:val="restart"/>
            <w:shd w:val="clear" w:color="auto" w:fill="F0F3F6"/>
          </w:tcPr>
          <w:p>
            <w:pPr>
              <w:jc w:val="right"/>
              <w:spacing w:after="0"/>
              <w:rPr>
                <w:sz w:val="20"/>
                <w:szCs w:val="20"/>
                <w:color w:val="auto"/>
              </w:rPr>
            </w:pPr>
            <w:r>
              <w:rPr>
                <w:rFonts w:ascii="Arial" w:cs="Arial" w:eastAsia="Arial" w:hAnsi="Arial"/>
                <w:sz w:val="13"/>
                <w:szCs w:val="13"/>
                <w:b w:val="1"/>
                <w:bCs w:val="1"/>
                <w:color w:val="3D3935"/>
              </w:rPr>
              <w:t>Cash</w:t>
            </w:r>
          </w:p>
        </w:tc>
        <w:tc>
          <w:tcPr>
            <w:tcW w:w="1140" w:type="dxa"/>
            <w:vAlign w:val="bottom"/>
            <w:tcBorders>
              <w:bottom w:val="single" w:sz="8" w:color="0072CE"/>
            </w:tcBorders>
            <w:vMerge w:val="continue"/>
            <w:shd w:val="clear" w:color="auto" w:fill="F0F3F6"/>
          </w:tcPr>
          <w:p>
            <w:pPr>
              <w:spacing w:after="0"/>
              <w:rPr>
                <w:sz w:val="8"/>
                <w:szCs w:val="8"/>
                <w:color w:val="auto"/>
              </w:rPr>
            </w:pPr>
          </w:p>
        </w:tc>
        <w:tc>
          <w:tcPr>
            <w:tcW w:w="800" w:type="dxa"/>
            <w:vAlign w:val="bottom"/>
            <w:tcBorders>
              <w:bottom w:val="single" w:sz="8" w:color="0072CE"/>
            </w:tcBorders>
            <w:shd w:val="clear" w:color="auto" w:fill="F0F3F6"/>
          </w:tcPr>
          <w:p>
            <w:pPr>
              <w:spacing w:after="0"/>
              <w:rPr>
                <w:sz w:val="8"/>
                <w:szCs w:val="8"/>
                <w:color w:val="auto"/>
              </w:rPr>
            </w:pPr>
          </w:p>
        </w:tc>
        <w:tc>
          <w:tcPr>
            <w:tcW w:w="1160" w:type="dxa"/>
            <w:vAlign w:val="bottom"/>
            <w:tcBorders>
              <w:bottom w:val="single" w:sz="8" w:color="F0F3F6"/>
            </w:tcBorders>
            <w:vMerge w:val="restart"/>
            <w:shd w:val="clear" w:color="auto" w:fill="F0F3F6"/>
          </w:tcPr>
          <w:p>
            <w:pPr>
              <w:jc w:val="right"/>
              <w:spacing w:after="0"/>
              <w:rPr>
                <w:sz w:val="20"/>
                <w:szCs w:val="20"/>
                <w:color w:val="auto"/>
              </w:rPr>
            </w:pPr>
            <w:r>
              <w:rPr>
                <w:rFonts w:ascii="Arial" w:cs="Arial" w:eastAsia="Arial" w:hAnsi="Arial"/>
                <w:sz w:val="13"/>
                <w:szCs w:val="13"/>
                <w:b w:val="1"/>
                <w:bCs w:val="1"/>
                <w:color w:val="3D3935"/>
              </w:rPr>
              <w:t>Direct</w:t>
            </w:r>
          </w:p>
        </w:tc>
        <w:tc>
          <w:tcPr>
            <w:tcW w:w="0" w:type="dxa"/>
            <w:vAlign w:val="bottom"/>
          </w:tcPr>
          <w:p>
            <w:pPr>
              <w:spacing w:after="0"/>
              <w:rPr>
                <w:sz w:val="1"/>
                <w:szCs w:val="1"/>
                <w:color w:val="auto"/>
              </w:rPr>
            </w:pPr>
          </w:p>
        </w:tc>
      </w:tr>
      <w:tr>
        <w:trPr>
          <w:trHeight w:val="34"/>
        </w:trPr>
        <w:tc>
          <w:tcPr>
            <w:tcW w:w="1900" w:type="dxa"/>
            <w:vAlign w:val="bottom"/>
            <w:shd w:val="clear" w:color="auto" w:fill="F0F3F6"/>
          </w:tcPr>
          <w:p>
            <w:pPr>
              <w:spacing w:after="0"/>
              <w:rPr>
                <w:sz w:val="2"/>
                <w:szCs w:val="2"/>
                <w:color w:val="auto"/>
              </w:rPr>
            </w:pPr>
          </w:p>
        </w:tc>
        <w:tc>
          <w:tcPr>
            <w:tcW w:w="1460" w:type="dxa"/>
            <w:vAlign w:val="bottom"/>
            <w:vMerge w:val="continue"/>
            <w:shd w:val="clear" w:color="auto" w:fill="F0F3F6"/>
          </w:tcPr>
          <w:p>
            <w:pPr>
              <w:spacing w:after="0"/>
              <w:rPr>
                <w:sz w:val="2"/>
                <w:szCs w:val="2"/>
                <w:color w:val="auto"/>
              </w:rPr>
            </w:pPr>
          </w:p>
        </w:tc>
        <w:tc>
          <w:tcPr>
            <w:tcW w:w="620" w:type="dxa"/>
            <w:vAlign w:val="bottom"/>
            <w:shd w:val="clear" w:color="auto" w:fill="F0F3F6"/>
          </w:tcPr>
          <w:p>
            <w:pPr>
              <w:spacing w:after="0"/>
              <w:rPr>
                <w:sz w:val="2"/>
                <w:szCs w:val="2"/>
                <w:color w:val="auto"/>
              </w:rPr>
            </w:pPr>
          </w:p>
        </w:tc>
        <w:tc>
          <w:tcPr>
            <w:tcW w:w="960" w:type="dxa"/>
            <w:vAlign w:val="bottom"/>
            <w:shd w:val="clear" w:color="auto" w:fill="F0F3F6"/>
          </w:tcPr>
          <w:p>
            <w:pPr>
              <w:spacing w:after="0"/>
              <w:rPr>
                <w:sz w:val="2"/>
                <w:szCs w:val="2"/>
                <w:color w:val="auto"/>
              </w:rPr>
            </w:pPr>
          </w:p>
        </w:tc>
        <w:tc>
          <w:tcPr>
            <w:tcW w:w="1040" w:type="dxa"/>
            <w:vAlign w:val="bottom"/>
            <w:vMerge w:val="continue"/>
            <w:shd w:val="clear" w:color="auto" w:fill="F0F3F6"/>
          </w:tcPr>
          <w:p>
            <w:pPr>
              <w:spacing w:after="0"/>
              <w:rPr>
                <w:sz w:val="2"/>
                <w:szCs w:val="2"/>
                <w:color w:val="auto"/>
              </w:rPr>
            </w:pPr>
          </w:p>
        </w:tc>
        <w:tc>
          <w:tcPr>
            <w:tcW w:w="1140" w:type="dxa"/>
            <w:vAlign w:val="bottom"/>
            <w:vMerge w:val="restart"/>
            <w:shd w:val="clear" w:color="auto" w:fill="F0F3F6"/>
          </w:tcPr>
          <w:p>
            <w:pPr>
              <w:jc w:val="right"/>
              <w:ind w:right="151"/>
              <w:spacing w:after="0" w:line="182" w:lineRule="exact"/>
              <w:rPr>
                <w:sz w:val="20"/>
                <w:szCs w:val="20"/>
                <w:color w:val="auto"/>
              </w:rPr>
            </w:pPr>
            <w:r>
              <w:rPr>
                <w:rFonts w:ascii="Arial" w:cs="Arial" w:eastAsia="Arial" w:hAnsi="Arial"/>
                <w:sz w:val="13"/>
                <w:szCs w:val="13"/>
                <w:b w:val="1"/>
                <w:bCs w:val="1"/>
                <w:color w:val="3D3935"/>
              </w:rPr>
              <w:t>PSUs</w:t>
            </w:r>
            <w:r>
              <w:rPr>
                <w:rFonts w:ascii="Arial" w:cs="Arial" w:eastAsia="Arial" w:hAnsi="Arial"/>
                <w:sz w:val="16"/>
                <w:szCs w:val="16"/>
                <w:b w:val="1"/>
                <w:bCs w:val="1"/>
                <w:color w:val="3D3935"/>
                <w:vertAlign w:val="superscript"/>
              </w:rPr>
              <w:t>(1)</w:t>
            </w:r>
          </w:p>
        </w:tc>
        <w:tc>
          <w:tcPr>
            <w:tcW w:w="800" w:type="dxa"/>
            <w:vAlign w:val="bottom"/>
            <w:shd w:val="clear" w:color="auto" w:fill="F0F3F6"/>
          </w:tcPr>
          <w:p>
            <w:pPr>
              <w:spacing w:after="0"/>
              <w:rPr>
                <w:sz w:val="2"/>
                <w:szCs w:val="2"/>
                <w:color w:val="auto"/>
              </w:rPr>
            </w:pPr>
          </w:p>
        </w:tc>
        <w:tc>
          <w:tcPr>
            <w:tcW w:w="1160" w:type="dxa"/>
            <w:vAlign w:val="bottom"/>
            <w:vMerge w:val="continue"/>
            <w:shd w:val="clear" w:color="auto" w:fill="F0F3F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900" w:type="dxa"/>
            <w:vAlign w:val="bottom"/>
            <w:shd w:val="clear" w:color="auto" w:fill="F0F3F6"/>
          </w:tcPr>
          <w:p>
            <w:pPr>
              <w:spacing w:after="0"/>
              <w:rPr>
                <w:sz w:val="12"/>
                <w:szCs w:val="12"/>
                <w:color w:val="auto"/>
              </w:rPr>
            </w:pPr>
          </w:p>
        </w:tc>
        <w:tc>
          <w:tcPr>
            <w:tcW w:w="1460" w:type="dxa"/>
            <w:vAlign w:val="bottom"/>
            <w:shd w:val="clear" w:color="auto" w:fill="F0F3F6"/>
          </w:tcPr>
          <w:p>
            <w:pPr>
              <w:jc w:val="right"/>
              <w:ind w:right="31"/>
              <w:spacing w:after="0"/>
              <w:rPr>
                <w:sz w:val="20"/>
                <w:szCs w:val="20"/>
                <w:color w:val="auto"/>
              </w:rPr>
            </w:pPr>
            <w:r>
              <w:rPr>
                <w:rFonts w:ascii="Arial" w:cs="Arial" w:eastAsia="Arial" w:hAnsi="Arial"/>
                <w:sz w:val="13"/>
                <w:szCs w:val="13"/>
                <w:b w:val="1"/>
                <w:bCs w:val="1"/>
                <w:color w:val="3D3935"/>
              </w:rPr>
              <w:t>Salary</w:t>
            </w:r>
          </w:p>
        </w:tc>
        <w:tc>
          <w:tcPr>
            <w:tcW w:w="620" w:type="dxa"/>
            <w:vAlign w:val="bottom"/>
            <w:shd w:val="clear" w:color="auto" w:fill="F0F3F6"/>
          </w:tcPr>
          <w:p>
            <w:pPr>
              <w:jc w:val="right"/>
              <w:ind w:right="30"/>
              <w:spacing w:after="0"/>
              <w:rPr>
                <w:sz w:val="20"/>
                <w:szCs w:val="20"/>
                <w:color w:val="auto"/>
              </w:rPr>
            </w:pPr>
            <w:r>
              <w:rPr>
                <w:rFonts w:ascii="Arial" w:cs="Arial" w:eastAsia="Arial" w:hAnsi="Arial"/>
                <w:sz w:val="13"/>
                <w:szCs w:val="13"/>
                <w:b w:val="1"/>
                <w:bCs w:val="1"/>
                <w:color w:val="3D3935"/>
              </w:rPr>
              <w:t>STIP</w:t>
            </w:r>
          </w:p>
        </w:tc>
        <w:tc>
          <w:tcPr>
            <w:tcW w:w="960" w:type="dxa"/>
            <w:vAlign w:val="bottom"/>
            <w:shd w:val="clear" w:color="auto" w:fill="F0F3F6"/>
          </w:tcPr>
          <w:p>
            <w:pPr>
              <w:jc w:val="right"/>
              <w:ind w:right="70"/>
              <w:spacing w:after="0"/>
              <w:rPr>
                <w:sz w:val="20"/>
                <w:szCs w:val="20"/>
                <w:color w:val="auto"/>
              </w:rPr>
            </w:pPr>
            <w:r>
              <w:rPr>
                <w:rFonts w:ascii="Arial" w:cs="Arial" w:eastAsia="Arial" w:hAnsi="Arial"/>
                <w:sz w:val="13"/>
                <w:szCs w:val="13"/>
                <w:b w:val="1"/>
                <w:bCs w:val="1"/>
                <w:color w:val="3D3935"/>
              </w:rPr>
              <w:t>STIP</w:t>
            </w:r>
          </w:p>
        </w:tc>
        <w:tc>
          <w:tcPr>
            <w:tcW w:w="1040" w:type="dxa"/>
            <w:vAlign w:val="bottom"/>
            <w:shd w:val="clear" w:color="auto" w:fill="F0F3F6"/>
          </w:tcPr>
          <w:p>
            <w:pPr>
              <w:jc w:val="right"/>
              <w:spacing w:after="0"/>
              <w:rPr>
                <w:sz w:val="20"/>
                <w:szCs w:val="20"/>
                <w:color w:val="auto"/>
              </w:rPr>
            </w:pPr>
            <w:r>
              <w:rPr>
                <w:rFonts w:ascii="Arial" w:cs="Arial" w:eastAsia="Arial" w:hAnsi="Arial"/>
                <w:sz w:val="13"/>
                <w:szCs w:val="13"/>
                <w:b w:val="1"/>
                <w:bCs w:val="1"/>
                <w:color w:val="3D3935"/>
              </w:rPr>
              <w:t>Compensation</w:t>
            </w:r>
          </w:p>
        </w:tc>
        <w:tc>
          <w:tcPr>
            <w:tcW w:w="1140" w:type="dxa"/>
            <w:vAlign w:val="bottom"/>
            <w:vMerge w:val="continue"/>
            <w:shd w:val="clear" w:color="auto" w:fill="F0F3F6"/>
          </w:tcPr>
          <w:p>
            <w:pPr>
              <w:spacing w:after="0"/>
              <w:rPr>
                <w:sz w:val="12"/>
                <w:szCs w:val="12"/>
                <w:color w:val="auto"/>
              </w:rPr>
            </w:pPr>
          </w:p>
        </w:tc>
        <w:tc>
          <w:tcPr>
            <w:tcW w:w="800" w:type="dxa"/>
            <w:vAlign w:val="bottom"/>
            <w:shd w:val="clear" w:color="auto" w:fill="F0F3F6"/>
          </w:tcPr>
          <w:p>
            <w:pPr>
              <w:jc w:val="right"/>
              <w:spacing w:after="0"/>
              <w:rPr>
                <w:sz w:val="20"/>
                <w:szCs w:val="20"/>
                <w:color w:val="auto"/>
              </w:rPr>
            </w:pPr>
            <w:r>
              <w:rPr>
                <w:rFonts w:ascii="Arial" w:cs="Arial" w:eastAsia="Arial" w:hAnsi="Arial"/>
                <w:sz w:val="13"/>
                <w:szCs w:val="13"/>
                <w:b w:val="1"/>
                <w:bCs w:val="1"/>
                <w:color w:val="3D3935"/>
              </w:rPr>
              <w:t>RSUs</w:t>
            </w:r>
          </w:p>
        </w:tc>
        <w:tc>
          <w:tcPr>
            <w:tcW w:w="1160" w:type="dxa"/>
            <w:vAlign w:val="bottom"/>
            <w:shd w:val="clear" w:color="auto" w:fill="F0F3F6"/>
          </w:tcPr>
          <w:p>
            <w:pPr>
              <w:jc w:val="right"/>
              <w:spacing w:after="0"/>
              <w:rPr>
                <w:sz w:val="20"/>
                <w:szCs w:val="20"/>
                <w:color w:val="auto"/>
              </w:rPr>
            </w:pPr>
            <w:r>
              <w:rPr>
                <w:rFonts w:ascii="Arial" w:cs="Arial" w:eastAsia="Arial" w:hAnsi="Arial"/>
                <w:sz w:val="13"/>
                <w:szCs w:val="13"/>
                <w:b w:val="1"/>
                <w:bCs w:val="1"/>
                <w:color w:val="3D3935"/>
              </w:rPr>
              <w:t>Compensation</w:t>
            </w:r>
          </w:p>
        </w:tc>
        <w:tc>
          <w:tcPr>
            <w:tcW w:w="0" w:type="dxa"/>
            <w:vAlign w:val="bottom"/>
          </w:tcPr>
          <w:p>
            <w:pPr>
              <w:spacing w:after="0"/>
              <w:rPr>
                <w:sz w:val="1"/>
                <w:szCs w:val="1"/>
                <w:color w:val="auto"/>
              </w:rPr>
            </w:pPr>
          </w:p>
        </w:tc>
      </w:tr>
      <w:tr>
        <w:trPr>
          <w:trHeight w:val="176"/>
        </w:trPr>
        <w:tc>
          <w:tcPr>
            <w:tcW w:w="1900" w:type="dxa"/>
            <w:vAlign w:val="bottom"/>
            <w:tcBorders>
              <w:bottom w:val="single" w:sz="8" w:color="0072CE"/>
            </w:tcBorders>
            <w:shd w:val="clear" w:color="auto" w:fill="F0F3F6"/>
          </w:tcPr>
          <w:p>
            <w:pPr>
              <w:ind w:left="60"/>
              <w:spacing w:after="0"/>
              <w:rPr>
                <w:sz w:val="20"/>
                <w:szCs w:val="20"/>
                <w:color w:val="auto"/>
              </w:rPr>
            </w:pPr>
            <w:r>
              <w:rPr>
                <w:rFonts w:ascii="Arial" w:cs="Arial" w:eastAsia="Arial" w:hAnsi="Arial"/>
                <w:sz w:val="13"/>
                <w:szCs w:val="13"/>
                <w:b w:val="1"/>
                <w:bCs w:val="1"/>
                <w:color w:val="3D3935"/>
              </w:rPr>
              <w:t>Name</w:t>
            </w:r>
          </w:p>
        </w:tc>
        <w:tc>
          <w:tcPr>
            <w:tcW w:w="1460" w:type="dxa"/>
            <w:vAlign w:val="bottom"/>
            <w:tcBorders>
              <w:bottom w:val="single" w:sz="8" w:color="0072CE"/>
            </w:tcBorders>
            <w:shd w:val="clear" w:color="auto" w:fill="F0F3F6"/>
          </w:tcPr>
          <w:p>
            <w:pPr>
              <w:jc w:val="right"/>
              <w:ind w:right="51"/>
              <w:spacing w:after="0"/>
              <w:rPr>
                <w:sz w:val="20"/>
                <w:szCs w:val="20"/>
                <w:color w:val="auto"/>
              </w:rPr>
            </w:pPr>
            <w:r>
              <w:rPr>
                <w:rFonts w:ascii="Arial" w:cs="Arial" w:eastAsia="Arial" w:hAnsi="Arial"/>
                <w:sz w:val="13"/>
                <w:szCs w:val="13"/>
                <w:b w:val="1"/>
                <w:bCs w:val="1"/>
                <w:color w:val="3D3935"/>
              </w:rPr>
              <w:t>($)</w:t>
            </w:r>
          </w:p>
        </w:tc>
        <w:tc>
          <w:tcPr>
            <w:tcW w:w="620" w:type="dxa"/>
            <w:vAlign w:val="bottom"/>
            <w:tcBorders>
              <w:bottom w:val="single" w:sz="8" w:color="0072CE"/>
            </w:tcBorders>
            <w:shd w:val="clear" w:color="auto" w:fill="F0F3F6"/>
          </w:tcPr>
          <w:p>
            <w:pPr>
              <w:jc w:val="right"/>
              <w:ind w:right="30"/>
              <w:spacing w:after="0"/>
              <w:rPr>
                <w:sz w:val="20"/>
                <w:szCs w:val="20"/>
                <w:color w:val="auto"/>
              </w:rPr>
            </w:pPr>
            <w:r>
              <w:rPr>
                <w:rFonts w:ascii="Arial" w:cs="Arial" w:eastAsia="Arial" w:hAnsi="Arial"/>
                <w:sz w:val="13"/>
                <w:szCs w:val="13"/>
                <w:b w:val="1"/>
                <w:bCs w:val="1"/>
                <w:color w:val="3D3935"/>
              </w:rPr>
              <w:t>(%)</w:t>
            </w:r>
          </w:p>
        </w:tc>
        <w:tc>
          <w:tcPr>
            <w:tcW w:w="960" w:type="dxa"/>
            <w:vAlign w:val="bottom"/>
            <w:tcBorders>
              <w:bottom w:val="single" w:sz="8" w:color="0072CE"/>
            </w:tcBorders>
            <w:shd w:val="clear" w:color="auto" w:fill="F0F3F6"/>
          </w:tcPr>
          <w:p>
            <w:pPr>
              <w:jc w:val="right"/>
              <w:ind w:right="70"/>
              <w:spacing w:after="0"/>
              <w:rPr>
                <w:sz w:val="20"/>
                <w:szCs w:val="20"/>
                <w:color w:val="auto"/>
              </w:rPr>
            </w:pPr>
            <w:r>
              <w:rPr>
                <w:rFonts w:ascii="Arial" w:cs="Arial" w:eastAsia="Arial" w:hAnsi="Arial"/>
                <w:sz w:val="13"/>
                <w:szCs w:val="13"/>
                <w:b w:val="1"/>
                <w:bCs w:val="1"/>
                <w:color w:val="3D3935"/>
              </w:rPr>
              <w:t>($)</w:t>
            </w:r>
          </w:p>
        </w:tc>
        <w:tc>
          <w:tcPr>
            <w:tcW w:w="1040" w:type="dxa"/>
            <w:vAlign w:val="bottom"/>
            <w:tcBorders>
              <w:bottom w:val="single" w:sz="8" w:color="0072CE"/>
            </w:tcBorders>
            <w:shd w:val="clear" w:color="auto" w:fill="F0F3F6"/>
          </w:tcPr>
          <w:p>
            <w:pPr>
              <w:jc w:val="right"/>
              <w:spacing w:after="0"/>
              <w:rPr>
                <w:sz w:val="20"/>
                <w:szCs w:val="20"/>
                <w:color w:val="auto"/>
              </w:rPr>
            </w:pPr>
            <w:r>
              <w:rPr>
                <w:rFonts w:ascii="Arial" w:cs="Arial" w:eastAsia="Arial" w:hAnsi="Arial"/>
                <w:sz w:val="13"/>
                <w:szCs w:val="13"/>
                <w:b w:val="1"/>
                <w:bCs w:val="1"/>
                <w:color w:val="3D3935"/>
              </w:rPr>
              <w:t>($)</w:t>
            </w:r>
          </w:p>
        </w:tc>
        <w:tc>
          <w:tcPr>
            <w:tcW w:w="1140" w:type="dxa"/>
            <w:vAlign w:val="bottom"/>
            <w:tcBorders>
              <w:bottom w:val="single" w:sz="8" w:color="0072CE"/>
            </w:tcBorders>
            <w:shd w:val="clear" w:color="auto" w:fill="F0F3F6"/>
          </w:tcPr>
          <w:p>
            <w:pPr>
              <w:jc w:val="right"/>
              <w:ind w:right="171"/>
              <w:spacing w:after="0"/>
              <w:rPr>
                <w:sz w:val="20"/>
                <w:szCs w:val="20"/>
                <w:color w:val="auto"/>
              </w:rPr>
            </w:pPr>
            <w:r>
              <w:rPr>
                <w:rFonts w:ascii="Arial" w:cs="Arial" w:eastAsia="Arial" w:hAnsi="Arial"/>
                <w:sz w:val="13"/>
                <w:szCs w:val="13"/>
                <w:b w:val="1"/>
                <w:bCs w:val="1"/>
                <w:color w:val="3D3935"/>
              </w:rPr>
              <w:t>($)</w:t>
            </w:r>
          </w:p>
        </w:tc>
        <w:tc>
          <w:tcPr>
            <w:tcW w:w="800" w:type="dxa"/>
            <w:vAlign w:val="bottom"/>
            <w:tcBorders>
              <w:bottom w:val="single" w:sz="8" w:color="0072CE"/>
            </w:tcBorders>
            <w:shd w:val="clear" w:color="auto" w:fill="F0F3F6"/>
          </w:tcPr>
          <w:p>
            <w:pPr>
              <w:jc w:val="right"/>
              <w:spacing w:after="0"/>
              <w:rPr>
                <w:sz w:val="20"/>
                <w:szCs w:val="20"/>
                <w:color w:val="auto"/>
              </w:rPr>
            </w:pPr>
            <w:r>
              <w:rPr>
                <w:rFonts w:ascii="Arial" w:cs="Arial" w:eastAsia="Arial" w:hAnsi="Arial"/>
                <w:sz w:val="13"/>
                <w:szCs w:val="13"/>
                <w:b w:val="1"/>
                <w:bCs w:val="1"/>
                <w:color w:val="3D3935"/>
              </w:rPr>
              <w:t>($)</w:t>
            </w:r>
          </w:p>
        </w:tc>
        <w:tc>
          <w:tcPr>
            <w:tcW w:w="1160" w:type="dxa"/>
            <w:vAlign w:val="bottom"/>
            <w:tcBorders>
              <w:bottom w:val="single" w:sz="8" w:color="0072CE"/>
            </w:tcBorders>
            <w:shd w:val="clear" w:color="auto" w:fill="F0F3F6"/>
          </w:tcPr>
          <w:p>
            <w:pPr>
              <w:jc w:val="right"/>
              <w:spacing w:after="0"/>
              <w:rPr>
                <w:sz w:val="20"/>
                <w:szCs w:val="20"/>
                <w:color w:val="auto"/>
              </w:rPr>
            </w:pPr>
            <w:r>
              <w:rPr>
                <w:rFonts w:ascii="Arial" w:cs="Arial" w:eastAsia="Arial" w:hAnsi="Arial"/>
                <w:sz w:val="13"/>
                <w:szCs w:val="13"/>
                <w:b w:val="1"/>
                <w:bCs w:val="1"/>
                <w:color w:val="3D3935"/>
              </w:rPr>
              <w:t>($)</w:t>
            </w:r>
          </w:p>
        </w:tc>
        <w:tc>
          <w:tcPr>
            <w:tcW w:w="0" w:type="dxa"/>
            <w:vAlign w:val="bottom"/>
          </w:tcPr>
          <w:p>
            <w:pPr>
              <w:spacing w:after="0"/>
              <w:rPr>
                <w:sz w:val="1"/>
                <w:szCs w:val="1"/>
                <w:color w:val="auto"/>
              </w:rPr>
            </w:pPr>
          </w:p>
        </w:tc>
      </w:tr>
      <w:tr>
        <w:trPr>
          <w:trHeight w:val="240"/>
        </w:trPr>
        <w:tc>
          <w:tcPr>
            <w:tcW w:w="1900" w:type="dxa"/>
            <w:vAlign w:val="bottom"/>
            <w:tcBorders>
              <w:bottom w:val="single" w:sz="8" w:color="D9D9D6"/>
            </w:tcBorders>
          </w:tcPr>
          <w:p>
            <w:pPr>
              <w:ind w:left="60"/>
              <w:spacing w:after="0"/>
              <w:rPr>
                <w:sz w:val="20"/>
                <w:szCs w:val="20"/>
                <w:color w:val="auto"/>
              </w:rPr>
            </w:pPr>
            <w:r>
              <w:rPr>
                <w:rFonts w:ascii="Arial" w:cs="Arial" w:eastAsia="Arial" w:hAnsi="Arial"/>
                <w:sz w:val="14"/>
                <w:szCs w:val="14"/>
                <w:b w:val="1"/>
                <w:bCs w:val="1"/>
                <w:color w:val="0072CE"/>
              </w:rPr>
              <w:t>Mary T. Barra</w:t>
            </w:r>
          </w:p>
        </w:tc>
        <w:tc>
          <w:tcPr>
            <w:tcW w:w="1460" w:type="dxa"/>
            <w:vAlign w:val="bottom"/>
            <w:tcBorders>
              <w:bottom w:val="single" w:sz="8" w:color="D9D9D6"/>
            </w:tcBorders>
          </w:tcPr>
          <w:p>
            <w:pPr>
              <w:jc w:val="right"/>
              <w:ind w:right="91"/>
              <w:spacing w:after="0"/>
              <w:rPr>
                <w:sz w:val="20"/>
                <w:szCs w:val="20"/>
                <w:color w:val="auto"/>
              </w:rPr>
            </w:pPr>
            <w:r>
              <w:rPr>
                <w:rFonts w:ascii="Arial" w:cs="Arial" w:eastAsia="Arial" w:hAnsi="Arial"/>
                <w:sz w:val="14"/>
                <w:szCs w:val="14"/>
                <w:color w:val="3D3935"/>
              </w:rPr>
              <w:t>2,100,000</w:t>
            </w:r>
          </w:p>
        </w:tc>
        <w:tc>
          <w:tcPr>
            <w:tcW w:w="620" w:type="dxa"/>
            <w:vAlign w:val="bottom"/>
            <w:tcBorders>
              <w:bottom w:val="single" w:sz="8" w:color="D9D9D6"/>
            </w:tcBorders>
          </w:tcPr>
          <w:p>
            <w:pPr>
              <w:jc w:val="right"/>
              <w:ind w:right="70"/>
              <w:spacing w:after="0"/>
              <w:rPr>
                <w:sz w:val="20"/>
                <w:szCs w:val="20"/>
                <w:color w:val="auto"/>
              </w:rPr>
            </w:pPr>
            <w:r>
              <w:rPr>
                <w:rFonts w:ascii="Arial" w:cs="Arial" w:eastAsia="Arial" w:hAnsi="Arial"/>
                <w:sz w:val="14"/>
                <w:szCs w:val="14"/>
                <w:color w:val="3D3935"/>
              </w:rPr>
              <w:t>200%</w:t>
            </w:r>
          </w:p>
        </w:tc>
        <w:tc>
          <w:tcPr>
            <w:tcW w:w="960" w:type="dxa"/>
            <w:vAlign w:val="bottom"/>
            <w:tcBorders>
              <w:bottom w:val="single" w:sz="8" w:color="D9D9D6"/>
            </w:tcBorders>
          </w:tcPr>
          <w:p>
            <w:pPr>
              <w:jc w:val="right"/>
              <w:ind w:right="150"/>
              <w:spacing w:after="0"/>
              <w:rPr>
                <w:sz w:val="20"/>
                <w:szCs w:val="20"/>
                <w:color w:val="auto"/>
              </w:rPr>
            </w:pPr>
            <w:r>
              <w:rPr>
                <w:rFonts w:ascii="Arial" w:cs="Arial" w:eastAsia="Arial" w:hAnsi="Arial"/>
                <w:sz w:val="14"/>
                <w:szCs w:val="14"/>
                <w:color w:val="3D3935"/>
              </w:rPr>
              <w:t>4,200,000</w:t>
            </w:r>
          </w:p>
        </w:tc>
        <w:tc>
          <w:tcPr>
            <w:tcW w:w="1040" w:type="dxa"/>
            <w:vAlign w:val="bottom"/>
            <w:tcBorders>
              <w:bottom w:val="single" w:sz="8" w:color="D9D9D6"/>
            </w:tcBorders>
          </w:tcPr>
          <w:p>
            <w:pPr>
              <w:jc w:val="right"/>
              <w:ind w:right="72"/>
              <w:spacing w:after="0"/>
              <w:rPr>
                <w:sz w:val="20"/>
                <w:szCs w:val="20"/>
                <w:color w:val="auto"/>
              </w:rPr>
            </w:pPr>
            <w:r>
              <w:rPr>
                <w:rFonts w:ascii="Arial" w:cs="Arial" w:eastAsia="Arial" w:hAnsi="Arial"/>
                <w:sz w:val="14"/>
                <w:szCs w:val="14"/>
                <w:color w:val="3D3935"/>
              </w:rPr>
              <w:t>6,300,000</w:t>
            </w:r>
          </w:p>
        </w:tc>
        <w:tc>
          <w:tcPr>
            <w:tcW w:w="1140" w:type="dxa"/>
            <w:vAlign w:val="bottom"/>
            <w:tcBorders>
              <w:bottom w:val="single" w:sz="8" w:color="D9D9D6"/>
            </w:tcBorders>
          </w:tcPr>
          <w:p>
            <w:pPr>
              <w:jc w:val="right"/>
              <w:ind w:right="211"/>
              <w:spacing w:after="0"/>
              <w:rPr>
                <w:sz w:val="20"/>
                <w:szCs w:val="20"/>
                <w:color w:val="auto"/>
              </w:rPr>
            </w:pPr>
            <w:r>
              <w:rPr>
                <w:rFonts w:ascii="Arial" w:cs="Arial" w:eastAsia="Arial" w:hAnsi="Arial"/>
                <w:sz w:val="14"/>
                <w:szCs w:val="14"/>
                <w:color w:val="3D3935"/>
              </w:rPr>
              <w:t>14,625,000</w:t>
            </w:r>
          </w:p>
        </w:tc>
        <w:tc>
          <w:tcPr>
            <w:tcW w:w="800" w:type="dxa"/>
            <w:vAlign w:val="bottom"/>
            <w:tcBorders>
              <w:bottom w:val="single" w:sz="8" w:color="D9D9D6"/>
            </w:tcBorders>
          </w:tcPr>
          <w:p>
            <w:pPr>
              <w:jc w:val="right"/>
              <w:ind w:right="50"/>
              <w:spacing w:after="0"/>
              <w:rPr>
                <w:sz w:val="20"/>
                <w:szCs w:val="20"/>
                <w:color w:val="auto"/>
              </w:rPr>
            </w:pPr>
            <w:r>
              <w:rPr>
                <w:rFonts w:ascii="Arial" w:cs="Arial" w:eastAsia="Arial" w:hAnsi="Arial"/>
                <w:sz w:val="14"/>
                <w:szCs w:val="14"/>
                <w:color w:val="3D3935"/>
              </w:rPr>
              <w:t>4,875,000</w:t>
            </w:r>
          </w:p>
        </w:tc>
        <w:tc>
          <w:tcPr>
            <w:tcW w:w="1160" w:type="dxa"/>
            <w:vAlign w:val="bottom"/>
            <w:tcBorders>
              <w:bottom w:val="single" w:sz="8" w:color="D9D9D6"/>
            </w:tcBorders>
          </w:tcPr>
          <w:p>
            <w:pPr>
              <w:jc w:val="right"/>
              <w:ind w:right="72"/>
              <w:spacing w:after="0"/>
              <w:rPr>
                <w:sz w:val="20"/>
                <w:szCs w:val="20"/>
                <w:color w:val="auto"/>
              </w:rPr>
            </w:pPr>
            <w:r>
              <w:rPr>
                <w:rFonts w:ascii="Arial" w:cs="Arial" w:eastAsia="Arial" w:hAnsi="Arial"/>
                <w:sz w:val="14"/>
                <w:szCs w:val="14"/>
                <w:color w:val="3D3935"/>
              </w:rPr>
              <w:t>25,800,000</w:t>
            </w:r>
          </w:p>
        </w:tc>
        <w:tc>
          <w:tcPr>
            <w:tcW w:w="0" w:type="dxa"/>
            <w:vAlign w:val="bottom"/>
          </w:tcPr>
          <w:p>
            <w:pPr>
              <w:spacing w:after="0"/>
              <w:rPr>
                <w:sz w:val="1"/>
                <w:szCs w:val="1"/>
                <w:color w:val="auto"/>
              </w:rPr>
            </w:pPr>
          </w:p>
        </w:tc>
      </w:tr>
      <w:tr>
        <w:trPr>
          <w:trHeight w:val="237"/>
        </w:trPr>
        <w:tc>
          <w:tcPr>
            <w:tcW w:w="1900" w:type="dxa"/>
            <w:vAlign w:val="bottom"/>
            <w:tcBorders>
              <w:bottom w:val="single" w:sz="8" w:color="D9D9D6"/>
            </w:tcBorders>
          </w:tcPr>
          <w:p>
            <w:pPr>
              <w:ind w:left="60"/>
              <w:spacing w:after="0"/>
              <w:rPr>
                <w:sz w:val="20"/>
                <w:szCs w:val="20"/>
                <w:color w:val="auto"/>
              </w:rPr>
            </w:pPr>
            <w:r>
              <w:rPr>
                <w:rFonts w:ascii="Arial" w:cs="Arial" w:eastAsia="Arial" w:hAnsi="Arial"/>
                <w:sz w:val="14"/>
                <w:szCs w:val="14"/>
                <w:b w:val="1"/>
                <w:bCs w:val="1"/>
                <w:color w:val="0072CE"/>
              </w:rPr>
              <w:t>Paul A. Jacobson</w:t>
            </w:r>
          </w:p>
        </w:tc>
        <w:tc>
          <w:tcPr>
            <w:tcW w:w="1460" w:type="dxa"/>
            <w:vAlign w:val="bottom"/>
            <w:tcBorders>
              <w:bottom w:val="single" w:sz="8" w:color="D9D9D6"/>
            </w:tcBorders>
          </w:tcPr>
          <w:p>
            <w:pPr>
              <w:jc w:val="right"/>
              <w:ind w:right="91"/>
              <w:spacing w:after="0"/>
              <w:rPr>
                <w:sz w:val="20"/>
                <w:szCs w:val="20"/>
                <w:color w:val="auto"/>
              </w:rPr>
            </w:pPr>
            <w:r>
              <w:rPr>
                <w:rFonts w:ascii="Arial" w:cs="Arial" w:eastAsia="Arial" w:hAnsi="Arial"/>
                <w:sz w:val="14"/>
                <w:szCs w:val="14"/>
                <w:color w:val="3D3935"/>
              </w:rPr>
              <w:t>1,200,000</w:t>
            </w:r>
          </w:p>
        </w:tc>
        <w:tc>
          <w:tcPr>
            <w:tcW w:w="620" w:type="dxa"/>
            <w:vAlign w:val="bottom"/>
            <w:tcBorders>
              <w:bottom w:val="single" w:sz="8" w:color="D9D9D6"/>
            </w:tcBorders>
          </w:tcPr>
          <w:p>
            <w:pPr>
              <w:jc w:val="right"/>
              <w:ind w:right="30"/>
              <w:spacing w:after="0"/>
              <w:rPr>
                <w:sz w:val="20"/>
                <w:szCs w:val="20"/>
                <w:color w:val="auto"/>
              </w:rPr>
            </w:pPr>
            <w:r>
              <w:rPr>
                <w:rFonts w:ascii="Arial" w:cs="Arial" w:eastAsia="Arial" w:hAnsi="Arial"/>
                <w:sz w:val="14"/>
                <w:szCs w:val="14"/>
                <w:color w:val="3D3935"/>
              </w:rPr>
              <w:t>125%</w:t>
            </w:r>
          </w:p>
        </w:tc>
        <w:tc>
          <w:tcPr>
            <w:tcW w:w="960" w:type="dxa"/>
            <w:vAlign w:val="bottom"/>
            <w:tcBorders>
              <w:bottom w:val="single" w:sz="8" w:color="D9D9D6"/>
            </w:tcBorders>
          </w:tcPr>
          <w:p>
            <w:pPr>
              <w:jc w:val="right"/>
              <w:ind w:right="110"/>
              <w:spacing w:after="0"/>
              <w:rPr>
                <w:sz w:val="20"/>
                <w:szCs w:val="20"/>
                <w:color w:val="auto"/>
              </w:rPr>
            </w:pPr>
            <w:r>
              <w:rPr>
                <w:rFonts w:ascii="Arial" w:cs="Arial" w:eastAsia="Arial" w:hAnsi="Arial"/>
                <w:sz w:val="14"/>
                <w:szCs w:val="14"/>
                <w:color w:val="3D3935"/>
              </w:rPr>
              <w:t>1,500,000</w:t>
            </w:r>
          </w:p>
        </w:tc>
        <w:tc>
          <w:tcPr>
            <w:tcW w:w="1040" w:type="dxa"/>
            <w:vAlign w:val="bottom"/>
            <w:tcBorders>
              <w:bottom w:val="single" w:sz="8" w:color="D9D9D6"/>
            </w:tcBorders>
          </w:tcPr>
          <w:p>
            <w:pPr>
              <w:jc w:val="right"/>
              <w:ind w:right="52"/>
              <w:spacing w:after="0"/>
              <w:rPr>
                <w:sz w:val="20"/>
                <w:szCs w:val="20"/>
                <w:color w:val="auto"/>
              </w:rPr>
            </w:pPr>
            <w:r>
              <w:rPr>
                <w:rFonts w:ascii="Arial" w:cs="Arial" w:eastAsia="Arial" w:hAnsi="Arial"/>
                <w:sz w:val="14"/>
                <w:szCs w:val="14"/>
                <w:color w:val="3D3935"/>
              </w:rPr>
              <w:t>2,700,000</w:t>
            </w:r>
          </w:p>
        </w:tc>
        <w:tc>
          <w:tcPr>
            <w:tcW w:w="1140" w:type="dxa"/>
            <w:vAlign w:val="bottom"/>
            <w:tcBorders>
              <w:bottom w:val="single" w:sz="8" w:color="D9D9D6"/>
            </w:tcBorders>
          </w:tcPr>
          <w:p>
            <w:pPr>
              <w:jc w:val="right"/>
              <w:ind w:right="211"/>
              <w:spacing w:after="0"/>
              <w:rPr>
                <w:sz w:val="20"/>
                <w:szCs w:val="20"/>
                <w:color w:val="auto"/>
              </w:rPr>
            </w:pPr>
            <w:r>
              <w:rPr>
                <w:rFonts w:ascii="Arial" w:cs="Arial" w:eastAsia="Arial" w:hAnsi="Arial"/>
                <w:sz w:val="14"/>
                <w:szCs w:val="14"/>
                <w:color w:val="3D3935"/>
              </w:rPr>
              <w:t>6,975,000</w:t>
            </w:r>
          </w:p>
        </w:tc>
        <w:tc>
          <w:tcPr>
            <w:tcW w:w="800" w:type="dxa"/>
            <w:vAlign w:val="bottom"/>
            <w:tcBorders>
              <w:bottom w:val="single" w:sz="8" w:color="D9D9D6"/>
            </w:tcBorders>
          </w:tcPr>
          <w:p>
            <w:pPr>
              <w:jc w:val="right"/>
              <w:ind w:right="50"/>
              <w:spacing w:after="0"/>
              <w:rPr>
                <w:sz w:val="20"/>
                <w:szCs w:val="20"/>
                <w:color w:val="auto"/>
              </w:rPr>
            </w:pPr>
            <w:r>
              <w:rPr>
                <w:rFonts w:ascii="Arial" w:cs="Arial" w:eastAsia="Arial" w:hAnsi="Arial"/>
                <w:sz w:val="14"/>
                <w:szCs w:val="14"/>
                <w:color w:val="3D3935"/>
              </w:rPr>
              <w:t>2,325,000</w:t>
            </w:r>
          </w:p>
        </w:tc>
        <w:tc>
          <w:tcPr>
            <w:tcW w:w="1160" w:type="dxa"/>
            <w:vAlign w:val="bottom"/>
            <w:tcBorders>
              <w:bottom w:val="single" w:sz="8" w:color="D9D9D6"/>
            </w:tcBorders>
          </w:tcPr>
          <w:p>
            <w:pPr>
              <w:jc w:val="right"/>
              <w:ind w:right="52"/>
              <w:spacing w:after="0"/>
              <w:rPr>
                <w:sz w:val="20"/>
                <w:szCs w:val="20"/>
                <w:color w:val="auto"/>
              </w:rPr>
            </w:pPr>
            <w:r>
              <w:rPr>
                <w:rFonts w:ascii="Arial" w:cs="Arial" w:eastAsia="Arial" w:hAnsi="Arial"/>
                <w:sz w:val="14"/>
                <w:szCs w:val="14"/>
                <w:color w:val="3D3935"/>
              </w:rPr>
              <w:t>12,000,000</w:t>
            </w:r>
          </w:p>
        </w:tc>
        <w:tc>
          <w:tcPr>
            <w:tcW w:w="0" w:type="dxa"/>
            <w:vAlign w:val="bottom"/>
          </w:tcPr>
          <w:p>
            <w:pPr>
              <w:spacing w:after="0"/>
              <w:rPr>
                <w:sz w:val="1"/>
                <w:szCs w:val="1"/>
                <w:color w:val="auto"/>
              </w:rPr>
            </w:pPr>
          </w:p>
        </w:tc>
      </w:tr>
      <w:tr>
        <w:trPr>
          <w:trHeight w:val="236"/>
        </w:trPr>
        <w:tc>
          <w:tcPr>
            <w:tcW w:w="1900" w:type="dxa"/>
            <w:vAlign w:val="bottom"/>
            <w:tcBorders>
              <w:bottom w:val="single" w:sz="8" w:color="D9D9D6"/>
            </w:tcBorders>
          </w:tcPr>
          <w:p>
            <w:pPr>
              <w:ind w:left="60"/>
              <w:spacing w:after="0"/>
              <w:rPr>
                <w:sz w:val="20"/>
                <w:szCs w:val="20"/>
                <w:color w:val="auto"/>
              </w:rPr>
            </w:pPr>
            <w:r>
              <w:rPr>
                <w:rFonts w:ascii="Arial" w:cs="Arial" w:eastAsia="Arial" w:hAnsi="Arial"/>
                <w:sz w:val="14"/>
                <w:szCs w:val="14"/>
                <w:b w:val="1"/>
                <w:bCs w:val="1"/>
                <w:color w:val="0072CE"/>
              </w:rPr>
              <w:t>Mark L. Reuss</w:t>
            </w:r>
          </w:p>
        </w:tc>
        <w:tc>
          <w:tcPr>
            <w:tcW w:w="1460" w:type="dxa"/>
            <w:vAlign w:val="bottom"/>
            <w:tcBorders>
              <w:bottom w:val="single" w:sz="8" w:color="D9D9D6"/>
            </w:tcBorders>
          </w:tcPr>
          <w:p>
            <w:pPr>
              <w:jc w:val="right"/>
              <w:ind w:right="91"/>
              <w:spacing w:after="0"/>
              <w:rPr>
                <w:sz w:val="20"/>
                <w:szCs w:val="20"/>
                <w:color w:val="auto"/>
              </w:rPr>
            </w:pPr>
            <w:r>
              <w:rPr>
                <w:rFonts w:ascii="Arial" w:cs="Arial" w:eastAsia="Arial" w:hAnsi="Arial"/>
                <w:sz w:val="14"/>
                <w:szCs w:val="14"/>
                <w:color w:val="3D3935"/>
              </w:rPr>
              <w:t>1,350,000</w:t>
            </w:r>
          </w:p>
        </w:tc>
        <w:tc>
          <w:tcPr>
            <w:tcW w:w="620" w:type="dxa"/>
            <w:vAlign w:val="bottom"/>
            <w:tcBorders>
              <w:bottom w:val="single" w:sz="8" w:color="D9D9D6"/>
            </w:tcBorders>
          </w:tcPr>
          <w:p>
            <w:pPr>
              <w:jc w:val="right"/>
              <w:ind w:right="30"/>
              <w:spacing w:after="0"/>
              <w:rPr>
                <w:sz w:val="20"/>
                <w:szCs w:val="20"/>
                <w:color w:val="auto"/>
              </w:rPr>
            </w:pPr>
            <w:r>
              <w:rPr>
                <w:rFonts w:ascii="Arial" w:cs="Arial" w:eastAsia="Arial" w:hAnsi="Arial"/>
                <w:sz w:val="14"/>
                <w:szCs w:val="14"/>
                <w:color w:val="3D3935"/>
              </w:rPr>
              <w:t>125%</w:t>
            </w:r>
          </w:p>
        </w:tc>
        <w:tc>
          <w:tcPr>
            <w:tcW w:w="960" w:type="dxa"/>
            <w:vAlign w:val="bottom"/>
            <w:tcBorders>
              <w:bottom w:val="single" w:sz="8" w:color="D9D9D6"/>
            </w:tcBorders>
          </w:tcPr>
          <w:p>
            <w:pPr>
              <w:jc w:val="right"/>
              <w:ind w:right="90"/>
              <w:spacing w:after="0"/>
              <w:rPr>
                <w:sz w:val="20"/>
                <w:szCs w:val="20"/>
                <w:color w:val="auto"/>
              </w:rPr>
            </w:pPr>
            <w:r>
              <w:rPr>
                <w:rFonts w:ascii="Arial" w:cs="Arial" w:eastAsia="Arial" w:hAnsi="Arial"/>
                <w:sz w:val="14"/>
                <w:szCs w:val="14"/>
                <w:color w:val="3D3935"/>
              </w:rPr>
              <w:t>1,687,500</w:t>
            </w:r>
          </w:p>
        </w:tc>
        <w:tc>
          <w:tcPr>
            <w:tcW w:w="1040" w:type="dxa"/>
            <w:vAlign w:val="bottom"/>
            <w:tcBorders>
              <w:bottom w:val="single" w:sz="8" w:color="D9D9D6"/>
            </w:tcBorders>
          </w:tcPr>
          <w:p>
            <w:pPr>
              <w:jc w:val="right"/>
              <w:ind w:right="52"/>
              <w:spacing w:after="0"/>
              <w:rPr>
                <w:sz w:val="20"/>
                <w:szCs w:val="20"/>
                <w:color w:val="auto"/>
              </w:rPr>
            </w:pPr>
            <w:r>
              <w:rPr>
                <w:rFonts w:ascii="Arial" w:cs="Arial" w:eastAsia="Arial" w:hAnsi="Arial"/>
                <w:sz w:val="14"/>
                <w:szCs w:val="14"/>
                <w:color w:val="3D3935"/>
              </w:rPr>
              <w:t>3,037,500</w:t>
            </w:r>
          </w:p>
        </w:tc>
        <w:tc>
          <w:tcPr>
            <w:tcW w:w="1140" w:type="dxa"/>
            <w:vAlign w:val="bottom"/>
            <w:tcBorders>
              <w:bottom w:val="single" w:sz="8" w:color="D9D9D6"/>
            </w:tcBorders>
          </w:tcPr>
          <w:p>
            <w:pPr>
              <w:ind w:left="200"/>
              <w:spacing w:after="0"/>
              <w:rPr>
                <w:sz w:val="20"/>
                <w:szCs w:val="20"/>
                <w:color w:val="auto"/>
              </w:rPr>
            </w:pPr>
            <w:r>
              <w:rPr>
                <w:rFonts w:ascii="Arial" w:cs="Arial" w:eastAsia="Arial" w:hAnsi="Arial"/>
                <w:sz w:val="14"/>
                <w:szCs w:val="14"/>
                <w:color w:val="3D3935"/>
              </w:rPr>
              <w:t>10,471,875</w:t>
            </w:r>
          </w:p>
        </w:tc>
        <w:tc>
          <w:tcPr>
            <w:tcW w:w="800" w:type="dxa"/>
            <w:vAlign w:val="bottom"/>
            <w:tcBorders>
              <w:bottom w:val="single" w:sz="8" w:color="D9D9D6"/>
            </w:tcBorders>
          </w:tcPr>
          <w:p>
            <w:pPr>
              <w:jc w:val="right"/>
              <w:ind w:right="50"/>
              <w:spacing w:after="0"/>
              <w:rPr>
                <w:sz w:val="20"/>
                <w:szCs w:val="20"/>
                <w:color w:val="auto"/>
              </w:rPr>
            </w:pPr>
            <w:r>
              <w:rPr>
                <w:rFonts w:ascii="Arial" w:cs="Arial" w:eastAsia="Arial" w:hAnsi="Arial"/>
                <w:sz w:val="14"/>
                <w:szCs w:val="14"/>
                <w:color w:val="3D3935"/>
              </w:rPr>
              <w:t>3,490,625</w:t>
            </w:r>
          </w:p>
        </w:tc>
        <w:tc>
          <w:tcPr>
            <w:tcW w:w="1160" w:type="dxa"/>
            <w:vAlign w:val="bottom"/>
            <w:tcBorders>
              <w:bottom w:val="single" w:sz="8" w:color="D9D9D6"/>
            </w:tcBorders>
          </w:tcPr>
          <w:p>
            <w:pPr>
              <w:jc w:val="right"/>
              <w:ind w:right="32"/>
              <w:spacing w:after="0"/>
              <w:rPr>
                <w:sz w:val="20"/>
                <w:szCs w:val="20"/>
                <w:color w:val="auto"/>
              </w:rPr>
            </w:pPr>
            <w:r>
              <w:rPr>
                <w:rFonts w:ascii="Arial" w:cs="Arial" w:eastAsia="Arial" w:hAnsi="Arial"/>
                <w:sz w:val="14"/>
                <w:szCs w:val="14"/>
                <w:color w:val="3D3935"/>
              </w:rPr>
              <w:t>17,000,000</w:t>
            </w:r>
          </w:p>
        </w:tc>
        <w:tc>
          <w:tcPr>
            <w:tcW w:w="0" w:type="dxa"/>
            <w:vAlign w:val="bottom"/>
          </w:tcPr>
          <w:p>
            <w:pPr>
              <w:spacing w:after="0"/>
              <w:rPr>
                <w:sz w:val="1"/>
                <w:szCs w:val="1"/>
                <w:color w:val="auto"/>
              </w:rPr>
            </w:pPr>
          </w:p>
        </w:tc>
      </w:tr>
      <w:tr>
        <w:trPr>
          <w:trHeight w:val="237"/>
        </w:trPr>
        <w:tc>
          <w:tcPr>
            <w:tcW w:w="1900" w:type="dxa"/>
            <w:vAlign w:val="bottom"/>
            <w:tcBorders>
              <w:bottom w:val="single" w:sz="8" w:color="D9D9D6"/>
            </w:tcBorders>
          </w:tcPr>
          <w:p>
            <w:pPr>
              <w:ind w:left="60"/>
              <w:spacing w:after="0"/>
              <w:rPr>
                <w:sz w:val="20"/>
                <w:szCs w:val="20"/>
                <w:color w:val="auto"/>
              </w:rPr>
            </w:pPr>
            <w:r>
              <w:rPr>
                <w:rFonts w:ascii="Arial" w:cs="Arial" w:eastAsia="Arial" w:hAnsi="Arial"/>
                <w:sz w:val="14"/>
                <w:szCs w:val="14"/>
                <w:b w:val="1"/>
                <w:bCs w:val="1"/>
                <w:color w:val="0072CE"/>
              </w:rPr>
              <w:t>Craig B. Glidden</w:t>
            </w:r>
          </w:p>
        </w:tc>
        <w:tc>
          <w:tcPr>
            <w:tcW w:w="1460" w:type="dxa"/>
            <w:vAlign w:val="bottom"/>
            <w:tcBorders>
              <w:bottom w:val="single" w:sz="8" w:color="D9D9D6"/>
            </w:tcBorders>
          </w:tcPr>
          <w:p>
            <w:pPr>
              <w:jc w:val="right"/>
              <w:ind w:right="51"/>
              <w:spacing w:after="0"/>
              <w:rPr>
                <w:sz w:val="20"/>
                <w:szCs w:val="20"/>
                <w:color w:val="auto"/>
              </w:rPr>
            </w:pPr>
            <w:r>
              <w:rPr>
                <w:rFonts w:ascii="Arial" w:cs="Arial" w:eastAsia="Arial" w:hAnsi="Arial"/>
                <w:sz w:val="14"/>
                <w:szCs w:val="14"/>
                <w:color w:val="3D3935"/>
              </w:rPr>
              <w:t>1,100,000</w:t>
            </w:r>
          </w:p>
        </w:tc>
        <w:tc>
          <w:tcPr>
            <w:tcW w:w="620" w:type="dxa"/>
            <w:vAlign w:val="bottom"/>
            <w:tcBorders>
              <w:bottom w:val="single" w:sz="8" w:color="D9D9D6"/>
            </w:tcBorders>
          </w:tcPr>
          <w:p>
            <w:pPr>
              <w:jc w:val="right"/>
              <w:ind w:right="30"/>
              <w:spacing w:after="0"/>
              <w:rPr>
                <w:sz w:val="20"/>
                <w:szCs w:val="20"/>
                <w:color w:val="auto"/>
              </w:rPr>
            </w:pPr>
            <w:r>
              <w:rPr>
                <w:rFonts w:ascii="Arial" w:cs="Arial" w:eastAsia="Arial" w:hAnsi="Arial"/>
                <w:sz w:val="14"/>
                <w:szCs w:val="14"/>
                <w:color w:val="3D3935"/>
              </w:rPr>
              <w:t>125%</w:t>
            </w:r>
          </w:p>
        </w:tc>
        <w:tc>
          <w:tcPr>
            <w:tcW w:w="960" w:type="dxa"/>
            <w:vAlign w:val="bottom"/>
            <w:tcBorders>
              <w:bottom w:val="single" w:sz="8" w:color="D9D9D6"/>
            </w:tcBorders>
          </w:tcPr>
          <w:p>
            <w:pPr>
              <w:jc w:val="right"/>
              <w:ind w:right="90"/>
              <w:spacing w:after="0"/>
              <w:rPr>
                <w:sz w:val="20"/>
                <w:szCs w:val="20"/>
                <w:color w:val="auto"/>
              </w:rPr>
            </w:pPr>
            <w:r>
              <w:rPr>
                <w:rFonts w:ascii="Arial" w:cs="Arial" w:eastAsia="Arial" w:hAnsi="Arial"/>
                <w:sz w:val="14"/>
                <w:szCs w:val="14"/>
                <w:color w:val="3D3935"/>
              </w:rPr>
              <w:t>1,375,000</w:t>
            </w:r>
          </w:p>
        </w:tc>
        <w:tc>
          <w:tcPr>
            <w:tcW w:w="1040" w:type="dxa"/>
            <w:vAlign w:val="bottom"/>
            <w:tcBorders>
              <w:bottom w:val="single" w:sz="8" w:color="D9D9D6"/>
            </w:tcBorders>
          </w:tcPr>
          <w:p>
            <w:pPr>
              <w:jc w:val="right"/>
              <w:ind w:right="52"/>
              <w:spacing w:after="0"/>
              <w:rPr>
                <w:sz w:val="20"/>
                <w:szCs w:val="20"/>
                <w:color w:val="auto"/>
              </w:rPr>
            </w:pPr>
            <w:r>
              <w:rPr>
                <w:rFonts w:ascii="Arial" w:cs="Arial" w:eastAsia="Arial" w:hAnsi="Arial"/>
                <w:sz w:val="14"/>
                <w:szCs w:val="14"/>
                <w:color w:val="3D3935"/>
              </w:rPr>
              <w:t>2,475,000</w:t>
            </w:r>
          </w:p>
        </w:tc>
        <w:tc>
          <w:tcPr>
            <w:tcW w:w="1140" w:type="dxa"/>
            <w:vAlign w:val="bottom"/>
            <w:tcBorders>
              <w:bottom w:val="single" w:sz="8" w:color="D9D9D6"/>
            </w:tcBorders>
          </w:tcPr>
          <w:p>
            <w:pPr>
              <w:jc w:val="right"/>
              <w:ind w:right="191"/>
              <w:spacing w:after="0"/>
              <w:rPr>
                <w:sz w:val="20"/>
                <w:szCs w:val="20"/>
                <w:color w:val="auto"/>
              </w:rPr>
            </w:pPr>
            <w:r>
              <w:rPr>
                <w:rFonts w:ascii="Arial" w:cs="Arial" w:eastAsia="Arial" w:hAnsi="Arial"/>
                <w:sz w:val="14"/>
                <w:szCs w:val="14"/>
                <w:color w:val="3D3935"/>
              </w:rPr>
              <w:t>5,268,750</w:t>
            </w:r>
          </w:p>
        </w:tc>
        <w:tc>
          <w:tcPr>
            <w:tcW w:w="800" w:type="dxa"/>
            <w:vAlign w:val="bottom"/>
            <w:tcBorders>
              <w:bottom w:val="single" w:sz="8" w:color="D9D9D6"/>
            </w:tcBorders>
          </w:tcPr>
          <w:p>
            <w:pPr>
              <w:jc w:val="right"/>
              <w:spacing w:after="0"/>
              <w:rPr>
                <w:sz w:val="20"/>
                <w:szCs w:val="20"/>
                <w:color w:val="auto"/>
              </w:rPr>
            </w:pPr>
            <w:r>
              <w:rPr>
                <w:rFonts w:ascii="Arial" w:cs="Arial" w:eastAsia="Arial" w:hAnsi="Arial"/>
                <w:sz w:val="14"/>
                <w:szCs w:val="14"/>
                <w:color w:val="3D3935"/>
              </w:rPr>
              <w:t>1,756,250</w:t>
            </w:r>
          </w:p>
        </w:tc>
        <w:tc>
          <w:tcPr>
            <w:tcW w:w="1160" w:type="dxa"/>
            <w:vAlign w:val="bottom"/>
            <w:tcBorders>
              <w:bottom w:val="single" w:sz="8" w:color="D9D9D6"/>
            </w:tcBorders>
          </w:tcPr>
          <w:p>
            <w:pPr>
              <w:jc w:val="right"/>
              <w:ind w:right="52"/>
              <w:spacing w:after="0"/>
              <w:rPr>
                <w:sz w:val="20"/>
                <w:szCs w:val="20"/>
                <w:color w:val="auto"/>
              </w:rPr>
            </w:pPr>
            <w:r>
              <w:rPr>
                <w:rFonts w:ascii="Arial" w:cs="Arial" w:eastAsia="Arial" w:hAnsi="Arial"/>
                <w:sz w:val="14"/>
                <w:szCs w:val="14"/>
                <w:color w:val="3D3935"/>
              </w:rPr>
              <w:t>9,500,000</w:t>
            </w:r>
          </w:p>
        </w:tc>
        <w:tc>
          <w:tcPr>
            <w:tcW w:w="0" w:type="dxa"/>
            <w:vAlign w:val="bottom"/>
          </w:tcPr>
          <w:p>
            <w:pPr>
              <w:spacing w:after="0"/>
              <w:rPr>
                <w:sz w:val="1"/>
                <w:szCs w:val="1"/>
                <w:color w:val="auto"/>
              </w:rPr>
            </w:pPr>
          </w:p>
        </w:tc>
      </w:tr>
      <w:tr>
        <w:trPr>
          <w:trHeight w:val="236"/>
        </w:trPr>
        <w:tc>
          <w:tcPr>
            <w:tcW w:w="1900" w:type="dxa"/>
            <w:vAlign w:val="bottom"/>
            <w:tcBorders>
              <w:bottom w:val="single" w:sz="8" w:color="D9D9D6"/>
            </w:tcBorders>
          </w:tcPr>
          <w:p>
            <w:pPr>
              <w:ind w:left="60"/>
              <w:spacing w:after="0"/>
              <w:rPr>
                <w:sz w:val="20"/>
                <w:szCs w:val="20"/>
                <w:color w:val="auto"/>
              </w:rPr>
            </w:pPr>
            <w:r>
              <w:rPr>
                <w:rFonts w:ascii="Arial" w:cs="Arial" w:eastAsia="Arial" w:hAnsi="Arial"/>
                <w:sz w:val="14"/>
                <w:szCs w:val="14"/>
                <w:b w:val="1"/>
                <w:bCs w:val="1"/>
                <w:color w:val="0072CE"/>
              </w:rPr>
              <w:t>Rory V. Harvey</w:t>
            </w:r>
          </w:p>
        </w:tc>
        <w:tc>
          <w:tcPr>
            <w:tcW w:w="1460" w:type="dxa"/>
            <w:vAlign w:val="bottom"/>
            <w:tcBorders>
              <w:bottom w:val="single" w:sz="8" w:color="D9D9D6"/>
            </w:tcBorders>
          </w:tcPr>
          <w:p>
            <w:pPr>
              <w:jc w:val="right"/>
              <w:ind w:right="111"/>
              <w:spacing w:after="0"/>
              <w:rPr>
                <w:sz w:val="20"/>
                <w:szCs w:val="20"/>
                <w:color w:val="auto"/>
              </w:rPr>
            </w:pPr>
            <w:r>
              <w:rPr>
                <w:rFonts w:ascii="Arial" w:cs="Arial" w:eastAsia="Arial" w:hAnsi="Arial"/>
                <w:sz w:val="14"/>
                <w:szCs w:val="14"/>
                <w:color w:val="3D3935"/>
              </w:rPr>
              <w:t>850,000</w:t>
            </w:r>
          </w:p>
        </w:tc>
        <w:tc>
          <w:tcPr>
            <w:tcW w:w="620" w:type="dxa"/>
            <w:vAlign w:val="bottom"/>
            <w:tcBorders>
              <w:bottom w:val="single" w:sz="8" w:color="D9D9D6"/>
            </w:tcBorders>
          </w:tcPr>
          <w:p>
            <w:pPr>
              <w:jc w:val="right"/>
              <w:ind w:right="30"/>
              <w:spacing w:after="0"/>
              <w:rPr>
                <w:sz w:val="20"/>
                <w:szCs w:val="20"/>
                <w:color w:val="auto"/>
              </w:rPr>
            </w:pPr>
            <w:r>
              <w:rPr>
                <w:rFonts w:ascii="Arial" w:cs="Arial" w:eastAsia="Arial" w:hAnsi="Arial"/>
                <w:sz w:val="14"/>
                <w:szCs w:val="14"/>
                <w:color w:val="3D3935"/>
              </w:rPr>
              <w:t>125%</w:t>
            </w:r>
          </w:p>
        </w:tc>
        <w:tc>
          <w:tcPr>
            <w:tcW w:w="960" w:type="dxa"/>
            <w:vAlign w:val="bottom"/>
            <w:tcBorders>
              <w:bottom w:val="single" w:sz="8" w:color="D9D9D6"/>
            </w:tcBorders>
          </w:tcPr>
          <w:p>
            <w:pPr>
              <w:jc w:val="right"/>
              <w:ind w:right="110"/>
              <w:spacing w:after="0"/>
              <w:rPr>
                <w:sz w:val="20"/>
                <w:szCs w:val="20"/>
                <w:color w:val="auto"/>
              </w:rPr>
            </w:pPr>
            <w:r>
              <w:rPr>
                <w:rFonts w:ascii="Arial" w:cs="Arial" w:eastAsia="Arial" w:hAnsi="Arial"/>
                <w:sz w:val="14"/>
                <w:szCs w:val="14"/>
                <w:color w:val="3D3935"/>
              </w:rPr>
              <w:t>1,062,500</w:t>
            </w:r>
          </w:p>
        </w:tc>
        <w:tc>
          <w:tcPr>
            <w:tcW w:w="1040" w:type="dxa"/>
            <w:vAlign w:val="bottom"/>
            <w:tcBorders>
              <w:bottom w:val="single" w:sz="8" w:color="D9D9D6"/>
            </w:tcBorders>
          </w:tcPr>
          <w:p>
            <w:pPr>
              <w:jc w:val="right"/>
              <w:spacing w:after="0"/>
              <w:rPr>
                <w:sz w:val="20"/>
                <w:szCs w:val="20"/>
                <w:color w:val="auto"/>
              </w:rPr>
            </w:pPr>
            <w:r>
              <w:rPr>
                <w:rFonts w:ascii="Arial" w:cs="Arial" w:eastAsia="Arial" w:hAnsi="Arial"/>
                <w:sz w:val="14"/>
                <w:szCs w:val="14"/>
                <w:color w:val="3D3935"/>
              </w:rPr>
              <w:t>1,912,500</w:t>
            </w:r>
          </w:p>
        </w:tc>
        <w:tc>
          <w:tcPr>
            <w:tcW w:w="1140" w:type="dxa"/>
            <w:vAlign w:val="bottom"/>
            <w:tcBorders>
              <w:bottom w:val="single" w:sz="8" w:color="D9D9D6"/>
            </w:tcBorders>
          </w:tcPr>
          <w:p>
            <w:pPr>
              <w:jc w:val="right"/>
              <w:ind w:right="171"/>
              <w:spacing w:after="0"/>
              <w:rPr>
                <w:sz w:val="20"/>
                <w:szCs w:val="20"/>
                <w:color w:val="auto"/>
              </w:rPr>
            </w:pPr>
            <w:r>
              <w:rPr>
                <w:rFonts w:ascii="Arial" w:cs="Arial" w:eastAsia="Arial" w:hAnsi="Arial"/>
                <w:sz w:val="14"/>
                <w:szCs w:val="14"/>
                <w:color w:val="3D3935"/>
              </w:rPr>
              <w:t>5,315,625</w:t>
            </w:r>
          </w:p>
        </w:tc>
        <w:tc>
          <w:tcPr>
            <w:tcW w:w="800" w:type="dxa"/>
            <w:vAlign w:val="bottom"/>
            <w:tcBorders>
              <w:bottom w:val="single" w:sz="8" w:color="D9D9D6"/>
            </w:tcBorders>
          </w:tcPr>
          <w:p>
            <w:pPr>
              <w:jc w:val="right"/>
              <w:spacing w:after="0"/>
              <w:rPr>
                <w:sz w:val="20"/>
                <w:szCs w:val="20"/>
                <w:color w:val="auto"/>
              </w:rPr>
            </w:pPr>
            <w:r>
              <w:rPr>
                <w:rFonts w:ascii="Arial" w:cs="Arial" w:eastAsia="Arial" w:hAnsi="Arial"/>
                <w:sz w:val="14"/>
                <w:szCs w:val="14"/>
                <w:color w:val="3D3935"/>
              </w:rPr>
              <w:t>1,771,875</w:t>
            </w:r>
          </w:p>
        </w:tc>
        <w:tc>
          <w:tcPr>
            <w:tcW w:w="1160" w:type="dxa"/>
            <w:vAlign w:val="bottom"/>
            <w:tcBorders>
              <w:bottom w:val="single" w:sz="8" w:color="D9D9D6"/>
            </w:tcBorders>
          </w:tcPr>
          <w:p>
            <w:pPr>
              <w:jc w:val="right"/>
              <w:ind w:right="72"/>
              <w:spacing w:after="0"/>
              <w:rPr>
                <w:sz w:val="20"/>
                <w:szCs w:val="20"/>
                <w:color w:val="auto"/>
              </w:rPr>
            </w:pPr>
            <w:r>
              <w:rPr>
                <w:rFonts w:ascii="Arial" w:cs="Arial" w:eastAsia="Arial" w:hAnsi="Arial"/>
                <w:sz w:val="14"/>
                <w:szCs w:val="14"/>
                <w:color w:val="3D3935"/>
              </w:rPr>
              <w:t>9,000,000</w:t>
            </w:r>
          </w:p>
        </w:tc>
        <w:tc>
          <w:tcPr>
            <w:tcW w:w="0" w:type="dxa"/>
            <w:vAlign w:val="bottom"/>
          </w:tcPr>
          <w:p>
            <w:pPr>
              <w:spacing w:after="0"/>
              <w:rPr>
                <w:sz w:val="1"/>
                <w:szCs w:val="1"/>
                <w:color w:val="auto"/>
              </w:rPr>
            </w:pPr>
          </w:p>
        </w:tc>
      </w:tr>
      <w:tr>
        <w:trPr>
          <w:trHeight w:val="237"/>
        </w:trPr>
        <w:tc>
          <w:tcPr>
            <w:tcW w:w="1900" w:type="dxa"/>
            <w:vAlign w:val="bottom"/>
            <w:tcBorders>
              <w:bottom w:val="single" w:sz="8" w:color="0072CE"/>
            </w:tcBorders>
            <w:shd w:val="clear" w:color="auto" w:fill="DBDBDB"/>
          </w:tcPr>
          <w:p>
            <w:pPr>
              <w:ind w:left="60"/>
              <w:spacing w:after="0"/>
              <w:rPr>
                <w:sz w:val="20"/>
                <w:szCs w:val="20"/>
                <w:color w:val="auto"/>
              </w:rPr>
            </w:pPr>
            <w:r>
              <w:rPr>
                <w:rFonts w:ascii="Arial" w:cs="Arial" w:eastAsia="Arial" w:hAnsi="Arial"/>
                <w:sz w:val="14"/>
                <w:szCs w:val="14"/>
                <w:b w:val="1"/>
                <w:bCs w:val="1"/>
                <w:color w:val="0072CE"/>
              </w:rPr>
              <w:t>Michael Abbott</w:t>
            </w:r>
            <w:r>
              <w:rPr>
                <w:rFonts w:ascii="Arial" w:cs="Arial" w:eastAsia="Arial" w:hAnsi="Arial"/>
                <w:sz w:val="18"/>
                <w:szCs w:val="18"/>
                <w:b w:val="1"/>
                <w:bCs w:val="1"/>
                <w:color w:val="0072CE"/>
                <w:vertAlign w:val="superscript"/>
              </w:rPr>
              <w:t>(2)</w:t>
            </w:r>
          </w:p>
        </w:tc>
        <w:tc>
          <w:tcPr>
            <w:tcW w:w="1460" w:type="dxa"/>
            <w:vAlign w:val="bottom"/>
            <w:tcBorders>
              <w:bottom w:val="single" w:sz="8" w:color="0072CE"/>
            </w:tcBorders>
            <w:shd w:val="clear" w:color="auto" w:fill="DBDBDB"/>
          </w:tcPr>
          <w:p>
            <w:pPr>
              <w:jc w:val="right"/>
              <w:ind w:right="91"/>
              <w:spacing w:after="0"/>
              <w:rPr>
                <w:sz w:val="20"/>
                <w:szCs w:val="20"/>
                <w:color w:val="auto"/>
              </w:rPr>
            </w:pPr>
            <w:r>
              <w:rPr>
                <w:rFonts w:ascii="Arial" w:cs="Arial" w:eastAsia="Arial" w:hAnsi="Arial"/>
                <w:sz w:val="14"/>
                <w:szCs w:val="14"/>
                <w:color w:val="3D3935"/>
              </w:rPr>
              <w:t>1,200,000</w:t>
            </w:r>
          </w:p>
        </w:tc>
        <w:tc>
          <w:tcPr>
            <w:tcW w:w="620" w:type="dxa"/>
            <w:vAlign w:val="bottom"/>
            <w:tcBorders>
              <w:bottom w:val="single" w:sz="8" w:color="0072CE"/>
            </w:tcBorders>
            <w:shd w:val="clear" w:color="auto" w:fill="DBDBDB"/>
          </w:tcPr>
          <w:p>
            <w:pPr>
              <w:jc w:val="right"/>
              <w:ind w:right="30"/>
              <w:spacing w:after="0"/>
              <w:rPr>
                <w:sz w:val="20"/>
                <w:szCs w:val="20"/>
                <w:color w:val="auto"/>
              </w:rPr>
            </w:pPr>
            <w:r>
              <w:rPr>
                <w:rFonts w:ascii="Arial" w:cs="Arial" w:eastAsia="Arial" w:hAnsi="Arial"/>
                <w:sz w:val="14"/>
                <w:szCs w:val="14"/>
                <w:color w:val="3D3935"/>
              </w:rPr>
              <w:t>125%</w:t>
            </w:r>
          </w:p>
        </w:tc>
        <w:tc>
          <w:tcPr>
            <w:tcW w:w="960" w:type="dxa"/>
            <w:vAlign w:val="bottom"/>
            <w:tcBorders>
              <w:bottom w:val="single" w:sz="8" w:color="0072CE"/>
            </w:tcBorders>
            <w:shd w:val="clear" w:color="auto" w:fill="DBDBDB"/>
          </w:tcPr>
          <w:p>
            <w:pPr>
              <w:jc w:val="right"/>
              <w:ind w:right="110"/>
              <w:spacing w:after="0"/>
              <w:rPr>
                <w:sz w:val="20"/>
                <w:szCs w:val="20"/>
                <w:color w:val="auto"/>
              </w:rPr>
            </w:pPr>
            <w:r>
              <w:rPr>
                <w:rFonts w:ascii="Arial" w:cs="Arial" w:eastAsia="Arial" w:hAnsi="Arial"/>
                <w:sz w:val="14"/>
                <w:szCs w:val="14"/>
                <w:color w:val="3D3935"/>
              </w:rPr>
              <w:t>1,500,000</w:t>
            </w:r>
          </w:p>
        </w:tc>
        <w:tc>
          <w:tcPr>
            <w:tcW w:w="1040" w:type="dxa"/>
            <w:vAlign w:val="bottom"/>
            <w:tcBorders>
              <w:bottom w:val="single" w:sz="8" w:color="0072CE"/>
            </w:tcBorders>
            <w:shd w:val="clear" w:color="auto" w:fill="DBDBDB"/>
          </w:tcPr>
          <w:p>
            <w:pPr>
              <w:jc w:val="right"/>
              <w:ind w:right="52"/>
              <w:spacing w:after="0"/>
              <w:rPr>
                <w:sz w:val="20"/>
                <w:szCs w:val="20"/>
                <w:color w:val="auto"/>
              </w:rPr>
            </w:pPr>
            <w:r>
              <w:rPr>
                <w:rFonts w:ascii="Arial" w:cs="Arial" w:eastAsia="Arial" w:hAnsi="Arial"/>
                <w:sz w:val="14"/>
                <w:szCs w:val="14"/>
                <w:color w:val="3D3935"/>
              </w:rPr>
              <w:t>2,700,000</w:t>
            </w:r>
          </w:p>
        </w:tc>
        <w:tc>
          <w:tcPr>
            <w:tcW w:w="1140" w:type="dxa"/>
            <w:vAlign w:val="bottom"/>
            <w:tcBorders>
              <w:bottom w:val="single" w:sz="8" w:color="0072CE"/>
            </w:tcBorders>
            <w:shd w:val="clear" w:color="auto" w:fill="DBDBDB"/>
          </w:tcPr>
          <w:p>
            <w:pPr>
              <w:ind w:left="220"/>
              <w:spacing w:after="0"/>
              <w:rPr>
                <w:sz w:val="20"/>
                <w:szCs w:val="20"/>
                <w:color w:val="auto"/>
              </w:rPr>
            </w:pPr>
            <w:r>
              <w:rPr>
                <w:rFonts w:ascii="Arial" w:cs="Arial" w:eastAsia="Arial" w:hAnsi="Arial"/>
                <w:sz w:val="14"/>
                <w:szCs w:val="14"/>
                <w:color w:val="3D3935"/>
              </w:rPr>
              <w:t>8,475,000</w:t>
            </w:r>
          </w:p>
        </w:tc>
        <w:tc>
          <w:tcPr>
            <w:tcW w:w="800" w:type="dxa"/>
            <w:vAlign w:val="bottom"/>
            <w:tcBorders>
              <w:bottom w:val="single" w:sz="8" w:color="0072CE"/>
            </w:tcBorders>
            <w:shd w:val="clear" w:color="auto" w:fill="DBDBDB"/>
          </w:tcPr>
          <w:p>
            <w:pPr>
              <w:jc w:val="right"/>
              <w:ind w:right="50"/>
              <w:spacing w:after="0"/>
              <w:rPr>
                <w:sz w:val="20"/>
                <w:szCs w:val="20"/>
                <w:color w:val="auto"/>
              </w:rPr>
            </w:pPr>
            <w:r>
              <w:rPr>
                <w:rFonts w:ascii="Arial" w:cs="Arial" w:eastAsia="Arial" w:hAnsi="Arial"/>
                <w:sz w:val="14"/>
                <w:szCs w:val="14"/>
                <w:color w:val="3D3935"/>
              </w:rPr>
              <w:t>2,825,000</w:t>
            </w:r>
          </w:p>
        </w:tc>
        <w:tc>
          <w:tcPr>
            <w:tcW w:w="1160" w:type="dxa"/>
            <w:vAlign w:val="bottom"/>
            <w:tcBorders>
              <w:bottom w:val="single" w:sz="8" w:color="0072CE"/>
            </w:tcBorders>
            <w:shd w:val="clear" w:color="auto" w:fill="DBDBDB"/>
          </w:tcPr>
          <w:p>
            <w:pPr>
              <w:jc w:val="right"/>
              <w:ind w:right="52"/>
              <w:spacing w:after="0"/>
              <w:rPr>
                <w:sz w:val="20"/>
                <w:szCs w:val="20"/>
                <w:color w:val="auto"/>
              </w:rPr>
            </w:pPr>
            <w:r>
              <w:rPr>
                <w:rFonts w:ascii="Arial" w:cs="Arial" w:eastAsia="Arial" w:hAnsi="Arial"/>
                <w:sz w:val="14"/>
                <w:szCs w:val="14"/>
                <w:color w:val="3D3935"/>
              </w:rPr>
              <w:t>14,000,000</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200" w:right="380" w:hanging="192"/>
        <w:spacing w:after="0" w:line="257" w:lineRule="auto"/>
        <w:tabs>
          <w:tab w:leader="none" w:pos="200" w:val="left"/>
        </w:tabs>
        <w:numPr>
          <w:ilvl w:val="0"/>
          <w:numId w:val="78"/>
        </w:numPr>
        <w:rPr>
          <w:rFonts w:ascii="Arial" w:cs="Arial" w:eastAsia="Arial" w:hAnsi="Arial"/>
          <w:sz w:val="19"/>
          <w:szCs w:val="19"/>
          <w:color w:val="3D3935"/>
          <w:vertAlign w:val="superscript"/>
        </w:rPr>
      </w:pPr>
      <w:r>
        <w:rPr>
          <w:rFonts w:ascii="Arial" w:cs="Arial" w:eastAsia="Arial" w:hAnsi="Arial"/>
          <w:sz w:val="14"/>
          <w:szCs w:val="14"/>
          <w:color w:val="3D3935"/>
        </w:rPr>
        <w:t>The number of PSUs awarded is determined by using the target PSU value divided by the closing stock price on the date of grant for the Cumulative AAOCF and EBIT-adjusted Margin portions of the award, and the results of the Monte Carlo analysis for the Relative TSR portion of the award.</w:t>
      </w:r>
    </w:p>
    <w:p>
      <w:pPr>
        <w:spacing w:after="0" w:line="55" w:lineRule="exact"/>
        <w:rPr>
          <w:rFonts w:ascii="Arial" w:cs="Arial" w:eastAsia="Arial" w:hAnsi="Arial"/>
          <w:sz w:val="19"/>
          <w:szCs w:val="19"/>
          <w:color w:val="3D3935"/>
          <w:vertAlign w:val="superscript"/>
        </w:rPr>
      </w:pPr>
    </w:p>
    <w:p>
      <w:pPr>
        <w:ind w:left="200" w:right="520" w:hanging="192"/>
        <w:spacing w:after="0" w:line="239" w:lineRule="auto"/>
        <w:tabs>
          <w:tab w:leader="none" w:pos="200" w:val="left"/>
        </w:tabs>
        <w:numPr>
          <w:ilvl w:val="0"/>
          <w:numId w:val="78"/>
        </w:numPr>
        <w:rPr>
          <w:rFonts w:ascii="Arial" w:cs="Arial" w:eastAsia="Arial" w:hAnsi="Arial"/>
          <w:sz w:val="19"/>
          <w:szCs w:val="19"/>
          <w:color w:val="3D3935"/>
          <w:vertAlign w:val="superscript"/>
        </w:rPr>
      </w:pPr>
      <w:r>
        <w:rPr>
          <w:rFonts w:ascii="Arial" w:cs="Arial" w:eastAsia="Arial" w:hAnsi="Arial"/>
          <w:sz w:val="14"/>
          <w:szCs w:val="14"/>
          <w:color w:val="3D3935"/>
        </w:rPr>
        <w:t>As discussed on page 66, Mr. Abbott resigned from the Company effective April 2, 2024. As a result, much of the compensation in the above table was not delivered or was forfeited upon his resignation.</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Salary</w:t>
      </w:r>
    </w:p>
    <w:p>
      <w:pPr>
        <w:spacing w:after="0" w:line="114" w:lineRule="exact"/>
        <w:rPr>
          <w:sz w:val="20"/>
          <w:szCs w:val="20"/>
          <w:color w:val="auto"/>
        </w:rPr>
      </w:pPr>
    </w:p>
    <w:p>
      <w:pPr>
        <w:ind w:right="700"/>
        <w:spacing w:after="0" w:line="291" w:lineRule="auto"/>
        <w:rPr>
          <w:sz w:val="20"/>
          <w:szCs w:val="20"/>
          <w:color w:val="auto"/>
        </w:rPr>
      </w:pPr>
      <w:r>
        <w:rPr>
          <w:rFonts w:ascii="Arial" w:cs="Arial" w:eastAsia="Arial" w:hAnsi="Arial"/>
          <w:sz w:val="16"/>
          <w:szCs w:val="16"/>
          <w:color w:val="3D3935"/>
        </w:rPr>
        <w:t>While a substantial portion of our NEO’s compensation is at risk in the form of equity awards and incentives which are contingent on the achievement of certain Company financial and strategic goals, we aim to provide salaries to our executives at a competitive level of fixed cash compensation. Each NEO’s salary takes into account competitive market data in addition to the executive’s experience, skills, tenure and performance in role, as well as the assumption of any expanded responsibilities.</w:t>
      </w:r>
    </w:p>
    <w:p>
      <w:pPr>
        <w:spacing w:after="0" w:line="76"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Short-Term Incentive Compensation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600" w:type="dxa"/>
            <w:vAlign w:val="bottom"/>
            <w:shd w:val="clear" w:color="auto" w:fill="F0F3F6"/>
          </w:tcPr>
          <w:p>
            <w:pPr>
              <w:spacing w:after="0"/>
              <w:rPr>
                <w:sz w:val="24"/>
                <w:szCs w:val="24"/>
                <w:color w:val="auto"/>
              </w:rPr>
            </w:pPr>
          </w:p>
        </w:tc>
        <w:tc>
          <w:tcPr>
            <w:tcW w:w="8480" w:type="dxa"/>
            <w:vAlign w:val="bottom"/>
            <w:gridSpan w:val="2"/>
            <w:shd w:val="clear" w:color="auto" w:fill="F0F3F6"/>
          </w:tcPr>
          <w:p>
            <w:pPr>
              <w:ind w:left="3080"/>
              <w:spacing w:after="0"/>
              <w:rPr>
                <w:sz w:val="20"/>
                <w:szCs w:val="20"/>
                <w:color w:val="auto"/>
              </w:rPr>
            </w:pPr>
            <w:r>
              <w:rPr>
                <w:rFonts w:ascii="Arial" w:cs="Arial" w:eastAsia="Arial" w:hAnsi="Arial"/>
                <w:sz w:val="18"/>
                <w:szCs w:val="18"/>
                <w:b w:val="1"/>
                <w:bCs w:val="1"/>
                <w:color w:val="3D3935"/>
              </w:rPr>
              <w:t>Key Design Changes</w:t>
            </w:r>
          </w:p>
        </w:tc>
      </w:tr>
      <w:tr>
        <w:trPr>
          <w:trHeight w:val="284"/>
        </w:trPr>
        <w:tc>
          <w:tcPr>
            <w:tcW w:w="600" w:type="dxa"/>
            <w:vAlign w:val="bottom"/>
            <w:tcBorders>
              <w:bottom w:val="single" w:sz="8" w:color="0072CE"/>
            </w:tcBorders>
            <w:shd w:val="clear" w:color="auto" w:fill="F0F3F6"/>
          </w:tcPr>
          <w:p>
            <w:pPr>
              <w:spacing w:after="0"/>
              <w:rPr>
                <w:sz w:val="24"/>
                <w:szCs w:val="24"/>
                <w:color w:val="auto"/>
              </w:rPr>
            </w:pPr>
          </w:p>
        </w:tc>
        <w:tc>
          <w:tcPr>
            <w:tcW w:w="3760" w:type="dxa"/>
            <w:vAlign w:val="bottom"/>
            <w:tcBorders>
              <w:bottom w:val="single" w:sz="8" w:color="0072CE"/>
            </w:tcBorders>
            <w:shd w:val="clear" w:color="auto" w:fill="F0F3F6"/>
          </w:tcPr>
          <w:p>
            <w:pPr>
              <w:jc w:val="right"/>
              <w:ind w:right="1815"/>
              <w:spacing w:after="0"/>
              <w:rPr>
                <w:sz w:val="20"/>
                <w:szCs w:val="20"/>
                <w:color w:val="auto"/>
              </w:rPr>
            </w:pPr>
            <w:r>
              <w:rPr>
                <w:rFonts w:ascii="Arial" w:cs="Arial" w:eastAsia="Arial" w:hAnsi="Arial"/>
                <w:sz w:val="18"/>
                <w:szCs w:val="18"/>
                <w:b w:val="1"/>
                <w:bCs w:val="1"/>
                <w:color w:val="3D3935"/>
              </w:rPr>
              <w:t>2023</w:t>
            </w:r>
          </w:p>
        </w:tc>
        <w:tc>
          <w:tcPr>
            <w:tcW w:w="4720" w:type="dxa"/>
            <w:vAlign w:val="bottom"/>
            <w:tcBorders>
              <w:bottom w:val="single" w:sz="8" w:color="0072CE"/>
            </w:tcBorders>
            <w:shd w:val="clear" w:color="auto" w:fill="F0F3F6"/>
          </w:tcPr>
          <w:p>
            <w:pPr>
              <w:ind w:left="2220"/>
              <w:spacing w:after="0"/>
              <w:rPr>
                <w:sz w:val="20"/>
                <w:szCs w:val="20"/>
                <w:color w:val="auto"/>
              </w:rPr>
            </w:pPr>
            <w:r>
              <w:rPr>
                <w:rFonts w:ascii="Arial" w:cs="Arial" w:eastAsia="Arial" w:hAnsi="Arial"/>
                <w:sz w:val="18"/>
                <w:szCs w:val="18"/>
                <w:b w:val="1"/>
                <w:bCs w:val="1"/>
                <w:color w:val="3D3935"/>
              </w:rPr>
              <w:t>2024</w:t>
            </w:r>
          </w:p>
        </w:tc>
      </w:tr>
      <w:tr>
        <w:trPr>
          <w:trHeight w:val="289"/>
        </w:trPr>
        <w:tc>
          <w:tcPr>
            <w:tcW w:w="600" w:type="dxa"/>
            <w:vAlign w:val="bottom"/>
          </w:tcPr>
          <w:p>
            <w:pPr>
              <w:ind w:left="6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75%</w:t>
            </w:r>
          </w:p>
        </w:tc>
        <w:tc>
          <w:tcPr>
            <w:tcW w:w="3760" w:type="dxa"/>
            <w:vAlign w:val="bottom"/>
          </w:tcPr>
          <w:p>
            <w:pPr>
              <w:ind w:left="20"/>
              <w:spacing w:after="0"/>
              <w:rPr>
                <w:sz w:val="20"/>
                <w:szCs w:val="20"/>
                <w:color w:val="auto"/>
              </w:rPr>
            </w:pPr>
            <w:r>
              <w:rPr>
                <w:rFonts w:ascii="Arial" w:cs="Arial" w:eastAsia="Arial" w:hAnsi="Arial"/>
                <w:sz w:val="16"/>
                <w:szCs w:val="16"/>
                <w:color w:val="3D3935"/>
              </w:rPr>
              <w:t>Financials (EBIT-adjusted and AAFCF)</w:t>
            </w:r>
          </w:p>
        </w:tc>
        <w:tc>
          <w:tcPr>
            <w:tcW w:w="4720" w:type="dxa"/>
            <w:vAlign w:val="bottom"/>
          </w:tcPr>
          <w:p>
            <w:pPr>
              <w:ind w:left="24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60% Financials (EBIT-adjusted and AAFCF)</w:t>
            </w:r>
          </w:p>
        </w:tc>
      </w:tr>
      <w:tr>
        <w:trPr>
          <w:trHeight w:val="270"/>
        </w:trPr>
        <w:tc>
          <w:tcPr>
            <w:tcW w:w="4360" w:type="dxa"/>
            <w:vAlign w:val="bottom"/>
            <w:gridSpan w:val="2"/>
          </w:tcPr>
          <w:p>
            <w:pPr>
              <w:ind w:left="24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EBIT-adjusted excluded Cruise</w:t>
            </w:r>
          </w:p>
        </w:tc>
        <w:tc>
          <w:tcPr>
            <w:tcW w:w="4720" w:type="dxa"/>
            <w:vAlign w:val="bottom"/>
          </w:tcPr>
          <w:p>
            <w:pPr>
              <w:ind w:left="42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EBIT-adjusted includes Cruise</w:t>
            </w:r>
          </w:p>
        </w:tc>
      </w:tr>
      <w:tr>
        <w:trPr>
          <w:trHeight w:val="56"/>
        </w:trPr>
        <w:tc>
          <w:tcPr>
            <w:tcW w:w="600" w:type="dxa"/>
            <w:vAlign w:val="bottom"/>
            <w:tcBorders>
              <w:bottom w:val="single" w:sz="8" w:color="D9D9D6"/>
            </w:tcBorders>
          </w:tcPr>
          <w:p>
            <w:pPr>
              <w:spacing w:after="0"/>
              <w:rPr>
                <w:sz w:val="4"/>
                <w:szCs w:val="4"/>
                <w:color w:val="auto"/>
              </w:rPr>
            </w:pPr>
          </w:p>
        </w:tc>
        <w:tc>
          <w:tcPr>
            <w:tcW w:w="3760" w:type="dxa"/>
            <w:vAlign w:val="bottom"/>
            <w:tcBorders>
              <w:bottom w:val="single" w:sz="8" w:color="D9D9D6"/>
            </w:tcBorders>
          </w:tcPr>
          <w:p>
            <w:pPr>
              <w:spacing w:after="0"/>
              <w:rPr>
                <w:sz w:val="4"/>
                <w:szCs w:val="4"/>
                <w:color w:val="auto"/>
              </w:rPr>
            </w:pPr>
          </w:p>
        </w:tc>
        <w:tc>
          <w:tcPr>
            <w:tcW w:w="4720" w:type="dxa"/>
            <w:vAlign w:val="bottom"/>
            <w:tcBorders>
              <w:bottom w:val="single" w:sz="8" w:color="D9D9D6"/>
            </w:tcBorders>
          </w:tcPr>
          <w:p>
            <w:pPr>
              <w:spacing w:after="0"/>
              <w:rPr>
                <w:sz w:val="4"/>
                <w:szCs w:val="4"/>
                <w:color w:val="auto"/>
              </w:rPr>
            </w:pPr>
          </w:p>
        </w:tc>
      </w:tr>
      <w:tr>
        <w:trPr>
          <w:trHeight w:val="288"/>
        </w:trPr>
        <w:tc>
          <w:tcPr>
            <w:tcW w:w="600" w:type="dxa"/>
            <w:vAlign w:val="bottom"/>
          </w:tcPr>
          <w:p>
            <w:pPr>
              <w:ind w:left="6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25%</w:t>
            </w:r>
          </w:p>
        </w:tc>
        <w:tc>
          <w:tcPr>
            <w:tcW w:w="3760" w:type="dxa"/>
            <w:vAlign w:val="bottom"/>
          </w:tcPr>
          <w:p>
            <w:pPr>
              <w:ind w:left="20"/>
              <w:spacing w:after="0"/>
              <w:rPr>
                <w:sz w:val="20"/>
                <w:szCs w:val="20"/>
                <w:color w:val="auto"/>
              </w:rPr>
            </w:pPr>
            <w:r>
              <w:rPr>
                <w:rFonts w:ascii="Arial" w:cs="Arial" w:eastAsia="Arial" w:hAnsi="Arial"/>
                <w:sz w:val="16"/>
                <w:szCs w:val="16"/>
                <w:color w:val="3D3935"/>
              </w:rPr>
              <w:t>Strategic Goals based on individual contributions</w:t>
            </w:r>
          </w:p>
        </w:tc>
        <w:tc>
          <w:tcPr>
            <w:tcW w:w="4720" w:type="dxa"/>
            <w:vAlign w:val="bottom"/>
          </w:tcPr>
          <w:p>
            <w:pPr>
              <w:ind w:left="240"/>
              <w:spacing w:after="0"/>
              <w:rPr>
                <w:sz w:val="20"/>
                <w:szCs w:val="20"/>
                <w:color w:val="auto"/>
              </w:rPr>
            </w:pPr>
            <w:r>
              <w:rPr>
                <w:rFonts w:ascii="Arial" w:cs="Arial" w:eastAsia="Arial" w:hAnsi="Arial"/>
                <w:sz w:val="16"/>
                <w:szCs w:val="16"/>
                <w:color w:val="0072CE"/>
              </w:rPr>
              <w:t xml:space="preserve">•  </w:t>
            </w:r>
            <w:r>
              <w:rPr>
                <w:rFonts w:ascii="Arial" w:cs="Arial" w:eastAsia="Arial" w:hAnsi="Arial"/>
                <w:sz w:val="16"/>
                <w:szCs w:val="16"/>
                <w:color w:val="3D3935"/>
              </w:rPr>
              <w:t>40% Operating metrics aligned to EV, S&amp;S, and AV</w:t>
            </w:r>
          </w:p>
        </w:tc>
      </w:tr>
      <w:tr>
        <w:trPr>
          <w:trHeight w:val="216"/>
        </w:trPr>
        <w:tc>
          <w:tcPr>
            <w:tcW w:w="4360" w:type="dxa"/>
            <w:vAlign w:val="bottom"/>
            <w:gridSpan w:val="2"/>
          </w:tcPr>
          <w:p>
            <w:pPr>
              <w:ind w:left="240"/>
              <w:spacing w:after="0"/>
              <w:rPr>
                <w:sz w:val="20"/>
                <w:szCs w:val="20"/>
                <w:color w:val="auto"/>
              </w:rPr>
            </w:pPr>
            <w:r>
              <w:rPr>
                <w:rFonts w:ascii="Arial" w:cs="Arial" w:eastAsia="Arial" w:hAnsi="Arial"/>
                <w:sz w:val="16"/>
                <w:szCs w:val="16"/>
                <w:color w:val="3D3935"/>
              </w:rPr>
              <w:t>to goals</w:t>
            </w:r>
          </w:p>
        </w:tc>
        <w:tc>
          <w:tcPr>
            <w:tcW w:w="4720" w:type="dxa"/>
            <w:vAlign w:val="bottom"/>
          </w:tcPr>
          <w:p>
            <w:pPr>
              <w:ind w:left="420"/>
              <w:spacing w:after="0"/>
              <w:rPr>
                <w:sz w:val="20"/>
                <w:szCs w:val="20"/>
                <w:color w:val="auto"/>
              </w:rPr>
            </w:pPr>
            <w:r>
              <w:rPr>
                <w:rFonts w:ascii="Arial" w:cs="Arial" w:eastAsia="Arial" w:hAnsi="Arial"/>
                <w:sz w:val="16"/>
                <w:szCs w:val="16"/>
                <w:color w:val="3D3935"/>
              </w:rPr>
              <w:t>strategic pillars</w:t>
            </w:r>
          </w:p>
        </w:tc>
      </w:tr>
      <w:tr>
        <w:trPr>
          <w:trHeight w:val="56"/>
        </w:trPr>
        <w:tc>
          <w:tcPr>
            <w:tcW w:w="600" w:type="dxa"/>
            <w:vAlign w:val="bottom"/>
            <w:tcBorders>
              <w:bottom w:val="single" w:sz="8" w:color="D9D9D6"/>
            </w:tcBorders>
          </w:tcPr>
          <w:p>
            <w:pPr>
              <w:spacing w:after="0"/>
              <w:rPr>
                <w:sz w:val="4"/>
                <w:szCs w:val="4"/>
                <w:color w:val="auto"/>
              </w:rPr>
            </w:pPr>
          </w:p>
        </w:tc>
        <w:tc>
          <w:tcPr>
            <w:tcW w:w="3760" w:type="dxa"/>
            <w:vAlign w:val="bottom"/>
            <w:tcBorders>
              <w:bottom w:val="single" w:sz="8" w:color="D9D9D6"/>
            </w:tcBorders>
          </w:tcPr>
          <w:p>
            <w:pPr>
              <w:spacing w:after="0"/>
              <w:rPr>
                <w:sz w:val="4"/>
                <w:szCs w:val="4"/>
                <w:color w:val="auto"/>
              </w:rPr>
            </w:pPr>
          </w:p>
        </w:tc>
        <w:tc>
          <w:tcPr>
            <w:tcW w:w="4720" w:type="dxa"/>
            <w:vAlign w:val="bottom"/>
            <w:tcBorders>
              <w:bottom w:val="single" w:sz="8" w:color="D9D9D6"/>
            </w:tcBorders>
          </w:tcPr>
          <w:p>
            <w:pPr>
              <w:spacing w:after="0"/>
              <w:rPr>
                <w:sz w:val="4"/>
                <w:szCs w:val="4"/>
                <w:color w:val="auto"/>
              </w:rPr>
            </w:pPr>
          </w:p>
        </w:tc>
      </w:tr>
    </w:tbl>
    <w:p>
      <w:pPr>
        <w:spacing w:after="0" w:line="80" w:lineRule="exact"/>
        <w:rPr>
          <w:sz w:val="20"/>
          <w:szCs w:val="20"/>
          <w:color w:val="auto"/>
        </w:rPr>
      </w:pPr>
    </w:p>
    <w:p>
      <w:pPr>
        <w:ind w:left="4600"/>
        <w:spacing w:after="0"/>
        <w:tabs>
          <w:tab w:leader="none" w:pos="4760" w:val="left"/>
        </w:tabs>
        <w:rPr>
          <w:sz w:val="20"/>
          <w:szCs w:val="20"/>
          <w:color w:val="auto"/>
        </w:rPr>
      </w:pPr>
      <w:r>
        <w:rPr>
          <w:rFonts w:ascii="Arial" w:cs="Arial" w:eastAsia="Arial" w:hAnsi="Arial"/>
          <w:sz w:val="16"/>
          <w:szCs w:val="16"/>
          <w:color w:val="0072CE"/>
        </w:rPr>
        <w:t>•</w:t>
      </w:r>
      <w:r>
        <w:rPr>
          <w:rFonts w:ascii="Arial" w:cs="Arial" w:eastAsia="Arial" w:hAnsi="Arial"/>
          <w:sz w:val="16"/>
          <w:szCs w:val="16"/>
          <w:color w:val="3D3935"/>
        </w:rPr>
        <w:tab/>
        <w:t>Individual performance modifier can be applied up to 110%</w:t>
      </w:r>
    </w:p>
    <w:p>
      <w:pPr>
        <w:spacing w:after="0" w:line="32" w:lineRule="exact"/>
        <w:rPr>
          <w:sz w:val="20"/>
          <w:szCs w:val="20"/>
          <w:color w:val="auto"/>
        </w:rPr>
      </w:pPr>
    </w:p>
    <w:p>
      <w:pPr>
        <w:ind w:left="4780"/>
        <w:spacing w:after="0"/>
        <w:rPr>
          <w:sz w:val="20"/>
          <w:szCs w:val="20"/>
          <w:color w:val="auto"/>
        </w:rPr>
      </w:pPr>
      <w:r>
        <w:rPr>
          <w:rFonts w:ascii="Arial" w:cs="Arial" w:eastAsia="Arial" w:hAnsi="Arial"/>
          <w:sz w:val="16"/>
          <w:szCs w:val="16"/>
          <w:color w:val="3D3935"/>
        </w:rPr>
        <w:t>of the final STIP payout generated by Company</w:t>
      </w:r>
    </w:p>
    <w:p>
      <w:pPr>
        <w:spacing w:after="0" w:line="32" w:lineRule="exact"/>
        <w:rPr>
          <w:sz w:val="20"/>
          <w:szCs w:val="20"/>
          <w:color w:val="auto"/>
        </w:rPr>
      </w:pPr>
    </w:p>
    <w:p>
      <w:pPr>
        <w:ind w:left="4780"/>
        <w:spacing w:after="0"/>
        <w:rPr>
          <w:sz w:val="20"/>
          <w:szCs w:val="20"/>
          <w:color w:val="auto"/>
        </w:rPr>
      </w:pPr>
      <w:r>
        <w:rPr>
          <w:rFonts w:ascii="Arial" w:cs="Arial" w:eastAsia="Arial" w:hAnsi="Arial"/>
          <w:sz w:val="16"/>
          <w:szCs w:val="16"/>
          <w:color w:val="3D3935"/>
        </w:rPr>
        <w:t>performance, full negative discretion</w:t>
      </w:r>
    </w:p>
    <w:p>
      <w:pPr>
        <w:sectPr>
          <w:pgSz w:w="11900" w:h="16838" w:orient="portrait"/>
          <w:cols w:equalWidth="0" w:num="1">
            <w:col w:w="9240"/>
          </w:cols>
          <w:pgMar w:left="1400" w:top="1440" w:right="1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7000"/>
        <w:spacing w:after="0"/>
        <w:tabs>
          <w:tab w:leader="none" w:pos="8840" w:val="left"/>
        </w:tabs>
        <w:rPr>
          <w:sz w:val="20"/>
          <w:szCs w:val="20"/>
          <w:color w:val="auto"/>
        </w:rPr>
      </w:pPr>
      <w:r>
        <w:rPr>
          <w:rFonts w:ascii="Arial" w:cs="Arial" w:eastAsia="Arial" w:hAnsi="Arial"/>
          <w:sz w:val="14"/>
          <w:szCs w:val="14"/>
          <w:b w:val="1"/>
          <w:bCs w:val="1"/>
          <w:color w:val="0072CE"/>
        </w:rPr>
        <w:t>2025 Proxy Statement</w:t>
      </w:r>
      <w:r>
        <w:rPr>
          <w:sz w:val="20"/>
          <w:szCs w:val="20"/>
          <w:color w:val="auto"/>
        </w:rPr>
        <w:tab/>
      </w:r>
      <w:r>
        <w:rPr>
          <w:rFonts w:ascii="Arial" w:cs="Arial" w:eastAsia="Arial" w:hAnsi="Arial"/>
          <w:sz w:val="14"/>
          <w:szCs w:val="14"/>
          <w:b w:val="1"/>
          <w:bCs w:val="1"/>
          <w:color w:val="3D3935"/>
        </w:rPr>
        <w:t>53</w:t>
      </w:r>
    </w:p>
    <w:p>
      <w:pPr>
        <w:sectPr>
          <w:pgSz w:w="11900" w:h="16838" w:orient="portrait"/>
          <w:cols w:equalWidth="0" w:num="1">
            <w:col w:w="9240"/>
          </w:cols>
          <w:pgMar w:left="1400" w:top="1440" w:right="1259" w:bottom="0" w:gutter="0" w:footer="0" w:header="0"/>
          <w:type w:val="continuous"/>
        </w:sectPr>
      </w:pPr>
    </w:p>
    <w:bookmarkStart w:id="51" w:name="page52"/>
    <w:bookmarkEnd w:id="51"/>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9054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10375" cy="905446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2024 STIP Performance Measures</w:t>
      </w:r>
    </w:p>
    <w:p>
      <w:pPr>
        <w:spacing w:after="0" w:line="99" w:lineRule="exact"/>
        <w:rPr>
          <w:sz w:val="20"/>
          <w:szCs w:val="20"/>
          <w:color w:val="auto"/>
        </w:rPr>
      </w:pPr>
    </w:p>
    <w:p>
      <w:pPr>
        <w:ind w:right="380"/>
        <w:spacing w:after="0" w:line="292" w:lineRule="auto"/>
        <w:rPr>
          <w:sz w:val="20"/>
          <w:szCs w:val="20"/>
          <w:color w:val="auto"/>
        </w:rPr>
      </w:pPr>
      <w:r>
        <w:rPr>
          <w:rFonts w:ascii="Arial" w:cs="Arial" w:eastAsia="Arial" w:hAnsi="Arial"/>
          <w:sz w:val="16"/>
          <w:szCs w:val="16"/>
          <w:color w:val="3D3935"/>
        </w:rPr>
        <w:t>STIP performance measures are linked to the Company’s annual financial goals and strategic goals that drive our long-term strategy. The Compensation Committee annually reviews and approves STIP performance measures that align with our shareholders’ interests.</w:t>
      </w:r>
    </w:p>
    <w:p>
      <w:pPr>
        <w:spacing w:after="0" w:line="111" w:lineRule="exact"/>
        <w:rPr>
          <w:sz w:val="20"/>
          <w:szCs w:val="20"/>
          <w:color w:val="auto"/>
        </w:rPr>
      </w:pPr>
    </w:p>
    <w:p>
      <w:pPr>
        <w:ind w:right="400"/>
        <w:spacing w:after="0" w:line="279" w:lineRule="auto"/>
        <w:rPr>
          <w:sz w:val="20"/>
          <w:szCs w:val="20"/>
          <w:color w:val="auto"/>
        </w:rPr>
      </w:pPr>
      <w:r>
        <w:rPr>
          <w:rFonts w:ascii="Arial" w:cs="Arial" w:eastAsia="Arial" w:hAnsi="Arial"/>
          <w:sz w:val="16"/>
          <w:szCs w:val="16"/>
          <w:color w:val="3D3935"/>
        </w:rPr>
        <w:t>As described above and previously disclosed in our 2024 Proxy Statement, the Compensation Committee determined to revise the metrics for our 2024 STIP to more closely align with our evolving financial and strategic priorities, and to the pace of our transformation strategy and key market dynamics. These changes also reflected shareholder feedback. In making these changes, the Committee added quantifiable EV and S&amp;S metrics and a strategic AV metric. These changes aim to 1) incentivize EV operational execution on a timeline appropriately aligned to our priority of profitably scaling EV production and 2) incentivize performance on the key strategic pillars in a more focused manner than was done as part of the former Strategic Goals component included in our 2023 STIP. Further, the Committee determined to modify the EBIT-adjusted metric to include the impact of Cruise, whereas the 2023 metric excluded Cruise. Finally, the Committee determined to rebalance the weighting of these metrics to retain focus on driving profitability and cash flows while also further incentivizing key elements of our strategic transformation. Further information on metric selection and target-setting is provided below.</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880" w:type="dxa"/>
            <w:vAlign w:val="bottom"/>
            <w:tcBorders>
              <w:bottom w:val="single" w:sz="8" w:color="0072CE"/>
            </w:tcBorders>
            <w:shd w:val="clear" w:color="auto" w:fill="F0F3F6"/>
          </w:tcPr>
          <w:p>
            <w:pPr>
              <w:ind w:left="60"/>
              <w:spacing w:after="0"/>
              <w:rPr>
                <w:sz w:val="20"/>
                <w:szCs w:val="20"/>
                <w:color w:val="auto"/>
              </w:rPr>
            </w:pPr>
            <w:r>
              <w:rPr>
                <w:rFonts w:ascii="Arial" w:cs="Arial" w:eastAsia="Arial" w:hAnsi="Arial"/>
                <w:sz w:val="16"/>
                <w:szCs w:val="16"/>
                <w:b w:val="1"/>
                <w:bCs w:val="1"/>
                <w:color w:val="3D3935"/>
              </w:rPr>
              <w:t>2024 STIP Performance Measure</w:t>
            </w:r>
          </w:p>
        </w:tc>
        <w:tc>
          <w:tcPr>
            <w:tcW w:w="1020" w:type="dxa"/>
            <w:vAlign w:val="bottom"/>
            <w:tcBorders>
              <w:bottom w:val="single" w:sz="8" w:color="0072CE"/>
            </w:tcBorders>
            <w:shd w:val="clear" w:color="auto" w:fill="F0F3F6"/>
          </w:tcPr>
          <w:p>
            <w:pPr>
              <w:jc w:val="right"/>
              <w:spacing w:after="0"/>
              <w:rPr>
                <w:sz w:val="20"/>
                <w:szCs w:val="20"/>
                <w:color w:val="auto"/>
              </w:rPr>
            </w:pPr>
            <w:r>
              <w:rPr>
                <w:rFonts w:ascii="Arial" w:cs="Arial" w:eastAsia="Arial" w:hAnsi="Arial"/>
                <w:sz w:val="16"/>
                <w:szCs w:val="16"/>
                <w:b w:val="1"/>
                <w:bCs w:val="1"/>
                <w:color w:val="3D3935"/>
              </w:rPr>
              <w:t>Weight</w:t>
            </w:r>
          </w:p>
        </w:tc>
        <w:tc>
          <w:tcPr>
            <w:tcW w:w="5180" w:type="dxa"/>
            <w:vAlign w:val="bottom"/>
            <w:tcBorders>
              <w:bottom w:val="single" w:sz="8" w:color="0072CE"/>
            </w:tcBorders>
            <w:shd w:val="clear" w:color="auto" w:fill="F0F3F6"/>
          </w:tcPr>
          <w:p>
            <w:pPr>
              <w:ind w:left="40"/>
              <w:spacing w:after="0"/>
              <w:rPr>
                <w:sz w:val="20"/>
                <w:szCs w:val="20"/>
                <w:color w:val="auto"/>
              </w:rPr>
            </w:pPr>
            <w:r>
              <w:rPr>
                <w:rFonts w:ascii="Arial" w:cs="Arial" w:eastAsia="Arial" w:hAnsi="Arial"/>
                <w:sz w:val="16"/>
                <w:szCs w:val="16"/>
                <w:b w:val="1"/>
                <w:bCs w:val="1"/>
                <w:color w:val="3D3935"/>
              </w:rPr>
              <w:t>Leadership Behaviors</w:t>
            </w:r>
          </w:p>
        </w:tc>
      </w:tr>
      <w:tr>
        <w:trPr>
          <w:trHeight w:val="280"/>
        </w:trPr>
        <w:tc>
          <w:tcPr>
            <w:tcW w:w="2880" w:type="dxa"/>
            <w:vAlign w:val="bottom"/>
          </w:tcPr>
          <w:p>
            <w:pPr>
              <w:ind w:left="60"/>
              <w:spacing w:after="0"/>
              <w:rPr>
                <w:sz w:val="20"/>
                <w:szCs w:val="20"/>
                <w:color w:val="auto"/>
              </w:rPr>
            </w:pPr>
            <w:r>
              <w:rPr>
                <w:rFonts w:ascii="Arial" w:cs="Arial" w:eastAsia="Arial" w:hAnsi="Arial"/>
                <w:sz w:val="16"/>
                <w:szCs w:val="16"/>
                <w:b w:val="1"/>
                <w:bCs w:val="1"/>
                <w:color w:val="3D3935"/>
              </w:rPr>
              <w:t xml:space="preserve">MODIFIED vs 2023: </w:t>
            </w:r>
            <w:r>
              <w:rPr>
                <w:rFonts w:ascii="Arial" w:cs="Arial" w:eastAsia="Arial" w:hAnsi="Arial"/>
                <w:sz w:val="16"/>
                <w:szCs w:val="16"/>
                <w:color w:val="3D3935"/>
              </w:rPr>
              <w:t>EBIT-</w:t>
            </w:r>
          </w:p>
        </w:tc>
        <w:tc>
          <w:tcPr>
            <w:tcW w:w="1020" w:type="dxa"/>
            <w:vAlign w:val="bottom"/>
          </w:tcPr>
          <w:p>
            <w:pPr>
              <w:jc w:val="right"/>
              <w:spacing w:after="0"/>
              <w:rPr>
                <w:sz w:val="20"/>
                <w:szCs w:val="20"/>
                <w:color w:val="auto"/>
              </w:rPr>
            </w:pPr>
            <w:r>
              <w:rPr>
                <w:rFonts w:ascii="Arial" w:cs="Arial" w:eastAsia="Arial" w:hAnsi="Arial"/>
                <w:sz w:val="16"/>
                <w:szCs w:val="16"/>
                <w:color w:val="3D3935"/>
              </w:rPr>
              <w:t>35%</w:t>
            </w:r>
          </w:p>
        </w:tc>
        <w:tc>
          <w:tcPr>
            <w:tcW w:w="5180" w:type="dxa"/>
            <w:vAlign w:val="bottom"/>
          </w:tcPr>
          <w:p>
            <w:pPr>
              <w:ind w:left="40"/>
              <w:spacing w:after="0"/>
              <w:rPr>
                <w:sz w:val="20"/>
                <w:szCs w:val="20"/>
                <w:color w:val="auto"/>
              </w:rPr>
            </w:pPr>
            <w:r>
              <w:rPr>
                <w:rFonts w:ascii="Arial" w:cs="Arial" w:eastAsia="Arial" w:hAnsi="Arial"/>
                <w:sz w:val="16"/>
                <w:szCs w:val="16"/>
                <w:color w:val="3D3935"/>
              </w:rPr>
              <w:t>Focus on operating results and driving strong profitability</w:t>
            </w:r>
          </w:p>
        </w:tc>
      </w:tr>
      <w:tr>
        <w:trPr>
          <w:trHeight w:val="281"/>
        </w:trPr>
        <w:tc>
          <w:tcPr>
            <w:tcW w:w="288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 xml:space="preserve">adjusted ($B)(incl. Cruise) </w:t>
            </w:r>
            <w:r>
              <w:rPr>
                <w:rFonts w:ascii="Arial" w:cs="Arial" w:eastAsia="Arial" w:hAnsi="Arial"/>
                <w:sz w:val="21"/>
                <w:szCs w:val="21"/>
                <w:color w:val="3D3935"/>
                <w:vertAlign w:val="superscript"/>
              </w:rPr>
              <w:t>(1)</w:t>
            </w:r>
          </w:p>
        </w:tc>
        <w:tc>
          <w:tcPr>
            <w:tcW w:w="1020" w:type="dxa"/>
            <w:vAlign w:val="bottom"/>
            <w:tcBorders>
              <w:bottom w:val="single" w:sz="8" w:color="D9D9D6"/>
            </w:tcBorders>
          </w:tcPr>
          <w:p>
            <w:pPr>
              <w:spacing w:after="0"/>
              <w:rPr>
                <w:sz w:val="24"/>
                <w:szCs w:val="24"/>
                <w:color w:val="auto"/>
              </w:rPr>
            </w:pPr>
          </w:p>
        </w:tc>
        <w:tc>
          <w:tcPr>
            <w:tcW w:w="5180" w:type="dxa"/>
            <w:vAlign w:val="bottom"/>
            <w:tcBorders>
              <w:bottom w:val="single" w:sz="8" w:color="D9D9D6"/>
            </w:tcBorders>
          </w:tcPr>
          <w:p>
            <w:pPr>
              <w:spacing w:after="0"/>
              <w:rPr>
                <w:sz w:val="24"/>
                <w:szCs w:val="24"/>
                <w:color w:val="auto"/>
              </w:rPr>
            </w:pPr>
          </w:p>
        </w:tc>
      </w:tr>
      <w:tr>
        <w:trPr>
          <w:trHeight w:val="290"/>
        </w:trPr>
        <w:tc>
          <w:tcPr>
            <w:tcW w:w="2880" w:type="dxa"/>
            <w:vAlign w:val="bottom"/>
          </w:tcPr>
          <w:p>
            <w:pPr>
              <w:ind w:left="60"/>
              <w:spacing w:after="0"/>
              <w:rPr>
                <w:sz w:val="20"/>
                <w:szCs w:val="20"/>
                <w:color w:val="auto"/>
              </w:rPr>
            </w:pPr>
            <w:r>
              <w:rPr>
                <w:rFonts w:ascii="Arial" w:cs="Arial" w:eastAsia="Arial" w:hAnsi="Arial"/>
                <w:sz w:val="16"/>
                <w:szCs w:val="16"/>
                <w:color w:val="3D3935"/>
              </w:rPr>
              <w:t>AAFCF ($B)</w:t>
            </w:r>
            <w:r>
              <w:rPr>
                <w:rFonts w:ascii="Arial" w:cs="Arial" w:eastAsia="Arial" w:hAnsi="Arial"/>
                <w:sz w:val="21"/>
                <w:szCs w:val="21"/>
                <w:color w:val="3D3935"/>
                <w:vertAlign w:val="superscript"/>
              </w:rPr>
              <w:t>(2)</w:t>
            </w:r>
          </w:p>
        </w:tc>
        <w:tc>
          <w:tcPr>
            <w:tcW w:w="1020" w:type="dxa"/>
            <w:vAlign w:val="bottom"/>
          </w:tcPr>
          <w:p>
            <w:pPr>
              <w:jc w:val="right"/>
              <w:spacing w:after="0"/>
              <w:rPr>
                <w:sz w:val="20"/>
                <w:szCs w:val="20"/>
                <w:color w:val="auto"/>
              </w:rPr>
            </w:pPr>
            <w:r>
              <w:rPr>
                <w:rFonts w:ascii="Arial" w:cs="Arial" w:eastAsia="Arial" w:hAnsi="Arial"/>
                <w:sz w:val="16"/>
                <w:szCs w:val="16"/>
                <w:color w:val="3D3935"/>
              </w:rPr>
              <w:t>25%</w:t>
            </w:r>
          </w:p>
        </w:tc>
        <w:tc>
          <w:tcPr>
            <w:tcW w:w="5180" w:type="dxa"/>
            <w:vAlign w:val="bottom"/>
          </w:tcPr>
          <w:p>
            <w:pPr>
              <w:ind w:left="40"/>
              <w:spacing w:after="0"/>
              <w:rPr>
                <w:sz w:val="20"/>
                <w:szCs w:val="20"/>
                <w:color w:val="auto"/>
              </w:rPr>
            </w:pPr>
            <w:r>
              <w:rPr>
                <w:rFonts w:ascii="Arial" w:cs="Arial" w:eastAsia="Arial" w:hAnsi="Arial"/>
                <w:sz w:val="16"/>
                <w:szCs w:val="16"/>
                <w:color w:val="3D3935"/>
              </w:rPr>
              <w:t>Focus on driving strong cash flow to invest in the business and</w:t>
            </w:r>
          </w:p>
        </w:tc>
      </w:tr>
      <w:tr>
        <w:trPr>
          <w:trHeight w:val="215"/>
        </w:trPr>
        <w:tc>
          <w:tcPr>
            <w:tcW w:w="2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80" w:type="dxa"/>
            <w:vAlign w:val="bottom"/>
          </w:tcPr>
          <w:p>
            <w:pPr>
              <w:ind w:left="40"/>
              <w:spacing w:after="0"/>
              <w:rPr>
                <w:sz w:val="20"/>
                <w:szCs w:val="20"/>
                <w:color w:val="auto"/>
              </w:rPr>
            </w:pPr>
            <w:r>
              <w:rPr>
                <w:rFonts w:ascii="Arial" w:cs="Arial" w:eastAsia="Arial" w:hAnsi="Arial"/>
                <w:sz w:val="16"/>
                <w:szCs w:val="16"/>
                <w:color w:val="3D3935"/>
              </w:rPr>
              <w:t>returning capital to shareholders</w:t>
            </w:r>
          </w:p>
        </w:tc>
      </w:tr>
      <w:tr>
        <w:trPr>
          <w:trHeight w:val="56"/>
        </w:trPr>
        <w:tc>
          <w:tcPr>
            <w:tcW w:w="2880" w:type="dxa"/>
            <w:vAlign w:val="bottom"/>
            <w:tcBorders>
              <w:bottom w:val="single" w:sz="8" w:color="D9D9D6"/>
            </w:tcBorders>
          </w:tcPr>
          <w:p>
            <w:pPr>
              <w:spacing w:after="0"/>
              <w:rPr>
                <w:sz w:val="4"/>
                <w:szCs w:val="4"/>
                <w:color w:val="auto"/>
              </w:rPr>
            </w:pPr>
          </w:p>
        </w:tc>
        <w:tc>
          <w:tcPr>
            <w:tcW w:w="1020" w:type="dxa"/>
            <w:vAlign w:val="bottom"/>
            <w:tcBorders>
              <w:bottom w:val="single" w:sz="8" w:color="D9D9D6"/>
            </w:tcBorders>
          </w:tcPr>
          <w:p>
            <w:pPr>
              <w:spacing w:after="0"/>
              <w:rPr>
                <w:sz w:val="4"/>
                <w:szCs w:val="4"/>
                <w:color w:val="auto"/>
              </w:rPr>
            </w:pPr>
          </w:p>
        </w:tc>
        <w:tc>
          <w:tcPr>
            <w:tcW w:w="5180" w:type="dxa"/>
            <w:vAlign w:val="bottom"/>
            <w:tcBorders>
              <w:bottom w:val="single" w:sz="8" w:color="D9D9D6"/>
            </w:tcBorders>
          </w:tcPr>
          <w:p>
            <w:pPr>
              <w:spacing w:after="0"/>
              <w:rPr>
                <w:sz w:val="4"/>
                <w:szCs w:val="4"/>
                <w:color w:val="auto"/>
              </w:rPr>
            </w:pPr>
          </w:p>
        </w:tc>
      </w:tr>
      <w:tr>
        <w:trPr>
          <w:trHeight w:val="290"/>
        </w:trPr>
        <w:tc>
          <w:tcPr>
            <w:tcW w:w="2880" w:type="dxa"/>
            <w:vAlign w:val="bottom"/>
          </w:tcPr>
          <w:p>
            <w:pPr>
              <w:ind w:left="60"/>
              <w:spacing w:after="0"/>
              <w:rPr>
                <w:sz w:val="20"/>
                <w:szCs w:val="20"/>
                <w:color w:val="auto"/>
              </w:rPr>
            </w:pPr>
            <w:r>
              <w:rPr>
                <w:rFonts w:ascii="Arial" w:cs="Arial" w:eastAsia="Arial" w:hAnsi="Arial"/>
                <w:sz w:val="16"/>
                <w:szCs w:val="16"/>
                <w:b w:val="1"/>
                <w:bCs w:val="1"/>
                <w:color w:val="3D3935"/>
              </w:rPr>
              <w:t xml:space="preserve">NEW: </w:t>
            </w:r>
            <w:r>
              <w:rPr>
                <w:rFonts w:ascii="Arial" w:cs="Arial" w:eastAsia="Arial" w:hAnsi="Arial"/>
                <w:sz w:val="16"/>
                <w:szCs w:val="16"/>
                <w:color w:val="3D3935"/>
              </w:rPr>
              <w:t>Q4 EV Variable</w:t>
            </w:r>
          </w:p>
        </w:tc>
        <w:tc>
          <w:tcPr>
            <w:tcW w:w="1020" w:type="dxa"/>
            <w:vAlign w:val="bottom"/>
          </w:tcPr>
          <w:p>
            <w:pPr>
              <w:jc w:val="right"/>
              <w:spacing w:after="0"/>
              <w:rPr>
                <w:sz w:val="20"/>
                <w:szCs w:val="20"/>
                <w:color w:val="auto"/>
              </w:rPr>
            </w:pPr>
            <w:r>
              <w:rPr>
                <w:rFonts w:ascii="Arial" w:cs="Arial" w:eastAsia="Arial" w:hAnsi="Arial"/>
                <w:sz w:val="16"/>
                <w:szCs w:val="16"/>
                <w:color w:val="3D3935"/>
              </w:rPr>
              <w:t>25%</w:t>
            </w:r>
          </w:p>
        </w:tc>
        <w:tc>
          <w:tcPr>
            <w:tcW w:w="5180" w:type="dxa"/>
            <w:vAlign w:val="bottom"/>
          </w:tcPr>
          <w:p>
            <w:pPr>
              <w:ind w:left="40"/>
              <w:spacing w:after="0"/>
              <w:rPr>
                <w:sz w:val="20"/>
                <w:szCs w:val="20"/>
                <w:color w:val="auto"/>
              </w:rPr>
            </w:pPr>
            <w:r>
              <w:rPr>
                <w:rFonts w:ascii="Arial" w:cs="Arial" w:eastAsia="Arial" w:hAnsi="Arial"/>
                <w:sz w:val="16"/>
                <w:szCs w:val="16"/>
                <w:color w:val="3D3935"/>
              </w:rPr>
              <w:t>Offer a high-quality EV portfolio guided by customer demand that</w:t>
            </w:r>
          </w:p>
        </w:tc>
      </w:tr>
      <w:tr>
        <w:trPr>
          <w:trHeight w:val="215"/>
        </w:trPr>
        <w:tc>
          <w:tcPr>
            <w:tcW w:w="2880" w:type="dxa"/>
            <w:vAlign w:val="bottom"/>
          </w:tcPr>
          <w:p>
            <w:pPr>
              <w:ind w:left="60"/>
              <w:spacing w:after="0"/>
              <w:rPr>
                <w:sz w:val="20"/>
                <w:szCs w:val="20"/>
                <w:color w:val="auto"/>
              </w:rPr>
            </w:pPr>
            <w:r>
              <w:rPr>
                <w:rFonts w:ascii="Arial" w:cs="Arial" w:eastAsia="Arial" w:hAnsi="Arial"/>
                <w:sz w:val="16"/>
                <w:szCs w:val="16"/>
                <w:color w:val="3D3935"/>
              </w:rPr>
              <w:t>Profit margin</w:t>
            </w:r>
          </w:p>
        </w:tc>
        <w:tc>
          <w:tcPr>
            <w:tcW w:w="1020" w:type="dxa"/>
            <w:vAlign w:val="bottom"/>
          </w:tcPr>
          <w:p>
            <w:pPr>
              <w:spacing w:after="0"/>
              <w:rPr>
                <w:sz w:val="18"/>
                <w:szCs w:val="18"/>
                <w:color w:val="auto"/>
              </w:rPr>
            </w:pPr>
          </w:p>
        </w:tc>
        <w:tc>
          <w:tcPr>
            <w:tcW w:w="5180" w:type="dxa"/>
            <w:vAlign w:val="bottom"/>
          </w:tcPr>
          <w:p>
            <w:pPr>
              <w:ind w:left="40"/>
              <w:spacing w:after="0"/>
              <w:rPr>
                <w:sz w:val="20"/>
                <w:szCs w:val="20"/>
                <w:color w:val="auto"/>
              </w:rPr>
            </w:pPr>
            <w:r>
              <w:rPr>
                <w:rFonts w:ascii="Arial" w:cs="Arial" w:eastAsia="Arial" w:hAnsi="Arial"/>
                <w:sz w:val="16"/>
                <w:szCs w:val="16"/>
                <w:color w:val="3D3935"/>
              </w:rPr>
              <w:t>achieves profitability</w:t>
            </w:r>
          </w:p>
        </w:tc>
      </w:tr>
      <w:tr>
        <w:trPr>
          <w:trHeight w:val="56"/>
        </w:trPr>
        <w:tc>
          <w:tcPr>
            <w:tcW w:w="2880" w:type="dxa"/>
            <w:vAlign w:val="bottom"/>
            <w:tcBorders>
              <w:bottom w:val="single" w:sz="8" w:color="D9D9D6"/>
            </w:tcBorders>
          </w:tcPr>
          <w:p>
            <w:pPr>
              <w:spacing w:after="0"/>
              <w:rPr>
                <w:sz w:val="4"/>
                <w:szCs w:val="4"/>
                <w:color w:val="auto"/>
              </w:rPr>
            </w:pPr>
          </w:p>
        </w:tc>
        <w:tc>
          <w:tcPr>
            <w:tcW w:w="1020" w:type="dxa"/>
            <w:vAlign w:val="bottom"/>
            <w:tcBorders>
              <w:bottom w:val="single" w:sz="8" w:color="D9D9D6"/>
            </w:tcBorders>
          </w:tcPr>
          <w:p>
            <w:pPr>
              <w:spacing w:after="0"/>
              <w:rPr>
                <w:sz w:val="4"/>
                <w:szCs w:val="4"/>
                <w:color w:val="auto"/>
              </w:rPr>
            </w:pPr>
          </w:p>
        </w:tc>
        <w:tc>
          <w:tcPr>
            <w:tcW w:w="5180" w:type="dxa"/>
            <w:vAlign w:val="bottom"/>
            <w:tcBorders>
              <w:bottom w:val="single" w:sz="8" w:color="D9D9D6"/>
            </w:tcBorders>
          </w:tcPr>
          <w:p>
            <w:pPr>
              <w:spacing w:after="0"/>
              <w:rPr>
                <w:sz w:val="4"/>
                <w:szCs w:val="4"/>
                <w:color w:val="auto"/>
              </w:rPr>
            </w:pPr>
          </w:p>
        </w:tc>
      </w:tr>
      <w:tr>
        <w:trPr>
          <w:trHeight w:val="290"/>
        </w:trPr>
        <w:tc>
          <w:tcPr>
            <w:tcW w:w="2880" w:type="dxa"/>
            <w:vAlign w:val="bottom"/>
          </w:tcPr>
          <w:p>
            <w:pPr>
              <w:ind w:left="60"/>
              <w:spacing w:after="0"/>
              <w:rPr>
                <w:sz w:val="20"/>
                <w:szCs w:val="20"/>
                <w:color w:val="auto"/>
              </w:rPr>
            </w:pPr>
            <w:r>
              <w:rPr>
                <w:rFonts w:ascii="Arial" w:cs="Arial" w:eastAsia="Arial" w:hAnsi="Arial"/>
                <w:sz w:val="16"/>
                <w:szCs w:val="16"/>
                <w:b w:val="1"/>
                <w:bCs w:val="1"/>
                <w:color w:val="3D3935"/>
              </w:rPr>
              <w:t xml:space="preserve">NEW: </w:t>
            </w:r>
            <w:r>
              <w:rPr>
                <w:rFonts w:ascii="Arial" w:cs="Arial" w:eastAsia="Arial" w:hAnsi="Arial"/>
                <w:sz w:val="16"/>
                <w:szCs w:val="16"/>
                <w:color w:val="3D3935"/>
              </w:rPr>
              <w:t>Software &amp; Services</w:t>
            </w:r>
          </w:p>
        </w:tc>
        <w:tc>
          <w:tcPr>
            <w:tcW w:w="1020" w:type="dxa"/>
            <w:vAlign w:val="bottom"/>
          </w:tcPr>
          <w:p>
            <w:pPr>
              <w:jc w:val="right"/>
              <w:spacing w:after="0"/>
              <w:rPr>
                <w:sz w:val="20"/>
                <w:szCs w:val="20"/>
                <w:color w:val="auto"/>
              </w:rPr>
            </w:pPr>
            <w:r>
              <w:rPr>
                <w:rFonts w:ascii="Arial" w:cs="Arial" w:eastAsia="Arial" w:hAnsi="Arial"/>
                <w:sz w:val="16"/>
                <w:szCs w:val="16"/>
                <w:color w:val="3D3935"/>
              </w:rPr>
              <w:t>10%</w:t>
            </w:r>
          </w:p>
        </w:tc>
        <w:tc>
          <w:tcPr>
            <w:tcW w:w="5180" w:type="dxa"/>
            <w:vAlign w:val="bottom"/>
          </w:tcPr>
          <w:p>
            <w:pPr>
              <w:ind w:left="40"/>
              <w:spacing w:after="0"/>
              <w:rPr>
                <w:sz w:val="20"/>
                <w:szCs w:val="20"/>
                <w:color w:val="auto"/>
              </w:rPr>
            </w:pPr>
            <w:r>
              <w:rPr>
                <w:rFonts w:ascii="Arial" w:cs="Arial" w:eastAsia="Arial" w:hAnsi="Arial"/>
                <w:sz w:val="16"/>
                <w:szCs w:val="16"/>
                <w:color w:val="3D3935"/>
              </w:rPr>
              <w:t>Deliver vehicles with high-quality software to create compelling</w:t>
            </w:r>
          </w:p>
        </w:tc>
      </w:tr>
      <w:tr>
        <w:trPr>
          <w:trHeight w:val="215"/>
        </w:trPr>
        <w:tc>
          <w:tcPr>
            <w:tcW w:w="2880" w:type="dxa"/>
            <w:vAlign w:val="bottom"/>
          </w:tcPr>
          <w:p>
            <w:pPr>
              <w:ind w:left="60"/>
              <w:spacing w:after="0"/>
              <w:rPr>
                <w:sz w:val="20"/>
                <w:szCs w:val="20"/>
                <w:color w:val="auto"/>
              </w:rPr>
            </w:pPr>
            <w:r>
              <w:rPr>
                <w:rFonts w:ascii="Arial" w:cs="Arial" w:eastAsia="Arial" w:hAnsi="Arial"/>
                <w:sz w:val="16"/>
                <w:szCs w:val="16"/>
                <w:color w:val="3D3935"/>
              </w:rPr>
              <w:t>(“S&amp;S”) Goal</w:t>
            </w:r>
          </w:p>
        </w:tc>
        <w:tc>
          <w:tcPr>
            <w:tcW w:w="1020" w:type="dxa"/>
            <w:vAlign w:val="bottom"/>
          </w:tcPr>
          <w:p>
            <w:pPr>
              <w:spacing w:after="0"/>
              <w:rPr>
                <w:sz w:val="18"/>
                <w:szCs w:val="18"/>
                <w:color w:val="auto"/>
              </w:rPr>
            </w:pPr>
          </w:p>
        </w:tc>
        <w:tc>
          <w:tcPr>
            <w:tcW w:w="5180" w:type="dxa"/>
            <w:vAlign w:val="bottom"/>
          </w:tcPr>
          <w:p>
            <w:pPr>
              <w:ind w:left="40"/>
              <w:spacing w:after="0"/>
              <w:rPr>
                <w:sz w:val="20"/>
                <w:szCs w:val="20"/>
                <w:color w:val="auto"/>
              </w:rPr>
            </w:pPr>
            <w:r>
              <w:rPr>
                <w:rFonts w:ascii="Arial" w:cs="Arial" w:eastAsia="Arial" w:hAnsi="Arial"/>
                <w:sz w:val="16"/>
                <w:szCs w:val="16"/>
                <w:color w:val="3D3935"/>
              </w:rPr>
              <w:t>customer experiences</w:t>
            </w:r>
          </w:p>
        </w:tc>
      </w:tr>
      <w:tr>
        <w:trPr>
          <w:trHeight w:val="56"/>
        </w:trPr>
        <w:tc>
          <w:tcPr>
            <w:tcW w:w="2880" w:type="dxa"/>
            <w:vAlign w:val="bottom"/>
            <w:tcBorders>
              <w:bottom w:val="single" w:sz="8" w:color="D9D9D6"/>
            </w:tcBorders>
          </w:tcPr>
          <w:p>
            <w:pPr>
              <w:spacing w:after="0"/>
              <w:rPr>
                <w:sz w:val="4"/>
                <w:szCs w:val="4"/>
                <w:color w:val="auto"/>
              </w:rPr>
            </w:pPr>
          </w:p>
        </w:tc>
        <w:tc>
          <w:tcPr>
            <w:tcW w:w="1020" w:type="dxa"/>
            <w:vAlign w:val="bottom"/>
            <w:tcBorders>
              <w:bottom w:val="single" w:sz="8" w:color="D9D9D6"/>
            </w:tcBorders>
          </w:tcPr>
          <w:p>
            <w:pPr>
              <w:spacing w:after="0"/>
              <w:rPr>
                <w:sz w:val="4"/>
                <w:szCs w:val="4"/>
                <w:color w:val="auto"/>
              </w:rPr>
            </w:pPr>
          </w:p>
        </w:tc>
        <w:tc>
          <w:tcPr>
            <w:tcW w:w="5180" w:type="dxa"/>
            <w:vAlign w:val="bottom"/>
            <w:tcBorders>
              <w:bottom w:val="single" w:sz="8" w:color="D9D9D6"/>
            </w:tcBorders>
          </w:tcPr>
          <w:p>
            <w:pPr>
              <w:spacing w:after="0"/>
              <w:rPr>
                <w:sz w:val="4"/>
                <w:szCs w:val="4"/>
                <w:color w:val="auto"/>
              </w:rPr>
            </w:pPr>
          </w:p>
        </w:tc>
      </w:tr>
      <w:tr>
        <w:trPr>
          <w:trHeight w:val="290"/>
        </w:trPr>
        <w:tc>
          <w:tcPr>
            <w:tcW w:w="2880" w:type="dxa"/>
            <w:vAlign w:val="bottom"/>
          </w:tcPr>
          <w:p>
            <w:pPr>
              <w:ind w:left="60"/>
              <w:spacing w:after="0"/>
              <w:rPr>
                <w:sz w:val="20"/>
                <w:szCs w:val="20"/>
                <w:color w:val="auto"/>
              </w:rPr>
            </w:pPr>
            <w:r>
              <w:rPr>
                <w:rFonts w:ascii="Arial" w:cs="Arial" w:eastAsia="Arial" w:hAnsi="Arial"/>
                <w:sz w:val="16"/>
                <w:szCs w:val="16"/>
                <w:b w:val="1"/>
                <w:bCs w:val="1"/>
                <w:color w:val="3D3935"/>
              </w:rPr>
              <w:t xml:space="preserve">NEW: </w:t>
            </w:r>
            <w:r>
              <w:rPr>
                <w:rFonts w:ascii="Arial" w:cs="Arial" w:eastAsia="Arial" w:hAnsi="Arial"/>
                <w:sz w:val="16"/>
                <w:szCs w:val="16"/>
                <w:color w:val="3D3935"/>
              </w:rPr>
              <w:t>AV Strategy</w:t>
            </w:r>
          </w:p>
        </w:tc>
        <w:tc>
          <w:tcPr>
            <w:tcW w:w="1020" w:type="dxa"/>
            <w:vAlign w:val="bottom"/>
          </w:tcPr>
          <w:p>
            <w:pPr>
              <w:jc w:val="right"/>
              <w:spacing w:after="0"/>
              <w:rPr>
                <w:sz w:val="20"/>
                <w:szCs w:val="20"/>
                <w:color w:val="auto"/>
              </w:rPr>
            </w:pPr>
            <w:r>
              <w:rPr>
                <w:rFonts w:ascii="Arial" w:cs="Arial" w:eastAsia="Arial" w:hAnsi="Arial"/>
                <w:sz w:val="16"/>
                <w:szCs w:val="16"/>
                <w:color w:val="3D3935"/>
              </w:rPr>
              <w:t>5%</w:t>
            </w:r>
          </w:p>
        </w:tc>
        <w:tc>
          <w:tcPr>
            <w:tcW w:w="5180" w:type="dxa"/>
            <w:vAlign w:val="bottom"/>
          </w:tcPr>
          <w:p>
            <w:pPr>
              <w:ind w:left="40"/>
              <w:spacing w:after="0"/>
              <w:rPr>
                <w:sz w:val="20"/>
                <w:szCs w:val="20"/>
                <w:color w:val="auto"/>
              </w:rPr>
            </w:pPr>
            <w:r>
              <w:rPr>
                <w:rFonts w:ascii="Arial" w:cs="Arial" w:eastAsia="Arial" w:hAnsi="Arial"/>
                <w:sz w:val="16"/>
                <w:szCs w:val="16"/>
                <w:color w:val="3D3935"/>
              </w:rPr>
              <w:t>Develop safe driver-assistance and autonomous technology for</w:t>
            </w:r>
          </w:p>
        </w:tc>
      </w:tr>
      <w:tr>
        <w:trPr>
          <w:trHeight w:val="215"/>
        </w:trPr>
        <w:tc>
          <w:tcPr>
            <w:tcW w:w="2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80" w:type="dxa"/>
            <w:vAlign w:val="bottom"/>
          </w:tcPr>
          <w:p>
            <w:pPr>
              <w:ind w:left="40"/>
              <w:spacing w:after="0"/>
              <w:rPr>
                <w:sz w:val="20"/>
                <w:szCs w:val="20"/>
                <w:color w:val="auto"/>
              </w:rPr>
            </w:pPr>
            <w:r>
              <w:rPr>
                <w:rFonts w:ascii="Arial" w:cs="Arial" w:eastAsia="Arial" w:hAnsi="Arial"/>
                <w:sz w:val="16"/>
                <w:szCs w:val="16"/>
                <w:color w:val="3D3935"/>
              </w:rPr>
              <w:t>personal vehicles</w:t>
            </w:r>
          </w:p>
        </w:tc>
      </w:tr>
      <w:tr>
        <w:trPr>
          <w:trHeight w:val="56"/>
        </w:trPr>
        <w:tc>
          <w:tcPr>
            <w:tcW w:w="2880" w:type="dxa"/>
            <w:vAlign w:val="bottom"/>
            <w:tcBorders>
              <w:bottom w:val="single" w:sz="8" w:color="D9D9D6"/>
            </w:tcBorders>
          </w:tcPr>
          <w:p>
            <w:pPr>
              <w:spacing w:after="0"/>
              <w:rPr>
                <w:sz w:val="4"/>
                <w:szCs w:val="4"/>
                <w:color w:val="auto"/>
              </w:rPr>
            </w:pPr>
          </w:p>
        </w:tc>
        <w:tc>
          <w:tcPr>
            <w:tcW w:w="1020" w:type="dxa"/>
            <w:vAlign w:val="bottom"/>
            <w:tcBorders>
              <w:bottom w:val="single" w:sz="8" w:color="D9D9D6"/>
            </w:tcBorders>
          </w:tcPr>
          <w:p>
            <w:pPr>
              <w:spacing w:after="0"/>
              <w:rPr>
                <w:sz w:val="4"/>
                <w:szCs w:val="4"/>
                <w:color w:val="auto"/>
              </w:rPr>
            </w:pPr>
          </w:p>
        </w:tc>
        <w:tc>
          <w:tcPr>
            <w:tcW w:w="5180" w:type="dxa"/>
            <w:vAlign w:val="bottom"/>
            <w:tcBorders>
              <w:bottom w:val="single" w:sz="8" w:color="D9D9D6"/>
            </w:tcBorders>
          </w:tcPr>
          <w:p>
            <w:pPr>
              <w:spacing w:after="0"/>
              <w:rPr>
                <w:sz w:val="4"/>
                <w:szCs w:val="4"/>
                <w:color w:val="auto"/>
              </w:rPr>
            </w:pPr>
          </w:p>
        </w:tc>
      </w:tr>
      <w:tr>
        <w:trPr>
          <w:trHeight w:val="289"/>
        </w:trPr>
        <w:tc>
          <w:tcPr>
            <w:tcW w:w="2880" w:type="dxa"/>
            <w:vAlign w:val="bottom"/>
          </w:tcPr>
          <w:p>
            <w:pPr>
              <w:ind w:left="60"/>
              <w:spacing w:after="0"/>
              <w:rPr>
                <w:sz w:val="20"/>
                <w:szCs w:val="20"/>
                <w:color w:val="auto"/>
              </w:rPr>
            </w:pPr>
            <w:r>
              <w:rPr>
                <w:rFonts w:ascii="Arial" w:cs="Arial" w:eastAsia="Arial" w:hAnsi="Arial"/>
                <w:sz w:val="16"/>
                <w:szCs w:val="16"/>
                <w:color w:val="3D3935"/>
              </w:rPr>
              <w:t>Safety</w:t>
            </w:r>
          </w:p>
        </w:tc>
        <w:tc>
          <w:tcPr>
            <w:tcW w:w="1020" w:type="dxa"/>
            <w:vAlign w:val="bottom"/>
          </w:tcPr>
          <w:p>
            <w:pPr>
              <w:jc w:val="right"/>
              <w:ind w:right="39"/>
              <w:spacing w:after="0"/>
              <w:rPr>
                <w:sz w:val="20"/>
                <w:szCs w:val="20"/>
                <w:color w:val="auto"/>
              </w:rPr>
            </w:pPr>
            <w:r>
              <w:rPr>
                <w:rFonts w:ascii="Arial" w:cs="Arial" w:eastAsia="Arial" w:hAnsi="Arial"/>
                <w:sz w:val="16"/>
                <w:szCs w:val="16"/>
                <w:color w:val="3D3935"/>
              </w:rPr>
              <w:t>+/-5ppts</w:t>
            </w:r>
          </w:p>
        </w:tc>
        <w:tc>
          <w:tcPr>
            <w:tcW w:w="5180" w:type="dxa"/>
            <w:vAlign w:val="bottom"/>
          </w:tcPr>
          <w:p>
            <w:pPr>
              <w:ind w:left="40"/>
              <w:spacing w:after="0"/>
              <w:rPr>
                <w:sz w:val="20"/>
                <w:szCs w:val="20"/>
                <w:color w:val="auto"/>
              </w:rPr>
            </w:pPr>
            <w:r>
              <w:rPr>
                <w:rFonts w:ascii="Arial" w:cs="Arial" w:eastAsia="Arial" w:hAnsi="Arial"/>
                <w:sz w:val="16"/>
                <w:szCs w:val="16"/>
                <w:color w:val="3D3935"/>
              </w:rPr>
              <w:t>Foster a culture that emphasizes workplace and product safety</w:t>
            </w:r>
          </w:p>
        </w:tc>
      </w:tr>
      <w:tr>
        <w:trPr>
          <w:trHeight w:val="69"/>
        </w:trPr>
        <w:tc>
          <w:tcPr>
            <w:tcW w:w="2880" w:type="dxa"/>
            <w:vAlign w:val="bottom"/>
            <w:tcBorders>
              <w:bottom w:val="single" w:sz="8" w:color="0072CE"/>
            </w:tcBorders>
          </w:tcPr>
          <w:p>
            <w:pPr>
              <w:spacing w:after="0"/>
              <w:rPr>
                <w:sz w:val="6"/>
                <w:szCs w:val="6"/>
                <w:color w:val="auto"/>
              </w:rPr>
            </w:pPr>
          </w:p>
        </w:tc>
        <w:tc>
          <w:tcPr>
            <w:tcW w:w="1020" w:type="dxa"/>
            <w:vAlign w:val="bottom"/>
            <w:tcBorders>
              <w:bottom w:val="single" w:sz="8" w:color="0072CE"/>
            </w:tcBorders>
          </w:tcPr>
          <w:p>
            <w:pPr>
              <w:spacing w:after="0"/>
              <w:rPr>
                <w:sz w:val="6"/>
                <w:szCs w:val="6"/>
                <w:color w:val="auto"/>
              </w:rPr>
            </w:pPr>
          </w:p>
        </w:tc>
        <w:tc>
          <w:tcPr>
            <w:tcW w:w="5180" w:type="dxa"/>
            <w:vAlign w:val="bottom"/>
            <w:tcBorders>
              <w:bottom w:val="single" w:sz="8" w:color="0072CE"/>
            </w:tcBorders>
          </w:tcPr>
          <w:p>
            <w:pPr>
              <w:spacing w:after="0"/>
              <w:rPr>
                <w:sz w:val="6"/>
                <w:szCs w:val="6"/>
                <w:color w:val="auto"/>
              </w:rPr>
            </w:pPr>
          </w:p>
        </w:tc>
      </w:tr>
    </w:tbl>
    <w:p>
      <w:pPr>
        <w:spacing w:after="0" w:line="138" w:lineRule="exact"/>
        <w:rPr>
          <w:sz w:val="20"/>
          <w:szCs w:val="20"/>
          <w:color w:val="auto"/>
        </w:rPr>
      </w:pPr>
    </w:p>
    <w:p>
      <w:pPr>
        <w:ind w:left="200" w:hanging="192"/>
        <w:spacing w:after="0"/>
        <w:tabs>
          <w:tab w:leader="none" w:pos="200" w:val="left"/>
        </w:tabs>
        <w:numPr>
          <w:ilvl w:val="0"/>
          <w:numId w:val="79"/>
        </w:numPr>
        <w:rPr>
          <w:rFonts w:ascii="Arial" w:cs="Arial" w:eastAsia="Arial" w:hAnsi="Arial"/>
          <w:sz w:val="19"/>
          <w:szCs w:val="19"/>
          <w:color w:val="3D3935"/>
          <w:vertAlign w:val="superscript"/>
        </w:rPr>
      </w:pPr>
      <w:r>
        <w:rPr>
          <w:rFonts w:ascii="Arial" w:cs="Arial" w:eastAsia="Arial" w:hAnsi="Arial"/>
          <w:sz w:val="14"/>
          <w:szCs w:val="14"/>
          <w:color w:val="3D3935"/>
        </w:rPr>
        <w:t>For a description of how EBIT-adjusted is calculated, see Appendix A.</w:t>
      </w:r>
    </w:p>
    <w:p>
      <w:pPr>
        <w:spacing w:after="0" w:line="43" w:lineRule="exact"/>
        <w:rPr>
          <w:rFonts w:ascii="Arial" w:cs="Arial" w:eastAsia="Arial" w:hAnsi="Arial"/>
          <w:sz w:val="19"/>
          <w:szCs w:val="19"/>
          <w:color w:val="3D3935"/>
          <w:vertAlign w:val="superscript"/>
        </w:rPr>
      </w:pPr>
    </w:p>
    <w:p>
      <w:pPr>
        <w:ind w:left="200" w:hanging="192"/>
        <w:spacing w:after="0" w:line="219" w:lineRule="auto"/>
        <w:tabs>
          <w:tab w:leader="none" w:pos="200" w:val="left"/>
        </w:tabs>
        <w:numPr>
          <w:ilvl w:val="0"/>
          <w:numId w:val="79"/>
        </w:numPr>
        <w:rPr>
          <w:rFonts w:ascii="Arial" w:cs="Arial" w:eastAsia="Arial" w:hAnsi="Arial"/>
          <w:sz w:val="19"/>
          <w:szCs w:val="19"/>
          <w:color w:val="3D3935"/>
          <w:vertAlign w:val="superscript"/>
        </w:rPr>
      </w:pPr>
      <w:r>
        <w:rPr>
          <w:rFonts w:ascii="Arial" w:cs="Arial" w:eastAsia="Arial" w:hAnsi="Arial"/>
          <w:sz w:val="14"/>
          <w:szCs w:val="14"/>
          <w:color w:val="3D3935"/>
        </w:rPr>
        <w:t>For a description of how AAFCF is calculated, see Appendix A.</w:t>
      </w:r>
    </w:p>
    <w:p>
      <w:pPr>
        <w:spacing w:after="0" w:line="129" w:lineRule="exact"/>
        <w:rPr>
          <w:sz w:val="20"/>
          <w:szCs w:val="20"/>
          <w:color w:val="auto"/>
        </w:rPr>
      </w:pPr>
    </w:p>
    <w:p>
      <w:pPr>
        <w:ind w:right="400"/>
        <w:spacing w:after="0" w:line="281" w:lineRule="auto"/>
        <w:rPr>
          <w:sz w:val="20"/>
          <w:szCs w:val="20"/>
          <w:color w:val="auto"/>
        </w:rPr>
      </w:pPr>
      <w:r>
        <w:rPr>
          <w:rFonts w:ascii="Arial" w:cs="Arial" w:eastAsia="Arial" w:hAnsi="Arial"/>
          <w:sz w:val="16"/>
          <w:szCs w:val="16"/>
          <w:color w:val="3D3935"/>
        </w:rPr>
        <w:t>Based on shareholder feedback, the Committee eliminated the Strategic Goals component of the STIP, previously weighted 25%, beginning with the 2024 plan. To provide the ability to emphasize individual performance contributions to the Company’s overall performance and strategic execution, the Committee has incorporated an individual performance</w:t>
      </w:r>
    </w:p>
    <w:p>
      <w:pPr>
        <w:ind w:right="380"/>
        <w:spacing w:after="0" w:line="305" w:lineRule="auto"/>
        <w:rPr>
          <w:sz w:val="20"/>
          <w:szCs w:val="20"/>
          <w:color w:val="auto"/>
        </w:rPr>
      </w:pPr>
      <w:r>
        <w:rPr>
          <w:rFonts w:ascii="Arial" w:cs="Arial" w:eastAsia="Arial" w:hAnsi="Arial"/>
          <w:sz w:val="16"/>
          <w:szCs w:val="16"/>
          <w:color w:val="3D3935"/>
        </w:rPr>
        <w:t>modifier which can serve to reduce individual payouts or be applied up to 110% of the final STIP payout generated by Company performance . The final STIP payout may not exceed 200% of target.</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0072CE"/>
        </w:rPr>
        <w:t>S&amp;S Goal: Vehicle Software Delivery On-Time and with Quality</w:t>
      </w:r>
    </w:p>
    <w:p>
      <w:pPr>
        <w:spacing w:after="0" w:line="68" w:lineRule="exact"/>
        <w:rPr>
          <w:sz w:val="20"/>
          <w:szCs w:val="20"/>
          <w:color w:val="auto"/>
        </w:rPr>
      </w:pPr>
    </w:p>
    <w:p>
      <w:pPr>
        <w:ind w:right="480"/>
        <w:spacing w:after="0" w:line="282" w:lineRule="auto"/>
        <w:rPr>
          <w:sz w:val="20"/>
          <w:szCs w:val="20"/>
          <w:color w:val="auto"/>
        </w:rPr>
      </w:pPr>
      <w:r>
        <w:rPr>
          <w:rFonts w:ascii="Arial" w:cs="Arial" w:eastAsia="Arial" w:hAnsi="Arial"/>
          <w:sz w:val="16"/>
          <w:szCs w:val="16"/>
          <w:color w:val="3D3935"/>
        </w:rPr>
        <w:t>For 2024, we introduced a Vehicle Software Delivery Quality metric aligned to our strategic pillar of S&amp;S, which is an important facet of our strategy to build a winning portfolio of vehicles and advance our strategic transformation. High-quality software delivery is a critical component of enhancing every aspect of the modern vehicle ownership experience, and also underpins our ability to successfully deliver vehicles from the plant to consumers on time and without delays. The Compensation Committee therefore selected quality as the key metric to drive performance on our S&amp;S pillar.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0072CE"/>
        </w:rPr>
        <w:t>AV Strategy Goals</w:t>
      </w:r>
    </w:p>
    <w:p>
      <w:pPr>
        <w:spacing w:after="0" w:line="68" w:lineRule="exact"/>
        <w:rPr>
          <w:sz w:val="20"/>
          <w:szCs w:val="20"/>
          <w:color w:val="auto"/>
        </w:rPr>
      </w:pPr>
    </w:p>
    <w:p>
      <w:pPr>
        <w:ind w:right="360"/>
        <w:spacing w:after="0" w:line="283" w:lineRule="auto"/>
        <w:rPr>
          <w:sz w:val="20"/>
          <w:szCs w:val="20"/>
          <w:color w:val="auto"/>
        </w:rPr>
      </w:pPr>
      <w:r>
        <w:rPr>
          <w:rFonts w:ascii="Arial" w:cs="Arial" w:eastAsia="Arial" w:hAnsi="Arial"/>
          <w:sz w:val="16"/>
          <w:szCs w:val="16"/>
          <w:color w:val="3D3935"/>
        </w:rPr>
        <w:t>Our 2024 AV goal measures performance across three critical measures related to Super Cruise vehicle launches, development of an enhanced-safety driverless system, and technology sharing between the Company’s various AV development activities. Payout against this goal is capped at 100% of payout in 2024 to reflect the challenges encountered in the Cruise business.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13792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10375" cy="137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How We Set STIP Performance Targets</w:t>
      </w:r>
    </w:p>
    <w:p>
      <w:pPr>
        <w:sectPr>
          <w:pgSz w:w="11900" w:h="16881" w:orient="portrait"/>
          <w:cols w:equalWidth="0" w:num="1">
            <w:col w:w="9240"/>
          </w:cols>
          <w:pgMar w:left="1400" w:top="819" w:right="1259" w:bottom="0" w:gutter="0" w:footer="0" w:header="0"/>
        </w:sectPr>
      </w:pPr>
    </w:p>
    <w:p>
      <w:pPr>
        <w:spacing w:after="0" w:line="99" w:lineRule="exact"/>
        <w:rPr>
          <w:sz w:val="20"/>
          <w:szCs w:val="20"/>
          <w:color w:val="auto"/>
        </w:rPr>
      </w:pPr>
    </w:p>
    <w:p>
      <w:pPr>
        <w:ind w:right="540"/>
        <w:spacing w:after="0" w:line="301" w:lineRule="auto"/>
        <w:rPr>
          <w:sz w:val="20"/>
          <w:szCs w:val="20"/>
          <w:color w:val="auto"/>
        </w:rPr>
      </w:pPr>
      <w:r>
        <w:rPr>
          <w:rFonts w:ascii="Arial" w:cs="Arial" w:eastAsia="Arial" w:hAnsi="Arial"/>
          <w:sz w:val="16"/>
          <w:szCs w:val="16"/>
          <w:color w:val="3D3935"/>
        </w:rPr>
        <w:t>The Compensation Committee approves the performance measures for the STIP annually with the objective of driving strong operational, financial and strategic performance. The Committee’s rigorous process starts with an evaluation of the Company’s annual budget and long-term business plan, which takes into account a wide range of internal and external</w:t>
      </w:r>
    </w:p>
    <w:p>
      <w:pPr>
        <w:sectPr>
          <w:pgSz w:w="11900" w:h="16881" w:orient="portrait"/>
          <w:cols w:equalWidth="0" w:num="1">
            <w:col w:w="9240"/>
          </w:cols>
          <w:pgMar w:left="1400" w:top="819" w:right="1259" w:bottom="0" w:gutter="0" w:footer="0" w:header="0"/>
          <w:type w:val="continuous"/>
        </w:sectPr>
      </w:pPr>
    </w:p>
    <w:bookmarkStart w:id="52" w:name="page53"/>
    <w:bookmarkEnd w:id="52"/>
    <w:p>
      <w:pPr>
        <w:ind w:right="519"/>
        <w:spacing w:after="0" w:line="245" w:lineRule="auto"/>
        <w:rPr>
          <w:sz w:val="20"/>
          <w:szCs w:val="20"/>
          <w:color w:val="auto"/>
        </w:rPr>
      </w:pPr>
      <w:r>
        <w:rPr>
          <w:rFonts w:ascii="Arial" w:cs="Arial" w:eastAsia="Arial" w:hAnsi="Arial"/>
          <w:sz w:val="16"/>
          <w:szCs w:val="16"/>
          <w:color w:val="3D3935"/>
        </w:rPr>
        <w:t>information on macroeconomic, regulatory and market conditions, demand expectations, competitive landscape, supply chain dynamics, and other factors that influence execution on our strategic priorities and overall performance.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-221615</wp:posOffset>
            </wp:positionV>
            <wp:extent cx="6810375" cy="74771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10375" cy="7477125"/>
                    </a:xfrm>
                    <a:prstGeom prst="rect">
                      <a:avLst/>
                    </a:prstGeom>
                    <a:noFill/>
                  </pic:spPr>
                </pic:pic>
              </a:graphicData>
            </a:graphic>
          </wp:anchor>
        </w:drawing>
      </w:r>
    </w:p>
    <w:p>
      <w:pPr>
        <w:ind w:right="499"/>
        <w:spacing w:after="0" w:line="289" w:lineRule="auto"/>
        <w:rPr>
          <w:sz w:val="20"/>
          <w:szCs w:val="20"/>
          <w:color w:val="auto"/>
        </w:rPr>
      </w:pPr>
      <w:r>
        <w:rPr>
          <w:rFonts w:ascii="Arial" w:cs="Arial" w:eastAsia="Arial" w:hAnsi="Arial"/>
          <w:sz w:val="16"/>
          <w:szCs w:val="16"/>
          <w:color w:val="3D3935"/>
        </w:rPr>
        <w:t>Compensation Committee reviews recommendations from management and receives input from its independent compensation consultant. This comprehensive process results in rigorous targets that motivate leadership to strive for a high degree of performance on balance with prudent risk-taking. The following describes specific 2024 goals and comparability versus 2023 targets where relevant.</w:t>
      </w:r>
    </w:p>
    <w:p>
      <w:pPr>
        <w:spacing w:after="0" w:line="113" w:lineRule="exact"/>
        <w:rPr>
          <w:sz w:val="20"/>
          <w:szCs w:val="20"/>
          <w:color w:val="auto"/>
        </w:rPr>
      </w:pPr>
    </w:p>
    <w:p>
      <w:pPr>
        <w:ind w:left="200" w:right="299" w:hanging="192"/>
        <w:spacing w:after="0" w:line="284" w:lineRule="auto"/>
        <w:tabs>
          <w:tab w:leader="none" w:pos="200" w:val="left"/>
        </w:tabs>
        <w:numPr>
          <w:ilvl w:val="0"/>
          <w:numId w:val="80"/>
        </w:numPr>
        <w:rPr>
          <w:rFonts w:ascii="Arial" w:cs="Arial" w:eastAsia="Arial" w:hAnsi="Arial"/>
          <w:sz w:val="16"/>
          <w:szCs w:val="16"/>
          <w:color w:val="0072CE"/>
        </w:rPr>
      </w:pPr>
      <w:r>
        <w:rPr>
          <w:rFonts w:ascii="Arial" w:cs="Arial" w:eastAsia="Arial" w:hAnsi="Arial"/>
          <w:sz w:val="16"/>
          <w:szCs w:val="16"/>
          <w:b w:val="1"/>
          <w:bCs w:val="1"/>
          <w:color w:val="3D3935"/>
        </w:rPr>
        <w:t xml:space="preserve">EBIT-adjusted including Cruise: </w:t>
      </w:r>
      <w:r>
        <w:rPr>
          <w:rFonts w:ascii="Arial" w:cs="Arial" w:eastAsia="Arial" w:hAnsi="Arial"/>
          <w:sz w:val="16"/>
          <w:szCs w:val="16"/>
          <w:color w:val="3D3935"/>
        </w:rPr>
        <w:t>2024 target set at $14.7B in alignment with the approved 2024 budget, which was set</w:t>
      </w:r>
      <w:r>
        <w:rPr>
          <w:rFonts w:ascii="Arial" w:cs="Arial" w:eastAsia="Arial" w:hAnsi="Arial"/>
          <w:sz w:val="16"/>
          <w:szCs w:val="16"/>
          <w:b w:val="1"/>
          <w:bCs w:val="1"/>
          <w:color w:val="3D3935"/>
        </w:rPr>
        <w:t xml:space="preserve"> </w:t>
      </w:r>
      <w:r>
        <w:rPr>
          <w:rFonts w:ascii="Arial" w:cs="Arial" w:eastAsia="Arial" w:hAnsi="Arial"/>
          <w:sz w:val="16"/>
          <w:szCs w:val="16"/>
          <w:color w:val="3D3935"/>
        </w:rPr>
        <w:t>aggressively in the context of higher labor costs and a more challenging macro landscape, including a softening pricing environment</w:t>
      </w:r>
    </w:p>
    <w:p>
      <w:pPr>
        <w:spacing w:after="0" w:line="8" w:lineRule="exact"/>
        <w:rPr>
          <w:rFonts w:ascii="Arial" w:cs="Arial" w:eastAsia="Arial" w:hAnsi="Arial"/>
          <w:sz w:val="16"/>
          <w:szCs w:val="16"/>
          <w:color w:val="0072CE"/>
        </w:rPr>
      </w:pPr>
    </w:p>
    <w:p>
      <w:pPr>
        <w:ind w:left="400" w:right="499" w:hanging="195"/>
        <w:spacing w:after="0" w:line="316" w:lineRule="auto"/>
        <w:rPr>
          <w:rFonts w:ascii="Arial" w:cs="Arial" w:eastAsia="Arial" w:hAnsi="Arial"/>
          <w:sz w:val="16"/>
          <w:szCs w:val="16"/>
          <w:color w:val="0072CE"/>
        </w:rPr>
      </w:pPr>
      <w:r>
        <w:rPr>
          <w:rFonts w:ascii="Arial" w:cs="Arial" w:eastAsia="Arial" w:hAnsi="Arial"/>
          <w:sz w:val="16"/>
          <w:szCs w:val="16"/>
          <w:color w:val="0072CE"/>
        </w:rPr>
        <w:t xml:space="preserve">– </w:t>
      </w:r>
      <w:r>
        <w:rPr>
          <w:rFonts w:ascii="Arial" w:cs="Arial" w:eastAsia="Arial" w:hAnsi="Arial"/>
          <w:sz w:val="16"/>
          <w:szCs w:val="16"/>
          <w:color w:val="3D3935"/>
        </w:rPr>
        <w:t>2023 EBIT-adjusted performance adjusted to include the impact of Cruise would have been $12.4B; 2024 target is</w:t>
      </w:r>
      <w:r>
        <w:rPr>
          <w:rFonts w:ascii="Arial" w:cs="Arial" w:eastAsia="Arial" w:hAnsi="Arial"/>
          <w:sz w:val="16"/>
          <w:szCs w:val="16"/>
          <w:color w:val="0072CE"/>
        </w:rPr>
        <w:t xml:space="preserve"> </w:t>
      </w:r>
      <w:r>
        <w:rPr>
          <w:rFonts w:ascii="Arial" w:cs="Arial" w:eastAsia="Arial" w:hAnsi="Arial"/>
          <w:sz w:val="16"/>
          <w:szCs w:val="16"/>
          <w:color w:val="3D3935"/>
        </w:rPr>
        <w:t>therefore above 2023 performance adjusted to be on the same basis as our 2024 target</w:t>
      </w:r>
    </w:p>
    <w:p>
      <w:pPr>
        <w:spacing w:after="0" w:line="1" w:lineRule="exact"/>
        <w:rPr>
          <w:rFonts w:ascii="Arial" w:cs="Arial" w:eastAsia="Arial" w:hAnsi="Arial"/>
          <w:sz w:val="16"/>
          <w:szCs w:val="16"/>
          <w:color w:val="0072CE"/>
        </w:rPr>
      </w:pPr>
    </w:p>
    <w:p>
      <w:pPr>
        <w:ind w:left="200" w:right="579" w:hanging="192"/>
        <w:spacing w:after="0" w:line="316" w:lineRule="auto"/>
        <w:tabs>
          <w:tab w:leader="none" w:pos="200" w:val="left"/>
        </w:tabs>
        <w:numPr>
          <w:ilvl w:val="0"/>
          <w:numId w:val="80"/>
        </w:numPr>
        <w:rPr>
          <w:rFonts w:ascii="Arial" w:cs="Arial" w:eastAsia="Arial" w:hAnsi="Arial"/>
          <w:sz w:val="16"/>
          <w:szCs w:val="16"/>
          <w:color w:val="0072CE"/>
        </w:rPr>
      </w:pPr>
      <w:r>
        <w:rPr>
          <w:rFonts w:ascii="Arial" w:cs="Arial" w:eastAsia="Arial" w:hAnsi="Arial"/>
          <w:sz w:val="16"/>
          <w:szCs w:val="16"/>
          <w:b w:val="1"/>
          <w:bCs w:val="1"/>
          <w:color w:val="3D3935"/>
        </w:rPr>
        <w:t xml:space="preserve">AAFCF: </w:t>
      </w:r>
      <w:r>
        <w:rPr>
          <w:rFonts w:ascii="Arial" w:cs="Arial" w:eastAsia="Arial" w:hAnsi="Arial"/>
          <w:sz w:val="16"/>
          <w:szCs w:val="16"/>
          <w:color w:val="3D3935"/>
        </w:rPr>
        <w:t>2024 target set at $9.3B versus 2023 actual performance as adjusted for incentive compensation purposes</w:t>
      </w:r>
      <w:r>
        <w:rPr>
          <w:rFonts w:ascii="Arial" w:cs="Arial" w:eastAsia="Arial" w:hAnsi="Arial"/>
          <w:sz w:val="16"/>
          <w:szCs w:val="16"/>
          <w:b w:val="1"/>
          <w:bCs w:val="1"/>
          <w:color w:val="3D3935"/>
        </w:rPr>
        <w:t xml:space="preserve"> </w:t>
      </w:r>
      <w:r>
        <w:rPr>
          <w:rFonts w:ascii="Arial" w:cs="Arial" w:eastAsia="Arial" w:hAnsi="Arial"/>
          <w:sz w:val="16"/>
          <w:szCs w:val="16"/>
          <w:color w:val="3D3935"/>
        </w:rPr>
        <w:t>of $8.4B</w:t>
      </w:r>
    </w:p>
    <w:p>
      <w:pPr>
        <w:spacing w:after="0" w:line="1" w:lineRule="exact"/>
        <w:rPr>
          <w:rFonts w:ascii="Arial" w:cs="Arial" w:eastAsia="Arial" w:hAnsi="Arial"/>
          <w:sz w:val="16"/>
          <w:szCs w:val="16"/>
          <w:color w:val="0072CE"/>
        </w:rPr>
      </w:pPr>
    </w:p>
    <w:p>
      <w:pPr>
        <w:ind w:left="400" w:right="699" w:hanging="195"/>
        <w:spacing w:after="0" w:line="316" w:lineRule="auto"/>
        <w:rPr>
          <w:rFonts w:ascii="Arial" w:cs="Arial" w:eastAsia="Arial" w:hAnsi="Arial"/>
          <w:sz w:val="16"/>
          <w:szCs w:val="16"/>
          <w:color w:val="0072CE"/>
        </w:rPr>
      </w:pPr>
      <w:r>
        <w:rPr>
          <w:rFonts w:ascii="Arial" w:cs="Arial" w:eastAsia="Arial" w:hAnsi="Arial"/>
          <w:sz w:val="16"/>
          <w:szCs w:val="16"/>
          <w:color w:val="0072CE"/>
        </w:rPr>
        <w:t xml:space="preserve">– </w:t>
      </w:r>
      <w:r>
        <w:rPr>
          <w:rFonts w:ascii="Arial" w:cs="Arial" w:eastAsia="Arial" w:hAnsi="Arial"/>
          <w:sz w:val="16"/>
          <w:szCs w:val="16"/>
          <w:color w:val="3D3935"/>
        </w:rPr>
        <w:t>2024 target set above 2023 actual performance as adjusted for incentive compensation purposes, and required</w:t>
      </w:r>
      <w:r>
        <w:rPr>
          <w:rFonts w:ascii="Arial" w:cs="Arial" w:eastAsia="Arial" w:hAnsi="Arial"/>
          <w:sz w:val="16"/>
          <w:szCs w:val="16"/>
          <w:color w:val="0072CE"/>
        </w:rPr>
        <w:t xml:space="preserve"> </w:t>
      </w:r>
      <w:r>
        <w:rPr>
          <w:rFonts w:ascii="Arial" w:cs="Arial" w:eastAsia="Arial" w:hAnsi="Arial"/>
          <w:sz w:val="16"/>
          <w:szCs w:val="16"/>
          <w:color w:val="3D3935"/>
        </w:rPr>
        <w:t>performance above our 2024 budgeted amount</w:t>
      </w:r>
    </w:p>
    <w:p>
      <w:pPr>
        <w:spacing w:after="0" w:line="1" w:lineRule="exact"/>
        <w:rPr>
          <w:rFonts w:ascii="Arial" w:cs="Arial" w:eastAsia="Arial" w:hAnsi="Arial"/>
          <w:sz w:val="16"/>
          <w:szCs w:val="16"/>
          <w:color w:val="0072CE"/>
        </w:rPr>
      </w:pPr>
    </w:p>
    <w:p>
      <w:pPr>
        <w:ind w:left="200" w:hanging="192"/>
        <w:spacing w:after="0"/>
        <w:tabs>
          <w:tab w:leader="none" w:pos="200" w:val="left"/>
        </w:tabs>
        <w:numPr>
          <w:ilvl w:val="0"/>
          <w:numId w:val="80"/>
        </w:numPr>
        <w:rPr>
          <w:rFonts w:ascii="Arial" w:cs="Arial" w:eastAsia="Arial" w:hAnsi="Arial"/>
          <w:sz w:val="16"/>
          <w:szCs w:val="16"/>
          <w:color w:val="0072CE"/>
        </w:rPr>
      </w:pPr>
      <w:r>
        <w:rPr>
          <w:rFonts w:ascii="Arial" w:cs="Arial" w:eastAsia="Arial" w:hAnsi="Arial"/>
          <w:sz w:val="16"/>
          <w:szCs w:val="16"/>
          <w:b w:val="1"/>
          <w:bCs w:val="1"/>
          <w:color w:val="3D3935"/>
        </w:rPr>
        <w:t xml:space="preserve">Q4 EV Variable Profit margin: </w:t>
      </w:r>
      <w:r>
        <w:rPr>
          <w:rFonts w:ascii="Arial" w:cs="Arial" w:eastAsia="Arial" w:hAnsi="Arial"/>
          <w:sz w:val="16"/>
          <w:szCs w:val="16"/>
          <w:color w:val="3D3935"/>
        </w:rPr>
        <w:t>Set at 0% for target performance</w:t>
      </w:r>
    </w:p>
    <w:p>
      <w:pPr>
        <w:spacing w:after="0" w:line="86" w:lineRule="exact"/>
        <w:rPr>
          <w:rFonts w:ascii="Arial" w:cs="Arial" w:eastAsia="Arial" w:hAnsi="Arial"/>
          <w:sz w:val="16"/>
          <w:szCs w:val="16"/>
          <w:color w:val="0072CE"/>
        </w:rPr>
      </w:pPr>
    </w:p>
    <w:p>
      <w:pPr>
        <w:ind w:left="400" w:right="339" w:hanging="195"/>
        <w:spacing w:after="0" w:line="316" w:lineRule="auto"/>
        <w:rPr>
          <w:rFonts w:ascii="Arial" w:cs="Arial" w:eastAsia="Arial" w:hAnsi="Arial"/>
          <w:sz w:val="16"/>
          <w:szCs w:val="16"/>
          <w:color w:val="0072CE"/>
        </w:rPr>
      </w:pPr>
      <w:r>
        <w:rPr>
          <w:rFonts w:ascii="Arial" w:cs="Arial" w:eastAsia="Arial" w:hAnsi="Arial"/>
          <w:sz w:val="16"/>
          <w:szCs w:val="16"/>
          <w:color w:val="0072CE"/>
        </w:rPr>
        <w:t xml:space="preserve">– </w:t>
      </w:r>
      <w:r>
        <w:rPr>
          <w:rFonts w:ascii="Arial" w:cs="Arial" w:eastAsia="Arial" w:hAnsi="Arial"/>
          <w:sz w:val="16"/>
          <w:szCs w:val="16"/>
          <w:color w:val="3D3935"/>
        </w:rPr>
        <w:t>Target performance consistent with our external commitment to be variable profit positive in Q4 2024 and represents</w:t>
      </w:r>
      <w:r>
        <w:rPr>
          <w:rFonts w:ascii="Arial" w:cs="Arial" w:eastAsia="Arial" w:hAnsi="Arial"/>
          <w:sz w:val="16"/>
          <w:szCs w:val="16"/>
          <w:color w:val="0072CE"/>
        </w:rPr>
        <w:t xml:space="preserve"> </w:t>
      </w:r>
      <w:r>
        <w:rPr>
          <w:rFonts w:ascii="Arial" w:cs="Arial" w:eastAsia="Arial" w:hAnsi="Arial"/>
          <w:sz w:val="16"/>
          <w:szCs w:val="16"/>
          <w:color w:val="3D3935"/>
        </w:rPr>
        <w:t>significant improvement over 2023 to demonstrate sustainable GM earnings</w:t>
      </w:r>
    </w:p>
    <w:p>
      <w:pPr>
        <w:spacing w:after="0" w:line="1" w:lineRule="exact"/>
        <w:rPr>
          <w:rFonts w:ascii="Arial" w:cs="Arial" w:eastAsia="Arial" w:hAnsi="Arial"/>
          <w:sz w:val="16"/>
          <w:szCs w:val="16"/>
          <w:color w:val="0072CE"/>
        </w:rPr>
      </w:pPr>
    </w:p>
    <w:p>
      <w:pPr>
        <w:ind w:left="200" w:right="199" w:hanging="192"/>
        <w:spacing w:after="0" w:line="291" w:lineRule="auto"/>
        <w:tabs>
          <w:tab w:leader="none" w:pos="200" w:val="left"/>
        </w:tabs>
        <w:numPr>
          <w:ilvl w:val="0"/>
          <w:numId w:val="80"/>
        </w:numPr>
        <w:rPr>
          <w:rFonts w:ascii="Arial" w:cs="Arial" w:eastAsia="Arial" w:hAnsi="Arial"/>
          <w:sz w:val="16"/>
          <w:szCs w:val="16"/>
          <w:color w:val="0072CE"/>
        </w:rPr>
      </w:pPr>
      <w:r>
        <w:rPr>
          <w:rFonts w:ascii="Arial" w:cs="Arial" w:eastAsia="Arial" w:hAnsi="Arial"/>
          <w:sz w:val="16"/>
          <w:szCs w:val="16"/>
          <w:b w:val="1"/>
          <w:bCs w:val="1"/>
          <w:color w:val="3D3935"/>
        </w:rPr>
        <w:t xml:space="preserve">S&amp;S - Vehicle Software Delivery On-Time and with Quality: </w:t>
      </w:r>
      <w:r>
        <w:rPr>
          <w:rFonts w:ascii="Arial" w:cs="Arial" w:eastAsia="Arial" w:hAnsi="Arial"/>
          <w:sz w:val="16"/>
          <w:szCs w:val="16"/>
          <w:color w:val="3D3935"/>
        </w:rPr>
        <w:t>The Committee set the target for this metric as launching</w:t>
      </w:r>
      <w:r>
        <w:rPr>
          <w:rFonts w:ascii="Arial" w:cs="Arial" w:eastAsia="Arial" w:hAnsi="Arial"/>
          <w:sz w:val="16"/>
          <w:szCs w:val="16"/>
          <w:b w:val="1"/>
          <w:bCs w:val="1"/>
          <w:color w:val="3D3935"/>
        </w:rPr>
        <w:t xml:space="preserve"> </w:t>
      </w:r>
      <w:r>
        <w:rPr>
          <w:rFonts w:ascii="Arial" w:cs="Arial" w:eastAsia="Arial" w:hAnsi="Arial"/>
          <w:sz w:val="16"/>
          <w:szCs w:val="16"/>
          <w:color w:val="3D3935"/>
        </w:rPr>
        <w:t>vehicle software delivery on-time and with quality across our annual launch portfolio. There are quantitative targets established to achieve threshold, target, and maximum performance payouts which the Committee has determined not to specifically disclose as this information is commercially sensitive. The Committee believes this is a rigorous target given the significant complexity of the software development and deployment process.</w:t>
      </w:r>
    </w:p>
    <w:p>
      <w:pPr>
        <w:spacing w:after="0" w:line="18" w:lineRule="exact"/>
        <w:rPr>
          <w:rFonts w:ascii="Arial" w:cs="Arial" w:eastAsia="Arial" w:hAnsi="Arial"/>
          <w:sz w:val="16"/>
          <w:szCs w:val="16"/>
          <w:color w:val="0072CE"/>
        </w:rPr>
      </w:pPr>
    </w:p>
    <w:p>
      <w:pPr>
        <w:ind w:left="200" w:right="299" w:hanging="192"/>
        <w:spacing w:after="0" w:line="292" w:lineRule="auto"/>
        <w:tabs>
          <w:tab w:leader="none" w:pos="200" w:val="left"/>
        </w:tabs>
        <w:numPr>
          <w:ilvl w:val="0"/>
          <w:numId w:val="80"/>
        </w:numPr>
        <w:rPr>
          <w:rFonts w:ascii="Arial" w:cs="Arial" w:eastAsia="Arial" w:hAnsi="Arial"/>
          <w:sz w:val="16"/>
          <w:szCs w:val="16"/>
          <w:color w:val="0072CE"/>
        </w:rPr>
      </w:pPr>
      <w:r>
        <w:rPr>
          <w:rFonts w:ascii="Arial" w:cs="Arial" w:eastAsia="Arial" w:hAnsi="Arial"/>
          <w:sz w:val="16"/>
          <w:szCs w:val="16"/>
          <w:b w:val="1"/>
          <w:bCs w:val="1"/>
          <w:color w:val="3D3935"/>
        </w:rPr>
        <w:t xml:space="preserve">AV Strategy </w:t>
      </w:r>
      <w:r>
        <w:rPr>
          <w:rFonts w:ascii="Arial" w:cs="Arial" w:eastAsia="Arial" w:hAnsi="Arial"/>
          <w:sz w:val="16"/>
          <w:szCs w:val="16"/>
          <w:color w:val="3D3935"/>
        </w:rPr>
        <w:t>: Evaluates performance across three critical measures related to Super Cruise vehicle launches,</w:t>
      </w:r>
      <w:r>
        <w:rPr>
          <w:rFonts w:ascii="Arial" w:cs="Arial" w:eastAsia="Arial" w:hAnsi="Arial"/>
          <w:sz w:val="16"/>
          <w:szCs w:val="16"/>
          <w:b w:val="1"/>
          <w:bCs w:val="1"/>
          <w:color w:val="3D3935"/>
        </w:rPr>
        <w:t xml:space="preserve"> </w:t>
      </w:r>
      <w:r>
        <w:rPr>
          <w:rFonts w:ascii="Arial" w:cs="Arial" w:eastAsia="Arial" w:hAnsi="Arial"/>
          <w:sz w:val="16"/>
          <w:szCs w:val="16"/>
          <w:color w:val="3D3935"/>
        </w:rPr>
        <w:t>development of an enhanced-safety driverless system, and technology sharing among GM’s R&amp;D efforts. Payout of this metric was capped at 100% payout for 2024 to reflect the challenges encountered in the Cruise business.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0072CE"/>
        </w:rPr>
        <w:t>2024 Modification to EBIT-Adjusted Metric</w:t>
      </w:r>
    </w:p>
    <w:p>
      <w:pPr>
        <w:spacing w:after="0" w:line="95" w:lineRule="exact"/>
        <w:rPr>
          <w:sz w:val="20"/>
          <w:szCs w:val="20"/>
          <w:color w:val="auto"/>
        </w:rPr>
      </w:pPr>
    </w:p>
    <w:p>
      <w:pPr>
        <w:ind w:right="379"/>
        <w:spacing w:after="0" w:line="289" w:lineRule="auto"/>
        <w:rPr>
          <w:sz w:val="20"/>
          <w:szCs w:val="20"/>
          <w:color w:val="auto"/>
        </w:rPr>
      </w:pPr>
      <w:r>
        <w:rPr>
          <w:rFonts w:ascii="Arial" w:cs="Arial" w:eastAsia="Arial" w:hAnsi="Arial"/>
          <w:sz w:val="16"/>
          <w:szCs w:val="16"/>
          <w:color w:val="3D3935"/>
        </w:rPr>
        <w:t>In its review of metrics for our 2024 STIP, the Compensation Committee determined that it was appropriate to modify our EBIT-adjusted metric to include the impact of our Cruise business on our results, increasing management’s accountability for the financial performance at Cruise. In our 2023 program, the metric excluded the impact of Cruise. This modification reflects the integration of Cruise into our core business and its contribution to our overall results. Given this modification, year-over-year targets and results are not directly comparable, and a comparison of these differently calculated metrics does not yield an accurate picture of the rigor of our 2024 target.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0072CE"/>
        </w:rPr>
        <w:t>2024 EV Goal Determination</w:t>
      </w:r>
    </w:p>
    <w:p>
      <w:pPr>
        <w:spacing w:after="0" w:line="95" w:lineRule="exact"/>
        <w:rPr>
          <w:sz w:val="20"/>
          <w:szCs w:val="20"/>
          <w:color w:val="auto"/>
        </w:rPr>
      </w:pPr>
    </w:p>
    <w:p>
      <w:pPr>
        <w:ind w:right="199"/>
        <w:spacing w:after="0" w:line="284" w:lineRule="auto"/>
        <w:rPr>
          <w:sz w:val="20"/>
          <w:szCs w:val="20"/>
          <w:color w:val="auto"/>
        </w:rPr>
      </w:pPr>
      <w:r>
        <w:rPr>
          <w:rFonts w:ascii="Arial" w:cs="Arial" w:eastAsia="Arial" w:hAnsi="Arial"/>
          <w:sz w:val="16"/>
          <w:szCs w:val="16"/>
          <w:color w:val="3D3935"/>
        </w:rPr>
        <w:t>At the end of 2023 when the Compensation Committee was evaluating metrics for our 2024 compensation programs, the Committee determined that it would be appropriate to include an EV-related goal in our STIP, and to no longer include an EV-related goal in future LTIP awards, to better reflect the pace of our transformation strategy and market dynamics. In determining the objective of this metric, the Committee considered a range of factors including overall progress against key aspects of our EV strategy, and status of our work to scale production and drive sales and profitability. The Committee also reviewed current and anticipated future demand for EVs based both on internal forecasting as well as recognized external benchmarks, which indicated sustained growth in demand for EVs over the coming year. In the context of these factors, and especially considering the magnitude of effort required to scale production of this new class of vehicles, the Committee initially determined that it was most critical to focus leadership on scaling EV production to meet anticipated demand, and accordingly selected Global EV Volume as the EV metric for our 2024 STIP.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3D3935"/>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29565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10375" cy="295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77" w:lineRule="exact"/>
        <w:rPr>
          <w:sz w:val="20"/>
          <w:szCs w:val="20"/>
          <w:color w:val="auto"/>
        </w:rPr>
      </w:pPr>
    </w:p>
    <w:p>
      <w:pPr>
        <w:ind w:right="159"/>
        <w:spacing w:after="0" w:line="285" w:lineRule="auto"/>
        <w:rPr>
          <w:sz w:val="20"/>
          <w:szCs w:val="20"/>
          <w:color w:val="auto"/>
        </w:rPr>
      </w:pPr>
      <w:r>
        <w:rPr>
          <w:rFonts w:ascii="Arial" w:cs="Arial" w:eastAsia="Arial" w:hAnsi="Arial"/>
          <w:sz w:val="16"/>
          <w:szCs w:val="16"/>
          <w:color w:val="3D3935"/>
        </w:rPr>
        <w:t>However, it became clear in reviewing demand forecasts and other key market trends in the first half of the year that growth in demand for EVs had slowed and was less than expected at the outset of the year. At the same time, the Company was successfully demonstrating that it could rapidly scale EV production volume. Further, during this time, investors were encouraging the Company to prioritize profitability over production volume. The Committee determined that EV volume was therefore no longer an appropriate objective to incentivize, as over-production in the face of lowered demand would likely result in excess inventory and could harm profitability and other important objectives. As a result, the Committee made a deliberate and strategic decision during Q2 to replace the EV volume metric with a Q4 EV Variable Profit (VP) Margin metric. At the time the Committee made the decision, the Company was on track to achieve above target EV volume, given the significant efforts of our team to build production capacity and enhance efficiency. However, continuing on that path would have been value-destructive for our Company and dealers, and replacing the metric both mitigated the potential perverse incentive of driving further production against lowered demand, while also aligning with our external commitment to be variable profit positive by the fourth quarter of 2024 and drive sustainable earnings.</w:t>
      </w:r>
    </w:p>
    <w:p>
      <w:pPr>
        <w:spacing w:after="0" w:line="105" w:lineRule="exact"/>
        <w:rPr>
          <w:sz w:val="20"/>
          <w:szCs w:val="20"/>
          <w:color w:val="auto"/>
        </w:rPr>
      </w:pPr>
    </w:p>
    <w:p>
      <w:pPr>
        <w:ind w:right="119"/>
        <w:spacing w:after="0" w:line="301" w:lineRule="auto"/>
        <w:rPr>
          <w:sz w:val="20"/>
          <w:szCs w:val="20"/>
          <w:color w:val="auto"/>
        </w:rPr>
      </w:pPr>
      <w:r>
        <w:rPr>
          <w:rFonts w:ascii="Arial" w:cs="Arial" w:eastAsia="Arial" w:hAnsi="Arial"/>
          <w:sz w:val="16"/>
          <w:szCs w:val="16"/>
          <w:color w:val="3D3935"/>
        </w:rPr>
        <w:t>Importantly, the Committee set the new Q4 EV VP Margin goal prior to the close of Q2 and followed the same approach to its annual goal setting process by relying on the Company’s annual budget and the commitment to achieve Q4 EV profitability. As a result, performance goals for this metric – whose performance is measured based solely on Q4 performance — were</w:t>
      </w:r>
    </w:p>
    <w:p>
      <w:pPr>
        <w:sectPr>
          <w:pgSz w:w="11900" w:h="16838" w:orient="portrait"/>
          <w:cols w:equalWidth="0" w:num="1">
            <w:col w:w="9059"/>
          </w:cols>
          <w:pgMar w:left="1400" w:top="114" w:right="1440" w:bottom="0" w:gutter="0" w:footer="0" w:header="0"/>
        </w:sectPr>
      </w:pPr>
    </w:p>
    <w:bookmarkStart w:id="53" w:name="page54"/>
    <w:bookmarkEnd w:id="53"/>
    <w:p>
      <w:pPr>
        <w:spacing w:after="0" w:line="29" w:lineRule="exact"/>
        <w:rPr>
          <w:sz w:val="20"/>
          <w:szCs w:val="20"/>
          <w:color w:val="auto"/>
        </w:rPr>
      </w:pPr>
    </w:p>
    <w:p>
      <w:pPr>
        <w:ind w:right="280"/>
        <w:spacing w:after="0" w:line="182" w:lineRule="auto"/>
        <w:rPr>
          <w:sz w:val="20"/>
          <w:szCs w:val="20"/>
          <w:color w:val="auto"/>
        </w:rPr>
      </w:pPr>
      <w:r>
        <w:rPr>
          <w:rFonts w:ascii="Arial" w:cs="Arial" w:eastAsia="Arial" w:hAnsi="Arial"/>
          <w:sz w:val="16"/>
          <w:szCs w:val="16"/>
          <w:color w:val="3D3935"/>
        </w:rPr>
        <w:t>rigorous and there was no assurance that it would be achieved. The Committee was pleased to see the Company’s response to this challenging objective, with an outcome that demonstrated the long-term benefit to shareholders of profitable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-160020</wp:posOffset>
            </wp:positionV>
            <wp:extent cx="6810375" cy="58997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10375" cy="589978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3D3935"/>
        </w:rPr>
        <w:t>EV products.</w:t>
      </w:r>
    </w:p>
    <w:p>
      <w:pPr>
        <w:spacing w:after="0" w:line="181" w:lineRule="exact"/>
        <w:rPr>
          <w:sz w:val="20"/>
          <w:szCs w:val="20"/>
          <w:color w:val="auto"/>
        </w:rPr>
      </w:pPr>
    </w:p>
    <w:p>
      <w:pPr>
        <w:ind w:right="420"/>
        <w:spacing w:after="0" w:line="289" w:lineRule="auto"/>
        <w:rPr>
          <w:sz w:val="20"/>
          <w:szCs w:val="20"/>
          <w:color w:val="auto"/>
        </w:rPr>
      </w:pPr>
      <w:r>
        <w:rPr>
          <w:rFonts w:ascii="Arial" w:cs="Arial" w:eastAsia="Arial" w:hAnsi="Arial"/>
          <w:sz w:val="16"/>
          <w:szCs w:val="16"/>
          <w:color w:val="3D3935"/>
        </w:rPr>
        <w:t>The Committee believes it is important to provide transparency to our shareholders on its robust metric selection process, and to underscore that the Committee took thoughtful and responsible action to mitigate the unintended consequences of a dynamic and significantly changed EV demand environment that would have otherwise rewarded executives for outcomes that became misaligned to overall operational and financial performance.</w:t>
      </w:r>
    </w:p>
    <w:p>
      <w:pPr>
        <w:spacing w:after="0" w:line="35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0072CE"/>
        </w:rPr>
        <w:t>EV Goal Modification</w:t>
      </w:r>
    </w:p>
    <w:p>
      <w:pPr>
        <w:spacing w:after="0" w:line="122" w:lineRule="exact"/>
        <w:rPr>
          <w:sz w:val="20"/>
          <w:szCs w:val="20"/>
          <w:color w:val="auto"/>
        </w:rPr>
      </w:pPr>
    </w:p>
    <w:p>
      <w:pPr>
        <w:ind w:left="240" w:right="500"/>
        <w:spacing w:after="0" w:line="301" w:lineRule="auto"/>
        <w:rPr>
          <w:sz w:val="20"/>
          <w:szCs w:val="20"/>
          <w:color w:val="auto"/>
        </w:rPr>
      </w:pPr>
      <w:r>
        <w:rPr>
          <w:rFonts w:ascii="Arial" w:cs="Arial" w:eastAsia="Arial" w:hAnsi="Arial"/>
          <w:sz w:val="16"/>
          <w:szCs w:val="16"/>
          <w:color w:val="3D3935"/>
        </w:rPr>
        <w:t>At the time the Committee made the deliberate decision to replace the EV volume metric with a Q4 EV VP margin metric, the Company was on track to achieve above target EV volume. Shifting to a Variable Profit Margin metric aligned with driving sustainable earnings and represented a rigorous goal, with no assurance that it would be achieved.</w:t>
      </w: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2024 STIP Results</w:t>
      </w:r>
    </w:p>
    <w:p>
      <w:pPr>
        <w:spacing w:after="0" w:line="99"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3D3935"/>
        </w:rPr>
        <w:t>The Company financial performance portion of the 2024 STIP award was calculated based on the Company’s achievement of EBIT-adjusted and AAFCF financial performance measures, as well as performance measures related to EV, S&amp;S, and AV that align to the strategic pillars of our business. The Company achieved above target results for both of the financial performance measures in the plan driven by (i) continued strength of core auto performance driven by continued robust pricing paired with market share gains and higher volume; and (ii) cost efficiencies, such as the non-recurrence of EV inventory allowance adjustments and a reduction in Cruise spend. The Company’s 2024 financial results and key business</w:t>
      </w:r>
    </w:p>
    <w:p>
      <w:pPr>
        <w:spacing w:after="0" w:line="4"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color w:val="3D3935"/>
        </w:rPr>
        <w:t>highlights are detailed in the “Our Company Performance” section on page 46 . In addition to the above Company-wide measures, each NEO’s STIP payout is also subject to an individual performance modifier based on an evaluation of their performance against pre-established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45339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10375" cy="4533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3D3935"/>
        </w:rPr>
        <w:t>Final 2024 STIP performance approved by the Compensation Committee is displayed below.</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540" w:type="dxa"/>
            <w:vAlign w:val="bottom"/>
            <w:shd w:val="clear" w:color="auto" w:fill="F0F3F6"/>
          </w:tcPr>
          <w:p>
            <w:pPr>
              <w:spacing w:after="0"/>
              <w:rPr>
                <w:sz w:val="19"/>
                <w:szCs w:val="19"/>
                <w:color w:val="auto"/>
              </w:rPr>
            </w:pPr>
          </w:p>
        </w:tc>
        <w:tc>
          <w:tcPr>
            <w:tcW w:w="940" w:type="dxa"/>
            <w:vAlign w:val="bottom"/>
            <w:shd w:val="clear" w:color="auto" w:fill="F0F3F6"/>
          </w:tcPr>
          <w:p>
            <w:pPr>
              <w:spacing w:after="0"/>
              <w:rPr>
                <w:sz w:val="19"/>
                <w:szCs w:val="19"/>
                <w:color w:val="auto"/>
              </w:rPr>
            </w:pPr>
          </w:p>
        </w:tc>
        <w:tc>
          <w:tcPr>
            <w:tcW w:w="820" w:type="dxa"/>
            <w:vAlign w:val="bottom"/>
            <w:shd w:val="clear" w:color="auto" w:fill="F0F3F6"/>
          </w:tcPr>
          <w:p>
            <w:pPr>
              <w:jc w:val="right"/>
              <w:spacing w:after="0"/>
              <w:rPr>
                <w:sz w:val="20"/>
                <w:szCs w:val="20"/>
                <w:color w:val="auto"/>
              </w:rPr>
            </w:pPr>
            <w:r>
              <w:rPr>
                <w:rFonts w:ascii="Arial" w:cs="Arial" w:eastAsia="Arial" w:hAnsi="Arial"/>
                <w:sz w:val="14"/>
                <w:szCs w:val="14"/>
                <w:b w:val="1"/>
                <w:bCs w:val="1"/>
                <w:color w:val="3D3935"/>
              </w:rPr>
              <w:t>Threshold</w:t>
            </w:r>
          </w:p>
        </w:tc>
        <w:tc>
          <w:tcPr>
            <w:tcW w:w="920" w:type="dxa"/>
            <w:vAlign w:val="bottom"/>
            <w:shd w:val="clear" w:color="auto" w:fill="F0F3F6"/>
          </w:tcPr>
          <w:p>
            <w:pPr>
              <w:spacing w:after="0"/>
              <w:rPr>
                <w:sz w:val="19"/>
                <w:szCs w:val="19"/>
                <w:color w:val="auto"/>
              </w:rPr>
            </w:pPr>
          </w:p>
        </w:tc>
        <w:tc>
          <w:tcPr>
            <w:tcW w:w="920" w:type="dxa"/>
            <w:vAlign w:val="bottom"/>
            <w:shd w:val="clear" w:color="auto" w:fill="F0F3F6"/>
          </w:tcPr>
          <w:p>
            <w:pPr>
              <w:jc w:val="center"/>
              <w:ind w:left="107"/>
              <w:spacing w:after="0"/>
              <w:rPr>
                <w:sz w:val="20"/>
                <w:szCs w:val="20"/>
                <w:color w:val="auto"/>
              </w:rPr>
            </w:pPr>
            <w:r>
              <w:rPr>
                <w:rFonts w:ascii="Arial" w:cs="Arial" w:eastAsia="Arial" w:hAnsi="Arial"/>
                <w:sz w:val="14"/>
                <w:szCs w:val="14"/>
                <w:b w:val="1"/>
                <w:bCs w:val="1"/>
                <w:color w:val="3D3935"/>
                <w:w w:val="98"/>
              </w:rPr>
              <w:t>Target</w:t>
            </w:r>
          </w:p>
        </w:tc>
        <w:tc>
          <w:tcPr>
            <w:tcW w:w="960" w:type="dxa"/>
            <w:vAlign w:val="bottom"/>
            <w:shd w:val="clear" w:color="auto" w:fill="F0F3F6"/>
          </w:tcPr>
          <w:p>
            <w:pPr>
              <w:jc w:val="right"/>
              <w:ind w:right="67"/>
              <w:spacing w:after="0"/>
              <w:rPr>
                <w:sz w:val="20"/>
                <w:szCs w:val="20"/>
                <w:color w:val="auto"/>
              </w:rPr>
            </w:pPr>
            <w:r>
              <w:rPr>
                <w:rFonts w:ascii="Arial" w:cs="Arial" w:eastAsia="Arial" w:hAnsi="Arial"/>
                <w:sz w:val="14"/>
                <w:szCs w:val="14"/>
                <w:b w:val="1"/>
                <w:bCs w:val="1"/>
                <w:color w:val="3D3935"/>
              </w:rPr>
              <w:t>Maximum</w:t>
            </w:r>
          </w:p>
        </w:tc>
        <w:tc>
          <w:tcPr>
            <w:tcW w:w="1240" w:type="dxa"/>
            <w:vAlign w:val="bottom"/>
            <w:shd w:val="clear" w:color="auto" w:fill="F0F3F6"/>
          </w:tcPr>
          <w:p>
            <w:pPr>
              <w:jc w:val="right"/>
              <w:ind w:right="161"/>
              <w:spacing w:after="0"/>
              <w:rPr>
                <w:sz w:val="20"/>
                <w:szCs w:val="20"/>
                <w:color w:val="auto"/>
              </w:rPr>
            </w:pPr>
            <w:r>
              <w:rPr>
                <w:rFonts w:ascii="Arial" w:cs="Arial" w:eastAsia="Arial" w:hAnsi="Arial"/>
                <w:sz w:val="14"/>
                <w:szCs w:val="14"/>
                <w:b w:val="1"/>
                <w:bCs w:val="1"/>
                <w:color w:val="3D3935"/>
              </w:rPr>
              <w:t>Performance</w:t>
            </w:r>
          </w:p>
        </w:tc>
        <w:tc>
          <w:tcPr>
            <w:tcW w:w="740" w:type="dxa"/>
            <w:vAlign w:val="bottom"/>
            <w:shd w:val="clear" w:color="auto" w:fill="F0F3F6"/>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540" w:type="dxa"/>
            <w:vAlign w:val="bottom"/>
            <w:tcBorders>
              <w:bottom w:val="single" w:sz="8" w:color="0072CE"/>
            </w:tcBorders>
            <w:shd w:val="clear" w:color="auto" w:fill="F0F3F6"/>
          </w:tcPr>
          <w:p>
            <w:pPr>
              <w:ind w:left="60"/>
              <w:spacing w:after="0"/>
              <w:rPr>
                <w:sz w:val="20"/>
                <w:szCs w:val="20"/>
                <w:color w:val="auto"/>
              </w:rPr>
            </w:pPr>
            <w:r>
              <w:rPr>
                <w:rFonts w:ascii="Arial" w:cs="Arial" w:eastAsia="Arial" w:hAnsi="Arial"/>
                <w:sz w:val="14"/>
                <w:szCs w:val="14"/>
                <w:b w:val="1"/>
                <w:bCs w:val="1"/>
                <w:color w:val="3D3935"/>
              </w:rPr>
              <w:t>STIP Measure</w:t>
            </w:r>
          </w:p>
        </w:tc>
        <w:tc>
          <w:tcPr>
            <w:tcW w:w="940" w:type="dxa"/>
            <w:vAlign w:val="bottom"/>
            <w:tcBorders>
              <w:bottom w:val="single" w:sz="8" w:color="0072CE"/>
            </w:tcBorders>
            <w:shd w:val="clear" w:color="auto" w:fill="F0F3F6"/>
          </w:tcPr>
          <w:p>
            <w:pPr>
              <w:jc w:val="right"/>
              <w:ind w:right="40"/>
              <w:spacing w:after="0"/>
              <w:rPr>
                <w:sz w:val="20"/>
                <w:szCs w:val="20"/>
                <w:color w:val="auto"/>
              </w:rPr>
            </w:pPr>
            <w:r>
              <w:rPr>
                <w:rFonts w:ascii="Arial" w:cs="Arial" w:eastAsia="Arial" w:hAnsi="Arial"/>
                <w:sz w:val="14"/>
                <w:szCs w:val="14"/>
                <w:b w:val="1"/>
                <w:bCs w:val="1"/>
                <w:color w:val="3D3935"/>
              </w:rPr>
              <w:t>Weight</w:t>
            </w:r>
          </w:p>
        </w:tc>
        <w:tc>
          <w:tcPr>
            <w:tcW w:w="820" w:type="dxa"/>
            <w:vAlign w:val="bottom"/>
            <w:tcBorders>
              <w:bottom w:val="single" w:sz="8" w:color="0072CE"/>
            </w:tcBorders>
            <w:shd w:val="clear" w:color="auto" w:fill="F0F3F6"/>
          </w:tcPr>
          <w:p>
            <w:pPr>
              <w:jc w:val="right"/>
              <w:spacing w:after="0"/>
              <w:rPr>
                <w:sz w:val="20"/>
                <w:szCs w:val="20"/>
                <w:color w:val="auto"/>
              </w:rPr>
            </w:pPr>
            <w:r>
              <w:rPr>
                <w:rFonts w:ascii="Arial" w:cs="Arial" w:eastAsia="Arial" w:hAnsi="Arial"/>
                <w:sz w:val="14"/>
                <w:szCs w:val="14"/>
                <w:b w:val="1"/>
                <w:bCs w:val="1"/>
                <w:color w:val="3D3935"/>
              </w:rPr>
              <w:t>25%</w:t>
            </w:r>
          </w:p>
        </w:tc>
        <w:tc>
          <w:tcPr>
            <w:tcW w:w="920" w:type="dxa"/>
            <w:vAlign w:val="bottom"/>
            <w:tcBorders>
              <w:bottom w:val="single" w:sz="8" w:color="0072CE"/>
            </w:tcBorders>
            <w:shd w:val="clear" w:color="auto" w:fill="F0F3F6"/>
          </w:tcPr>
          <w:p>
            <w:pPr>
              <w:jc w:val="right"/>
              <w:ind w:right="41"/>
              <w:spacing w:after="0"/>
              <w:rPr>
                <w:sz w:val="20"/>
                <w:szCs w:val="20"/>
                <w:color w:val="auto"/>
              </w:rPr>
            </w:pPr>
            <w:r>
              <w:rPr>
                <w:rFonts w:ascii="Arial" w:cs="Arial" w:eastAsia="Arial" w:hAnsi="Arial"/>
                <w:sz w:val="14"/>
                <w:szCs w:val="14"/>
                <w:b w:val="1"/>
                <w:bCs w:val="1"/>
                <w:color w:val="3D3935"/>
              </w:rPr>
              <w:t>50%</w:t>
            </w:r>
          </w:p>
        </w:tc>
        <w:tc>
          <w:tcPr>
            <w:tcW w:w="920" w:type="dxa"/>
            <w:vAlign w:val="bottom"/>
            <w:tcBorders>
              <w:bottom w:val="single" w:sz="8" w:color="0072CE"/>
            </w:tcBorders>
            <w:shd w:val="clear" w:color="auto" w:fill="F0F3F6"/>
          </w:tcPr>
          <w:p>
            <w:pPr>
              <w:ind w:left="420"/>
              <w:spacing w:after="0"/>
              <w:rPr>
                <w:sz w:val="20"/>
                <w:szCs w:val="20"/>
                <w:color w:val="auto"/>
              </w:rPr>
            </w:pPr>
            <w:r>
              <w:rPr>
                <w:rFonts w:ascii="Arial" w:cs="Arial" w:eastAsia="Arial" w:hAnsi="Arial"/>
                <w:sz w:val="14"/>
                <w:szCs w:val="14"/>
                <w:b w:val="1"/>
                <w:bCs w:val="1"/>
                <w:color w:val="3D3935"/>
              </w:rPr>
              <w:t>100%</w:t>
            </w:r>
          </w:p>
        </w:tc>
        <w:tc>
          <w:tcPr>
            <w:tcW w:w="960" w:type="dxa"/>
            <w:vAlign w:val="bottom"/>
            <w:tcBorders>
              <w:bottom w:val="single" w:sz="8" w:color="0072CE"/>
            </w:tcBorders>
            <w:shd w:val="clear" w:color="auto" w:fill="F0F3F6"/>
          </w:tcPr>
          <w:p>
            <w:pPr>
              <w:jc w:val="right"/>
              <w:ind w:right="87"/>
              <w:spacing w:after="0"/>
              <w:rPr>
                <w:sz w:val="20"/>
                <w:szCs w:val="20"/>
                <w:color w:val="auto"/>
              </w:rPr>
            </w:pPr>
            <w:r>
              <w:rPr>
                <w:rFonts w:ascii="Arial" w:cs="Arial" w:eastAsia="Arial" w:hAnsi="Arial"/>
                <w:sz w:val="14"/>
                <w:szCs w:val="14"/>
                <w:b w:val="1"/>
                <w:bCs w:val="1"/>
                <w:color w:val="3D3935"/>
              </w:rPr>
              <w:t>200%</w:t>
            </w:r>
          </w:p>
        </w:tc>
        <w:tc>
          <w:tcPr>
            <w:tcW w:w="1240" w:type="dxa"/>
            <w:vAlign w:val="bottom"/>
            <w:tcBorders>
              <w:bottom w:val="single" w:sz="8" w:color="0072CE"/>
            </w:tcBorders>
            <w:shd w:val="clear" w:color="auto" w:fill="F0F3F6"/>
          </w:tcPr>
          <w:p>
            <w:pPr>
              <w:jc w:val="right"/>
              <w:ind w:right="141"/>
              <w:spacing w:after="0"/>
              <w:rPr>
                <w:sz w:val="20"/>
                <w:szCs w:val="20"/>
                <w:color w:val="auto"/>
              </w:rPr>
            </w:pPr>
            <w:r>
              <w:rPr>
                <w:rFonts w:ascii="Arial" w:cs="Arial" w:eastAsia="Arial" w:hAnsi="Arial"/>
                <w:sz w:val="14"/>
                <w:szCs w:val="14"/>
                <w:b w:val="1"/>
                <w:bCs w:val="1"/>
                <w:color w:val="3D3935"/>
              </w:rPr>
              <w:t>Result</w:t>
            </w:r>
          </w:p>
        </w:tc>
        <w:tc>
          <w:tcPr>
            <w:tcW w:w="740" w:type="dxa"/>
            <w:vAlign w:val="bottom"/>
            <w:tcBorders>
              <w:bottom w:val="single" w:sz="8" w:color="0072CE"/>
            </w:tcBorders>
            <w:shd w:val="clear" w:color="auto" w:fill="F0F3F6"/>
          </w:tcPr>
          <w:p>
            <w:pPr>
              <w:jc w:val="right"/>
              <w:spacing w:after="0"/>
              <w:rPr>
                <w:sz w:val="20"/>
                <w:szCs w:val="20"/>
                <w:color w:val="auto"/>
              </w:rPr>
            </w:pPr>
            <w:r>
              <w:rPr>
                <w:rFonts w:ascii="Arial" w:cs="Arial" w:eastAsia="Arial" w:hAnsi="Arial"/>
                <w:sz w:val="14"/>
                <w:szCs w:val="14"/>
                <w:b w:val="1"/>
                <w:bCs w:val="1"/>
                <w:color w:val="3D3935"/>
              </w:rPr>
              <w:t>Payout</w:t>
            </w:r>
          </w:p>
        </w:tc>
        <w:tc>
          <w:tcPr>
            <w:tcW w:w="0" w:type="dxa"/>
            <w:vAlign w:val="bottom"/>
          </w:tcPr>
          <w:p>
            <w:pPr>
              <w:spacing w:after="0"/>
              <w:rPr>
                <w:sz w:val="1"/>
                <w:szCs w:val="1"/>
                <w:color w:val="auto"/>
              </w:rPr>
            </w:pPr>
          </w:p>
        </w:tc>
      </w:tr>
      <w:tr>
        <w:trPr>
          <w:trHeight w:val="251"/>
        </w:trPr>
        <w:tc>
          <w:tcPr>
            <w:tcW w:w="254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 xml:space="preserve">EBIT-adjusted ($B) </w:t>
            </w:r>
            <w:r>
              <w:rPr>
                <w:rFonts w:ascii="Arial" w:cs="Arial" w:eastAsia="Arial" w:hAnsi="Arial"/>
                <w:sz w:val="21"/>
                <w:szCs w:val="21"/>
                <w:color w:val="3D3935"/>
                <w:vertAlign w:val="superscript"/>
              </w:rPr>
              <w:t>(1)</w:t>
            </w:r>
          </w:p>
        </w:tc>
        <w:tc>
          <w:tcPr>
            <w:tcW w:w="940" w:type="dxa"/>
            <w:vAlign w:val="bottom"/>
            <w:tcBorders>
              <w:bottom w:val="single" w:sz="8" w:color="D9D9D6"/>
            </w:tcBorders>
          </w:tcPr>
          <w:p>
            <w:pPr>
              <w:jc w:val="right"/>
              <w:ind w:right="80"/>
              <w:spacing w:after="0"/>
              <w:rPr>
                <w:sz w:val="20"/>
                <w:szCs w:val="20"/>
                <w:color w:val="auto"/>
              </w:rPr>
            </w:pPr>
            <w:r>
              <w:rPr>
                <w:rFonts w:ascii="Arial" w:cs="Arial" w:eastAsia="Arial" w:hAnsi="Arial"/>
                <w:sz w:val="16"/>
                <w:szCs w:val="16"/>
                <w:color w:val="3D3935"/>
              </w:rPr>
              <w:t>35%</w:t>
            </w:r>
          </w:p>
        </w:tc>
        <w:tc>
          <w:tcPr>
            <w:tcW w:w="82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$8.8</w:t>
            </w:r>
          </w:p>
        </w:tc>
        <w:tc>
          <w:tcPr>
            <w:tcW w:w="92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$11.8</w:t>
            </w:r>
          </w:p>
        </w:tc>
        <w:tc>
          <w:tcPr>
            <w:tcW w:w="920" w:type="dxa"/>
            <w:vAlign w:val="bottom"/>
            <w:tcBorders>
              <w:bottom w:val="single" w:sz="8" w:color="D9D9D6"/>
            </w:tcBorders>
          </w:tcPr>
          <w:p>
            <w:pPr>
              <w:ind w:left="420"/>
              <w:spacing w:after="0"/>
              <w:rPr>
                <w:sz w:val="20"/>
                <w:szCs w:val="20"/>
                <w:color w:val="auto"/>
              </w:rPr>
            </w:pPr>
            <w:r>
              <w:rPr>
                <w:rFonts w:ascii="Arial" w:cs="Arial" w:eastAsia="Arial" w:hAnsi="Arial"/>
                <w:sz w:val="16"/>
                <w:szCs w:val="16"/>
                <w:color w:val="3D3935"/>
              </w:rPr>
              <w:t>$14.7</w:t>
            </w:r>
          </w:p>
        </w:tc>
        <w:tc>
          <w:tcPr>
            <w:tcW w:w="960" w:type="dxa"/>
            <w:vAlign w:val="bottom"/>
            <w:tcBorders>
              <w:bottom w:val="single" w:sz="8" w:color="D9D9D6"/>
            </w:tcBorders>
          </w:tcPr>
          <w:p>
            <w:pPr>
              <w:ind w:left="440"/>
              <w:spacing w:after="0"/>
              <w:rPr>
                <w:sz w:val="20"/>
                <w:szCs w:val="20"/>
                <w:color w:val="auto"/>
              </w:rPr>
            </w:pPr>
            <w:r>
              <w:rPr>
                <w:rFonts w:ascii="Arial" w:cs="Arial" w:eastAsia="Arial" w:hAnsi="Arial"/>
                <w:sz w:val="16"/>
                <w:szCs w:val="16"/>
                <w:color w:val="3D3935"/>
              </w:rPr>
              <w:t>$16.9</w:t>
            </w:r>
          </w:p>
        </w:tc>
        <w:tc>
          <w:tcPr>
            <w:tcW w:w="1240" w:type="dxa"/>
            <w:vAlign w:val="bottom"/>
            <w:tcBorders>
              <w:bottom w:val="single" w:sz="8" w:color="D9D9D6"/>
            </w:tcBorders>
          </w:tcPr>
          <w:p>
            <w:pPr>
              <w:jc w:val="right"/>
              <w:ind w:right="161"/>
              <w:spacing w:after="0"/>
              <w:rPr>
                <w:sz w:val="20"/>
                <w:szCs w:val="20"/>
                <w:color w:val="auto"/>
              </w:rPr>
            </w:pPr>
            <w:r>
              <w:rPr>
                <w:rFonts w:ascii="Arial" w:cs="Arial" w:eastAsia="Arial" w:hAnsi="Arial"/>
                <w:sz w:val="16"/>
                <w:szCs w:val="16"/>
                <w:color w:val="3D3935"/>
              </w:rPr>
              <w:t>$14.9</w:t>
            </w:r>
          </w:p>
        </w:tc>
        <w:tc>
          <w:tcPr>
            <w:tcW w:w="7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38%</w:t>
            </w:r>
          </w:p>
        </w:tc>
        <w:tc>
          <w:tcPr>
            <w:tcW w:w="0" w:type="dxa"/>
            <w:vAlign w:val="bottom"/>
          </w:tcPr>
          <w:p>
            <w:pPr>
              <w:spacing w:after="0"/>
              <w:rPr>
                <w:sz w:val="1"/>
                <w:szCs w:val="1"/>
                <w:color w:val="auto"/>
              </w:rPr>
            </w:pPr>
          </w:p>
        </w:tc>
      </w:tr>
      <w:tr>
        <w:trPr>
          <w:trHeight w:val="250"/>
        </w:trPr>
        <w:tc>
          <w:tcPr>
            <w:tcW w:w="254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AAFCF ($B)</w:t>
            </w:r>
            <w:r>
              <w:rPr>
                <w:rFonts w:ascii="Arial" w:cs="Arial" w:eastAsia="Arial" w:hAnsi="Arial"/>
                <w:sz w:val="21"/>
                <w:szCs w:val="21"/>
                <w:color w:val="3D3935"/>
                <w:vertAlign w:val="superscript"/>
              </w:rPr>
              <w:t>(2)</w:t>
            </w:r>
          </w:p>
        </w:tc>
        <w:tc>
          <w:tcPr>
            <w:tcW w:w="940" w:type="dxa"/>
            <w:vAlign w:val="bottom"/>
            <w:tcBorders>
              <w:bottom w:val="single" w:sz="8" w:color="D9D9D6"/>
            </w:tcBorders>
          </w:tcPr>
          <w:p>
            <w:pPr>
              <w:jc w:val="right"/>
              <w:ind w:right="80"/>
              <w:spacing w:after="0"/>
              <w:rPr>
                <w:sz w:val="20"/>
                <w:szCs w:val="20"/>
                <w:color w:val="auto"/>
              </w:rPr>
            </w:pPr>
            <w:r>
              <w:rPr>
                <w:rFonts w:ascii="Arial" w:cs="Arial" w:eastAsia="Arial" w:hAnsi="Arial"/>
                <w:sz w:val="16"/>
                <w:szCs w:val="16"/>
                <w:color w:val="3D3935"/>
              </w:rPr>
              <w:t>25%</w:t>
            </w:r>
          </w:p>
        </w:tc>
        <w:tc>
          <w:tcPr>
            <w:tcW w:w="82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$3.4</w:t>
            </w:r>
          </w:p>
        </w:tc>
        <w:tc>
          <w:tcPr>
            <w:tcW w:w="920" w:type="dxa"/>
            <w:vAlign w:val="bottom"/>
            <w:tcBorders>
              <w:bottom w:val="single" w:sz="8" w:color="D9D9D6"/>
            </w:tcBorders>
          </w:tcPr>
          <w:p>
            <w:pPr>
              <w:jc w:val="right"/>
              <w:ind w:right="41"/>
              <w:spacing w:after="0"/>
              <w:rPr>
                <w:sz w:val="20"/>
                <w:szCs w:val="20"/>
                <w:color w:val="auto"/>
              </w:rPr>
            </w:pPr>
            <w:r>
              <w:rPr>
                <w:rFonts w:ascii="Arial" w:cs="Arial" w:eastAsia="Arial" w:hAnsi="Arial"/>
                <w:sz w:val="16"/>
                <w:szCs w:val="16"/>
                <w:color w:val="3D3935"/>
              </w:rPr>
              <w:t>$5.7</w:t>
            </w:r>
          </w:p>
        </w:tc>
        <w:tc>
          <w:tcPr>
            <w:tcW w:w="920" w:type="dxa"/>
            <w:vAlign w:val="bottom"/>
            <w:tcBorders>
              <w:bottom w:val="single" w:sz="8" w:color="D9D9D6"/>
            </w:tcBorders>
          </w:tcPr>
          <w:p>
            <w:pPr>
              <w:ind w:left="500"/>
              <w:spacing w:after="0"/>
              <w:rPr>
                <w:sz w:val="20"/>
                <w:szCs w:val="20"/>
                <w:color w:val="auto"/>
              </w:rPr>
            </w:pPr>
            <w:r>
              <w:rPr>
                <w:rFonts w:ascii="Arial" w:cs="Arial" w:eastAsia="Arial" w:hAnsi="Arial"/>
                <w:sz w:val="16"/>
                <w:szCs w:val="16"/>
                <w:color w:val="3D3935"/>
              </w:rPr>
              <w:t>$9.3</w:t>
            </w:r>
          </w:p>
        </w:tc>
        <w:tc>
          <w:tcPr>
            <w:tcW w:w="960" w:type="dxa"/>
            <w:vAlign w:val="bottom"/>
            <w:tcBorders>
              <w:bottom w:val="single" w:sz="8" w:color="D9D9D6"/>
            </w:tcBorders>
          </w:tcPr>
          <w:p>
            <w:pPr>
              <w:ind w:left="440"/>
              <w:spacing w:after="0"/>
              <w:rPr>
                <w:sz w:val="20"/>
                <w:szCs w:val="20"/>
                <w:color w:val="auto"/>
              </w:rPr>
            </w:pPr>
            <w:r>
              <w:rPr>
                <w:rFonts w:ascii="Arial" w:cs="Arial" w:eastAsia="Arial" w:hAnsi="Arial"/>
                <w:sz w:val="16"/>
                <w:szCs w:val="16"/>
                <w:color w:val="3D3935"/>
              </w:rPr>
              <w:t>$11.5</w:t>
            </w:r>
          </w:p>
        </w:tc>
        <w:tc>
          <w:tcPr>
            <w:tcW w:w="1240" w:type="dxa"/>
            <w:vAlign w:val="bottom"/>
            <w:tcBorders>
              <w:bottom w:val="single" w:sz="8" w:color="D9D9D6"/>
            </w:tcBorders>
          </w:tcPr>
          <w:p>
            <w:pPr>
              <w:jc w:val="right"/>
              <w:ind w:right="161"/>
              <w:spacing w:after="0"/>
              <w:rPr>
                <w:sz w:val="20"/>
                <w:szCs w:val="20"/>
                <w:color w:val="auto"/>
              </w:rPr>
            </w:pPr>
            <w:r>
              <w:rPr>
                <w:rFonts w:ascii="Arial" w:cs="Arial" w:eastAsia="Arial" w:hAnsi="Arial"/>
                <w:sz w:val="16"/>
                <w:szCs w:val="16"/>
                <w:color w:val="3D3935"/>
              </w:rPr>
              <w:t>$14.0</w:t>
            </w:r>
            <w:r>
              <w:rPr>
                <w:rFonts w:ascii="Arial" w:cs="Arial" w:eastAsia="Arial" w:hAnsi="Arial"/>
                <w:sz w:val="21"/>
                <w:szCs w:val="21"/>
                <w:color w:val="3D3935"/>
                <w:vertAlign w:val="superscript"/>
              </w:rPr>
              <w:t>(4)</w:t>
            </w:r>
          </w:p>
        </w:tc>
        <w:tc>
          <w:tcPr>
            <w:tcW w:w="7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50%</w:t>
            </w:r>
          </w:p>
        </w:tc>
        <w:tc>
          <w:tcPr>
            <w:tcW w:w="0" w:type="dxa"/>
            <w:vAlign w:val="bottom"/>
          </w:tcPr>
          <w:p>
            <w:pPr>
              <w:spacing w:after="0"/>
              <w:rPr>
                <w:sz w:val="1"/>
                <w:szCs w:val="1"/>
                <w:color w:val="auto"/>
              </w:rPr>
            </w:pPr>
          </w:p>
        </w:tc>
      </w:tr>
      <w:tr>
        <w:trPr>
          <w:trHeight w:val="250"/>
        </w:trPr>
        <w:tc>
          <w:tcPr>
            <w:tcW w:w="254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 xml:space="preserve">Q4 EV Variable Profit margin </w:t>
            </w:r>
            <w:r>
              <w:rPr>
                <w:rFonts w:ascii="Arial" w:cs="Arial" w:eastAsia="Arial" w:hAnsi="Arial"/>
                <w:sz w:val="21"/>
                <w:szCs w:val="21"/>
                <w:color w:val="3D3935"/>
                <w:vertAlign w:val="superscript"/>
              </w:rPr>
              <w:t>(3)</w:t>
            </w:r>
          </w:p>
        </w:tc>
        <w:tc>
          <w:tcPr>
            <w:tcW w:w="940" w:type="dxa"/>
            <w:vAlign w:val="bottom"/>
            <w:tcBorders>
              <w:bottom w:val="single" w:sz="8" w:color="D9D9D6"/>
            </w:tcBorders>
          </w:tcPr>
          <w:p>
            <w:pPr>
              <w:jc w:val="right"/>
              <w:ind w:right="80"/>
              <w:spacing w:after="0"/>
              <w:rPr>
                <w:sz w:val="20"/>
                <w:szCs w:val="20"/>
                <w:color w:val="auto"/>
              </w:rPr>
            </w:pPr>
            <w:r>
              <w:rPr>
                <w:rFonts w:ascii="Arial" w:cs="Arial" w:eastAsia="Arial" w:hAnsi="Arial"/>
                <w:sz w:val="16"/>
                <w:szCs w:val="16"/>
                <w:color w:val="3D3935"/>
              </w:rPr>
              <w:t>25%</w:t>
            </w:r>
          </w:p>
        </w:tc>
        <w:tc>
          <w:tcPr>
            <w:tcW w:w="1740" w:type="dxa"/>
            <w:vAlign w:val="bottom"/>
            <w:tcBorders>
              <w:bottom w:val="single" w:sz="8" w:color="D9D9D6"/>
            </w:tcBorders>
            <w:gridSpan w:val="2"/>
          </w:tcPr>
          <w:p>
            <w:pPr>
              <w:jc w:val="right"/>
              <w:ind w:right="821"/>
              <w:spacing w:after="0"/>
              <w:rPr>
                <w:sz w:val="20"/>
                <w:szCs w:val="20"/>
                <w:color w:val="auto"/>
              </w:rPr>
            </w:pPr>
            <w:r>
              <w:rPr>
                <w:rFonts w:ascii="Arial" w:cs="Arial" w:eastAsia="Arial" w:hAnsi="Arial"/>
                <w:sz w:val="16"/>
                <w:szCs w:val="16"/>
                <w:color w:val="3D3935"/>
              </w:rPr>
              <w:t>(1)%</w:t>
            </w:r>
          </w:p>
        </w:tc>
        <w:tc>
          <w:tcPr>
            <w:tcW w:w="920" w:type="dxa"/>
            <w:vAlign w:val="bottom"/>
            <w:tcBorders>
              <w:bottom w:val="single" w:sz="8" w:color="D9D9D6"/>
            </w:tcBorders>
          </w:tcPr>
          <w:p>
            <w:pPr>
              <w:ind w:left="540"/>
              <w:spacing w:after="0"/>
              <w:rPr>
                <w:sz w:val="20"/>
                <w:szCs w:val="20"/>
                <w:color w:val="auto"/>
              </w:rPr>
            </w:pPr>
            <w:r>
              <w:rPr>
                <w:rFonts w:ascii="Arial" w:cs="Arial" w:eastAsia="Arial" w:hAnsi="Arial"/>
                <w:sz w:val="16"/>
                <w:szCs w:val="16"/>
                <w:color w:val="3D3935"/>
              </w:rPr>
              <w:t>—%</w:t>
            </w:r>
          </w:p>
        </w:tc>
        <w:tc>
          <w:tcPr>
            <w:tcW w:w="960" w:type="dxa"/>
            <w:vAlign w:val="bottom"/>
            <w:tcBorders>
              <w:bottom w:val="single" w:sz="8" w:color="D9D9D6"/>
            </w:tcBorders>
          </w:tcPr>
          <w:p>
            <w:pPr>
              <w:jc w:val="right"/>
              <w:ind w:right="87"/>
              <w:spacing w:after="0"/>
              <w:rPr>
                <w:sz w:val="20"/>
                <w:szCs w:val="20"/>
                <w:color w:val="auto"/>
              </w:rPr>
            </w:pPr>
            <w:r>
              <w:rPr>
                <w:rFonts w:ascii="Arial" w:cs="Arial" w:eastAsia="Arial" w:hAnsi="Arial"/>
                <w:sz w:val="16"/>
                <w:szCs w:val="16"/>
                <w:color w:val="3D3935"/>
              </w:rPr>
              <w:t>25%</w:t>
            </w:r>
          </w:p>
        </w:tc>
        <w:tc>
          <w:tcPr>
            <w:tcW w:w="1240" w:type="dxa"/>
            <w:vAlign w:val="bottom"/>
            <w:tcBorders>
              <w:bottom w:val="single" w:sz="8" w:color="D9D9D6"/>
            </w:tcBorders>
          </w:tcPr>
          <w:p>
            <w:pPr>
              <w:jc w:val="right"/>
              <w:ind w:right="161"/>
              <w:spacing w:after="0"/>
              <w:rPr>
                <w:sz w:val="20"/>
                <w:szCs w:val="20"/>
                <w:color w:val="auto"/>
              </w:rPr>
            </w:pPr>
            <w:r>
              <w:rPr>
                <w:rFonts w:ascii="Arial" w:cs="Arial" w:eastAsia="Arial" w:hAnsi="Arial"/>
                <w:sz w:val="16"/>
                <w:szCs w:val="16"/>
                <w:color w:val="3D3935"/>
              </w:rPr>
              <w:t>Above target</w:t>
            </w:r>
          </w:p>
        </w:tc>
        <w:tc>
          <w:tcPr>
            <w:tcW w:w="7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39%</w:t>
            </w:r>
          </w:p>
        </w:tc>
        <w:tc>
          <w:tcPr>
            <w:tcW w:w="0" w:type="dxa"/>
            <w:vAlign w:val="bottom"/>
          </w:tcPr>
          <w:p>
            <w:pPr>
              <w:spacing w:after="0"/>
              <w:rPr>
                <w:sz w:val="1"/>
                <w:szCs w:val="1"/>
                <w:color w:val="auto"/>
              </w:rPr>
            </w:pPr>
          </w:p>
        </w:tc>
      </w:tr>
      <w:tr>
        <w:trPr>
          <w:trHeight w:val="244"/>
        </w:trPr>
        <w:tc>
          <w:tcPr>
            <w:tcW w:w="254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S&amp;S Goal</w:t>
            </w:r>
          </w:p>
        </w:tc>
        <w:tc>
          <w:tcPr>
            <w:tcW w:w="940" w:type="dxa"/>
            <w:vAlign w:val="bottom"/>
            <w:tcBorders>
              <w:bottom w:val="single" w:sz="8" w:color="D9D9D6"/>
            </w:tcBorders>
          </w:tcPr>
          <w:p>
            <w:pPr>
              <w:jc w:val="right"/>
              <w:ind w:right="60"/>
              <w:spacing w:after="0"/>
              <w:rPr>
                <w:sz w:val="20"/>
                <w:szCs w:val="20"/>
                <w:color w:val="auto"/>
              </w:rPr>
            </w:pPr>
            <w:r>
              <w:rPr>
                <w:rFonts w:ascii="Arial" w:cs="Arial" w:eastAsia="Arial" w:hAnsi="Arial"/>
                <w:sz w:val="16"/>
                <w:szCs w:val="16"/>
                <w:color w:val="3D3935"/>
              </w:rPr>
              <w:t>10%</w:t>
            </w:r>
          </w:p>
        </w:tc>
        <w:tc>
          <w:tcPr>
            <w:tcW w:w="3620" w:type="dxa"/>
            <w:vAlign w:val="bottom"/>
            <w:tcBorders>
              <w:bottom w:val="single" w:sz="8" w:color="D9D9D6"/>
            </w:tcBorders>
            <w:gridSpan w:val="4"/>
          </w:tcPr>
          <w:p>
            <w:pPr>
              <w:jc w:val="right"/>
              <w:ind w:right="147"/>
              <w:spacing w:after="0"/>
              <w:rPr>
                <w:sz w:val="20"/>
                <w:szCs w:val="20"/>
                <w:color w:val="auto"/>
              </w:rPr>
            </w:pPr>
            <w:r>
              <w:rPr>
                <w:rFonts w:ascii="Arial" w:cs="Arial" w:eastAsia="Arial" w:hAnsi="Arial"/>
                <w:sz w:val="13"/>
                <w:szCs w:val="13"/>
                <w:color w:val="3D3935"/>
              </w:rPr>
              <w:t>Vehicle software released on-time and with quality</w:t>
            </w:r>
          </w:p>
        </w:tc>
        <w:tc>
          <w:tcPr>
            <w:tcW w:w="1240" w:type="dxa"/>
            <w:vAlign w:val="bottom"/>
            <w:tcBorders>
              <w:bottom w:val="single" w:sz="8" w:color="D9D9D6"/>
            </w:tcBorders>
          </w:tcPr>
          <w:p>
            <w:pPr>
              <w:jc w:val="right"/>
              <w:ind w:right="161"/>
              <w:spacing w:after="0"/>
              <w:rPr>
                <w:sz w:val="20"/>
                <w:szCs w:val="20"/>
                <w:color w:val="auto"/>
              </w:rPr>
            </w:pPr>
            <w:r>
              <w:rPr>
                <w:rFonts w:ascii="Arial" w:cs="Arial" w:eastAsia="Arial" w:hAnsi="Arial"/>
                <w:sz w:val="16"/>
                <w:szCs w:val="16"/>
                <w:color w:val="3D3935"/>
              </w:rPr>
              <w:t>Above target</w:t>
            </w:r>
          </w:p>
        </w:tc>
        <w:tc>
          <w:tcPr>
            <w:tcW w:w="7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14%</w:t>
            </w:r>
          </w:p>
        </w:tc>
        <w:tc>
          <w:tcPr>
            <w:tcW w:w="0" w:type="dxa"/>
            <w:vAlign w:val="bottom"/>
          </w:tcPr>
          <w:p>
            <w:pPr>
              <w:spacing w:after="0"/>
              <w:rPr>
                <w:sz w:val="1"/>
                <w:szCs w:val="1"/>
                <w:color w:val="auto"/>
              </w:rPr>
            </w:pPr>
          </w:p>
        </w:tc>
      </w:tr>
      <w:tr>
        <w:trPr>
          <w:trHeight w:val="189"/>
        </w:trPr>
        <w:tc>
          <w:tcPr>
            <w:tcW w:w="2540" w:type="dxa"/>
            <w:vAlign w:val="bottom"/>
          </w:tcPr>
          <w:p>
            <w:pPr>
              <w:ind w:left="60"/>
              <w:spacing w:after="0"/>
              <w:rPr>
                <w:sz w:val="20"/>
                <w:szCs w:val="20"/>
                <w:color w:val="auto"/>
              </w:rPr>
            </w:pPr>
            <w:r>
              <w:rPr>
                <w:rFonts w:ascii="Arial" w:cs="Arial" w:eastAsia="Arial" w:hAnsi="Arial"/>
                <w:sz w:val="16"/>
                <w:szCs w:val="16"/>
                <w:color w:val="3D3935"/>
              </w:rPr>
              <w:t>AV Strategy</w:t>
            </w:r>
          </w:p>
        </w:tc>
        <w:tc>
          <w:tcPr>
            <w:tcW w:w="940" w:type="dxa"/>
            <w:vAlign w:val="bottom"/>
          </w:tcPr>
          <w:p>
            <w:pPr>
              <w:jc w:val="right"/>
              <w:ind w:right="80"/>
              <w:spacing w:after="0"/>
              <w:rPr>
                <w:sz w:val="20"/>
                <w:szCs w:val="20"/>
                <w:color w:val="auto"/>
              </w:rPr>
            </w:pPr>
            <w:r>
              <w:rPr>
                <w:rFonts w:ascii="Arial" w:cs="Arial" w:eastAsia="Arial" w:hAnsi="Arial"/>
                <w:sz w:val="16"/>
                <w:szCs w:val="16"/>
                <w:color w:val="3D3935"/>
              </w:rPr>
              <w:t>5%</w:t>
            </w:r>
          </w:p>
        </w:tc>
        <w:tc>
          <w:tcPr>
            <w:tcW w:w="1740" w:type="dxa"/>
            <w:vAlign w:val="bottom"/>
            <w:gridSpan w:val="2"/>
          </w:tcPr>
          <w:p>
            <w:pPr>
              <w:jc w:val="right"/>
              <w:ind w:right="21"/>
              <w:spacing w:after="0"/>
              <w:rPr>
                <w:sz w:val="20"/>
                <w:szCs w:val="20"/>
                <w:color w:val="auto"/>
              </w:rPr>
            </w:pPr>
            <w:r>
              <w:rPr>
                <w:rFonts w:ascii="Arial" w:cs="Arial" w:eastAsia="Arial" w:hAnsi="Arial"/>
                <w:sz w:val="13"/>
                <w:szCs w:val="13"/>
                <w:color w:val="3D3935"/>
              </w:rPr>
              <w:t>Achievement of:</w:t>
            </w:r>
          </w:p>
        </w:tc>
        <w:tc>
          <w:tcPr>
            <w:tcW w:w="920" w:type="dxa"/>
            <w:vAlign w:val="bottom"/>
          </w:tcPr>
          <w:p>
            <w:pPr>
              <w:jc w:val="center"/>
              <w:ind w:left="67"/>
              <w:spacing w:after="0"/>
              <w:rPr>
                <w:sz w:val="20"/>
                <w:szCs w:val="20"/>
                <w:color w:val="auto"/>
              </w:rPr>
            </w:pPr>
            <w:r>
              <w:rPr>
                <w:rFonts w:ascii="Arial" w:cs="Arial" w:eastAsia="Arial" w:hAnsi="Arial"/>
                <w:sz w:val="13"/>
                <w:szCs w:val="13"/>
                <w:color w:val="3D3935"/>
                <w:w w:val="94"/>
              </w:rPr>
              <w:t>3 goals =</w:t>
            </w:r>
          </w:p>
        </w:tc>
        <w:tc>
          <w:tcPr>
            <w:tcW w:w="960" w:type="dxa"/>
            <w:vAlign w:val="bottom"/>
          </w:tcPr>
          <w:p>
            <w:pPr>
              <w:jc w:val="right"/>
              <w:ind w:right="87"/>
              <w:spacing w:after="0"/>
              <w:rPr>
                <w:sz w:val="20"/>
                <w:szCs w:val="20"/>
                <w:color w:val="auto"/>
              </w:rPr>
            </w:pPr>
            <w:r>
              <w:rPr>
                <w:rFonts w:ascii="Arial" w:cs="Arial" w:eastAsia="Arial" w:hAnsi="Arial"/>
                <w:sz w:val="13"/>
                <w:szCs w:val="13"/>
                <w:color w:val="3D3935"/>
              </w:rPr>
              <w:t>N/A - capped</w:t>
            </w:r>
          </w:p>
        </w:tc>
        <w:tc>
          <w:tcPr>
            <w:tcW w:w="1240" w:type="dxa"/>
            <w:vAlign w:val="bottom"/>
          </w:tcPr>
          <w:p>
            <w:pPr>
              <w:jc w:val="right"/>
              <w:ind w:right="161"/>
              <w:spacing w:after="0"/>
              <w:rPr>
                <w:sz w:val="20"/>
                <w:szCs w:val="20"/>
                <w:color w:val="auto"/>
              </w:rPr>
            </w:pPr>
            <w:r>
              <w:rPr>
                <w:rFonts w:ascii="Arial" w:cs="Arial" w:eastAsia="Arial" w:hAnsi="Arial"/>
                <w:sz w:val="16"/>
                <w:szCs w:val="16"/>
                <w:color w:val="3D3935"/>
              </w:rPr>
              <w:t>2 of 3 goals</w:t>
            </w:r>
          </w:p>
        </w:tc>
        <w:tc>
          <w:tcPr>
            <w:tcW w:w="740" w:type="dxa"/>
            <w:vAlign w:val="bottom"/>
          </w:tcPr>
          <w:p>
            <w:pPr>
              <w:jc w:val="right"/>
              <w:spacing w:after="0"/>
              <w:rPr>
                <w:sz w:val="20"/>
                <w:szCs w:val="20"/>
                <w:color w:val="auto"/>
              </w:rPr>
            </w:pPr>
            <w:r>
              <w:rPr>
                <w:rFonts w:ascii="Arial" w:cs="Arial" w:eastAsia="Arial" w:hAnsi="Arial"/>
                <w:sz w:val="16"/>
                <w:szCs w:val="16"/>
                <w:color w:val="3D3935"/>
              </w:rPr>
              <w:t>3%</w:t>
            </w:r>
          </w:p>
        </w:tc>
        <w:tc>
          <w:tcPr>
            <w:tcW w:w="0" w:type="dxa"/>
            <w:vAlign w:val="bottom"/>
          </w:tcPr>
          <w:p>
            <w:pPr>
              <w:spacing w:after="0"/>
              <w:rPr>
                <w:sz w:val="1"/>
                <w:szCs w:val="1"/>
                <w:color w:val="auto"/>
              </w:rPr>
            </w:pPr>
          </w:p>
        </w:tc>
      </w:tr>
      <w:tr>
        <w:trPr>
          <w:trHeight w:val="131"/>
        </w:trPr>
        <w:tc>
          <w:tcPr>
            <w:tcW w:w="2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40" w:type="dxa"/>
            <w:vAlign w:val="bottom"/>
            <w:gridSpan w:val="2"/>
          </w:tcPr>
          <w:p>
            <w:pPr>
              <w:jc w:val="right"/>
              <w:ind w:right="1"/>
              <w:spacing w:after="0" w:line="131" w:lineRule="exact"/>
              <w:rPr>
                <w:sz w:val="20"/>
                <w:szCs w:val="20"/>
                <w:color w:val="auto"/>
              </w:rPr>
            </w:pPr>
            <w:r>
              <w:rPr>
                <w:rFonts w:ascii="Arial" w:cs="Arial" w:eastAsia="Arial" w:hAnsi="Arial"/>
                <w:sz w:val="13"/>
                <w:szCs w:val="13"/>
                <w:color w:val="3D3935"/>
              </w:rPr>
              <w:t>1 goal = 33% payout</w:t>
            </w:r>
          </w:p>
        </w:tc>
        <w:tc>
          <w:tcPr>
            <w:tcW w:w="920" w:type="dxa"/>
            <w:vAlign w:val="bottom"/>
          </w:tcPr>
          <w:p>
            <w:pPr>
              <w:ind w:left="40"/>
              <w:spacing w:after="0" w:line="131" w:lineRule="exact"/>
              <w:rPr>
                <w:sz w:val="20"/>
                <w:szCs w:val="20"/>
                <w:color w:val="auto"/>
              </w:rPr>
            </w:pPr>
            <w:r>
              <w:rPr>
                <w:rFonts w:ascii="Arial" w:cs="Arial" w:eastAsia="Arial" w:hAnsi="Arial"/>
                <w:sz w:val="13"/>
                <w:szCs w:val="13"/>
                <w:color w:val="3D3935"/>
              </w:rPr>
              <w:t>100% payout</w:t>
            </w:r>
          </w:p>
        </w:tc>
        <w:tc>
          <w:tcPr>
            <w:tcW w:w="960" w:type="dxa"/>
            <w:vAlign w:val="bottom"/>
          </w:tcPr>
          <w:p>
            <w:pPr>
              <w:jc w:val="right"/>
              <w:ind w:right="67"/>
              <w:spacing w:after="0" w:line="131" w:lineRule="exact"/>
              <w:rPr>
                <w:sz w:val="20"/>
                <w:szCs w:val="20"/>
                <w:color w:val="auto"/>
              </w:rPr>
            </w:pPr>
            <w:r>
              <w:rPr>
                <w:rFonts w:ascii="Arial" w:cs="Arial" w:eastAsia="Arial" w:hAnsi="Arial"/>
                <w:sz w:val="13"/>
                <w:szCs w:val="13"/>
                <w:color w:val="3D3935"/>
              </w:rPr>
              <w:t>at 100%</w:t>
            </w:r>
          </w:p>
        </w:tc>
        <w:tc>
          <w:tcPr>
            <w:tcW w:w="1240" w:type="dxa"/>
            <w:vAlign w:val="bottom"/>
            <w:vMerge w:val="restart"/>
          </w:tcPr>
          <w:p>
            <w:pPr>
              <w:jc w:val="right"/>
              <w:ind w:right="161"/>
              <w:spacing w:after="0"/>
              <w:rPr>
                <w:sz w:val="20"/>
                <w:szCs w:val="20"/>
                <w:color w:val="auto"/>
              </w:rPr>
            </w:pPr>
            <w:r>
              <w:rPr>
                <w:rFonts w:ascii="Arial" w:cs="Arial" w:eastAsia="Arial" w:hAnsi="Arial"/>
                <w:sz w:val="16"/>
                <w:szCs w:val="16"/>
                <w:color w:val="3D3935"/>
              </w:rPr>
              <w:t>achieved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5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740" w:type="dxa"/>
            <w:vAlign w:val="bottom"/>
            <w:gridSpan w:val="2"/>
            <w:vMerge w:val="restart"/>
          </w:tcPr>
          <w:p>
            <w:pPr>
              <w:jc w:val="right"/>
              <w:ind w:right="21"/>
              <w:spacing w:after="0"/>
              <w:rPr>
                <w:sz w:val="20"/>
                <w:szCs w:val="20"/>
                <w:color w:val="auto"/>
              </w:rPr>
            </w:pPr>
            <w:r>
              <w:rPr>
                <w:rFonts w:ascii="Arial" w:cs="Arial" w:eastAsia="Arial" w:hAnsi="Arial"/>
                <w:sz w:val="13"/>
                <w:szCs w:val="13"/>
                <w:color w:val="3D3935"/>
              </w:rPr>
              <w:t>2 goals = 67% payout</w:t>
            </w:r>
          </w:p>
        </w:tc>
        <w:tc>
          <w:tcPr>
            <w:tcW w:w="9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74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540" w:type="dxa"/>
            <w:vAlign w:val="bottom"/>
            <w:tcBorders>
              <w:bottom w:val="single" w:sz="8" w:color="D9D9D6"/>
            </w:tcBorders>
          </w:tcPr>
          <w:p>
            <w:pPr>
              <w:spacing w:after="0"/>
              <w:rPr>
                <w:sz w:val="2"/>
                <w:szCs w:val="2"/>
                <w:color w:val="auto"/>
              </w:rPr>
            </w:pPr>
          </w:p>
        </w:tc>
        <w:tc>
          <w:tcPr>
            <w:tcW w:w="940" w:type="dxa"/>
            <w:vAlign w:val="bottom"/>
            <w:tcBorders>
              <w:bottom w:val="single" w:sz="8" w:color="D9D9D6"/>
            </w:tcBorders>
          </w:tcPr>
          <w:p>
            <w:pPr>
              <w:spacing w:after="0"/>
              <w:rPr>
                <w:sz w:val="2"/>
                <w:szCs w:val="2"/>
                <w:color w:val="auto"/>
              </w:rPr>
            </w:pPr>
          </w:p>
        </w:tc>
        <w:tc>
          <w:tcPr>
            <w:tcW w:w="820" w:type="dxa"/>
            <w:vAlign w:val="bottom"/>
            <w:tcBorders>
              <w:bottom w:val="single" w:sz="8" w:color="D9D9D6"/>
            </w:tcBorders>
          </w:tcPr>
          <w:p>
            <w:pPr>
              <w:spacing w:after="0"/>
              <w:rPr>
                <w:sz w:val="2"/>
                <w:szCs w:val="2"/>
                <w:color w:val="auto"/>
              </w:rPr>
            </w:pPr>
          </w:p>
        </w:tc>
        <w:tc>
          <w:tcPr>
            <w:tcW w:w="4040" w:type="dxa"/>
            <w:vAlign w:val="bottom"/>
            <w:tcBorders>
              <w:bottom w:val="single" w:sz="8" w:color="D9D9D6"/>
            </w:tcBorders>
            <w:gridSpan w:val="4"/>
          </w:tcPr>
          <w:p>
            <w:pPr>
              <w:spacing w:after="0"/>
              <w:rPr>
                <w:sz w:val="2"/>
                <w:szCs w:val="2"/>
                <w:color w:val="auto"/>
              </w:rPr>
            </w:pPr>
          </w:p>
        </w:tc>
        <w:tc>
          <w:tcPr>
            <w:tcW w:w="740" w:type="dxa"/>
            <w:vAlign w:val="bottom"/>
            <w:tcBorders>
              <w:bottom w:val="single" w:sz="8" w:color="D9D9D6"/>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4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Safety performance</w:t>
            </w:r>
          </w:p>
        </w:tc>
        <w:tc>
          <w:tcPr>
            <w:tcW w:w="940" w:type="dxa"/>
            <w:vAlign w:val="bottom"/>
            <w:tcBorders>
              <w:bottom w:val="single" w:sz="8" w:color="D9D9D6"/>
            </w:tcBorders>
          </w:tcPr>
          <w:p>
            <w:pPr>
              <w:jc w:val="right"/>
              <w:ind w:right="40"/>
              <w:spacing w:after="0"/>
              <w:rPr>
                <w:sz w:val="20"/>
                <w:szCs w:val="20"/>
                <w:color w:val="auto"/>
              </w:rPr>
            </w:pPr>
            <w:r>
              <w:rPr>
                <w:rFonts w:ascii="Arial" w:cs="Arial" w:eastAsia="Arial" w:hAnsi="Arial"/>
                <w:sz w:val="16"/>
                <w:szCs w:val="16"/>
                <w:color w:val="3D3935"/>
              </w:rPr>
              <w:t>Modifier</w:t>
            </w:r>
          </w:p>
        </w:tc>
        <w:tc>
          <w:tcPr>
            <w:tcW w:w="820" w:type="dxa"/>
            <w:vAlign w:val="bottom"/>
            <w:tcBorders>
              <w:bottom w:val="single" w:sz="8" w:color="D9D9D6"/>
            </w:tcBorders>
          </w:tcPr>
          <w:p>
            <w:pPr>
              <w:spacing w:after="0"/>
              <w:rPr>
                <w:sz w:val="21"/>
                <w:szCs w:val="21"/>
                <w:color w:val="auto"/>
              </w:rPr>
            </w:pPr>
          </w:p>
        </w:tc>
        <w:tc>
          <w:tcPr>
            <w:tcW w:w="4040" w:type="dxa"/>
            <w:vAlign w:val="bottom"/>
            <w:tcBorders>
              <w:bottom w:val="single" w:sz="8" w:color="D9D9D6"/>
            </w:tcBorders>
            <w:gridSpan w:val="4"/>
          </w:tcPr>
          <w:p>
            <w:pPr>
              <w:jc w:val="right"/>
              <w:ind w:right="221"/>
              <w:spacing w:after="0"/>
              <w:rPr>
                <w:sz w:val="20"/>
                <w:szCs w:val="20"/>
                <w:color w:val="auto"/>
              </w:rPr>
            </w:pPr>
            <w:r>
              <w:rPr>
                <w:rFonts w:ascii="Arial" w:cs="Arial" w:eastAsia="Arial" w:hAnsi="Arial"/>
                <w:sz w:val="16"/>
                <w:szCs w:val="16"/>
                <w:color w:val="3D3935"/>
              </w:rPr>
              <w:t>Potential to adjust +/- 5 ppts based on safety results</w:t>
            </w:r>
          </w:p>
        </w:tc>
        <w:tc>
          <w:tcPr>
            <w:tcW w:w="7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3%</w:t>
            </w:r>
          </w:p>
        </w:tc>
        <w:tc>
          <w:tcPr>
            <w:tcW w:w="0" w:type="dxa"/>
            <w:vAlign w:val="bottom"/>
          </w:tcPr>
          <w:p>
            <w:pPr>
              <w:spacing w:after="0"/>
              <w:rPr>
                <w:sz w:val="1"/>
                <w:szCs w:val="1"/>
                <w:color w:val="auto"/>
              </w:rPr>
            </w:pPr>
          </w:p>
        </w:tc>
      </w:tr>
      <w:tr>
        <w:trPr>
          <w:trHeight w:val="253"/>
        </w:trPr>
        <w:tc>
          <w:tcPr>
            <w:tcW w:w="2540" w:type="dxa"/>
            <w:vAlign w:val="bottom"/>
            <w:tcBorders>
              <w:bottom w:val="single" w:sz="8" w:color="0072CE"/>
            </w:tcBorders>
          </w:tcPr>
          <w:p>
            <w:pPr>
              <w:ind w:left="60"/>
              <w:spacing w:after="0"/>
              <w:rPr>
                <w:sz w:val="20"/>
                <w:szCs w:val="20"/>
                <w:color w:val="auto"/>
              </w:rPr>
            </w:pPr>
            <w:r>
              <w:rPr>
                <w:rFonts w:ascii="Arial" w:cs="Arial" w:eastAsia="Arial" w:hAnsi="Arial"/>
                <w:sz w:val="16"/>
                <w:szCs w:val="16"/>
                <w:b w:val="1"/>
                <w:bCs w:val="1"/>
                <w:color w:val="0072CE"/>
              </w:rPr>
              <w:t>Performance Payout</w:t>
            </w:r>
          </w:p>
        </w:tc>
        <w:tc>
          <w:tcPr>
            <w:tcW w:w="940" w:type="dxa"/>
            <w:vAlign w:val="bottom"/>
            <w:tcBorders>
              <w:bottom w:val="single" w:sz="8" w:color="0072CE"/>
            </w:tcBorders>
          </w:tcPr>
          <w:p>
            <w:pPr>
              <w:spacing w:after="0"/>
              <w:rPr>
                <w:sz w:val="21"/>
                <w:szCs w:val="21"/>
                <w:color w:val="auto"/>
              </w:rPr>
            </w:pPr>
          </w:p>
        </w:tc>
        <w:tc>
          <w:tcPr>
            <w:tcW w:w="820" w:type="dxa"/>
            <w:vAlign w:val="bottom"/>
            <w:tcBorders>
              <w:bottom w:val="single" w:sz="8" w:color="0072CE"/>
            </w:tcBorders>
          </w:tcPr>
          <w:p>
            <w:pPr>
              <w:spacing w:after="0"/>
              <w:rPr>
                <w:sz w:val="21"/>
                <w:szCs w:val="21"/>
                <w:color w:val="auto"/>
              </w:rPr>
            </w:pPr>
          </w:p>
        </w:tc>
        <w:tc>
          <w:tcPr>
            <w:tcW w:w="920" w:type="dxa"/>
            <w:vAlign w:val="bottom"/>
            <w:tcBorders>
              <w:bottom w:val="single" w:sz="8" w:color="0072CE"/>
            </w:tcBorders>
          </w:tcPr>
          <w:p>
            <w:pPr>
              <w:spacing w:after="0"/>
              <w:rPr>
                <w:sz w:val="21"/>
                <w:szCs w:val="21"/>
                <w:color w:val="auto"/>
              </w:rPr>
            </w:pPr>
          </w:p>
        </w:tc>
        <w:tc>
          <w:tcPr>
            <w:tcW w:w="920" w:type="dxa"/>
            <w:vAlign w:val="bottom"/>
            <w:tcBorders>
              <w:bottom w:val="single" w:sz="8" w:color="0072CE"/>
            </w:tcBorders>
          </w:tcPr>
          <w:p>
            <w:pPr>
              <w:spacing w:after="0"/>
              <w:rPr>
                <w:sz w:val="21"/>
                <w:szCs w:val="21"/>
                <w:color w:val="auto"/>
              </w:rPr>
            </w:pPr>
          </w:p>
        </w:tc>
        <w:tc>
          <w:tcPr>
            <w:tcW w:w="960" w:type="dxa"/>
            <w:vAlign w:val="bottom"/>
            <w:tcBorders>
              <w:bottom w:val="single" w:sz="8" w:color="0072CE"/>
            </w:tcBorders>
          </w:tcPr>
          <w:p>
            <w:pPr>
              <w:spacing w:after="0"/>
              <w:rPr>
                <w:sz w:val="21"/>
                <w:szCs w:val="21"/>
                <w:color w:val="auto"/>
              </w:rPr>
            </w:pPr>
          </w:p>
        </w:tc>
        <w:tc>
          <w:tcPr>
            <w:tcW w:w="1980" w:type="dxa"/>
            <w:vAlign w:val="bottom"/>
            <w:tcBorders>
              <w:bottom w:val="single" w:sz="8" w:color="0072CE"/>
            </w:tcBorders>
            <w:gridSpan w:val="2"/>
          </w:tcPr>
          <w:p>
            <w:pPr>
              <w:jc w:val="right"/>
              <w:spacing w:after="0"/>
              <w:rPr>
                <w:sz w:val="20"/>
                <w:szCs w:val="20"/>
                <w:color w:val="auto"/>
              </w:rPr>
            </w:pPr>
            <w:r>
              <w:rPr>
                <w:rFonts w:ascii="Arial" w:cs="Arial" w:eastAsia="Arial" w:hAnsi="Arial"/>
                <w:sz w:val="16"/>
                <w:szCs w:val="16"/>
                <w:b w:val="1"/>
                <w:bCs w:val="1"/>
                <w:color w:val="0072CE"/>
              </w:rPr>
              <w:t>147% of Target</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200" w:hanging="192"/>
        <w:spacing w:after="0"/>
        <w:tabs>
          <w:tab w:leader="none" w:pos="200" w:val="left"/>
        </w:tabs>
        <w:numPr>
          <w:ilvl w:val="0"/>
          <w:numId w:val="81"/>
        </w:numPr>
        <w:rPr>
          <w:rFonts w:ascii="Arial" w:cs="Arial" w:eastAsia="Arial" w:hAnsi="Arial"/>
          <w:sz w:val="19"/>
          <w:szCs w:val="19"/>
          <w:color w:val="3D3935"/>
          <w:vertAlign w:val="superscript"/>
        </w:rPr>
      </w:pPr>
      <w:r>
        <w:rPr>
          <w:rFonts w:ascii="Arial" w:cs="Arial" w:eastAsia="Arial" w:hAnsi="Arial"/>
          <w:sz w:val="14"/>
          <w:szCs w:val="14"/>
          <w:color w:val="3D3935"/>
        </w:rPr>
        <w:t>For a description of how EBIT-adjusted is calculated, see Appendix A.</w:t>
      </w:r>
    </w:p>
    <w:p>
      <w:pPr>
        <w:spacing w:after="0" w:line="43" w:lineRule="exact"/>
        <w:rPr>
          <w:rFonts w:ascii="Arial" w:cs="Arial" w:eastAsia="Arial" w:hAnsi="Arial"/>
          <w:sz w:val="19"/>
          <w:szCs w:val="19"/>
          <w:color w:val="3D3935"/>
          <w:vertAlign w:val="superscript"/>
        </w:rPr>
      </w:pPr>
    </w:p>
    <w:p>
      <w:pPr>
        <w:ind w:left="200" w:hanging="192"/>
        <w:spacing w:after="0" w:line="219" w:lineRule="auto"/>
        <w:tabs>
          <w:tab w:leader="none" w:pos="200" w:val="left"/>
        </w:tabs>
        <w:numPr>
          <w:ilvl w:val="0"/>
          <w:numId w:val="81"/>
        </w:numPr>
        <w:rPr>
          <w:rFonts w:ascii="Arial" w:cs="Arial" w:eastAsia="Arial" w:hAnsi="Arial"/>
          <w:sz w:val="19"/>
          <w:szCs w:val="19"/>
          <w:color w:val="3D3935"/>
          <w:vertAlign w:val="superscript"/>
        </w:rPr>
      </w:pPr>
      <w:r>
        <w:rPr>
          <w:rFonts w:ascii="Arial" w:cs="Arial" w:eastAsia="Arial" w:hAnsi="Arial"/>
          <w:sz w:val="14"/>
          <w:szCs w:val="14"/>
          <w:color w:val="3D3935"/>
        </w:rPr>
        <w:t>For a description of how AAFCF is calculated, see Appendix A.</w:t>
      </w:r>
    </w:p>
    <w:p>
      <w:pPr>
        <w:spacing w:after="0" w:line="52" w:lineRule="exact"/>
        <w:rPr>
          <w:rFonts w:ascii="Arial" w:cs="Arial" w:eastAsia="Arial" w:hAnsi="Arial"/>
          <w:sz w:val="19"/>
          <w:szCs w:val="19"/>
          <w:color w:val="3D3935"/>
          <w:vertAlign w:val="superscript"/>
        </w:rPr>
      </w:pPr>
    </w:p>
    <w:p>
      <w:pPr>
        <w:ind w:left="200" w:right="380" w:hanging="192"/>
        <w:spacing w:after="0" w:line="257" w:lineRule="auto"/>
        <w:tabs>
          <w:tab w:leader="none" w:pos="200" w:val="left"/>
        </w:tabs>
        <w:numPr>
          <w:ilvl w:val="0"/>
          <w:numId w:val="81"/>
        </w:numPr>
        <w:rPr>
          <w:rFonts w:ascii="Arial" w:cs="Arial" w:eastAsia="Arial" w:hAnsi="Arial"/>
          <w:sz w:val="19"/>
          <w:szCs w:val="19"/>
          <w:color w:val="3D3935"/>
          <w:vertAlign w:val="superscript"/>
        </w:rPr>
      </w:pPr>
      <w:r>
        <w:rPr>
          <w:rFonts w:ascii="Arial" w:cs="Arial" w:eastAsia="Arial" w:hAnsi="Arial"/>
          <w:sz w:val="14"/>
          <w:szCs w:val="14"/>
          <w:color w:val="3D3935"/>
        </w:rPr>
        <w:t>This measure is defined as Consolidated operating income related to the sale of EVs plus (i) the value of emissions credits generated by the production of EVs, (ii) less EV fixed costs and (iii) adjusted for costs incurred not directly attributable to vehicles wholesaled during the period.</w:t>
      </w:r>
    </w:p>
    <w:p>
      <w:pPr>
        <w:spacing w:after="0" w:line="55" w:lineRule="exact"/>
        <w:rPr>
          <w:rFonts w:ascii="Arial" w:cs="Arial" w:eastAsia="Arial" w:hAnsi="Arial"/>
          <w:sz w:val="19"/>
          <w:szCs w:val="19"/>
          <w:color w:val="3D3935"/>
          <w:vertAlign w:val="superscript"/>
        </w:rPr>
      </w:pPr>
    </w:p>
    <w:p>
      <w:pPr>
        <w:ind w:left="200" w:right="360" w:hanging="192"/>
        <w:spacing w:after="0" w:line="257" w:lineRule="auto"/>
        <w:tabs>
          <w:tab w:leader="none" w:pos="200" w:val="left"/>
        </w:tabs>
        <w:numPr>
          <w:ilvl w:val="0"/>
          <w:numId w:val="81"/>
        </w:numPr>
        <w:rPr>
          <w:rFonts w:ascii="Arial" w:cs="Arial" w:eastAsia="Arial" w:hAnsi="Arial"/>
          <w:sz w:val="19"/>
          <w:szCs w:val="19"/>
          <w:color w:val="3D3935"/>
          <w:vertAlign w:val="superscript"/>
        </w:rPr>
      </w:pPr>
      <w:r>
        <w:rPr>
          <w:rFonts w:ascii="Arial" w:cs="Arial" w:eastAsia="Arial" w:hAnsi="Arial"/>
          <w:sz w:val="14"/>
          <w:szCs w:val="14"/>
          <w:color w:val="3D3935"/>
        </w:rPr>
        <w:t>The $14B performance result for 2024 AAFCF includes $2B of favorable wind down in working capital, which was not adjusted out of the performance result. Had that favorable $2B been subtracted from the result, it would have been $12B, and still greater than the result of $11.5B required to achieve maximum payout on this measure.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0072CE"/>
        </w:rPr>
        <w:t>Individual Performance Modifier Results</w:t>
      </w:r>
    </w:p>
    <w:p>
      <w:pPr>
        <w:sectPr>
          <w:pgSz w:w="11900" w:h="16867" w:orient="portrait"/>
          <w:cols w:equalWidth="0" w:num="1">
            <w:col w:w="9240"/>
          </w:cols>
          <w:pgMar w:left="1400" w:top="114" w:right="1259" w:bottom="0" w:gutter="0" w:footer="0" w:header="0"/>
        </w:sectPr>
      </w:pPr>
    </w:p>
    <w:p>
      <w:pPr>
        <w:spacing w:after="0" w:line="95" w:lineRule="exact"/>
        <w:rPr>
          <w:sz w:val="20"/>
          <w:szCs w:val="20"/>
          <w:color w:val="auto"/>
        </w:rPr>
      </w:pPr>
    </w:p>
    <w:p>
      <w:pPr>
        <w:ind w:right="880"/>
        <w:spacing w:after="0" w:line="301" w:lineRule="auto"/>
        <w:rPr>
          <w:sz w:val="20"/>
          <w:szCs w:val="20"/>
          <w:color w:val="auto"/>
        </w:rPr>
      </w:pPr>
      <w:r>
        <w:rPr>
          <w:rFonts w:ascii="Arial" w:cs="Arial" w:eastAsia="Arial" w:hAnsi="Arial"/>
          <w:sz w:val="16"/>
          <w:szCs w:val="16"/>
          <w:color w:val="3D3935"/>
        </w:rPr>
        <w:t>In addition to Company performance results described above, the Compensation Committee evaluated individual performance against pre-established goals related to executing on key strategic initiatives in each of the pillars of our business that contribute to GM delivering a leading customer experience.</w:t>
      </w:r>
    </w:p>
    <w:p>
      <w:pPr>
        <w:sectPr>
          <w:pgSz w:w="11900" w:h="16867" w:orient="portrait"/>
          <w:cols w:equalWidth="0" w:num="1">
            <w:col w:w="9240"/>
          </w:cols>
          <w:pgMar w:left="1400" w:top="114" w:right="1259" w:bottom="0" w:gutter="0" w:footer="0" w:header="0"/>
          <w:type w:val="continuous"/>
        </w:sectPr>
      </w:pPr>
    </w:p>
    <w:bookmarkStart w:id="54" w:name="page55"/>
    <w:bookmarkEnd w:id="54"/>
    <w:p>
      <w:pPr>
        <w:spacing w:after="0" w:line="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43224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10375" cy="4322445"/>
                    </a:xfrm>
                    <a:prstGeom prst="rect">
                      <a:avLst/>
                    </a:prstGeom>
                    <a:noFill/>
                  </pic:spPr>
                </pic:pic>
              </a:graphicData>
            </a:graphic>
          </wp:anchor>
        </w:drawing>
      </w:r>
    </w:p>
    <w:p>
      <w:pPr>
        <w:ind w:right="140"/>
        <w:spacing w:after="0" w:line="284" w:lineRule="auto"/>
        <w:rPr>
          <w:sz w:val="20"/>
          <w:szCs w:val="20"/>
          <w:color w:val="auto"/>
        </w:rPr>
      </w:pPr>
      <w:r>
        <w:rPr>
          <w:rFonts w:ascii="Arial" w:cs="Arial" w:eastAsia="Arial" w:hAnsi="Arial"/>
          <w:sz w:val="16"/>
          <w:szCs w:val="16"/>
          <w:color w:val="3D3935"/>
        </w:rPr>
        <w:t>The Committee determined that Ms. Barra, Mr. Reuss, Mr. Jacobson and Mr. Harvey had demonstrated exceptional performance meriting application of an individual performance modifier. Ms. Barra solidified the Company’s AV and China strategies and made significant improvements to the S&amp;S organization through the hiring of new leaders. Mr. Jacobson executed the Company’s capital allocation strategy, enabling consistent investment in the business, strengthening the balance sheet, and returning excess capital to shareholders. Mr. Reuss drove improvements to GM’s global vehicle portfolio, enabling the Company to offer more new choices for customers across both ICE and EV models. Mr. Harvey leveraged GM’s vehicle portfolio to drive market growth across all four brands, with strong pricing and incentives significantly lower than the U.S. industry average. The Committee believes these achievements merited the individual performance modifier results in the table below, as aligned with the objective of GM’s incentive plans to reward NEOs for strong performance that delivers on the Company’s strategy.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0072CE"/>
        </w:rPr>
        <w:t>Final STIP Payout Results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20" w:type="dxa"/>
            <w:vAlign w:val="bottom"/>
            <w:shd w:val="clear" w:color="auto" w:fill="F0F3F6"/>
          </w:tcPr>
          <w:p>
            <w:pPr>
              <w:spacing w:after="0"/>
              <w:rPr>
                <w:sz w:val="16"/>
                <w:szCs w:val="16"/>
                <w:color w:val="auto"/>
              </w:rPr>
            </w:pPr>
          </w:p>
        </w:tc>
        <w:tc>
          <w:tcPr>
            <w:tcW w:w="1480" w:type="dxa"/>
            <w:vAlign w:val="bottom"/>
            <w:shd w:val="clear" w:color="auto" w:fill="F0F3F6"/>
          </w:tcPr>
          <w:p>
            <w:pPr>
              <w:jc w:val="right"/>
              <w:ind w:right="151"/>
              <w:spacing w:after="0"/>
              <w:rPr>
                <w:sz w:val="20"/>
                <w:szCs w:val="20"/>
                <w:color w:val="auto"/>
              </w:rPr>
            </w:pPr>
            <w:r>
              <w:rPr>
                <w:rFonts w:ascii="Arial" w:cs="Arial" w:eastAsia="Arial" w:hAnsi="Arial"/>
                <w:sz w:val="13"/>
                <w:szCs w:val="13"/>
                <w:b w:val="1"/>
                <w:bCs w:val="1"/>
                <w:color w:val="3D3935"/>
              </w:rPr>
              <w:t>Base</w:t>
            </w:r>
          </w:p>
        </w:tc>
        <w:tc>
          <w:tcPr>
            <w:tcW w:w="460" w:type="dxa"/>
            <w:vAlign w:val="bottom"/>
            <w:shd w:val="clear" w:color="auto" w:fill="F0F3F6"/>
          </w:tcPr>
          <w:p>
            <w:pPr>
              <w:spacing w:after="0"/>
              <w:rPr>
                <w:sz w:val="16"/>
                <w:szCs w:val="16"/>
                <w:color w:val="auto"/>
              </w:rPr>
            </w:pPr>
          </w:p>
        </w:tc>
        <w:tc>
          <w:tcPr>
            <w:tcW w:w="880" w:type="dxa"/>
            <w:vAlign w:val="bottom"/>
            <w:shd w:val="clear" w:color="auto" w:fill="F0F3F6"/>
          </w:tcPr>
          <w:p>
            <w:pPr>
              <w:spacing w:after="0"/>
              <w:rPr>
                <w:sz w:val="16"/>
                <w:szCs w:val="16"/>
                <w:color w:val="auto"/>
              </w:rPr>
            </w:pPr>
          </w:p>
        </w:tc>
        <w:tc>
          <w:tcPr>
            <w:tcW w:w="1540" w:type="dxa"/>
            <w:vAlign w:val="bottom"/>
            <w:shd w:val="clear" w:color="auto" w:fill="F0F3F6"/>
          </w:tcPr>
          <w:p>
            <w:pPr>
              <w:spacing w:after="0"/>
              <w:rPr>
                <w:sz w:val="16"/>
                <w:szCs w:val="16"/>
                <w:color w:val="auto"/>
              </w:rPr>
            </w:pPr>
          </w:p>
        </w:tc>
        <w:tc>
          <w:tcPr>
            <w:tcW w:w="440" w:type="dxa"/>
            <w:vAlign w:val="bottom"/>
            <w:shd w:val="clear" w:color="auto" w:fill="F0F3F6"/>
          </w:tcPr>
          <w:p>
            <w:pPr>
              <w:spacing w:after="0"/>
              <w:rPr>
                <w:sz w:val="16"/>
                <w:szCs w:val="16"/>
                <w:color w:val="auto"/>
              </w:rPr>
            </w:pPr>
          </w:p>
        </w:tc>
        <w:tc>
          <w:tcPr>
            <w:tcW w:w="1040" w:type="dxa"/>
            <w:vAlign w:val="bottom"/>
            <w:shd w:val="clear" w:color="auto" w:fill="F0F3F6"/>
          </w:tcPr>
          <w:p>
            <w:pPr>
              <w:jc w:val="right"/>
              <w:ind w:right="51"/>
              <w:spacing w:after="0"/>
              <w:rPr>
                <w:sz w:val="20"/>
                <w:szCs w:val="20"/>
                <w:color w:val="auto"/>
              </w:rPr>
            </w:pPr>
            <w:r>
              <w:rPr>
                <w:rFonts w:ascii="Arial" w:cs="Arial" w:eastAsia="Arial" w:hAnsi="Arial"/>
                <w:sz w:val="13"/>
                <w:szCs w:val="13"/>
                <w:b w:val="1"/>
                <w:bCs w:val="1"/>
                <w:color w:val="3D3935"/>
              </w:rPr>
              <w:t>Individual</w:t>
            </w:r>
          </w:p>
        </w:tc>
        <w:tc>
          <w:tcPr>
            <w:tcW w:w="1420" w:type="dxa"/>
            <w:vAlign w:val="bottom"/>
            <w:shd w:val="clear" w:color="auto" w:fill="F0F3F6"/>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820" w:type="dxa"/>
            <w:vAlign w:val="bottom"/>
            <w:vMerge w:val="restart"/>
            <w:shd w:val="clear" w:color="auto" w:fill="F0F3F6"/>
          </w:tcPr>
          <w:p>
            <w:pPr>
              <w:ind w:left="60"/>
              <w:spacing w:after="0"/>
              <w:rPr>
                <w:sz w:val="20"/>
                <w:szCs w:val="20"/>
                <w:color w:val="auto"/>
              </w:rPr>
            </w:pPr>
            <w:r>
              <w:rPr>
                <w:rFonts w:ascii="Arial" w:cs="Arial" w:eastAsia="Arial" w:hAnsi="Arial"/>
                <w:sz w:val="13"/>
                <w:szCs w:val="13"/>
                <w:b w:val="1"/>
                <w:bCs w:val="1"/>
                <w:color w:val="3D3935"/>
              </w:rPr>
              <w:t>Name</w:t>
            </w:r>
            <w:r>
              <w:rPr>
                <w:rFonts w:ascii="Arial" w:cs="Arial" w:eastAsia="Arial" w:hAnsi="Arial"/>
                <w:sz w:val="16"/>
                <w:szCs w:val="16"/>
                <w:b w:val="1"/>
                <w:bCs w:val="1"/>
                <w:color w:val="3D3935"/>
                <w:vertAlign w:val="superscript"/>
              </w:rPr>
              <w:t>(1)</w:t>
            </w:r>
          </w:p>
        </w:tc>
        <w:tc>
          <w:tcPr>
            <w:tcW w:w="1480" w:type="dxa"/>
            <w:vAlign w:val="bottom"/>
            <w:shd w:val="clear" w:color="auto" w:fill="F0F3F6"/>
          </w:tcPr>
          <w:p>
            <w:pPr>
              <w:jc w:val="right"/>
              <w:ind w:right="151"/>
              <w:spacing w:after="0"/>
              <w:rPr>
                <w:sz w:val="20"/>
                <w:szCs w:val="20"/>
                <w:color w:val="auto"/>
              </w:rPr>
            </w:pPr>
            <w:r>
              <w:rPr>
                <w:rFonts w:ascii="Arial" w:cs="Arial" w:eastAsia="Arial" w:hAnsi="Arial"/>
                <w:sz w:val="13"/>
                <w:szCs w:val="13"/>
                <w:b w:val="1"/>
                <w:bCs w:val="1"/>
                <w:color w:val="3D3935"/>
              </w:rPr>
              <w:t>Salary</w:t>
            </w:r>
          </w:p>
        </w:tc>
        <w:tc>
          <w:tcPr>
            <w:tcW w:w="460" w:type="dxa"/>
            <w:vAlign w:val="bottom"/>
            <w:shd w:val="clear" w:color="auto" w:fill="F0F3F6"/>
          </w:tcPr>
          <w:p>
            <w:pPr>
              <w:spacing w:after="0"/>
              <w:rPr>
                <w:sz w:val="14"/>
                <w:szCs w:val="14"/>
                <w:color w:val="auto"/>
              </w:rPr>
            </w:pPr>
          </w:p>
        </w:tc>
        <w:tc>
          <w:tcPr>
            <w:tcW w:w="880" w:type="dxa"/>
            <w:vAlign w:val="bottom"/>
            <w:shd w:val="clear" w:color="auto" w:fill="F0F3F6"/>
          </w:tcPr>
          <w:p>
            <w:pPr>
              <w:jc w:val="center"/>
              <w:spacing w:after="0"/>
              <w:rPr>
                <w:sz w:val="20"/>
                <w:szCs w:val="20"/>
                <w:color w:val="auto"/>
              </w:rPr>
            </w:pPr>
            <w:r>
              <w:rPr>
                <w:rFonts w:ascii="Arial" w:cs="Arial" w:eastAsia="Arial" w:hAnsi="Arial"/>
                <w:sz w:val="13"/>
                <w:szCs w:val="13"/>
                <w:b w:val="1"/>
                <w:bCs w:val="1"/>
                <w:color w:val="3D3935"/>
                <w:w w:val="95"/>
              </w:rPr>
              <w:t>Target</w:t>
            </w:r>
          </w:p>
        </w:tc>
        <w:tc>
          <w:tcPr>
            <w:tcW w:w="1540" w:type="dxa"/>
            <w:vAlign w:val="bottom"/>
            <w:shd w:val="clear" w:color="auto" w:fill="F0F3F6"/>
          </w:tcPr>
          <w:p>
            <w:pPr>
              <w:jc w:val="right"/>
              <w:ind w:right="151"/>
              <w:spacing w:after="0"/>
              <w:rPr>
                <w:sz w:val="20"/>
                <w:szCs w:val="20"/>
                <w:color w:val="auto"/>
              </w:rPr>
            </w:pPr>
            <w:r>
              <w:rPr>
                <w:rFonts w:ascii="Arial" w:cs="Arial" w:eastAsia="Arial" w:hAnsi="Arial"/>
                <w:sz w:val="13"/>
                <w:szCs w:val="13"/>
                <w:b w:val="1"/>
                <w:bCs w:val="1"/>
                <w:color w:val="3D3935"/>
              </w:rPr>
              <w:t>Company</w:t>
            </w:r>
          </w:p>
        </w:tc>
        <w:tc>
          <w:tcPr>
            <w:tcW w:w="440" w:type="dxa"/>
            <w:vAlign w:val="bottom"/>
            <w:shd w:val="clear" w:color="auto" w:fill="F0F3F6"/>
          </w:tcPr>
          <w:p>
            <w:pPr>
              <w:spacing w:after="0"/>
              <w:rPr>
                <w:sz w:val="14"/>
                <w:szCs w:val="14"/>
                <w:color w:val="auto"/>
              </w:rPr>
            </w:pPr>
          </w:p>
        </w:tc>
        <w:tc>
          <w:tcPr>
            <w:tcW w:w="1040" w:type="dxa"/>
            <w:vAlign w:val="bottom"/>
            <w:shd w:val="clear" w:color="auto" w:fill="F0F3F6"/>
          </w:tcPr>
          <w:p>
            <w:pPr>
              <w:jc w:val="right"/>
              <w:ind w:right="51"/>
              <w:spacing w:after="0"/>
              <w:rPr>
                <w:sz w:val="20"/>
                <w:szCs w:val="20"/>
                <w:color w:val="auto"/>
              </w:rPr>
            </w:pPr>
            <w:r>
              <w:rPr>
                <w:rFonts w:ascii="Arial" w:cs="Arial" w:eastAsia="Arial" w:hAnsi="Arial"/>
                <w:sz w:val="13"/>
                <w:szCs w:val="13"/>
                <w:b w:val="1"/>
                <w:bCs w:val="1"/>
                <w:color w:val="3D3935"/>
              </w:rPr>
              <w:t>Performance</w:t>
            </w:r>
          </w:p>
        </w:tc>
        <w:tc>
          <w:tcPr>
            <w:tcW w:w="1420" w:type="dxa"/>
            <w:vAlign w:val="bottom"/>
            <w:shd w:val="clear" w:color="auto" w:fill="F0F3F6"/>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820" w:type="dxa"/>
            <w:vAlign w:val="bottom"/>
            <w:tcBorders>
              <w:bottom w:val="single" w:sz="8" w:color="0072CE"/>
            </w:tcBorders>
            <w:vMerge w:val="continue"/>
            <w:shd w:val="clear" w:color="auto" w:fill="F0F3F6"/>
          </w:tcPr>
          <w:p>
            <w:pPr>
              <w:spacing w:after="0"/>
              <w:rPr>
                <w:sz w:val="15"/>
                <w:szCs w:val="15"/>
                <w:color w:val="auto"/>
              </w:rPr>
            </w:pPr>
          </w:p>
        </w:tc>
        <w:tc>
          <w:tcPr>
            <w:tcW w:w="1480" w:type="dxa"/>
            <w:vAlign w:val="bottom"/>
            <w:tcBorders>
              <w:bottom w:val="single" w:sz="8" w:color="0072CE"/>
            </w:tcBorders>
            <w:shd w:val="clear" w:color="auto" w:fill="F0F3F6"/>
          </w:tcPr>
          <w:p>
            <w:pPr>
              <w:jc w:val="right"/>
              <w:ind w:right="171"/>
              <w:spacing w:after="0"/>
              <w:rPr>
                <w:sz w:val="20"/>
                <w:szCs w:val="20"/>
                <w:color w:val="auto"/>
              </w:rPr>
            </w:pPr>
            <w:r>
              <w:rPr>
                <w:rFonts w:ascii="Arial" w:cs="Arial" w:eastAsia="Arial" w:hAnsi="Arial"/>
                <w:sz w:val="13"/>
                <w:szCs w:val="13"/>
                <w:b w:val="1"/>
                <w:bCs w:val="1"/>
                <w:color w:val="3D3935"/>
              </w:rPr>
              <w:t>($)</w:t>
            </w:r>
          </w:p>
        </w:tc>
        <w:tc>
          <w:tcPr>
            <w:tcW w:w="460" w:type="dxa"/>
            <w:vAlign w:val="bottom"/>
            <w:tcBorders>
              <w:bottom w:val="single" w:sz="8" w:color="0072CE"/>
            </w:tcBorders>
            <w:shd w:val="clear" w:color="auto" w:fill="F0F3F6"/>
          </w:tcPr>
          <w:p>
            <w:pPr>
              <w:ind w:left="200"/>
              <w:spacing w:after="0"/>
              <w:rPr>
                <w:sz w:val="20"/>
                <w:szCs w:val="20"/>
                <w:color w:val="auto"/>
              </w:rPr>
            </w:pPr>
            <w:r>
              <w:rPr>
                <w:rFonts w:ascii="Arial" w:cs="Arial" w:eastAsia="Arial" w:hAnsi="Arial"/>
                <w:sz w:val="13"/>
                <w:szCs w:val="13"/>
                <w:b w:val="1"/>
                <w:bCs w:val="1"/>
                <w:color w:val="3D3935"/>
              </w:rPr>
              <w:t>x</w:t>
            </w:r>
          </w:p>
        </w:tc>
        <w:tc>
          <w:tcPr>
            <w:tcW w:w="880" w:type="dxa"/>
            <w:vAlign w:val="bottom"/>
            <w:tcBorders>
              <w:bottom w:val="single" w:sz="8" w:color="0072CE"/>
            </w:tcBorders>
            <w:shd w:val="clear" w:color="auto" w:fill="F0F3F6"/>
          </w:tcPr>
          <w:p>
            <w:pPr>
              <w:ind w:left="340"/>
              <w:spacing w:after="0"/>
              <w:rPr>
                <w:sz w:val="20"/>
                <w:szCs w:val="20"/>
                <w:color w:val="auto"/>
              </w:rPr>
            </w:pPr>
            <w:r>
              <w:rPr>
                <w:rFonts w:ascii="Arial" w:cs="Arial" w:eastAsia="Arial" w:hAnsi="Arial"/>
                <w:sz w:val="13"/>
                <w:szCs w:val="13"/>
                <w:b w:val="1"/>
                <w:bCs w:val="1"/>
                <w:color w:val="3D3935"/>
              </w:rPr>
              <w:t>STIP</w:t>
            </w:r>
          </w:p>
        </w:tc>
        <w:tc>
          <w:tcPr>
            <w:tcW w:w="1540" w:type="dxa"/>
            <w:vAlign w:val="bottom"/>
            <w:tcBorders>
              <w:bottom w:val="single" w:sz="8" w:color="0072CE"/>
            </w:tcBorders>
            <w:shd w:val="clear" w:color="auto" w:fill="F0F3F6"/>
          </w:tcPr>
          <w:p>
            <w:pPr>
              <w:jc w:val="right"/>
              <w:ind w:right="171"/>
              <w:spacing w:after="0"/>
              <w:rPr>
                <w:sz w:val="20"/>
                <w:szCs w:val="20"/>
                <w:color w:val="auto"/>
              </w:rPr>
            </w:pPr>
            <w:r>
              <w:rPr>
                <w:rFonts w:ascii="Arial" w:cs="Arial" w:eastAsia="Arial" w:hAnsi="Arial"/>
                <w:sz w:val="13"/>
                <w:szCs w:val="13"/>
                <w:b w:val="1"/>
                <w:bCs w:val="1"/>
                <w:color w:val="3D3935"/>
              </w:rPr>
              <w:t>x   Performance</w:t>
            </w:r>
          </w:p>
        </w:tc>
        <w:tc>
          <w:tcPr>
            <w:tcW w:w="440" w:type="dxa"/>
            <w:vAlign w:val="bottom"/>
            <w:tcBorders>
              <w:bottom w:val="single" w:sz="8" w:color="0072CE"/>
            </w:tcBorders>
            <w:shd w:val="clear" w:color="auto" w:fill="F0F3F6"/>
          </w:tcPr>
          <w:p>
            <w:pPr>
              <w:ind w:left="220"/>
              <w:spacing w:after="0"/>
              <w:rPr>
                <w:sz w:val="20"/>
                <w:szCs w:val="20"/>
                <w:color w:val="auto"/>
              </w:rPr>
            </w:pPr>
            <w:r>
              <w:rPr>
                <w:rFonts w:ascii="Arial" w:cs="Arial" w:eastAsia="Arial" w:hAnsi="Arial"/>
                <w:sz w:val="13"/>
                <w:szCs w:val="13"/>
                <w:b w:val="1"/>
                <w:bCs w:val="1"/>
                <w:color w:val="3D3935"/>
              </w:rPr>
              <w:t>x</w:t>
            </w:r>
          </w:p>
        </w:tc>
        <w:tc>
          <w:tcPr>
            <w:tcW w:w="1040" w:type="dxa"/>
            <w:vAlign w:val="bottom"/>
            <w:tcBorders>
              <w:bottom w:val="single" w:sz="8" w:color="0072CE"/>
            </w:tcBorders>
            <w:shd w:val="clear" w:color="auto" w:fill="F0F3F6"/>
          </w:tcPr>
          <w:p>
            <w:pPr>
              <w:jc w:val="right"/>
              <w:ind w:right="51"/>
              <w:spacing w:after="0"/>
              <w:rPr>
                <w:sz w:val="20"/>
                <w:szCs w:val="20"/>
                <w:color w:val="auto"/>
              </w:rPr>
            </w:pPr>
            <w:r>
              <w:rPr>
                <w:rFonts w:ascii="Arial" w:cs="Arial" w:eastAsia="Arial" w:hAnsi="Arial"/>
                <w:sz w:val="13"/>
                <w:szCs w:val="13"/>
                <w:b w:val="1"/>
                <w:bCs w:val="1"/>
                <w:color w:val="3D3935"/>
              </w:rPr>
              <w:t>Modifier</w:t>
            </w:r>
          </w:p>
        </w:tc>
        <w:tc>
          <w:tcPr>
            <w:tcW w:w="1420" w:type="dxa"/>
            <w:vAlign w:val="bottom"/>
            <w:tcBorders>
              <w:bottom w:val="single" w:sz="8" w:color="0072CE"/>
            </w:tcBorders>
            <w:shd w:val="clear" w:color="auto" w:fill="F0F3F6"/>
          </w:tcPr>
          <w:p>
            <w:pPr>
              <w:jc w:val="right"/>
              <w:spacing w:after="0"/>
              <w:rPr>
                <w:sz w:val="20"/>
                <w:szCs w:val="20"/>
                <w:color w:val="auto"/>
              </w:rPr>
            </w:pPr>
            <w:r>
              <w:rPr>
                <w:rFonts w:ascii="Arial" w:cs="Arial" w:eastAsia="Arial" w:hAnsi="Arial"/>
                <w:sz w:val="13"/>
                <w:szCs w:val="13"/>
                <w:b w:val="1"/>
                <w:bCs w:val="1"/>
                <w:color w:val="3D3935"/>
              </w:rPr>
              <w:t>Final STIP Payout ($)</w:t>
            </w:r>
          </w:p>
        </w:tc>
        <w:tc>
          <w:tcPr>
            <w:tcW w:w="0" w:type="dxa"/>
            <w:vAlign w:val="bottom"/>
          </w:tcPr>
          <w:p>
            <w:pPr>
              <w:spacing w:after="0"/>
              <w:rPr>
                <w:sz w:val="1"/>
                <w:szCs w:val="1"/>
                <w:color w:val="auto"/>
              </w:rPr>
            </w:pPr>
          </w:p>
        </w:tc>
      </w:tr>
      <w:tr>
        <w:trPr>
          <w:trHeight w:val="235"/>
        </w:trPr>
        <w:tc>
          <w:tcPr>
            <w:tcW w:w="1820" w:type="dxa"/>
            <w:vAlign w:val="bottom"/>
            <w:tcBorders>
              <w:bottom w:val="single" w:sz="8" w:color="D9D9D6"/>
            </w:tcBorders>
          </w:tcPr>
          <w:p>
            <w:pPr>
              <w:ind w:left="60"/>
              <w:spacing w:after="0"/>
              <w:rPr>
                <w:sz w:val="20"/>
                <w:szCs w:val="20"/>
                <w:color w:val="auto"/>
              </w:rPr>
            </w:pPr>
            <w:r>
              <w:rPr>
                <w:rFonts w:ascii="Arial" w:cs="Arial" w:eastAsia="Arial" w:hAnsi="Arial"/>
                <w:sz w:val="14"/>
                <w:szCs w:val="14"/>
                <w:b w:val="1"/>
                <w:bCs w:val="1"/>
                <w:color w:val="0072CE"/>
              </w:rPr>
              <w:t>Mary T. Barra</w:t>
            </w:r>
          </w:p>
        </w:tc>
        <w:tc>
          <w:tcPr>
            <w:tcW w:w="1480" w:type="dxa"/>
            <w:vAlign w:val="bottom"/>
            <w:tcBorders>
              <w:bottom w:val="single" w:sz="8" w:color="D9D9D6"/>
            </w:tcBorders>
          </w:tcPr>
          <w:p>
            <w:pPr>
              <w:jc w:val="right"/>
              <w:ind w:right="211"/>
              <w:spacing w:after="0"/>
              <w:rPr>
                <w:sz w:val="20"/>
                <w:szCs w:val="20"/>
                <w:color w:val="auto"/>
              </w:rPr>
            </w:pPr>
            <w:r>
              <w:rPr>
                <w:rFonts w:ascii="Arial" w:cs="Arial" w:eastAsia="Arial" w:hAnsi="Arial"/>
                <w:sz w:val="14"/>
                <w:szCs w:val="14"/>
                <w:color w:val="3D3935"/>
              </w:rPr>
              <w:t>2,100,000</w:t>
            </w:r>
          </w:p>
        </w:tc>
        <w:tc>
          <w:tcPr>
            <w:tcW w:w="460" w:type="dxa"/>
            <w:vAlign w:val="bottom"/>
            <w:tcBorders>
              <w:bottom w:val="single" w:sz="8" w:color="D9D9D6"/>
            </w:tcBorders>
          </w:tcPr>
          <w:p>
            <w:pPr>
              <w:spacing w:after="0"/>
              <w:rPr>
                <w:sz w:val="20"/>
                <w:szCs w:val="20"/>
                <w:color w:val="auto"/>
              </w:rPr>
            </w:pPr>
          </w:p>
        </w:tc>
        <w:tc>
          <w:tcPr>
            <w:tcW w:w="880" w:type="dxa"/>
            <w:vAlign w:val="bottom"/>
            <w:tcBorders>
              <w:bottom w:val="single" w:sz="8" w:color="D9D9D6"/>
            </w:tcBorders>
          </w:tcPr>
          <w:p>
            <w:pPr>
              <w:jc w:val="center"/>
              <w:ind w:right="51"/>
              <w:spacing w:after="0"/>
              <w:rPr>
                <w:sz w:val="20"/>
                <w:szCs w:val="20"/>
                <w:color w:val="auto"/>
              </w:rPr>
            </w:pPr>
            <w:r>
              <w:rPr>
                <w:rFonts w:ascii="Arial" w:cs="Arial" w:eastAsia="Arial" w:hAnsi="Arial"/>
                <w:sz w:val="14"/>
                <w:szCs w:val="14"/>
                <w:color w:val="3D3935"/>
              </w:rPr>
              <w:t>200%</w:t>
            </w:r>
          </w:p>
        </w:tc>
        <w:tc>
          <w:tcPr>
            <w:tcW w:w="1540" w:type="dxa"/>
            <w:vAlign w:val="bottom"/>
            <w:tcBorders>
              <w:bottom w:val="single" w:sz="8" w:color="D9D9D6"/>
            </w:tcBorders>
          </w:tcPr>
          <w:p>
            <w:pPr>
              <w:jc w:val="right"/>
              <w:ind w:right="171"/>
              <w:spacing w:after="0"/>
              <w:rPr>
                <w:sz w:val="20"/>
                <w:szCs w:val="20"/>
                <w:color w:val="auto"/>
              </w:rPr>
            </w:pPr>
            <w:r>
              <w:rPr>
                <w:rFonts w:ascii="Arial" w:cs="Arial" w:eastAsia="Arial" w:hAnsi="Arial"/>
                <w:sz w:val="14"/>
                <w:szCs w:val="14"/>
                <w:color w:val="3D3935"/>
              </w:rPr>
              <w:t>147%</w:t>
            </w:r>
          </w:p>
        </w:tc>
        <w:tc>
          <w:tcPr>
            <w:tcW w:w="440" w:type="dxa"/>
            <w:vAlign w:val="bottom"/>
            <w:tcBorders>
              <w:bottom w:val="single" w:sz="8" w:color="D9D9D6"/>
            </w:tcBorders>
          </w:tcPr>
          <w:p>
            <w:pPr>
              <w:spacing w:after="0"/>
              <w:rPr>
                <w:sz w:val="20"/>
                <w:szCs w:val="20"/>
                <w:color w:val="auto"/>
              </w:rPr>
            </w:pPr>
          </w:p>
        </w:tc>
        <w:tc>
          <w:tcPr>
            <w:tcW w:w="1040" w:type="dxa"/>
            <w:vAlign w:val="bottom"/>
            <w:tcBorders>
              <w:bottom w:val="single" w:sz="8" w:color="D9D9D6"/>
            </w:tcBorders>
          </w:tcPr>
          <w:p>
            <w:pPr>
              <w:jc w:val="right"/>
              <w:ind w:right="71"/>
              <w:spacing w:after="0"/>
              <w:rPr>
                <w:sz w:val="20"/>
                <w:szCs w:val="20"/>
                <w:color w:val="auto"/>
              </w:rPr>
            </w:pPr>
            <w:r>
              <w:rPr>
                <w:rFonts w:ascii="Arial" w:cs="Arial" w:eastAsia="Arial" w:hAnsi="Arial"/>
                <w:sz w:val="14"/>
                <w:szCs w:val="14"/>
                <w:b w:val="1"/>
                <w:bCs w:val="1"/>
                <w:color w:val="3D3935"/>
              </w:rPr>
              <w:t>108%</w:t>
            </w:r>
          </w:p>
        </w:tc>
        <w:tc>
          <w:tcPr>
            <w:tcW w:w="1420" w:type="dxa"/>
            <w:vAlign w:val="bottom"/>
            <w:tcBorders>
              <w:bottom w:val="single" w:sz="8" w:color="D9D9D6"/>
            </w:tcBorders>
          </w:tcPr>
          <w:p>
            <w:pPr>
              <w:jc w:val="right"/>
              <w:ind w:right="50"/>
              <w:spacing w:after="0"/>
              <w:rPr>
                <w:sz w:val="20"/>
                <w:szCs w:val="20"/>
                <w:color w:val="auto"/>
              </w:rPr>
            </w:pPr>
            <w:r>
              <w:rPr>
                <w:rFonts w:ascii="Arial" w:cs="Arial" w:eastAsia="Arial" w:hAnsi="Arial"/>
                <w:sz w:val="14"/>
                <w:szCs w:val="14"/>
                <w:b w:val="1"/>
                <w:bCs w:val="1"/>
                <w:color w:val="3D3935"/>
              </w:rPr>
              <w:t>6,667,920</w:t>
            </w:r>
          </w:p>
        </w:tc>
        <w:tc>
          <w:tcPr>
            <w:tcW w:w="0" w:type="dxa"/>
            <w:vAlign w:val="bottom"/>
          </w:tcPr>
          <w:p>
            <w:pPr>
              <w:spacing w:after="0"/>
              <w:rPr>
                <w:sz w:val="1"/>
                <w:szCs w:val="1"/>
                <w:color w:val="auto"/>
              </w:rPr>
            </w:pPr>
          </w:p>
        </w:tc>
      </w:tr>
      <w:tr>
        <w:trPr>
          <w:trHeight w:val="237"/>
        </w:trPr>
        <w:tc>
          <w:tcPr>
            <w:tcW w:w="1820" w:type="dxa"/>
            <w:vAlign w:val="bottom"/>
            <w:tcBorders>
              <w:bottom w:val="single" w:sz="8" w:color="D9D9D6"/>
            </w:tcBorders>
          </w:tcPr>
          <w:p>
            <w:pPr>
              <w:ind w:left="60"/>
              <w:spacing w:after="0"/>
              <w:rPr>
                <w:sz w:val="20"/>
                <w:szCs w:val="20"/>
                <w:color w:val="auto"/>
              </w:rPr>
            </w:pPr>
            <w:r>
              <w:rPr>
                <w:rFonts w:ascii="Arial" w:cs="Arial" w:eastAsia="Arial" w:hAnsi="Arial"/>
                <w:sz w:val="14"/>
                <w:szCs w:val="14"/>
                <w:b w:val="1"/>
                <w:bCs w:val="1"/>
                <w:color w:val="0072CE"/>
              </w:rPr>
              <w:t>Paul A. Jacobson</w:t>
            </w:r>
          </w:p>
        </w:tc>
        <w:tc>
          <w:tcPr>
            <w:tcW w:w="1480" w:type="dxa"/>
            <w:vAlign w:val="bottom"/>
            <w:tcBorders>
              <w:bottom w:val="single" w:sz="8" w:color="D9D9D6"/>
            </w:tcBorders>
          </w:tcPr>
          <w:p>
            <w:pPr>
              <w:jc w:val="right"/>
              <w:ind w:right="211"/>
              <w:spacing w:after="0"/>
              <w:rPr>
                <w:sz w:val="20"/>
                <w:szCs w:val="20"/>
                <w:color w:val="auto"/>
              </w:rPr>
            </w:pPr>
            <w:r>
              <w:rPr>
                <w:rFonts w:ascii="Arial" w:cs="Arial" w:eastAsia="Arial" w:hAnsi="Arial"/>
                <w:sz w:val="14"/>
                <w:szCs w:val="14"/>
                <w:color w:val="3D3935"/>
              </w:rPr>
              <w:t>1,200,000</w:t>
            </w:r>
          </w:p>
        </w:tc>
        <w:tc>
          <w:tcPr>
            <w:tcW w:w="460" w:type="dxa"/>
            <w:vAlign w:val="bottom"/>
            <w:tcBorders>
              <w:bottom w:val="single" w:sz="8" w:color="D9D9D6"/>
            </w:tcBorders>
          </w:tcPr>
          <w:p>
            <w:pPr>
              <w:spacing w:after="0"/>
              <w:rPr>
                <w:sz w:val="20"/>
                <w:szCs w:val="20"/>
                <w:color w:val="auto"/>
              </w:rPr>
            </w:pPr>
          </w:p>
        </w:tc>
        <w:tc>
          <w:tcPr>
            <w:tcW w:w="880" w:type="dxa"/>
            <w:vAlign w:val="bottom"/>
            <w:tcBorders>
              <w:bottom w:val="single" w:sz="8" w:color="D9D9D6"/>
            </w:tcBorders>
          </w:tcPr>
          <w:p>
            <w:pPr>
              <w:jc w:val="center"/>
              <w:spacing w:after="0"/>
              <w:rPr>
                <w:sz w:val="20"/>
                <w:szCs w:val="20"/>
                <w:color w:val="auto"/>
              </w:rPr>
            </w:pPr>
            <w:r>
              <w:rPr>
                <w:rFonts w:ascii="Arial" w:cs="Arial" w:eastAsia="Arial" w:hAnsi="Arial"/>
                <w:sz w:val="14"/>
                <w:szCs w:val="14"/>
                <w:color w:val="3D3935"/>
              </w:rPr>
              <w:t>125%</w:t>
            </w:r>
          </w:p>
        </w:tc>
        <w:tc>
          <w:tcPr>
            <w:tcW w:w="1540" w:type="dxa"/>
            <w:vAlign w:val="bottom"/>
            <w:tcBorders>
              <w:bottom w:val="single" w:sz="8" w:color="D9D9D6"/>
            </w:tcBorders>
          </w:tcPr>
          <w:p>
            <w:pPr>
              <w:jc w:val="right"/>
              <w:ind w:right="171"/>
              <w:spacing w:after="0"/>
              <w:rPr>
                <w:sz w:val="20"/>
                <w:szCs w:val="20"/>
                <w:color w:val="auto"/>
              </w:rPr>
            </w:pPr>
            <w:r>
              <w:rPr>
                <w:rFonts w:ascii="Arial" w:cs="Arial" w:eastAsia="Arial" w:hAnsi="Arial"/>
                <w:sz w:val="14"/>
                <w:szCs w:val="14"/>
                <w:color w:val="3D3935"/>
              </w:rPr>
              <w:t>147%</w:t>
            </w:r>
          </w:p>
        </w:tc>
        <w:tc>
          <w:tcPr>
            <w:tcW w:w="440" w:type="dxa"/>
            <w:vAlign w:val="bottom"/>
            <w:tcBorders>
              <w:bottom w:val="single" w:sz="8" w:color="D9D9D6"/>
            </w:tcBorders>
          </w:tcPr>
          <w:p>
            <w:pPr>
              <w:spacing w:after="0"/>
              <w:rPr>
                <w:sz w:val="20"/>
                <w:szCs w:val="20"/>
                <w:color w:val="auto"/>
              </w:rPr>
            </w:pPr>
          </w:p>
        </w:tc>
        <w:tc>
          <w:tcPr>
            <w:tcW w:w="1040" w:type="dxa"/>
            <w:vAlign w:val="bottom"/>
            <w:tcBorders>
              <w:bottom w:val="single" w:sz="8" w:color="D9D9D6"/>
            </w:tcBorders>
          </w:tcPr>
          <w:p>
            <w:pPr>
              <w:jc w:val="right"/>
              <w:ind w:right="71"/>
              <w:spacing w:after="0"/>
              <w:rPr>
                <w:sz w:val="20"/>
                <w:szCs w:val="20"/>
                <w:color w:val="auto"/>
              </w:rPr>
            </w:pPr>
            <w:r>
              <w:rPr>
                <w:rFonts w:ascii="Arial" w:cs="Arial" w:eastAsia="Arial" w:hAnsi="Arial"/>
                <w:sz w:val="14"/>
                <w:szCs w:val="14"/>
                <w:b w:val="1"/>
                <w:bCs w:val="1"/>
                <w:color w:val="3D3935"/>
              </w:rPr>
              <w:t>108%</w:t>
            </w:r>
          </w:p>
        </w:tc>
        <w:tc>
          <w:tcPr>
            <w:tcW w:w="1420" w:type="dxa"/>
            <w:vAlign w:val="bottom"/>
            <w:tcBorders>
              <w:bottom w:val="single" w:sz="8" w:color="D9D9D6"/>
            </w:tcBorders>
          </w:tcPr>
          <w:p>
            <w:pPr>
              <w:jc w:val="right"/>
              <w:ind w:right="50"/>
              <w:spacing w:after="0"/>
              <w:rPr>
                <w:sz w:val="20"/>
                <w:szCs w:val="20"/>
                <w:color w:val="auto"/>
              </w:rPr>
            </w:pPr>
            <w:r>
              <w:rPr>
                <w:rFonts w:ascii="Arial" w:cs="Arial" w:eastAsia="Arial" w:hAnsi="Arial"/>
                <w:sz w:val="14"/>
                <w:szCs w:val="14"/>
                <w:b w:val="1"/>
                <w:bCs w:val="1"/>
                <w:color w:val="3D3935"/>
              </w:rPr>
              <w:t>2,381,400</w:t>
            </w:r>
          </w:p>
        </w:tc>
        <w:tc>
          <w:tcPr>
            <w:tcW w:w="0" w:type="dxa"/>
            <w:vAlign w:val="bottom"/>
          </w:tcPr>
          <w:p>
            <w:pPr>
              <w:spacing w:after="0"/>
              <w:rPr>
                <w:sz w:val="1"/>
                <w:szCs w:val="1"/>
                <w:color w:val="auto"/>
              </w:rPr>
            </w:pPr>
          </w:p>
        </w:tc>
      </w:tr>
      <w:tr>
        <w:trPr>
          <w:trHeight w:val="236"/>
        </w:trPr>
        <w:tc>
          <w:tcPr>
            <w:tcW w:w="1820" w:type="dxa"/>
            <w:vAlign w:val="bottom"/>
            <w:tcBorders>
              <w:bottom w:val="single" w:sz="8" w:color="D9D9D6"/>
            </w:tcBorders>
          </w:tcPr>
          <w:p>
            <w:pPr>
              <w:ind w:left="60"/>
              <w:spacing w:after="0"/>
              <w:rPr>
                <w:sz w:val="20"/>
                <w:szCs w:val="20"/>
                <w:color w:val="auto"/>
              </w:rPr>
            </w:pPr>
            <w:r>
              <w:rPr>
                <w:rFonts w:ascii="Arial" w:cs="Arial" w:eastAsia="Arial" w:hAnsi="Arial"/>
                <w:sz w:val="14"/>
                <w:szCs w:val="14"/>
                <w:b w:val="1"/>
                <w:bCs w:val="1"/>
                <w:color w:val="0072CE"/>
              </w:rPr>
              <w:t>Mark L. Reuss</w:t>
            </w:r>
          </w:p>
        </w:tc>
        <w:tc>
          <w:tcPr>
            <w:tcW w:w="1480" w:type="dxa"/>
            <w:vAlign w:val="bottom"/>
            <w:tcBorders>
              <w:bottom w:val="single" w:sz="8" w:color="D9D9D6"/>
            </w:tcBorders>
          </w:tcPr>
          <w:p>
            <w:pPr>
              <w:jc w:val="right"/>
              <w:ind w:right="191"/>
              <w:spacing w:after="0"/>
              <w:rPr>
                <w:sz w:val="20"/>
                <w:szCs w:val="20"/>
                <w:color w:val="auto"/>
              </w:rPr>
            </w:pPr>
            <w:r>
              <w:rPr>
                <w:rFonts w:ascii="Arial" w:cs="Arial" w:eastAsia="Arial" w:hAnsi="Arial"/>
                <w:sz w:val="14"/>
                <w:szCs w:val="14"/>
                <w:color w:val="3D3935"/>
              </w:rPr>
              <w:t>1,350,000</w:t>
            </w:r>
          </w:p>
        </w:tc>
        <w:tc>
          <w:tcPr>
            <w:tcW w:w="460" w:type="dxa"/>
            <w:vAlign w:val="bottom"/>
            <w:tcBorders>
              <w:bottom w:val="single" w:sz="8" w:color="D9D9D6"/>
            </w:tcBorders>
          </w:tcPr>
          <w:p>
            <w:pPr>
              <w:spacing w:after="0"/>
              <w:rPr>
                <w:sz w:val="20"/>
                <w:szCs w:val="20"/>
                <w:color w:val="auto"/>
              </w:rPr>
            </w:pPr>
          </w:p>
        </w:tc>
        <w:tc>
          <w:tcPr>
            <w:tcW w:w="880" w:type="dxa"/>
            <w:vAlign w:val="bottom"/>
            <w:tcBorders>
              <w:bottom w:val="single" w:sz="8" w:color="D9D9D6"/>
            </w:tcBorders>
          </w:tcPr>
          <w:p>
            <w:pPr>
              <w:jc w:val="center"/>
              <w:spacing w:after="0"/>
              <w:rPr>
                <w:sz w:val="20"/>
                <w:szCs w:val="20"/>
                <w:color w:val="auto"/>
              </w:rPr>
            </w:pPr>
            <w:r>
              <w:rPr>
                <w:rFonts w:ascii="Arial" w:cs="Arial" w:eastAsia="Arial" w:hAnsi="Arial"/>
                <w:sz w:val="14"/>
                <w:szCs w:val="14"/>
                <w:color w:val="3D3935"/>
              </w:rPr>
              <w:t>125%</w:t>
            </w:r>
          </w:p>
        </w:tc>
        <w:tc>
          <w:tcPr>
            <w:tcW w:w="1540" w:type="dxa"/>
            <w:vAlign w:val="bottom"/>
            <w:tcBorders>
              <w:bottom w:val="single" w:sz="8" w:color="D9D9D6"/>
            </w:tcBorders>
          </w:tcPr>
          <w:p>
            <w:pPr>
              <w:jc w:val="right"/>
              <w:ind w:right="171"/>
              <w:spacing w:after="0"/>
              <w:rPr>
                <w:sz w:val="20"/>
                <w:szCs w:val="20"/>
                <w:color w:val="auto"/>
              </w:rPr>
            </w:pPr>
            <w:r>
              <w:rPr>
                <w:rFonts w:ascii="Arial" w:cs="Arial" w:eastAsia="Arial" w:hAnsi="Arial"/>
                <w:sz w:val="14"/>
                <w:szCs w:val="14"/>
                <w:color w:val="3D3935"/>
              </w:rPr>
              <w:t>147%</w:t>
            </w:r>
          </w:p>
        </w:tc>
        <w:tc>
          <w:tcPr>
            <w:tcW w:w="440" w:type="dxa"/>
            <w:vAlign w:val="bottom"/>
            <w:tcBorders>
              <w:bottom w:val="single" w:sz="8" w:color="D9D9D6"/>
            </w:tcBorders>
          </w:tcPr>
          <w:p>
            <w:pPr>
              <w:spacing w:after="0"/>
              <w:rPr>
                <w:sz w:val="20"/>
                <w:szCs w:val="20"/>
                <w:color w:val="auto"/>
              </w:rPr>
            </w:pPr>
          </w:p>
        </w:tc>
        <w:tc>
          <w:tcPr>
            <w:tcW w:w="1040" w:type="dxa"/>
            <w:vAlign w:val="bottom"/>
            <w:tcBorders>
              <w:bottom w:val="single" w:sz="8" w:color="D9D9D6"/>
            </w:tcBorders>
          </w:tcPr>
          <w:p>
            <w:pPr>
              <w:jc w:val="right"/>
              <w:ind w:right="71"/>
              <w:spacing w:after="0"/>
              <w:rPr>
                <w:sz w:val="20"/>
                <w:szCs w:val="20"/>
                <w:color w:val="auto"/>
              </w:rPr>
            </w:pPr>
            <w:r>
              <w:rPr>
                <w:rFonts w:ascii="Arial" w:cs="Arial" w:eastAsia="Arial" w:hAnsi="Arial"/>
                <w:sz w:val="14"/>
                <w:szCs w:val="14"/>
                <w:b w:val="1"/>
                <w:bCs w:val="1"/>
                <w:color w:val="3D3935"/>
              </w:rPr>
              <w:t>108%</w:t>
            </w:r>
          </w:p>
        </w:tc>
        <w:tc>
          <w:tcPr>
            <w:tcW w:w="1420" w:type="dxa"/>
            <w:vAlign w:val="bottom"/>
            <w:tcBorders>
              <w:bottom w:val="single" w:sz="8" w:color="D9D9D6"/>
            </w:tcBorders>
          </w:tcPr>
          <w:p>
            <w:pPr>
              <w:jc w:val="right"/>
              <w:ind w:right="30"/>
              <w:spacing w:after="0"/>
              <w:rPr>
                <w:sz w:val="20"/>
                <w:szCs w:val="20"/>
                <w:color w:val="auto"/>
              </w:rPr>
            </w:pPr>
            <w:r>
              <w:rPr>
                <w:rFonts w:ascii="Arial" w:cs="Arial" w:eastAsia="Arial" w:hAnsi="Arial"/>
                <w:sz w:val="14"/>
                <w:szCs w:val="14"/>
                <w:b w:val="1"/>
                <w:bCs w:val="1"/>
                <w:color w:val="3D3935"/>
              </w:rPr>
              <w:t>2,679,075</w:t>
            </w:r>
          </w:p>
        </w:tc>
        <w:tc>
          <w:tcPr>
            <w:tcW w:w="0" w:type="dxa"/>
            <w:vAlign w:val="bottom"/>
          </w:tcPr>
          <w:p>
            <w:pPr>
              <w:spacing w:after="0"/>
              <w:rPr>
                <w:sz w:val="1"/>
                <w:szCs w:val="1"/>
                <w:color w:val="auto"/>
              </w:rPr>
            </w:pPr>
          </w:p>
        </w:tc>
      </w:tr>
      <w:tr>
        <w:trPr>
          <w:trHeight w:val="236"/>
        </w:trPr>
        <w:tc>
          <w:tcPr>
            <w:tcW w:w="1820" w:type="dxa"/>
            <w:vAlign w:val="bottom"/>
            <w:tcBorders>
              <w:bottom w:val="single" w:sz="8" w:color="D9D9D6"/>
            </w:tcBorders>
          </w:tcPr>
          <w:p>
            <w:pPr>
              <w:ind w:left="60"/>
              <w:spacing w:after="0"/>
              <w:rPr>
                <w:sz w:val="20"/>
                <w:szCs w:val="20"/>
                <w:color w:val="auto"/>
              </w:rPr>
            </w:pPr>
            <w:r>
              <w:rPr>
                <w:rFonts w:ascii="Arial" w:cs="Arial" w:eastAsia="Arial" w:hAnsi="Arial"/>
                <w:sz w:val="14"/>
                <w:szCs w:val="14"/>
                <w:b w:val="1"/>
                <w:bCs w:val="1"/>
                <w:color w:val="0072CE"/>
              </w:rPr>
              <w:t>Craig B. Glidden</w:t>
            </w:r>
          </w:p>
        </w:tc>
        <w:tc>
          <w:tcPr>
            <w:tcW w:w="1480" w:type="dxa"/>
            <w:vAlign w:val="bottom"/>
            <w:tcBorders>
              <w:bottom w:val="single" w:sz="8" w:color="D9D9D6"/>
            </w:tcBorders>
          </w:tcPr>
          <w:p>
            <w:pPr>
              <w:jc w:val="right"/>
              <w:ind w:right="171"/>
              <w:spacing w:after="0"/>
              <w:rPr>
                <w:sz w:val="20"/>
                <w:szCs w:val="20"/>
                <w:color w:val="auto"/>
              </w:rPr>
            </w:pPr>
            <w:r>
              <w:rPr>
                <w:rFonts w:ascii="Arial" w:cs="Arial" w:eastAsia="Arial" w:hAnsi="Arial"/>
                <w:sz w:val="14"/>
                <w:szCs w:val="14"/>
                <w:color w:val="3D3935"/>
              </w:rPr>
              <w:t>1,100,000</w:t>
            </w:r>
          </w:p>
        </w:tc>
        <w:tc>
          <w:tcPr>
            <w:tcW w:w="460" w:type="dxa"/>
            <w:vAlign w:val="bottom"/>
            <w:tcBorders>
              <w:bottom w:val="single" w:sz="8" w:color="D9D9D6"/>
            </w:tcBorders>
          </w:tcPr>
          <w:p>
            <w:pPr>
              <w:spacing w:after="0"/>
              <w:rPr>
                <w:sz w:val="20"/>
                <w:szCs w:val="20"/>
                <w:color w:val="auto"/>
              </w:rPr>
            </w:pPr>
          </w:p>
        </w:tc>
        <w:tc>
          <w:tcPr>
            <w:tcW w:w="880" w:type="dxa"/>
            <w:vAlign w:val="bottom"/>
            <w:tcBorders>
              <w:bottom w:val="single" w:sz="8" w:color="D9D9D6"/>
            </w:tcBorders>
          </w:tcPr>
          <w:p>
            <w:pPr>
              <w:jc w:val="center"/>
              <w:spacing w:after="0"/>
              <w:rPr>
                <w:sz w:val="20"/>
                <w:szCs w:val="20"/>
                <w:color w:val="auto"/>
              </w:rPr>
            </w:pPr>
            <w:r>
              <w:rPr>
                <w:rFonts w:ascii="Arial" w:cs="Arial" w:eastAsia="Arial" w:hAnsi="Arial"/>
                <w:sz w:val="14"/>
                <w:szCs w:val="14"/>
                <w:color w:val="3D3935"/>
              </w:rPr>
              <w:t>125%</w:t>
            </w:r>
          </w:p>
        </w:tc>
        <w:tc>
          <w:tcPr>
            <w:tcW w:w="1540" w:type="dxa"/>
            <w:vAlign w:val="bottom"/>
            <w:tcBorders>
              <w:bottom w:val="single" w:sz="8" w:color="D9D9D6"/>
            </w:tcBorders>
          </w:tcPr>
          <w:p>
            <w:pPr>
              <w:jc w:val="right"/>
              <w:ind w:right="171"/>
              <w:spacing w:after="0"/>
              <w:rPr>
                <w:sz w:val="20"/>
                <w:szCs w:val="20"/>
                <w:color w:val="auto"/>
              </w:rPr>
            </w:pPr>
            <w:r>
              <w:rPr>
                <w:rFonts w:ascii="Arial" w:cs="Arial" w:eastAsia="Arial" w:hAnsi="Arial"/>
                <w:sz w:val="14"/>
                <w:szCs w:val="14"/>
                <w:color w:val="3D3935"/>
              </w:rPr>
              <w:t>147%</w:t>
            </w:r>
          </w:p>
        </w:tc>
        <w:tc>
          <w:tcPr>
            <w:tcW w:w="440" w:type="dxa"/>
            <w:vAlign w:val="bottom"/>
            <w:tcBorders>
              <w:bottom w:val="single" w:sz="8" w:color="D9D9D6"/>
            </w:tcBorders>
          </w:tcPr>
          <w:p>
            <w:pPr>
              <w:spacing w:after="0"/>
              <w:rPr>
                <w:sz w:val="20"/>
                <w:szCs w:val="20"/>
                <w:color w:val="auto"/>
              </w:rPr>
            </w:pPr>
          </w:p>
        </w:tc>
        <w:tc>
          <w:tcPr>
            <w:tcW w:w="1040" w:type="dxa"/>
            <w:vAlign w:val="bottom"/>
            <w:tcBorders>
              <w:bottom w:val="single" w:sz="8" w:color="D9D9D6"/>
            </w:tcBorders>
          </w:tcPr>
          <w:p>
            <w:pPr>
              <w:jc w:val="right"/>
              <w:ind w:right="91"/>
              <w:spacing w:after="0"/>
              <w:rPr>
                <w:sz w:val="20"/>
                <w:szCs w:val="20"/>
                <w:color w:val="auto"/>
              </w:rPr>
            </w:pPr>
            <w:r>
              <w:rPr>
                <w:rFonts w:ascii="Arial" w:cs="Arial" w:eastAsia="Arial" w:hAnsi="Arial"/>
                <w:sz w:val="14"/>
                <w:szCs w:val="14"/>
                <w:b w:val="1"/>
                <w:bCs w:val="1"/>
                <w:color w:val="3D3935"/>
              </w:rPr>
              <w:t>100%</w:t>
            </w:r>
          </w:p>
        </w:tc>
        <w:tc>
          <w:tcPr>
            <w:tcW w:w="1420" w:type="dxa"/>
            <w:vAlign w:val="bottom"/>
            <w:tcBorders>
              <w:bottom w:val="single" w:sz="8" w:color="D9D9D6"/>
            </w:tcBorders>
          </w:tcPr>
          <w:p>
            <w:pPr>
              <w:jc w:val="right"/>
              <w:ind w:right="30"/>
              <w:spacing w:after="0"/>
              <w:rPr>
                <w:sz w:val="20"/>
                <w:szCs w:val="20"/>
                <w:color w:val="auto"/>
              </w:rPr>
            </w:pPr>
            <w:r>
              <w:rPr>
                <w:rFonts w:ascii="Arial" w:cs="Arial" w:eastAsia="Arial" w:hAnsi="Arial"/>
                <w:sz w:val="14"/>
                <w:szCs w:val="14"/>
                <w:b w:val="1"/>
                <w:bCs w:val="1"/>
                <w:color w:val="3D3935"/>
              </w:rPr>
              <w:t>2,021,250</w:t>
            </w:r>
          </w:p>
        </w:tc>
        <w:tc>
          <w:tcPr>
            <w:tcW w:w="0" w:type="dxa"/>
            <w:vAlign w:val="bottom"/>
          </w:tcPr>
          <w:p>
            <w:pPr>
              <w:spacing w:after="0"/>
              <w:rPr>
                <w:sz w:val="1"/>
                <w:szCs w:val="1"/>
                <w:color w:val="auto"/>
              </w:rPr>
            </w:pPr>
          </w:p>
        </w:tc>
      </w:tr>
      <w:tr>
        <w:trPr>
          <w:trHeight w:val="237"/>
        </w:trPr>
        <w:tc>
          <w:tcPr>
            <w:tcW w:w="1820" w:type="dxa"/>
            <w:vAlign w:val="bottom"/>
            <w:tcBorders>
              <w:bottom w:val="single" w:sz="8" w:color="0072CE"/>
            </w:tcBorders>
          </w:tcPr>
          <w:p>
            <w:pPr>
              <w:ind w:left="60"/>
              <w:spacing w:after="0"/>
              <w:rPr>
                <w:sz w:val="20"/>
                <w:szCs w:val="20"/>
                <w:color w:val="auto"/>
              </w:rPr>
            </w:pPr>
            <w:r>
              <w:rPr>
                <w:rFonts w:ascii="Arial" w:cs="Arial" w:eastAsia="Arial" w:hAnsi="Arial"/>
                <w:sz w:val="14"/>
                <w:szCs w:val="14"/>
                <w:b w:val="1"/>
                <w:bCs w:val="1"/>
                <w:color w:val="0072CE"/>
              </w:rPr>
              <w:t>Rory V. Harvey</w:t>
            </w:r>
          </w:p>
        </w:tc>
        <w:tc>
          <w:tcPr>
            <w:tcW w:w="1480" w:type="dxa"/>
            <w:vAlign w:val="bottom"/>
            <w:tcBorders>
              <w:bottom w:val="single" w:sz="8" w:color="0072CE"/>
            </w:tcBorders>
          </w:tcPr>
          <w:p>
            <w:pPr>
              <w:jc w:val="right"/>
              <w:ind w:right="231"/>
              <w:spacing w:after="0"/>
              <w:rPr>
                <w:sz w:val="20"/>
                <w:szCs w:val="20"/>
                <w:color w:val="auto"/>
              </w:rPr>
            </w:pPr>
            <w:r>
              <w:rPr>
                <w:rFonts w:ascii="Arial" w:cs="Arial" w:eastAsia="Arial" w:hAnsi="Arial"/>
                <w:sz w:val="14"/>
                <w:szCs w:val="14"/>
                <w:color w:val="3D3935"/>
              </w:rPr>
              <w:t>850,000</w:t>
            </w:r>
          </w:p>
        </w:tc>
        <w:tc>
          <w:tcPr>
            <w:tcW w:w="460" w:type="dxa"/>
            <w:vAlign w:val="bottom"/>
            <w:tcBorders>
              <w:bottom w:val="single" w:sz="8" w:color="0072CE"/>
            </w:tcBorders>
          </w:tcPr>
          <w:p>
            <w:pPr>
              <w:spacing w:after="0"/>
              <w:rPr>
                <w:sz w:val="20"/>
                <w:szCs w:val="20"/>
                <w:color w:val="auto"/>
              </w:rPr>
            </w:pPr>
          </w:p>
        </w:tc>
        <w:tc>
          <w:tcPr>
            <w:tcW w:w="880" w:type="dxa"/>
            <w:vAlign w:val="bottom"/>
            <w:tcBorders>
              <w:bottom w:val="single" w:sz="8" w:color="0072CE"/>
            </w:tcBorders>
          </w:tcPr>
          <w:p>
            <w:pPr>
              <w:jc w:val="center"/>
              <w:spacing w:after="0"/>
              <w:rPr>
                <w:sz w:val="20"/>
                <w:szCs w:val="20"/>
                <w:color w:val="auto"/>
              </w:rPr>
            </w:pPr>
            <w:r>
              <w:rPr>
                <w:rFonts w:ascii="Arial" w:cs="Arial" w:eastAsia="Arial" w:hAnsi="Arial"/>
                <w:sz w:val="14"/>
                <w:szCs w:val="14"/>
                <w:color w:val="3D3935"/>
              </w:rPr>
              <w:t>125%</w:t>
            </w:r>
          </w:p>
        </w:tc>
        <w:tc>
          <w:tcPr>
            <w:tcW w:w="1540" w:type="dxa"/>
            <w:vAlign w:val="bottom"/>
            <w:tcBorders>
              <w:bottom w:val="single" w:sz="8" w:color="0072CE"/>
            </w:tcBorders>
          </w:tcPr>
          <w:p>
            <w:pPr>
              <w:jc w:val="right"/>
              <w:ind w:right="171"/>
              <w:spacing w:after="0"/>
              <w:rPr>
                <w:sz w:val="20"/>
                <w:szCs w:val="20"/>
                <w:color w:val="auto"/>
              </w:rPr>
            </w:pPr>
            <w:r>
              <w:rPr>
                <w:rFonts w:ascii="Arial" w:cs="Arial" w:eastAsia="Arial" w:hAnsi="Arial"/>
                <w:sz w:val="14"/>
                <w:szCs w:val="14"/>
                <w:color w:val="3D3935"/>
              </w:rPr>
              <w:t>147%</w:t>
            </w:r>
          </w:p>
        </w:tc>
        <w:tc>
          <w:tcPr>
            <w:tcW w:w="440" w:type="dxa"/>
            <w:vAlign w:val="bottom"/>
            <w:tcBorders>
              <w:bottom w:val="single" w:sz="8" w:color="0072CE"/>
            </w:tcBorders>
          </w:tcPr>
          <w:p>
            <w:pPr>
              <w:spacing w:after="0"/>
              <w:rPr>
                <w:sz w:val="20"/>
                <w:szCs w:val="20"/>
                <w:color w:val="auto"/>
              </w:rPr>
            </w:pPr>
          </w:p>
        </w:tc>
        <w:tc>
          <w:tcPr>
            <w:tcW w:w="1040" w:type="dxa"/>
            <w:vAlign w:val="bottom"/>
            <w:tcBorders>
              <w:bottom w:val="single" w:sz="8" w:color="0072CE"/>
            </w:tcBorders>
          </w:tcPr>
          <w:p>
            <w:pPr>
              <w:jc w:val="right"/>
              <w:ind w:right="51"/>
              <w:spacing w:after="0"/>
              <w:rPr>
                <w:sz w:val="20"/>
                <w:szCs w:val="20"/>
                <w:color w:val="auto"/>
              </w:rPr>
            </w:pPr>
            <w:r>
              <w:rPr>
                <w:rFonts w:ascii="Arial" w:cs="Arial" w:eastAsia="Arial" w:hAnsi="Arial"/>
                <w:sz w:val="14"/>
                <w:szCs w:val="14"/>
                <w:b w:val="1"/>
                <w:bCs w:val="1"/>
                <w:color w:val="3D3935"/>
              </w:rPr>
              <w:t>110%</w:t>
            </w:r>
          </w:p>
        </w:tc>
        <w:tc>
          <w:tcPr>
            <w:tcW w:w="1420" w:type="dxa"/>
            <w:vAlign w:val="bottom"/>
            <w:tcBorders>
              <w:bottom w:val="single" w:sz="8" w:color="0072CE"/>
            </w:tcBorders>
          </w:tcPr>
          <w:p>
            <w:pPr>
              <w:jc w:val="right"/>
              <w:spacing w:after="0"/>
              <w:rPr>
                <w:sz w:val="20"/>
                <w:szCs w:val="20"/>
                <w:color w:val="auto"/>
              </w:rPr>
            </w:pPr>
            <w:r>
              <w:rPr>
                <w:rFonts w:ascii="Arial" w:cs="Arial" w:eastAsia="Arial" w:hAnsi="Arial"/>
                <w:sz w:val="14"/>
                <w:szCs w:val="14"/>
                <w:b w:val="1"/>
                <w:bCs w:val="1"/>
                <w:color w:val="3D3935"/>
              </w:rPr>
              <w:t>1,718,063</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200" w:hanging="192"/>
        <w:spacing w:after="0"/>
        <w:tabs>
          <w:tab w:leader="none" w:pos="200" w:val="left"/>
        </w:tabs>
        <w:numPr>
          <w:ilvl w:val="0"/>
          <w:numId w:val="82"/>
        </w:numPr>
        <w:rPr>
          <w:rFonts w:ascii="Arial" w:cs="Arial" w:eastAsia="Arial" w:hAnsi="Arial"/>
          <w:sz w:val="19"/>
          <w:szCs w:val="19"/>
          <w:color w:val="3D3935"/>
          <w:vertAlign w:val="superscript"/>
        </w:rPr>
      </w:pPr>
      <w:r>
        <w:rPr>
          <w:rFonts w:ascii="Arial" w:cs="Arial" w:eastAsia="Arial" w:hAnsi="Arial"/>
          <w:sz w:val="14"/>
          <w:szCs w:val="14"/>
          <w:color w:val="3D3935"/>
        </w:rPr>
        <w:t>Mr. Abbott resigned from the Company effective April 2, 2024. As a result, Mr. Abbott did not receive a 2024 STIP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3D3935"/>
              </w:rPr>
              <w:t>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6111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10375" cy="6111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Long-Term Incentive Compensation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180" w:type="dxa"/>
            <w:vAlign w:val="bottom"/>
            <w:shd w:val="clear" w:color="auto" w:fill="F0F3F6"/>
          </w:tcPr>
          <w:p>
            <w:pPr>
              <w:spacing w:after="0"/>
              <w:rPr>
                <w:sz w:val="24"/>
                <w:szCs w:val="24"/>
                <w:color w:val="auto"/>
              </w:rPr>
            </w:pPr>
          </w:p>
        </w:tc>
        <w:tc>
          <w:tcPr>
            <w:tcW w:w="220" w:type="dxa"/>
            <w:vAlign w:val="bottom"/>
            <w:shd w:val="clear" w:color="auto" w:fill="F0F3F6"/>
          </w:tcPr>
          <w:p>
            <w:pPr>
              <w:spacing w:after="0"/>
              <w:rPr>
                <w:sz w:val="24"/>
                <w:szCs w:val="24"/>
                <w:color w:val="auto"/>
              </w:rPr>
            </w:pPr>
          </w:p>
        </w:tc>
        <w:tc>
          <w:tcPr>
            <w:tcW w:w="400" w:type="dxa"/>
            <w:vAlign w:val="bottom"/>
            <w:shd w:val="clear" w:color="auto" w:fill="F0F3F6"/>
          </w:tcPr>
          <w:p>
            <w:pPr>
              <w:spacing w:after="0"/>
              <w:rPr>
                <w:sz w:val="24"/>
                <w:szCs w:val="24"/>
                <w:color w:val="auto"/>
              </w:rPr>
            </w:pPr>
          </w:p>
        </w:tc>
        <w:tc>
          <w:tcPr>
            <w:tcW w:w="2260" w:type="dxa"/>
            <w:vAlign w:val="bottom"/>
            <w:shd w:val="clear" w:color="auto" w:fill="F0F3F6"/>
          </w:tcPr>
          <w:p>
            <w:pPr>
              <w:spacing w:after="0"/>
              <w:rPr>
                <w:sz w:val="24"/>
                <w:szCs w:val="24"/>
                <w:color w:val="auto"/>
              </w:rPr>
            </w:pPr>
          </w:p>
        </w:tc>
        <w:tc>
          <w:tcPr>
            <w:tcW w:w="6020" w:type="dxa"/>
            <w:vAlign w:val="bottom"/>
            <w:gridSpan w:val="4"/>
            <w:shd w:val="clear" w:color="auto" w:fill="F0F3F6"/>
          </w:tcPr>
          <w:p>
            <w:pPr>
              <w:ind w:left="620"/>
              <w:spacing w:after="0"/>
              <w:rPr>
                <w:sz w:val="20"/>
                <w:szCs w:val="20"/>
                <w:color w:val="auto"/>
              </w:rPr>
            </w:pPr>
            <w:r>
              <w:rPr>
                <w:rFonts w:ascii="Arial" w:cs="Arial" w:eastAsia="Arial" w:hAnsi="Arial"/>
                <w:sz w:val="18"/>
                <w:szCs w:val="18"/>
                <w:b w:val="1"/>
                <w:bCs w:val="1"/>
                <w:color w:val="3D3935"/>
              </w:rPr>
              <w:t>Key Design Changes</w:t>
            </w:r>
          </w:p>
        </w:tc>
      </w:tr>
      <w:tr>
        <w:trPr>
          <w:trHeight w:val="272"/>
        </w:trPr>
        <w:tc>
          <w:tcPr>
            <w:tcW w:w="180" w:type="dxa"/>
            <w:vAlign w:val="bottom"/>
            <w:tcBorders>
              <w:bottom w:val="single" w:sz="8" w:color="0072CE"/>
            </w:tcBorders>
            <w:shd w:val="clear" w:color="auto" w:fill="F0F3F6"/>
          </w:tcPr>
          <w:p>
            <w:pPr>
              <w:spacing w:after="0"/>
              <w:rPr>
                <w:sz w:val="23"/>
                <w:szCs w:val="23"/>
                <w:color w:val="auto"/>
              </w:rPr>
            </w:pPr>
          </w:p>
        </w:tc>
        <w:tc>
          <w:tcPr>
            <w:tcW w:w="220" w:type="dxa"/>
            <w:vAlign w:val="bottom"/>
            <w:tcBorders>
              <w:bottom w:val="single" w:sz="8" w:color="0072CE"/>
            </w:tcBorders>
            <w:shd w:val="clear" w:color="auto" w:fill="F0F3F6"/>
          </w:tcPr>
          <w:p>
            <w:pPr>
              <w:spacing w:after="0"/>
              <w:rPr>
                <w:sz w:val="23"/>
                <w:szCs w:val="23"/>
                <w:color w:val="auto"/>
              </w:rPr>
            </w:pPr>
          </w:p>
        </w:tc>
        <w:tc>
          <w:tcPr>
            <w:tcW w:w="400" w:type="dxa"/>
            <w:vAlign w:val="bottom"/>
            <w:tcBorders>
              <w:bottom w:val="single" w:sz="8" w:color="0072CE"/>
            </w:tcBorders>
            <w:shd w:val="clear" w:color="auto" w:fill="F0F3F6"/>
          </w:tcPr>
          <w:p>
            <w:pPr>
              <w:spacing w:after="0"/>
              <w:rPr>
                <w:sz w:val="23"/>
                <w:szCs w:val="23"/>
                <w:color w:val="auto"/>
              </w:rPr>
            </w:pPr>
          </w:p>
        </w:tc>
        <w:tc>
          <w:tcPr>
            <w:tcW w:w="2260" w:type="dxa"/>
            <w:vAlign w:val="bottom"/>
            <w:tcBorders>
              <w:bottom w:val="single" w:sz="8" w:color="0072CE"/>
            </w:tcBorders>
            <w:shd w:val="clear" w:color="auto" w:fill="F0F3F6"/>
          </w:tcPr>
          <w:p>
            <w:pPr>
              <w:jc w:val="right"/>
              <w:ind w:right="517"/>
              <w:spacing w:after="0"/>
              <w:rPr>
                <w:sz w:val="20"/>
                <w:szCs w:val="20"/>
                <w:color w:val="auto"/>
              </w:rPr>
            </w:pPr>
            <w:r>
              <w:rPr>
                <w:rFonts w:ascii="Arial" w:cs="Arial" w:eastAsia="Arial" w:hAnsi="Arial"/>
                <w:sz w:val="18"/>
                <w:szCs w:val="18"/>
                <w:b w:val="1"/>
                <w:bCs w:val="1"/>
                <w:color w:val="3D3935"/>
              </w:rPr>
              <w:t>2023</w:t>
            </w:r>
          </w:p>
        </w:tc>
        <w:tc>
          <w:tcPr>
            <w:tcW w:w="1660" w:type="dxa"/>
            <w:vAlign w:val="bottom"/>
            <w:tcBorders>
              <w:bottom w:val="single" w:sz="8" w:color="0072CE"/>
            </w:tcBorders>
            <w:shd w:val="clear" w:color="auto" w:fill="F0F3F6"/>
          </w:tcPr>
          <w:p>
            <w:pPr>
              <w:spacing w:after="0"/>
              <w:rPr>
                <w:sz w:val="23"/>
                <w:szCs w:val="23"/>
                <w:color w:val="auto"/>
              </w:rPr>
            </w:pPr>
          </w:p>
        </w:tc>
        <w:tc>
          <w:tcPr>
            <w:tcW w:w="200" w:type="dxa"/>
            <w:vAlign w:val="bottom"/>
            <w:tcBorders>
              <w:bottom w:val="single" w:sz="8" w:color="0072CE"/>
            </w:tcBorders>
            <w:shd w:val="clear" w:color="auto" w:fill="F0F3F6"/>
          </w:tcPr>
          <w:p>
            <w:pPr>
              <w:spacing w:after="0"/>
              <w:rPr>
                <w:sz w:val="23"/>
                <w:szCs w:val="23"/>
                <w:color w:val="auto"/>
              </w:rPr>
            </w:pPr>
          </w:p>
        </w:tc>
        <w:tc>
          <w:tcPr>
            <w:tcW w:w="400" w:type="dxa"/>
            <w:vAlign w:val="bottom"/>
            <w:tcBorders>
              <w:bottom w:val="single" w:sz="8" w:color="0072CE"/>
            </w:tcBorders>
            <w:shd w:val="clear" w:color="auto" w:fill="F0F3F6"/>
          </w:tcPr>
          <w:p>
            <w:pPr>
              <w:spacing w:after="0"/>
              <w:rPr>
                <w:sz w:val="23"/>
                <w:szCs w:val="23"/>
                <w:color w:val="auto"/>
              </w:rPr>
            </w:pPr>
          </w:p>
        </w:tc>
        <w:tc>
          <w:tcPr>
            <w:tcW w:w="3760" w:type="dxa"/>
            <w:vAlign w:val="bottom"/>
            <w:tcBorders>
              <w:bottom w:val="single" w:sz="8" w:color="0072CE"/>
            </w:tcBorders>
            <w:shd w:val="clear" w:color="auto" w:fill="F0F3F6"/>
          </w:tcPr>
          <w:p>
            <w:pPr>
              <w:jc w:val="right"/>
              <w:ind w:right="2017"/>
              <w:spacing w:after="0"/>
              <w:rPr>
                <w:sz w:val="20"/>
                <w:szCs w:val="20"/>
                <w:color w:val="auto"/>
              </w:rPr>
            </w:pPr>
            <w:r>
              <w:rPr>
                <w:rFonts w:ascii="Arial" w:cs="Arial" w:eastAsia="Arial" w:hAnsi="Arial"/>
                <w:sz w:val="18"/>
                <w:szCs w:val="18"/>
                <w:b w:val="1"/>
                <w:bCs w:val="1"/>
                <w:color w:val="3D3935"/>
              </w:rPr>
              <w:t>2024</w:t>
            </w:r>
          </w:p>
        </w:tc>
      </w:tr>
      <w:tr>
        <w:trPr>
          <w:trHeight w:val="302"/>
        </w:trPr>
        <w:tc>
          <w:tcPr>
            <w:tcW w:w="180" w:type="dxa"/>
            <w:vAlign w:val="bottom"/>
          </w:tcPr>
          <w:p>
            <w:pPr>
              <w:ind w:left="60"/>
              <w:spacing w:after="0"/>
              <w:rPr>
                <w:sz w:val="20"/>
                <w:szCs w:val="20"/>
                <w:color w:val="auto"/>
              </w:rPr>
            </w:pPr>
            <w:r>
              <w:rPr>
                <w:rFonts w:ascii="Arial" w:cs="Arial" w:eastAsia="Arial" w:hAnsi="Arial"/>
                <w:sz w:val="16"/>
                <w:szCs w:val="16"/>
                <w:color w:val="0072CE"/>
              </w:rPr>
              <w:t>•</w:t>
            </w:r>
          </w:p>
        </w:tc>
        <w:tc>
          <w:tcPr>
            <w:tcW w:w="2880" w:type="dxa"/>
            <w:vAlign w:val="bottom"/>
            <w:gridSpan w:val="3"/>
          </w:tcPr>
          <w:p>
            <w:pPr>
              <w:ind w:left="60"/>
              <w:spacing w:after="0"/>
              <w:rPr>
                <w:sz w:val="20"/>
                <w:szCs w:val="20"/>
                <w:color w:val="auto"/>
              </w:rPr>
            </w:pPr>
            <w:r>
              <w:rPr>
                <w:rFonts w:ascii="Arial" w:cs="Arial" w:eastAsia="Arial" w:hAnsi="Arial"/>
                <w:sz w:val="16"/>
                <w:szCs w:val="16"/>
                <w:color w:val="3D3935"/>
              </w:rPr>
              <w:t>75% PSUs/25% Options</w:t>
            </w:r>
          </w:p>
        </w:tc>
        <w:tc>
          <w:tcPr>
            <w:tcW w:w="1660" w:type="dxa"/>
            <w:vAlign w:val="bottom"/>
          </w:tcPr>
          <w:p>
            <w:pPr>
              <w:ind w:left="1540"/>
              <w:spacing w:after="0"/>
              <w:rPr>
                <w:sz w:val="20"/>
                <w:szCs w:val="20"/>
                <w:color w:val="auto"/>
              </w:rPr>
            </w:pPr>
            <w:r>
              <w:rPr>
                <w:rFonts w:ascii="Arial" w:cs="Arial" w:eastAsia="Arial" w:hAnsi="Arial"/>
                <w:sz w:val="16"/>
                <w:szCs w:val="16"/>
                <w:color w:val="0072CE"/>
              </w:rPr>
              <w:t>•</w:t>
            </w:r>
          </w:p>
        </w:tc>
        <w:tc>
          <w:tcPr>
            <w:tcW w:w="4360" w:type="dxa"/>
            <w:vAlign w:val="bottom"/>
            <w:gridSpan w:val="3"/>
          </w:tcPr>
          <w:p>
            <w:pPr>
              <w:ind w:left="60"/>
              <w:spacing w:after="0"/>
              <w:rPr>
                <w:sz w:val="20"/>
                <w:szCs w:val="20"/>
                <w:color w:val="auto"/>
              </w:rPr>
            </w:pPr>
            <w:r>
              <w:rPr>
                <w:rFonts w:ascii="Arial" w:cs="Arial" w:eastAsia="Arial" w:hAnsi="Arial"/>
                <w:sz w:val="16"/>
                <w:szCs w:val="16"/>
                <w:color w:val="3D3935"/>
              </w:rPr>
              <w:t>75% PSUs/25% RSUs</w:t>
            </w:r>
          </w:p>
        </w:tc>
      </w:tr>
      <w:tr>
        <w:trPr>
          <w:trHeight w:val="56"/>
        </w:trPr>
        <w:tc>
          <w:tcPr>
            <w:tcW w:w="180" w:type="dxa"/>
            <w:vAlign w:val="bottom"/>
            <w:tcBorders>
              <w:bottom w:val="single" w:sz="8" w:color="D9D9D6"/>
            </w:tcBorders>
          </w:tcPr>
          <w:p>
            <w:pPr>
              <w:spacing w:after="0"/>
              <w:rPr>
                <w:sz w:val="4"/>
                <w:szCs w:val="4"/>
                <w:color w:val="auto"/>
              </w:rPr>
            </w:pPr>
          </w:p>
        </w:tc>
        <w:tc>
          <w:tcPr>
            <w:tcW w:w="2880" w:type="dxa"/>
            <w:vAlign w:val="bottom"/>
            <w:tcBorders>
              <w:bottom w:val="single" w:sz="8" w:color="D9D9D6"/>
            </w:tcBorders>
            <w:gridSpan w:val="3"/>
          </w:tcPr>
          <w:p>
            <w:pPr>
              <w:spacing w:after="0"/>
              <w:rPr>
                <w:sz w:val="4"/>
                <w:szCs w:val="4"/>
                <w:color w:val="auto"/>
              </w:rPr>
            </w:pPr>
          </w:p>
        </w:tc>
        <w:tc>
          <w:tcPr>
            <w:tcW w:w="1660" w:type="dxa"/>
            <w:vAlign w:val="bottom"/>
            <w:tcBorders>
              <w:bottom w:val="single" w:sz="8" w:color="D9D9D6"/>
            </w:tcBorders>
          </w:tcPr>
          <w:p>
            <w:pPr>
              <w:spacing w:after="0"/>
              <w:rPr>
                <w:sz w:val="4"/>
                <w:szCs w:val="4"/>
                <w:color w:val="auto"/>
              </w:rPr>
            </w:pPr>
          </w:p>
        </w:tc>
        <w:tc>
          <w:tcPr>
            <w:tcW w:w="4360" w:type="dxa"/>
            <w:vAlign w:val="bottom"/>
            <w:tcBorders>
              <w:bottom w:val="single" w:sz="8" w:color="D9D9D6"/>
            </w:tcBorders>
            <w:gridSpan w:val="3"/>
          </w:tcPr>
          <w:p>
            <w:pPr>
              <w:spacing w:after="0"/>
              <w:rPr>
                <w:sz w:val="4"/>
                <w:szCs w:val="4"/>
                <w:color w:val="auto"/>
              </w:rPr>
            </w:pPr>
          </w:p>
        </w:tc>
      </w:tr>
      <w:tr>
        <w:trPr>
          <w:trHeight w:val="288"/>
        </w:trPr>
        <w:tc>
          <w:tcPr>
            <w:tcW w:w="180" w:type="dxa"/>
            <w:vAlign w:val="bottom"/>
          </w:tcPr>
          <w:p>
            <w:pPr>
              <w:ind w:left="60"/>
              <w:spacing w:after="0"/>
              <w:rPr>
                <w:sz w:val="20"/>
                <w:szCs w:val="20"/>
                <w:color w:val="auto"/>
              </w:rPr>
            </w:pPr>
            <w:r>
              <w:rPr>
                <w:rFonts w:ascii="Arial" w:cs="Arial" w:eastAsia="Arial" w:hAnsi="Arial"/>
                <w:sz w:val="16"/>
                <w:szCs w:val="16"/>
                <w:color w:val="0072CE"/>
              </w:rPr>
              <w:t>•</w:t>
            </w:r>
          </w:p>
        </w:tc>
        <w:tc>
          <w:tcPr>
            <w:tcW w:w="2880" w:type="dxa"/>
            <w:vAlign w:val="bottom"/>
            <w:gridSpan w:val="3"/>
          </w:tcPr>
          <w:p>
            <w:pPr>
              <w:ind w:left="60"/>
              <w:spacing w:after="0"/>
              <w:rPr>
                <w:sz w:val="20"/>
                <w:szCs w:val="20"/>
                <w:color w:val="auto"/>
              </w:rPr>
            </w:pPr>
            <w:r>
              <w:rPr>
                <w:rFonts w:ascii="Arial" w:cs="Arial" w:eastAsia="Arial" w:hAnsi="Arial"/>
                <w:sz w:val="16"/>
                <w:szCs w:val="16"/>
                <w:color w:val="3D3935"/>
              </w:rPr>
              <w:t>PSU Performance measures:</w:t>
            </w:r>
          </w:p>
        </w:tc>
        <w:tc>
          <w:tcPr>
            <w:tcW w:w="1660" w:type="dxa"/>
            <w:vAlign w:val="bottom"/>
          </w:tcPr>
          <w:p>
            <w:pPr>
              <w:ind w:left="1540"/>
              <w:spacing w:after="0"/>
              <w:rPr>
                <w:sz w:val="20"/>
                <w:szCs w:val="20"/>
                <w:color w:val="auto"/>
              </w:rPr>
            </w:pPr>
            <w:r>
              <w:rPr>
                <w:rFonts w:ascii="Arial" w:cs="Arial" w:eastAsia="Arial" w:hAnsi="Arial"/>
                <w:sz w:val="16"/>
                <w:szCs w:val="16"/>
                <w:color w:val="0072CE"/>
              </w:rPr>
              <w:t>•</w:t>
            </w:r>
          </w:p>
        </w:tc>
        <w:tc>
          <w:tcPr>
            <w:tcW w:w="4360" w:type="dxa"/>
            <w:vAlign w:val="bottom"/>
            <w:gridSpan w:val="3"/>
          </w:tcPr>
          <w:p>
            <w:pPr>
              <w:ind w:left="60"/>
              <w:spacing w:after="0"/>
              <w:rPr>
                <w:sz w:val="20"/>
                <w:szCs w:val="20"/>
                <w:color w:val="auto"/>
              </w:rPr>
            </w:pPr>
            <w:r>
              <w:rPr>
                <w:rFonts w:ascii="Arial" w:cs="Arial" w:eastAsia="Arial" w:hAnsi="Arial"/>
                <w:sz w:val="16"/>
                <w:szCs w:val="16"/>
                <w:color w:val="3D3935"/>
              </w:rPr>
              <w:t>PSU Performance measures:</w:t>
            </w:r>
          </w:p>
        </w:tc>
      </w:tr>
      <w:tr>
        <w:trPr>
          <w:trHeight w:val="270"/>
        </w:trPr>
        <w:tc>
          <w:tcPr>
            <w:tcW w:w="180" w:type="dxa"/>
            <w:vAlign w:val="bottom"/>
          </w:tcPr>
          <w:p>
            <w:pPr>
              <w:spacing w:after="0"/>
              <w:rPr>
                <w:sz w:val="23"/>
                <w:szCs w:val="23"/>
                <w:color w:val="auto"/>
              </w:rPr>
            </w:pPr>
          </w:p>
        </w:tc>
        <w:tc>
          <w:tcPr>
            <w:tcW w:w="220" w:type="dxa"/>
            <w:vAlign w:val="bottom"/>
          </w:tcPr>
          <w:p>
            <w:pPr>
              <w:ind w:left="60"/>
              <w:spacing w:after="0"/>
              <w:rPr>
                <w:sz w:val="20"/>
                <w:szCs w:val="20"/>
                <w:color w:val="auto"/>
              </w:rPr>
            </w:pPr>
            <w:r>
              <w:rPr>
                <w:rFonts w:ascii="Arial" w:cs="Arial" w:eastAsia="Arial" w:hAnsi="Arial"/>
                <w:sz w:val="16"/>
                <w:szCs w:val="16"/>
                <w:color w:val="0072CE"/>
              </w:rPr>
              <w:t>–</w:t>
            </w:r>
          </w:p>
        </w:tc>
        <w:tc>
          <w:tcPr>
            <w:tcW w:w="400" w:type="dxa"/>
            <w:vAlign w:val="bottom"/>
          </w:tcPr>
          <w:p>
            <w:pPr>
              <w:jc w:val="right"/>
              <w:spacing w:after="0"/>
              <w:rPr>
                <w:sz w:val="20"/>
                <w:szCs w:val="20"/>
                <w:color w:val="auto"/>
              </w:rPr>
            </w:pPr>
            <w:r>
              <w:rPr>
                <w:rFonts w:ascii="Arial" w:cs="Arial" w:eastAsia="Arial" w:hAnsi="Arial"/>
                <w:sz w:val="16"/>
                <w:szCs w:val="16"/>
                <w:color w:val="3D3935"/>
              </w:rPr>
              <w:t>40%</w:t>
            </w:r>
          </w:p>
        </w:tc>
        <w:tc>
          <w:tcPr>
            <w:tcW w:w="2260" w:type="dxa"/>
            <w:vAlign w:val="bottom"/>
          </w:tcPr>
          <w:p>
            <w:pPr>
              <w:ind w:left="20"/>
              <w:spacing w:after="0"/>
              <w:rPr>
                <w:sz w:val="20"/>
                <w:szCs w:val="20"/>
                <w:color w:val="auto"/>
              </w:rPr>
            </w:pPr>
            <w:r>
              <w:rPr>
                <w:rFonts w:ascii="Arial" w:cs="Arial" w:eastAsia="Arial" w:hAnsi="Arial"/>
                <w:sz w:val="16"/>
                <w:szCs w:val="16"/>
                <w:color w:val="3D3935"/>
              </w:rPr>
              <w:t>EBIT-adjusted Margin</w:t>
            </w:r>
          </w:p>
        </w:tc>
        <w:tc>
          <w:tcPr>
            <w:tcW w:w="1660" w:type="dxa"/>
            <w:vAlign w:val="bottom"/>
          </w:tcPr>
          <w:p>
            <w:pPr>
              <w:spacing w:after="0"/>
              <w:rPr>
                <w:sz w:val="23"/>
                <w:szCs w:val="23"/>
                <w:color w:val="auto"/>
              </w:rPr>
            </w:pPr>
          </w:p>
        </w:tc>
        <w:tc>
          <w:tcPr>
            <w:tcW w:w="200" w:type="dxa"/>
            <w:vAlign w:val="bottom"/>
          </w:tcPr>
          <w:p>
            <w:pPr>
              <w:ind w:left="60"/>
              <w:spacing w:after="0"/>
              <w:rPr>
                <w:sz w:val="20"/>
                <w:szCs w:val="20"/>
                <w:color w:val="auto"/>
              </w:rPr>
            </w:pPr>
            <w:r>
              <w:rPr>
                <w:rFonts w:ascii="Arial" w:cs="Arial" w:eastAsia="Arial" w:hAnsi="Arial"/>
                <w:sz w:val="16"/>
                <w:szCs w:val="16"/>
                <w:color w:val="0072CE"/>
              </w:rPr>
              <w:t>–</w:t>
            </w:r>
          </w:p>
        </w:tc>
        <w:tc>
          <w:tcPr>
            <w:tcW w:w="400" w:type="dxa"/>
            <w:vAlign w:val="bottom"/>
          </w:tcPr>
          <w:p>
            <w:pPr>
              <w:jc w:val="right"/>
              <w:spacing w:after="0"/>
              <w:rPr>
                <w:sz w:val="20"/>
                <w:szCs w:val="20"/>
                <w:color w:val="auto"/>
              </w:rPr>
            </w:pPr>
            <w:r>
              <w:rPr>
                <w:rFonts w:ascii="Arial" w:cs="Arial" w:eastAsia="Arial" w:hAnsi="Arial"/>
                <w:sz w:val="16"/>
                <w:szCs w:val="16"/>
                <w:color w:val="3D3935"/>
              </w:rPr>
              <w:t>40%</w:t>
            </w:r>
          </w:p>
        </w:tc>
        <w:tc>
          <w:tcPr>
            <w:tcW w:w="3760" w:type="dxa"/>
            <w:vAlign w:val="bottom"/>
          </w:tcPr>
          <w:p>
            <w:pPr>
              <w:ind w:left="20"/>
              <w:spacing w:after="0"/>
              <w:rPr>
                <w:sz w:val="20"/>
                <w:szCs w:val="20"/>
                <w:color w:val="auto"/>
              </w:rPr>
            </w:pPr>
            <w:r>
              <w:rPr>
                <w:rFonts w:ascii="Arial" w:cs="Arial" w:eastAsia="Arial" w:hAnsi="Arial"/>
                <w:sz w:val="16"/>
                <w:szCs w:val="16"/>
                <w:color w:val="3D3935"/>
              </w:rPr>
              <w:t>Cumulative AAOCF</w:t>
            </w:r>
          </w:p>
        </w:tc>
      </w:tr>
      <w:tr>
        <w:trPr>
          <w:trHeight w:val="270"/>
        </w:trPr>
        <w:tc>
          <w:tcPr>
            <w:tcW w:w="180" w:type="dxa"/>
            <w:vAlign w:val="bottom"/>
          </w:tcPr>
          <w:p>
            <w:pPr>
              <w:spacing w:after="0"/>
              <w:rPr>
                <w:sz w:val="23"/>
                <w:szCs w:val="23"/>
                <w:color w:val="auto"/>
              </w:rPr>
            </w:pPr>
          </w:p>
        </w:tc>
        <w:tc>
          <w:tcPr>
            <w:tcW w:w="220" w:type="dxa"/>
            <w:vAlign w:val="bottom"/>
          </w:tcPr>
          <w:p>
            <w:pPr>
              <w:ind w:left="60"/>
              <w:spacing w:after="0"/>
              <w:rPr>
                <w:sz w:val="20"/>
                <w:szCs w:val="20"/>
                <w:color w:val="auto"/>
              </w:rPr>
            </w:pPr>
            <w:r>
              <w:rPr>
                <w:rFonts w:ascii="Arial" w:cs="Arial" w:eastAsia="Arial" w:hAnsi="Arial"/>
                <w:sz w:val="16"/>
                <w:szCs w:val="16"/>
                <w:color w:val="0072CE"/>
              </w:rPr>
              <w:t>–</w:t>
            </w:r>
          </w:p>
        </w:tc>
        <w:tc>
          <w:tcPr>
            <w:tcW w:w="400" w:type="dxa"/>
            <w:vAlign w:val="bottom"/>
          </w:tcPr>
          <w:p>
            <w:pPr>
              <w:jc w:val="right"/>
              <w:spacing w:after="0"/>
              <w:rPr>
                <w:sz w:val="20"/>
                <w:szCs w:val="20"/>
                <w:color w:val="auto"/>
              </w:rPr>
            </w:pPr>
            <w:r>
              <w:rPr>
                <w:rFonts w:ascii="Arial" w:cs="Arial" w:eastAsia="Arial" w:hAnsi="Arial"/>
                <w:sz w:val="16"/>
                <w:szCs w:val="16"/>
                <w:color w:val="3D3935"/>
              </w:rPr>
              <w:t>40%</w:t>
            </w:r>
          </w:p>
        </w:tc>
        <w:tc>
          <w:tcPr>
            <w:tcW w:w="2260" w:type="dxa"/>
            <w:vAlign w:val="bottom"/>
          </w:tcPr>
          <w:p>
            <w:pPr>
              <w:ind w:left="20"/>
              <w:spacing w:after="0"/>
              <w:rPr>
                <w:sz w:val="20"/>
                <w:szCs w:val="20"/>
                <w:color w:val="auto"/>
              </w:rPr>
            </w:pPr>
            <w:r>
              <w:rPr>
                <w:rFonts w:ascii="Arial" w:cs="Arial" w:eastAsia="Arial" w:hAnsi="Arial"/>
                <w:sz w:val="16"/>
                <w:szCs w:val="16"/>
                <w:color w:val="3D3935"/>
              </w:rPr>
              <w:t>Relative TSR</w:t>
            </w:r>
          </w:p>
        </w:tc>
        <w:tc>
          <w:tcPr>
            <w:tcW w:w="1660" w:type="dxa"/>
            <w:vAlign w:val="bottom"/>
          </w:tcPr>
          <w:p>
            <w:pPr>
              <w:spacing w:after="0"/>
              <w:rPr>
                <w:sz w:val="23"/>
                <w:szCs w:val="23"/>
                <w:color w:val="auto"/>
              </w:rPr>
            </w:pPr>
          </w:p>
        </w:tc>
        <w:tc>
          <w:tcPr>
            <w:tcW w:w="200" w:type="dxa"/>
            <w:vAlign w:val="bottom"/>
          </w:tcPr>
          <w:p>
            <w:pPr>
              <w:ind w:left="60"/>
              <w:spacing w:after="0"/>
              <w:rPr>
                <w:sz w:val="20"/>
                <w:szCs w:val="20"/>
                <w:color w:val="auto"/>
              </w:rPr>
            </w:pPr>
            <w:r>
              <w:rPr>
                <w:rFonts w:ascii="Arial" w:cs="Arial" w:eastAsia="Arial" w:hAnsi="Arial"/>
                <w:sz w:val="16"/>
                <w:szCs w:val="16"/>
                <w:color w:val="0072CE"/>
              </w:rPr>
              <w:t>–</w:t>
            </w:r>
          </w:p>
        </w:tc>
        <w:tc>
          <w:tcPr>
            <w:tcW w:w="400" w:type="dxa"/>
            <w:vAlign w:val="bottom"/>
          </w:tcPr>
          <w:p>
            <w:pPr>
              <w:jc w:val="right"/>
              <w:spacing w:after="0"/>
              <w:rPr>
                <w:sz w:val="20"/>
                <w:szCs w:val="20"/>
                <w:color w:val="auto"/>
              </w:rPr>
            </w:pPr>
            <w:r>
              <w:rPr>
                <w:rFonts w:ascii="Arial" w:cs="Arial" w:eastAsia="Arial" w:hAnsi="Arial"/>
                <w:sz w:val="16"/>
                <w:szCs w:val="16"/>
                <w:color w:val="3D3935"/>
              </w:rPr>
              <w:t>40%</w:t>
            </w:r>
          </w:p>
        </w:tc>
        <w:tc>
          <w:tcPr>
            <w:tcW w:w="3760" w:type="dxa"/>
            <w:vAlign w:val="bottom"/>
          </w:tcPr>
          <w:p>
            <w:pPr>
              <w:ind w:left="20"/>
              <w:spacing w:after="0"/>
              <w:rPr>
                <w:sz w:val="20"/>
                <w:szCs w:val="20"/>
                <w:color w:val="auto"/>
              </w:rPr>
            </w:pPr>
            <w:r>
              <w:rPr>
                <w:rFonts w:ascii="Arial" w:cs="Arial" w:eastAsia="Arial" w:hAnsi="Arial"/>
                <w:sz w:val="16"/>
                <w:szCs w:val="16"/>
                <w:color w:val="3D3935"/>
              </w:rPr>
              <w:t>Relative TSR</w:t>
            </w:r>
          </w:p>
        </w:tc>
      </w:tr>
      <w:tr>
        <w:trPr>
          <w:trHeight w:val="270"/>
        </w:trPr>
        <w:tc>
          <w:tcPr>
            <w:tcW w:w="180" w:type="dxa"/>
            <w:vAlign w:val="bottom"/>
          </w:tcPr>
          <w:p>
            <w:pPr>
              <w:spacing w:after="0"/>
              <w:rPr>
                <w:sz w:val="23"/>
                <w:szCs w:val="23"/>
                <w:color w:val="auto"/>
              </w:rPr>
            </w:pPr>
          </w:p>
        </w:tc>
        <w:tc>
          <w:tcPr>
            <w:tcW w:w="220" w:type="dxa"/>
            <w:vAlign w:val="bottom"/>
          </w:tcPr>
          <w:p>
            <w:pPr>
              <w:ind w:left="60"/>
              <w:spacing w:after="0"/>
              <w:rPr>
                <w:sz w:val="20"/>
                <w:szCs w:val="20"/>
                <w:color w:val="auto"/>
              </w:rPr>
            </w:pPr>
            <w:r>
              <w:rPr>
                <w:rFonts w:ascii="Arial" w:cs="Arial" w:eastAsia="Arial" w:hAnsi="Arial"/>
                <w:sz w:val="16"/>
                <w:szCs w:val="16"/>
                <w:color w:val="0072CE"/>
              </w:rPr>
              <w:t>–</w:t>
            </w:r>
          </w:p>
        </w:tc>
        <w:tc>
          <w:tcPr>
            <w:tcW w:w="400" w:type="dxa"/>
            <w:vAlign w:val="bottom"/>
          </w:tcPr>
          <w:p>
            <w:pPr>
              <w:jc w:val="right"/>
              <w:spacing w:after="0"/>
              <w:rPr>
                <w:sz w:val="20"/>
                <w:szCs w:val="20"/>
                <w:color w:val="auto"/>
              </w:rPr>
            </w:pPr>
            <w:r>
              <w:rPr>
                <w:rFonts w:ascii="Arial" w:cs="Arial" w:eastAsia="Arial" w:hAnsi="Arial"/>
                <w:sz w:val="16"/>
                <w:szCs w:val="16"/>
                <w:color w:val="3D3935"/>
              </w:rPr>
              <w:t>20%</w:t>
            </w:r>
          </w:p>
        </w:tc>
        <w:tc>
          <w:tcPr>
            <w:tcW w:w="2260" w:type="dxa"/>
            <w:vAlign w:val="bottom"/>
          </w:tcPr>
          <w:p>
            <w:pPr>
              <w:ind w:left="20"/>
              <w:spacing w:after="0"/>
              <w:rPr>
                <w:sz w:val="20"/>
                <w:szCs w:val="20"/>
                <w:color w:val="auto"/>
              </w:rPr>
            </w:pPr>
            <w:r>
              <w:rPr>
                <w:rFonts w:ascii="Arial" w:cs="Arial" w:eastAsia="Arial" w:hAnsi="Arial"/>
                <w:sz w:val="16"/>
                <w:szCs w:val="16"/>
                <w:color w:val="3D3935"/>
              </w:rPr>
              <w:t>EV measures</w:t>
            </w:r>
          </w:p>
        </w:tc>
        <w:tc>
          <w:tcPr>
            <w:tcW w:w="1660" w:type="dxa"/>
            <w:vAlign w:val="bottom"/>
          </w:tcPr>
          <w:p>
            <w:pPr>
              <w:spacing w:after="0"/>
              <w:rPr>
                <w:sz w:val="23"/>
                <w:szCs w:val="23"/>
                <w:color w:val="auto"/>
              </w:rPr>
            </w:pPr>
          </w:p>
        </w:tc>
        <w:tc>
          <w:tcPr>
            <w:tcW w:w="200" w:type="dxa"/>
            <w:vAlign w:val="bottom"/>
          </w:tcPr>
          <w:p>
            <w:pPr>
              <w:ind w:left="60"/>
              <w:spacing w:after="0"/>
              <w:rPr>
                <w:sz w:val="20"/>
                <w:szCs w:val="20"/>
                <w:color w:val="auto"/>
              </w:rPr>
            </w:pPr>
            <w:r>
              <w:rPr>
                <w:rFonts w:ascii="Arial" w:cs="Arial" w:eastAsia="Arial" w:hAnsi="Arial"/>
                <w:sz w:val="16"/>
                <w:szCs w:val="16"/>
                <w:color w:val="0072CE"/>
              </w:rPr>
              <w:t>–</w:t>
            </w:r>
          </w:p>
        </w:tc>
        <w:tc>
          <w:tcPr>
            <w:tcW w:w="400" w:type="dxa"/>
            <w:vAlign w:val="bottom"/>
          </w:tcPr>
          <w:p>
            <w:pPr>
              <w:jc w:val="right"/>
              <w:spacing w:after="0"/>
              <w:rPr>
                <w:sz w:val="20"/>
                <w:szCs w:val="20"/>
                <w:color w:val="auto"/>
              </w:rPr>
            </w:pPr>
            <w:r>
              <w:rPr>
                <w:rFonts w:ascii="Arial" w:cs="Arial" w:eastAsia="Arial" w:hAnsi="Arial"/>
                <w:sz w:val="16"/>
                <w:szCs w:val="16"/>
                <w:color w:val="3D3935"/>
              </w:rPr>
              <w:t>20%</w:t>
            </w:r>
          </w:p>
        </w:tc>
        <w:tc>
          <w:tcPr>
            <w:tcW w:w="3760" w:type="dxa"/>
            <w:vAlign w:val="bottom"/>
          </w:tcPr>
          <w:p>
            <w:pPr>
              <w:ind w:left="20"/>
              <w:spacing w:after="0"/>
              <w:rPr>
                <w:sz w:val="20"/>
                <w:szCs w:val="20"/>
                <w:color w:val="auto"/>
              </w:rPr>
            </w:pPr>
            <w:r>
              <w:rPr>
                <w:rFonts w:ascii="Arial" w:cs="Arial" w:eastAsia="Arial" w:hAnsi="Arial"/>
                <w:sz w:val="16"/>
                <w:szCs w:val="16"/>
                <w:color w:val="3D3935"/>
              </w:rPr>
              <w:t>EBIT-adjusted Margin</w:t>
            </w:r>
          </w:p>
        </w:tc>
      </w:tr>
      <w:tr>
        <w:trPr>
          <w:trHeight w:val="56"/>
        </w:trPr>
        <w:tc>
          <w:tcPr>
            <w:tcW w:w="180" w:type="dxa"/>
            <w:vAlign w:val="bottom"/>
            <w:tcBorders>
              <w:bottom w:val="single" w:sz="8" w:color="0072CE"/>
            </w:tcBorders>
          </w:tcPr>
          <w:p>
            <w:pPr>
              <w:spacing w:after="0"/>
              <w:rPr>
                <w:sz w:val="4"/>
                <w:szCs w:val="4"/>
                <w:color w:val="auto"/>
              </w:rPr>
            </w:pPr>
          </w:p>
        </w:tc>
        <w:tc>
          <w:tcPr>
            <w:tcW w:w="220" w:type="dxa"/>
            <w:vAlign w:val="bottom"/>
            <w:tcBorders>
              <w:bottom w:val="single" w:sz="8" w:color="0072CE"/>
            </w:tcBorders>
          </w:tcPr>
          <w:p>
            <w:pPr>
              <w:spacing w:after="0"/>
              <w:rPr>
                <w:sz w:val="4"/>
                <w:szCs w:val="4"/>
                <w:color w:val="auto"/>
              </w:rPr>
            </w:pPr>
          </w:p>
        </w:tc>
        <w:tc>
          <w:tcPr>
            <w:tcW w:w="400" w:type="dxa"/>
            <w:vAlign w:val="bottom"/>
            <w:tcBorders>
              <w:bottom w:val="single" w:sz="8" w:color="0072CE"/>
            </w:tcBorders>
          </w:tcPr>
          <w:p>
            <w:pPr>
              <w:spacing w:after="0"/>
              <w:rPr>
                <w:sz w:val="4"/>
                <w:szCs w:val="4"/>
                <w:color w:val="auto"/>
              </w:rPr>
            </w:pPr>
          </w:p>
        </w:tc>
        <w:tc>
          <w:tcPr>
            <w:tcW w:w="2260" w:type="dxa"/>
            <w:vAlign w:val="bottom"/>
            <w:tcBorders>
              <w:bottom w:val="single" w:sz="8" w:color="0072CE"/>
            </w:tcBorders>
          </w:tcPr>
          <w:p>
            <w:pPr>
              <w:spacing w:after="0"/>
              <w:rPr>
                <w:sz w:val="4"/>
                <w:szCs w:val="4"/>
                <w:color w:val="auto"/>
              </w:rPr>
            </w:pPr>
          </w:p>
        </w:tc>
        <w:tc>
          <w:tcPr>
            <w:tcW w:w="1660" w:type="dxa"/>
            <w:vAlign w:val="bottom"/>
            <w:tcBorders>
              <w:bottom w:val="single" w:sz="8" w:color="0072CE"/>
            </w:tcBorders>
          </w:tcPr>
          <w:p>
            <w:pPr>
              <w:spacing w:after="0"/>
              <w:rPr>
                <w:sz w:val="4"/>
                <w:szCs w:val="4"/>
                <w:color w:val="auto"/>
              </w:rPr>
            </w:pPr>
          </w:p>
        </w:tc>
        <w:tc>
          <w:tcPr>
            <w:tcW w:w="200" w:type="dxa"/>
            <w:vAlign w:val="bottom"/>
            <w:tcBorders>
              <w:bottom w:val="single" w:sz="8" w:color="0072CE"/>
            </w:tcBorders>
          </w:tcPr>
          <w:p>
            <w:pPr>
              <w:spacing w:after="0"/>
              <w:rPr>
                <w:sz w:val="4"/>
                <w:szCs w:val="4"/>
                <w:color w:val="auto"/>
              </w:rPr>
            </w:pPr>
          </w:p>
        </w:tc>
        <w:tc>
          <w:tcPr>
            <w:tcW w:w="400" w:type="dxa"/>
            <w:vAlign w:val="bottom"/>
            <w:tcBorders>
              <w:bottom w:val="single" w:sz="8" w:color="0072CE"/>
            </w:tcBorders>
          </w:tcPr>
          <w:p>
            <w:pPr>
              <w:spacing w:after="0"/>
              <w:rPr>
                <w:sz w:val="4"/>
                <w:szCs w:val="4"/>
                <w:color w:val="auto"/>
              </w:rPr>
            </w:pPr>
          </w:p>
        </w:tc>
        <w:tc>
          <w:tcPr>
            <w:tcW w:w="3760" w:type="dxa"/>
            <w:vAlign w:val="bottom"/>
            <w:tcBorders>
              <w:bottom w:val="single" w:sz="8" w:color="0072CE"/>
            </w:tcBorders>
          </w:tcPr>
          <w:p>
            <w:pPr>
              <w:spacing w:after="0"/>
              <w:rPr>
                <w:sz w:val="4"/>
                <w:szCs w:val="4"/>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Overview of Pay Mix</w:t>
      </w:r>
    </w:p>
    <w:p>
      <w:pPr>
        <w:spacing w:after="0" w:line="99"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3D3935"/>
        </w:rPr>
        <w:t>Grants made under the LTIP are intended to link the financial interests of NEOs with the long-term interests of shareholders. When determining grant amounts, the Compensation Committee considers factors such as individual responsibilities, experience, and performance. In addition, the Compensation Committee factors relevant market compensation comparison data and input provided by its independent compensation consultant. The structure includes 75 percent PSUs and</w:t>
      </w:r>
    </w:p>
    <w:p>
      <w:pPr>
        <w:spacing w:after="0" w:line="2" w:lineRule="exact"/>
        <w:rPr>
          <w:sz w:val="20"/>
          <w:szCs w:val="20"/>
          <w:color w:val="auto"/>
        </w:rPr>
      </w:pPr>
    </w:p>
    <w:p>
      <w:pPr>
        <w:ind w:right="340"/>
        <w:spacing w:after="0" w:line="321" w:lineRule="auto"/>
        <w:rPr>
          <w:sz w:val="20"/>
          <w:szCs w:val="20"/>
          <w:color w:val="auto"/>
        </w:rPr>
      </w:pPr>
      <w:r>
        <w:rPr>
          <w:rFonts w:ascii="Arial" w:cs="Arial" w:eastAsia="Arial" w:hAnsi="Arial"/>
          <w:sz w:val="16"/>
          <w:szCs w:val="16"/>
          <w:color w:val="3D3935"/>
        </w:rPr>
        <w:t>25 percent RSUs. PSUs cliff-vest following a three-year performance period and are capped at 200% of target, and RSUs vest ratably over three years.</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2024–2026 LTIP Perfo rmance Measures</w:t>
      </w:r>
    </w:p>
    <w:p>
      <w:pPr>
        <w:spacing w:after="0" w:line="99"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3D3935"/>
        </w:rPr>
        <w:t>As described above, the metrics for our 2024-2026 PSUs have been revised from our prior cycle to focus our leadership team on driving shareholder value and Company profitability, while increasing the focus on cash generation during this critical period of transformation. This includes no longer including EV in the LTIP and incorporating it in the STIP, introducing Cumulative AAOCF, and rebalancing the weighting to further emphasize cash generation to support long-term growth and value-creating actions for shareholders.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240" w:type="dxa"/>
            <w:vAlign w:val="bottom"/>
            <w:tcBorders>
              <w:bottom w:val="single" w:sz="8" w:color="0072CE"/>
            </w:tcBorders>
            <w:shd w:val="clear" w:color="auto" w:fill="F0F3F6"/>
          </w:tcPr>
          <w:p>
            <w:pPr>
              <w:ind w:left="60"/>
              <w:spacing w:after="0"/>
              <w:rPr>
                <w:sz w:val="20"/>
                <w:szCs w:val="20"/>
                <w:color w:val="auto"/>
              </w:rPr>
            </w:pPr>
            <w:r>
              <w:rPr>
                <w:rFonts w:ascii="Arial" w:cs="Arial" w:eastAsia="Arial" w:hAnsi="Arial"/>
                <w:sz w:val="14"/>
                <w:szCs w:val="14"/>
                <w:b w:val="1"/>
                <w:bCs w:val="1"/>
                <w:color w:val="3D3935"/>
              </w:rPr>
              <w:t>PSU Performance Measure</w:t>
            </w:r>
          </w:p>
        </w:tc>
        <w:tc>
          <w:tcPr>
            <w:tcW w:w="1060" w:type="dxa"/>
            <w:vAlign w:val="bottom"/>
            <w:tcBorders>
              <w:bottom w:val="single" w:sz="8" w:color="0072CE"/>
            </w:tcBorders>
            <w:shd w:val="clear" w:color="auto" w:fill="F0F3F6"/>
          </w:tcPr>
          <w:p>
            <w:pPr>
              <w:jc w:val="right"/>
              <w:ind w:right="181"/>
              <w:spacing w:after="0"/>
              <w:rPr>
                <w:sz w:val="20"/>
                <w:szCs w:val="20"/>
                <w:color w:val="auto"/>
              </w:rPr>
            </w:pPr>
            <w:r>
              <w:rPr>
                <w:rFonts w:ascii="Arial" w:cs="Arial" w:eastAsia="Arial" w:hAnsi="Arial"/>
                <w:sz w:val="14"/>
                <w:szCs w:val="14"/>
                <w:b w:val="1"/>
                <w:bCs w:val="1"/>
                <w:color w:val="3D3935"/>
              </w:rPr>
              <w:t>Weight</w:t>
            </w:r>
          </w:p>
        </w:tc>
        <w:tc>
          <w:tcPr>
            <w:tcW w:w="1080" w:type="dxa"/>
            <w:vAlign w:val="bottom"/>
            <w:tcBorders>
              <w:bottom w:val="single" w:sz="8" w:color="0072CE"/>
            </w:tcBorders>
            <w:shd w:val="clear" w:color="auto" w:fill="F0F3F6"/>
          </w:tcPr>
          <w:p>
            <w:pPr>
              <w:ind w:left="460"/>
              <w:spacing w:after="0"/>
              <w:rPr>
                <w:sz w:val="20"/>
                <w:szCs w:val="20"/>
                <w:color w:val="auto"/>
              </w:rPr>
            </w:pPr>
            <w:r>
              <w:rPr>
                <w:rFonts w:ascii="Arial" w:cs="Arial" w:eastAsia="Arial" w:hAnsi="Arial"/>
                <w:sz w:val="14"/>
                <w:szCs w:val="14"/>
                <w:b w:val="1"/>
                <w:bCs w:val="1"/>
                <w:color w:val="3D3935"/>
                <w:w w:val="97"/>
              </w:rPr>
              <w:t xml:space="preserve">Target </w:t>
            </w:r>
            <w:r>
              <w:rPr>
                <w:rFonts w:ascii="Arial" w:cs="Arial" w:eastAsia="Arial" w:hAnsi="Arial"/>
                <w:sz w:val="18"/>
                <w:szCs w:val="18"/>
                <w:b w:val="1"/>
                <w:bCs w:val="1"/>
                <w:color w:val="3D3935"/>
                <w:w w:val="97"/>
                <w:vertAlign w:val="superscript"/>
              </w:rPr>
              <w:t>(1)</w:t>
            </w:r>
          </w:p>
        </w:tc>
        <w:tc>
          <w:tcPr>
            <w:tcW w:w="4700" w:type="dxa"/>
            <w:vAlign w:val="bottom"/>
            <w:tcBorders>
              <w:bottom w:val="single" w:sz="8" w:color="0072CE"/>
            </w:tcBorders>
            <w:shd w:val="clear" w:color="auto" w:fill="F0F3F6"/>
          </w:tcPr>
          <w:p>
            <w:pPr>
              <w:ind w:left="40"/>
              <w:spacing w:after="0"/>
              <w:rPr>
                <w:sz w:val="20"/>
                <w:szCs w:val="20"/>
                <w:color w:val="auto"/>
              </w:rPr>
            </w:pPr>
            <w:r>
              <w:rPr>
                <w:rFonts w:ascii="Arial" w:cs="Arial" w:eastAsia="Arial" w:hAnsi="Arial"/>
                <w:sz w:val="14"/>
                <w:szCs w:val="14"/>
                <w:b w:val="1"/>
                <w:bCs w:val="1"/>
                <w:color w:val="3D3935"/>
              </w:rPr>
              <w:t>Leadership Behaviors</w:t>
            </w:r>
          </w:p>
        </w:tc>
      </w:tr>
      <w:tr>
        <w:trPr>
          <w:trHeight w:val="209"/>
        </w:trPr>
        <w:tc>
          <w:tcPr>
            <w:tcW w:w="2240" w:type="dxa"/>
            <w:vAlign w:val="bottom"/>
          </w:tcPr>
          <w:p>
            <w:pPr>
              <w:ind w:left="60"/>
              <w:spacing w:after="0"/>
              <w:rPr>
                <w:sz w:val="20"/>
                <w:szCs w:val="20"/>
                <w:color w:val="auto"/>
              </w:rPr>
            </w:pPr>
            <w:r>
              <w:rPr>
                <w:rFonts w:ascii="Arial" w:cs="Arial" w:eastAsia="Arial" w:hAnsi="Arial"/>
                <w:sz w:val="16"/>
                <w:szCs w:val="16"/>
                <w:b w:val="1"/>
                <w:bCs w:val="1"/>
                <w:color w:val="3D3935"/>
              </w:rPr>
              <w:t xml:space="preserve">NEW: </w:t>
            </w:r>
            <w:r>
              <w:rPr>
                <w:rFonts w:ascii="Arial" w:cs="Arial" w:eastAsia="Arial" w:hAnsi="Arial"/>
                <w:sz w:val="16"/>
                <w:szCs w:val="16"/>
                <w:color w:val="3D3935"/>
              </w:rPr>
              <w:t>Cumulative AAOCF</w:t>
            </w:r>
          </w:p>
        </w:tc>
        <w:tc>
          <w:tcPr>
            <w:tcW w:w="1060" w:type="dxa"/>
            <w:vAlign w:val="bottom"/>
          </w:tcPr>
          <w:p>
            <w:pPr>
              <w:jc w:val="right"/>
              <w:ind w:right="61"/>
              <w:spacing w:after="0"/>
              <w:rPr>
                <w:sz w:val="20"/>
                <w:szCs w:val="20"/>
                <w:color w:val="auto"/>
              </w:rPr>
            </w:pPr>
            <w:r>
              <w:rPr>
                <w:rFonts w:ascii="Arial" w:cs="Arial" w:eastAsia="Arial" w:hAnsi="Arial"/>
                <w:sz w:val="16"/>
                <w:szCs w:val="16"/>
                <w:color w:val="3D3935"/>
              </w:rPr>
              <w:t>40%</w:t>
            </w:r>
          </w:p>
        </w:tc>
        <w:tc>
          <w:tcPr>
            <w:tcW w:w="5780" w:type="dxa"/>
            <w:vAlign w:val="bottom"/>
            <w:gridSpan w:val="2"/>
          </w:tcPr>
          <w:p>
            <w:pPr>
              <w:ind w:left="900"/>
              <w:spacing w:after="0"/>
              <w:rPr>
                <w:sz w:val="20"/>
                <w:szCs w:val="20"/>
                <w:color w:val="auto"/>
              </w:rPr>
            </w:pPr>
            <w:r>
              <w:rPr>
                <w:rFonts w:ascii="Arial" w:cs="Arial" w:eastAsia="Arial" w:hAnsi="Arial"/>
                <w:sz w:val="16"/>
                <w:szCs w:val="16"/>
                <w:color w:val="3D3935"/>
              </w:rPr>
              <w:t>— Drives focus on cash generation during this critical period</w:t>
            </w:r>
          </w:p>
        </w:tc>
      </w:tr>
      <w:tr>
        <w:trPr>
          <w:trHeight w:val="215"/>
        </w:trPr>
        <w:tc>
          <w:tcPr>
            <w:tcW w:w="2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700" w:type="dxa"/>
            <w:vAlign w:val="bottom"/>
          </w:tcPr>
          <w:p>
            <w:pPr>
              <w:ind w:left="40"/>
              <w:spacing w:after="0"/>
              <w:rPr>
                <w:sz w:val="20"/>
                <w:szCs w:val="20"/>
                <w:color w:val="auto"/>
              </w:rPr>
            </w:pPr>
            <w:r>
              <w:rPr>
                <w:rFonts w:ascii="Arial" w:cs="Arial" w:eastAsia="Arial" w:hAnsi="Arial"/>
                <w:sz w:val="16"/>
                <w:szCs w:val="16"/>
                <w:color w:val="3D3935"/>
              </w:rPr>
              <w:t>of transformation</w:t>
            </w:r>
          </w:p>
        </w:tc>
      </w:tr>
      <w:tr>
        <w:trPr>
          <w:trHeight w:val="29"/>
        </w:trPr>
        <w:tc>
          <w:tcPr>
            <w:tcW w:w="2240" w:type="dxa"/>
            <w:vAlign w:val="bottom"/>
            <w:tcBorders>
              <w:bottom w:val="single" w:sz="8" w:color="D9D9D6"/>
            </w:tcBorders>
          </w:tcPr>
          <w:p>
            <w:pPr>
              <w:spacing w:after="0"/>
              <w:rPr>
                <w:sz w:val="2"/>
                <w:szCs w:val="2"/>
                <w:color w:val="auto"/>
              </w:rPr>
            </w:pPr>
          </w:p>
        </w:tc>
        <w:tc>
          <w:tcPr>
            <w:tcW w:w="1060" w:type="dxa"/>
            <w:vAlign w:val="bottom"/>
            <w:tcBorders>
              <w:bottom w:val="single" w:sz="8" w:color="D9D9D6"/>
            </w:tcBorders>
          </w:tcPr>
          <w:p>
            <w:pPr>
              <w:spacing w:after="0"/>
              <w:rPr>
                <w:sz w:val="2"/>
                <w:szCs w:val="2"/>
                <w:color w:val="auto"/>
              </w:rPr>
            </w:pPr>
          </w:p>
        </w:tc>
        <w:tc>
          <w:tcPr>
            <w:tcW w:w="1080" w:type="dxa"/>
            <w:vAlign w:val="bottom"/>
            <w:tcBorders>
              <w:bottom w:val="single" w:sz="8" w:color="D9D9D6"/>
            </w:tcBorders>
          </w:tcPr>
          <w:p>
            <w:pPr>
              <w:spacing w:after="0"/>
              <w:rPr>
                <w:sz w:val="2"/>
                <w:szCs w:val="2"/>
                <w:color w:val="auto"/>
              </w:rPr>
            </w:pPr>
          </w:p>
        </w:tc>
        <w:tc>
          <w:tcPr>
            <w:tcW w:w="4700" w:type="dxa"/>
            <w:vAlign w:val="bottom"/>
            <w:tcBorders>
              <w:bottom w:val="single" w:sz="8" w:color="D9D9D6"/>
            </w:tcBorders>
          </w:tcPr>
          <w:p>
            <w:pPr>
              <w:spacing w:after="0"/>
              <w:rPr>
                <w:sz w:val="2"/>
                <w:szCs w:val="2"/>
                <w:color w:val="auto"/>
              </w:rPr>
            </w:pPr>
          </w:p>
        </w:tc>
      </w:tr>
      <w:tr>
        <w:trPr>
          <w:trHeight w:val="199"/>
        </w:trPr>
        <w:tc>
          <w:tcPr>
            <w:tcW w:w="2240" w:type="dxa"/>
            <w:vAlign w:val="bottom"/>
          </w:tcPr>
          <w:p>
            <w:pPr>
              <w:ind w:left="60"/>
              <w:spacing w:after="0"/>
              <w:rPr>
                <w:sz w:val="20"/>
                <w:szCs w:val="20"/>
                <w:color w:val="auto"/>
              </w:rPr>
            </w:pPr>
            <w:r>
              <w:rPr>
                <w:rFonts w:ascii="Arial" w:cs="Arial" w:eastAsia="Arial" w:hAnsi="Arial"/>
                <w:sz w:val="16"/>
                <w:szCs w:val="16"/>
                <w:color w:val="3D3935"/>
              </w:rPr>
              <w:t>Relative TSR</w:t>
            </w:r>
          </w:p>
        </w:tc>
        <w:tc>
          <w:tcPr>
            <w:tcW w:w="1060" w:type="dxa"/>
            <w:vAlign w:val="bottom"/>
          </w:tcPr>
          <w:p>
            <w:pPr>
              <w:jc w:val="right"/>
              <w:ind w:right="61"/>
              <w:spacing w:after="0"/>
              <w:rPr>
                <w:sz w:val="20"/>
                <w:szCs w:val="20"/>
                <w:color w:val="auto"/>
              </w:rPr>
            </w:pPr>
            <w:r>
              <w:rPr>
                <w:rFonts w:ascii="Arial" w:cs="Arial" w:eastAsia="Arial" w:hAnsi="Arial"/>
                <w:sz w:val="16"/>
                <w:szCs w:val="16"/>
                <w:color w:val="3D3935"/>
              </w:rPr>
              <w:t>40%</w:t>
            </w:r>
          </w:p>
        </w:tc>
        <w:tc>
          <w:tcPr>
            <w:tcW w:w="1080" w:type="dxa"/>
            <w:vAlign w:val="bottom"/>
          </w:tcPr>
          <w:p>
            <w:pPr>
              <w:ind w:left="660"/>
              <w:spacing w:after="0"/>
              <w:rPr>
                <w:sz w:val="20"/>
                <w:szCs w:val="20"/>
                <w:color w:val="auto"/>
              </w:rPr>
            </w:pPr>
            <w:r>
              <w:rPr>
                <w:rFonts w:ascii="Arial" w:cs="Arial" w:eastAsia="Arial" w:hAnsi="Arial"/>
                <w:sz w:val="16"/>
                <w:szCs w:val="16"/>
                <w:color w:val="3D3935"/>
              </w:rPr>
              <w:t>50th</w:t>
            </w:r>
          </w:p>
        </w:tc>
        <w:tc>
          <w:tcPr>
            <w:tcW w:w="4700" w:type="dxa"/>
            <w:vAlign w:val="bottom"/>
          </w:tcPr>
          <w:p>
            <w:pPr>
              <w:ind w:left="40"/>
              <w:spacing w:after="0"/>
              <w:rPr>
                <w:sz w:val="20"/>
                <w:szCs w:val="20"/>
                <w:color w:val="auto"/>
              </w:rPr>
            </w:pPr>
            <w:r>
              <w:rPr>
                <w:rFonts w:ascii="Arial" w:cs="Arial" w:eastAsia="Arial" w:hAnsi="Arial"/>
                <w:sz w:val="16"/>
                <w:szCs w:val="16"/>
                <w:color w:val="3D3935"/>
              </w:rPr>
              <w:t>Focus on delivering shareholder returns that outperform our</w:t>
            </w:r>
          </w:p>
        </w:tc>
      </w:tr>
      <w:tr>
        <w:trPr>
          <w:trHeight w:val="254"/>
        </w:trPr>
        <w:tc>
          <w:tcPr>
            <w:tcW w:w="2240" w:type="dxa"/>
            <w:vAlign w:val="bottom"/>
            <w:tcBorders>
              <w:bottom w:val="single" w:sz="8" w:color="D9D9D6"/>
            </w:tcBorders>
          </w:tcPr>
          <w:p>
            <w:pPr>
              <w:spacing w:after="0"/>
              <w:rPr>
                <w:sz w:val="22"/>
                <w:szCs w:val="22"/>
                <w:color w:val="auto"/>
              </w:rPr>
            </w:pPr>
          </w:p>
        </w:tc>
        <w:tc>
          <w:tcPr>
            <w:tcW w:w="1060" w:type="dxa"/>
            <w:vAlign w:val="bottom"/>
            <w:tcBorders>
              <w:bottom w:val="single" w:sz="8" w:color="D9D9D6"/>
            </w:tcBorders>
          </w:tcPr>
          <w:p>
            <w:pPr>
              <w:spacing w:after="0"/>
              <w:rPr>
                <w:sz w:val="22"/>
                <w:szCs w:val="22"/>
                <w:color w:val="auto"/>
              </w:rPr>
            </w:pPr>
          </w:p>
        </w:tc>
        <w:tc>
          <w:tcPr>
            <w:tcW w:w="1080" w:type="dxa"/>
            <w:vAlign w:val="bottom"/>
            <w:tcBorders>
              <w:bottom w:val="single" w:sz="8" w:color="D9D9D6"/>
            </w:tcBorders>
          </w:tcPr>
          <w:p>
            <w:pPr>
              <w:ind w:left="120"/>
              <w:spacing w:after="0"/>
              <w:rPr>
                <w:sz w:val="20"/>
                <w:szCs w:val="20"/>
                <w:color w:val="auto"/>
              </w:rPr>
            </w:pPr>
            <w:r>
              <w:rPr>
                <w:rFonts w:ascii="Arial" w:cs="Arial" w:eastAsia="Arial" w:hAnsi="Arial"/>
                <w:sz w:val="16"/>
                <w:szCs w:val="16"/>
                <w:color w:val="3D3935"/>
              </w:rPr>
              <w:t xml:space="preserve">Percentile </w:t>
            </w:r>
            <w:r>
              <w:rPr>
                <w:rFonts w:ascii="Arial" w:cs="Arial" w:eastAsia="Arial" w:hAnsi="Arial"/>
                <w:sz w:val="21"/>
                <w:szCs w:val="21"/>
                <w:color w:val="3D3935"/>
                <w:vertAlign w:val="superscript"/>
              </w:rPr>
              <w:t>(2)</w:t>
            </w:r>
          </w:p>
        </w:tc>
        <w:tc>
          <w:tcPr>
            <w:tcW w:w="4700" w:type="dxa"/>
            <w:vAlign w:val="bottom"/>
            <w:tcBorders>
              <w:bottom w:val="single" w:sz="8" w:color="D9D9D6"/>
            </w:tcBorders>
          </w:tcPr>
          <w:p>
            <w:pPr>
              <w:ind w:left="40"/>
              <w:spacing w:after="0"/>
              <w:rPr>
                <w:sz w:val="20"/>
                <w:szCs w:val="20"/>
                <w:color w:val="auto"/>
              </w:rPr>
            </w:pPr>
            <w:r>
              <w:rPr>
                <w:rFonts w:ascii="Arial" w:cs="Arial" w:eastAsia="Arial" w:hAnsi="Arial"/>
                <w:sz w:val="16"/>
                <w:szCs w:val="16"/>
                <w:color w:val="3D3935"/>
              </w:rPr>
              <w:t>OEM peer group</w:t>
            </w:r>
          </w:p>
        </w:tc>
      </w:tr>
      <w:tr>
        <w:trPr>
          <w:trHeight w:val="209"/>
        </w:trPr>
        <w:tc>
          <w:tcPr>
            <w:tcW w:w="2240" w:type="dxa"/>
            <w:vAlign w:val="bottom"/>
          </w:tcPr>
          <w:p>
            <w:pPr>
              <w:ind w:left="60"/>
              <w:spacing w:after="0"/>
              <w:rPr>
                <w:sz w:val="20"/>
                <w:szCs w:val="20"/>
                <w:color w:val="auto"/>
              </w:rPr>
            </w:pPr>
            <w:r>
              <w:rPr>
                <w:rFonts w:ascii="Arial" w:cs="Arial" w:eastAsia="Arial" w:hAnsi="Arial"/>
                <w:sz w:val="16"/>
                <w:szCs w:val="16"/>
                <w:color w:val="3D3935"/>
              </w:rPr>
              <w:t>EBIT-adjusted Margin</w:t>
            </w:r>
          </w:p>
        </w:tc>
        <w:tc>
          <w:tcPr>
            <w:tcW w:w="1060" w:type="dxa"/>
            <w:vAlign w:val="bottom"/>
          </w:tcPr>
          <w:p>
            <w:pPr>
              <w:jc w:val="right"/>
              <w:ind w:right="41"/>
              <w:spacing w:after="0"/>
              <w:rPr>
                <w:sz w:val="20"/>
                <w:szCs w:val="20"/>
                <w:color w:val="auto"/>
              </w:rPr>
            </w:pPr>
            <w:r>
              <w:rPr>
                <w:rFonts w:ascii="Arial" w:cs="Arial" w:eastAsia="Arial" w:hAnsi="Arial"/>
                <w:sz w:val="16"/>
                <w:szCs w:val="16"/>
                <w:color w:val="3D3935"/>
              </w:rPr>
              <w:t>20%</w:t>
            </w:r>
          </w:p>
        </w:tc>
        <w:tc>
          <w:tcPr>
            <w:tcW w:w="5780" w:type="dxa"/>
            <w:vAlign w:val="bottom"/>
            <w:gridSpan w:val="2"/>
          </w:tcPr>
          <w:p>
            <w:pPr>
              <w:ind w:left="900"/>
              <w:spacing w:after="0"/>
              <w:rPr>
                <w:sz w:val="20"/>
                <w:szCs w:val="20"/>
                <w:color w:val="auto"/>
              </w:rPr>
            </w:pPr>
            <w:r>
              <w:rPr>
                <w:rFonts w:ascii="Arial" w:cs="Arial" w:eastAsia="Arial" w:hAnsi="Arial"/>
                <w:sz w:val="16"/>
                <w:szCs w:val="16"/>
                <w:color w:val="3D3935"/>
              </w:rPr>
              <w:t>— Focus on pursuing profitable growth opportunities and driving</w:t>
            </w:r>
          </w:p>
        </w:tc>
      </w:tr>
      <w:tr>
        <w:trPr>
          <w:trHeight w:val="215"/>
        </w:trPr>
        <w:tc>
          <w:tcPr>
            <w:tcW w:w="2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700" w:type="dxa"/>
            <w:vAlign w:val="bottom"/>
          </w:tcPr>
          <w:p>
            <w:pPr>
              <w:ind w:left="40"/>
              <w:spacing w:after="0"/>
              <w:rPr>
                <w:sz w:val="20"/>
                <w:szCs w:val="20"/>
                <w:color w:val="auto"/>
              </w:rPr>
            </w:pPr>
            <w:r>
              <w:rPr>
                <w:rFonts w:ascii="Arial" w:cs="Arial" w:eastAsia="Arial" w:hAnsi="Arial"/>
                <w:sz w:val="16"/>
                <w:szCs w:val="16"/>
                <w:color w:val="3D3935"/>
              </w:rPr>
              <w:t>higher margins on existing revenue bases</w:t>
            </w:r>
          </w:p>
        </w:tc>
      </w:tr>
      <w:tr>
        <w:trPr>
          <w:trHeight w:val="29"/>
        </w:trPr>
        <w:tc>
          <w:tcPr>
            <w:tcW w:w="2240" w:type="dxa"/>
            <w:vAlign w:val="bottom"/>
            <w:tcBorders>
              <w:bottom w:val="single" w:sz="8" w:color="0072CE"/>
            </w:tcBorders>
          </w:tcPr>
          <w:p>
            <w:pPr>
              <w:spacing w:after="0"/>
              <w:rPr>
                <w:sz w:val="2"/>
                <w:szCs w:val="2"/>
                <w:color w:val="auto"/>
              </w:rPr>
            </w:pPr>
          </w:p>
        </w:tc>
        <w:tc>
          <w:tcPr>
            <w:tcW w:w="1060" w:type="dxa"/>
            <w:vAlign w:val="bottom"/>
            <w:tcBorders>
              <w:bottom w:val="single" w:sz="8" w:color="0072CE"/>
            </w:tcBorders>
          </w:tcPr>
          <w:p>
            <w:pPr>
              <w:spacing w:after="0"/>
              <w:rPr>
                <w:sz w:val="2"/>
                <w:szCs w:val="2"/>
                <w:color w:val="auto"/>
              </w:rPr>
            </w:pPr>
          </w:p>
        </w:tc>
        <w:tc>
          <w:tcPr>
            <w:tcW w:w="1080" w:type="dxa"/>
            <w:vAlign w:val="bottom"/>
            <w:tcBorders>
              <w:bottom w:val="single" w:sz="8" w:color="0072CE"/>
            </w:tcBorders>
          </w:tcPr>
          <w:p>
            <w:pPr>
              <w:spacing w:after="0"/>
              <w:rPr>
                <w:sz w:val="2"/>
                <w:szCs w:val="2"/>
                <w:color w:val="auto"/>
              </w:rPr>
            </w:pPr>
          </w:p>
        </w:tc>
        <w:tc>
          <w:tcPr>
            <w:tcW w:w="4700" w:type="dxa"/>
            <w:vAlign w:val="bottom"/>
            <w:tcBorders>
              <w:bottom w:val="single" w:sz="8" w:color="0072CE"/>
            </w:tcBorders>
          </w:tcPr>
          <w:p>
            <w:pPr>
              <w:spacing w:after="0"/>
              <w:rPr>
                <w:sz w:val="2"/>
                <w:szCs w:val="2"/>
                <w:color w:val="auto"/>
              </w:rPr>
            </w:pPr>
          </w:p>
        </w:tc>
      </w:tr>
    </w:tbl>
    <w:p>
      <w:pPr>
        <w:spacing w:after="0" w:line="153" w:lineRule="exact"/>
        <w:rPr>
          <w:sz w:val="20"/>
          <w:szCs w:val="20"/>
          <w:color w:val="auto"/>
        </w:rPr>
      </w:pPr>
    </w:p>
    <w:p>
      <w:pPr>
        <w:sectPr>
          <w:pgSz w:w="11900" w:h="16873" w:orient="portrait"/>
          <w:cols w:equalWidth="0" w:num="1">
            <w:col w:w="9080"/>
          </w:cols>
          <w:pgMar w:left="1400" w:top="193" w:right="1419" w:bottom="0" w:gutter="0" w:footer="0" w:header="0"/>
        </w:sectPr>
      </w:pPr>
    </w:p>
    <w:p>
      <w:pPr>
        <w:ind w:left="200" w:right="760" w:hanging="192"/>
        <w:spacing w:after="0" w:line="259" w:lineRule="auto"/>
        <w:tabs>
          <w:tab w:leader="none" w:pos="200" w:val="left"/>
        </w:tabs>
        <w:numPr>
          <w:ilvl w:val="0"/>
          <w:numId w:val="83"/>
        </w:numPr>
        <w:rPr>
          <w:rFonts w:ascii="Arial" w:cs="Arial" w:eastAsia="Arial" w:hAnsi="Arial"/>
          <w:sz w:val="19"/>
          <w:szCs w:val="19"/>
          <w:color w:val="3D3935"/>
          <w:vertAlign w:val="superscript"/>
        </w:rPr>
      </w:pPr>
      <w:r>
        <w:rPr>
          <w:rFonts w:ascii="Arial" w:cs="Arial" w:eastAsia="Arial" w:hAnsi="Arial"/>
          <w:sz w:val="14"/>
          <w:szCs w:val="14"/>
          <w:color w:val="3D3935"/>
        </w:rPr>
        <w:t>The performance targets for Cumulative AAOCF and EBIT-adjusted Margin are not being provided at this time, as providing this information would allow competitors insight into our business that could substantially harm our growth strategy.</w:t>
      </w:r>
    </w:p>
    <w:p>
      <w:pPr>
        <w:sectPr>
          <w:pgSz w:w="11900" w:h="16873" w:orient="portrait"/>
          <w:cols w:equalWidth="0" w:num="1">
            <w:col w:w="9080"/>
          </w:cols>
          <w:pgMar w:left="1400" w:top="193" w:right="1419" w:bottom="0" w:gutter="0" w:footer="0" w:header="0"/>
          <w:type w:val="continuous"/>
        </w:sectPr>
      </w:pPr>
    </w:p>
    <w:bookmarkStart w:id="55" w:name="page56"/>
    <w:bookmarkEnd w:id="55"/>
    <w:p>
      <w:pPr>
        <w:spacing w:after="0"/>
        <w:tabs>
          <w:tab w:leader="none" w:pos="180" w:val="left"/>
        </w:tabs>
        <w:rPr>
          <w:sz w:val="20"/>
          <w:szCs w:val="20"/>
          <w:color w:val="auto"/>
        </w:rPr>
      </w:pPr>
      <w:r>
        <w:rPr>
          <w:rFonts w:ascii="Arial" w:cs="Arial" w:eastAsia="Arial" w:hAnsi="Arial"/>
          <w:sz w:val="9"/>
          <w:szCs w:val="9"/>
          <w:color w:val="3D3935"/>
        </w:rPr>
        <w:t>(2)</w:t>
      </w:r>
      <w:r>
        <w:rPr>
          <w:sz w:val="20"/>
          <w:szCs w:val="20"/>
          <w:color w:val="auto"/>
        </w:rPr>
        <w:tab/>
      </w:r>
      <w:r>
        <w:rPr>
          <w:rFonts w:ascii="Arial" w:cs="Arial" w:eastAsia="Arial" w:hAnsi="Arial"/>
          <w:sz w:val="14"/>
          <w:szCs w:val="14"/>
          <w:color w:val="3D3935"/>
        </w:rPr>
        <w:t>Relative TSR is capped at target if GM’s TSR is negative over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-95885</wp:posOffset>
            </wp:positionV>
            <wp:extent cx="6810375" cy="27451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10375" cy="2745105"/>
                    </a:xfrm>
                    <a:prstGeom prst="rect">
                      <a:avLst/>
                    </a:prstGeom>
                    <a:noFill/>
                  </pic:spPr>
                </pic:pic>
              </a:graphicData>
            </a:graphic>
          </wp:anchor>
        </w:drawing>
      </w:r>
    </w:p>
    <w:p>
      <w:pPr>
        <w:sectPr>
          <w:pgSz w:w="11900" w:h="16838" w:orient="portrait"/>
          <w:cols w:equalWidth="0" w:num="1">
            <w:col w:w="9240"/>
          </w:cols>
          <w:pgMar w:left="1400" w:top="130" w:right="1259" w:bottom="0" w:gutter="0" w:footer="0" w:header="0"/>
        </w:sectPr>
      </w:pPr>
    </w:p>
    <w:p>
      <w:pPr>
        <w:spacing w:after="0" w:line="172" w:lineRule="exact"/>
        <w:rPr>
          <w:sz w:val="20"/>
          <w:szCs w:val="20"/>
          <w:color w:val="auto"/>
        </w:rPr>
      </w:pPr>
    </w:p>
    <w:p>
      <w:pPr>
        <w:ind w:right="340"/>
        <w:spacing w:after="0" w:line="321" w:lineRule="auto"/>
        <w:rPr>
          <w:sz w:val="20"/>
          <w:szCs w:val="20"/>
          <w:color w:val="auto"/>
        </w:rPr>
      </w:pPr>
      <w:r>
        <w:rPr>
          <w:rFonts w:ascii="Arial" w:cs="Arial" w:eastAsia="Arial" w:hAnsi="Arial"/>
          <w:sz w:val="16"/>
          <w:szCs w:val="16"/>
          <w:color w:val="3D3935"/>
        </w:rPr>
        <w:t>The 2024–2026 PSUs vest and deliver following the completion of the three-year performance January 1, 2024, and can be earned at a level between 0 and 200 percent of target.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3D3935"/>
        </w:rPr>
        <w:t>period beginning</w:t>
      </w:r>
    </w:p>
    <w:p>
      <w:pPr>
        <w:spacing w:after="0" w:line="379" w:lineRule="exact"/>
        <w:rPr>
          <w:sz w:val="20"/>
          <w:szCs w:val="20"/>
          <w:color w:val="auto"/>
        </w:rPr>
      </w:pPr>
    </w:p>
    <w:p>
      <w:pPr>
        <w:sectPr>
          <w:pgSz w:w="11900" w:h="16838" w:orient="portrait"/>
          <w:cols w:equalWidth="0" w:num="2">
            <w:col w:w="7080" w:space="720"/>
            <w:col w:w="1440"/>
          </w:cols>
          <w:pgMar w:left="1400" w:top="130" w:right="1259" w:bottom="0" w:gutter="0" w:footer="0" w:header="0"/>
          <w:type w:val="continuous"/>
        </w:sectPr>
      </w:pPr>
    </w:p>
    <w:p>
      <w:pPr>
        <w:spacing w:after="0"/>
        <w:rPr>
          <w:sz w:val="20"/>
          <w:szCs w:val="20"/>
          <w:color w:val="auto"/>
        </w:rPr>
      </w:pPr>
      <w:r>
        <w:rPr>
          <w:rFonts w:ascii="Arial" w:cs="Arial" w:eastAsia="Arial" w:hAnsi="Arial"/>
          <w:sz w:val="22"/>
          <w:szCs w:val="22"/>
          <w:b w:val="1"/>
          <w:bCs w:val="1"/>
          <w:color w:val="3D3935"/>
        </w:rPr>
        <w:t>How We Set LTIP Performance Targets</w:t>
      </w:r>
    </w:p>
    <w:p>
      <w:pPr>
        <w:spacing w:after="0" w:line="99"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3D3935"/>
        </w:rPr>
        <w:t>As part of its robust target-setting process, the Compensation Committee evaluates the Company’s annual budget and long-term business plan and uses a range of internal and externally-communicated information to set PSU performance targets. Targets are set at the beginning of the three-year performance period in consideration of the Company’s annual budget and long-term business plan and a review of the prior year performance, as well as internal and external information on macroeconomic, regulatory and market conditions, demand expectations, competitive landscape, supply chain dynamics, and other factors that influence execution on our strategic priorities and overall performance. In the context of expectations at the time these targets are set, they are designed to be challenging and not lead to a guaranteed payout, while sufficiently attainable so as to motivate achievement. The Committee has determined not to publicly disclose specific performance targets for the EBIT-adjusted Margin and Cumulative AAOCF Measures, as this information is commercially sensitive and</w:t>
      </w:r>
    </w:p>
    <w:p>
      <w:pPr>
        <w:spacing w:after="0" w:line="200" w:lineRule="exact"/>
        <w:rPr>
          <w:sz w:val="20"/>
          <w:szCs w:val="20"/>
          <w:color w:val="auto"/>
        </w:rPr>
      </w:pPr>
    </w:p>
    <w:p>
      <w:pPr>
        <w:spacing w:after="0" w:line="37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76885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10375" cy="768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77" w:lineRule="exact"/>
        <w:rPr>
          <w:sz w:val="20"/>
          <w:szCs w:val="20"/>
          <w:color w:val="auto"/>
        </w:rPr>
      </w:pPr>
    </w:p>
    <w:p>
      <w:pPr>
        <w:ind w:right="1020"/>
        <w:spacing w:after="0" w:line="281" w:lineRule="auto"/>
        <w:rPr>
          <w:sz w:val="20"/>
          <w:szCs w:val="20"/>
          <w:color w:val="auto"/>
        </w:rPr>
      </w:pPr>
      <w:r>
        <w:rPr>
          <w:rFonts w:ascii="Arial" w:cs="Arial" w:eastAsia="Arial" w:hAnsi="Arial"/>
          <w:sz w:val="16"/>
          <w:szCs w:val="16"/>
          <w:color w:val="3D3935"/>
        </w:rPr>
        <w:t>providing it would allow competitors insight into our business that could substantially harm our growth strategy. The Committee set maximum performance for both metrics at levels which represent top quartile performance versus</w:t>
      </w:r>
    </w:p>
    <w:p>
      <w:pPr>
        <w:spacing w:after="0" w:line="1" w:lineRule="exact"/>
        <w:rPr>
          <w:sz w:val="20"/>
          <w:szCs w:val="20"/>
          <w:color w:val="auto"/>
        </w:rPr>
      </w:pPr>
    </w:p>
    <w:p>
      <w:pPr>
        <w:jc w:val="both"/>
        <w:ind w:right="520"/>
        <w:spacing w:after="0" w:line="321" w:lineRule="auto"/>
        <w:rPr>
          <w:sz w:val="20"/>
          <w:szCs w:val="20"/>
          <w:color w:val="auto"/>
        </w:rPr>
      </w:pPr>
      <w:r>
        <w:rPr>
          <w:rFonts w:ascii="Arial" w:cs="Arial" w:eastAsia="Arial" w:hAnsi="Arial"/>
          <w:sz w:val="16"/>
          <w:szCs w:val="16"/>
          <w:color w:val="3D3935"/>
        </w:rPr>
        <w:t>other OEMs. The threshold, target, and maximum will be disclosed at the conclusion of the performance period along with the payout result, and shareholders can more fully assess their rigor in the overall context of our performance at that time.</w:t>
      </w:r>
    </w:p>
    <w:p>
      <w:pPr>
        <w:spacing w:after="0" w:line="88" w:lineRule="exact"/>
        <w:rPr>
          <w:sz w:val="20"/>
          <w:szCs w:val="20"/>
          <w:color w:val="auto"/>
        </w:rPr>
      </w:pPr>
    </w:p>
    <w:p>
      <w:pPr>
        <w:ind w:right="420"/>
        <w:spacing w:after="0" w:line="289" w:lineRule="auto"/>
        <w:rPr>
          <w:sz w:val="20"/>
          <w:szCs w:val="20"/>
          <w:color w:val="auto"/>
        </w:rPr>
      </w:pPr>
      <w:r>
        <w:rPr>
          <w:rFonts w:ascii="Arial" w:cs="Arial" w:eastAsia="Arial" w:hAnsi="Arial"/>
          <w:sz w:val="16"/>
          <w:szCs w:val="16"/>
          <w:color w:val="3D3935"/>
        </w:rPr>
        <w:t>To strengthen the link between financial performance and pay outcomes, the payout on the Relative TSR component of our PSUs is capped at target if GM’s TSR is negative over the performance period. Additionally, starting in 2025 the Committee increased the relative TSR percentile required for target payout to the 55th percentile of OEM peers, previously at the median performance, based on feedback received from shareholders in meetings held after our 2024 Annual Meeting.</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2022-2024 LTIP Results</w:t>
      </w:r>
    </w:p>
    <w:p>
      <w:pPr>
        <w:spacing w:after="0" w:line="126" w:lineRule="exact"/>
        <w:rPr>
          <w:sz w:val="20"/>
          <w:szCs w:val="20"/>
          <w:color w:val="auto"/>
        </w:rPr>
      </w:pPr>
    </w:p>
    <w:p>
      <w:pPr>
        <w:ind w:right="420"/>
        <w:spacing w:after="0" w:line="295" w:lineRule="auto"/>
        <w:rPr>
          <w:sz w:val="20"/>
          <w:szCs w:val="20"/>
          <w:color w:val="auto"/>
        </w:rPr>
      </w:pPr>
      <w:r>
        <w:rPr>
          <w:rFonts w:ascii="Arial" w:cs="Arial" w:eastAsia="Arial" w:hAnsi="Arial"/>
          <w:sz w:val="16"/>
          <w:szCs w:val="16"/>
          <w:color w:val="3D3935"/>
        </w:rPr>
        <w:t>The 2022-2024 PSUs vested on February 8, 2025 at 80% of target, based on Company performance for the three-year performance period beginning January 1, 2022 and ending December 31, 2024, against pre-established performance targets for EBIT-adjusted Margin, Relative TSR, and EV measures. Final LTIP performance approved by the Compensation Committee is displayed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420" w:type="dxa"/>
            <w:vAlign w:val="bottom"/>
            <w:shd w:val="clear" w:color="auto" w:fill="F0F3F6"/>
          </w:tcPr>
          <w:p>
            <w:pPr>
              <w:spacing w:after="0"/>
              <w:rPr>
                <w:sz w:val="19"/>
                <w:szCs w:val="19"/>
                <w:color w:val="auto"/>
              </w:rPr>
            </w:pPr>
          </w:p>
        </w:tc>
        <w:tc>
          <w:tcPr>
            <w:tcW w:w="1160" w:type="dxa"/>
            <w:vAlign w:val="bottom"/>
            <w:shd w:val="clear" w:color="auto" w:fill="F0F3F6"/>
          </w:tcPr>
          <w:p>
            <w:pPr>
              <w:spacing w:after="0"/>
              <w:rPr>
                <w:sz w:val="19"/>
                <w:szCs w:val="19"/>
                <w:color w:val="auto"/>
              </w:rPr>
            </w:pPr>
          </w:p>
        </w:tc>
        <w:tc>
          <w:tcPr>
            <w:tcW w:w="900" w:type="dxa"/>
            <w:vAlign w:val="bottom"/>
            <w:shd w:val="clear" w:color="auto" w:fill="F0F3F6"/>
          </w:tcPr>
          <w:p>
            <w:pPr>
              <w:spacing w:after="0"/>
              <w:rPr>
                <w:sz w:val="19"/>
                <w:szCs w:val="19"/>
                <w:color w:val="auto"/>
              </w:rPr>
            </w:pPr>
          </w:p>
        </w:tc>
        <w:tc>
          <w:tcPr>
            <w:tcW w:w="840" w:type="dxa"/>
            <w:vAlign w:val="bottom"/>
            <w:shd w:val="clear" w:color="auto" w:fill="F0F3F6"/>
          </w:tcPr>
          <w:p>
            <w:pPr>
              <w:spacing w:after="0"/>
              <w:rPr>
                <w:sz w:val="19"/>
                <w:szCs w:val="19"/>
                <w:color w:val="auto"/>
              </w:rPr>
            </w:pPr>
          </w:p>
        </w:tc>
        <w:tc>
          <w:tcPr>
            <w:tcW w:w="820" w:type="dxa"/>
            <w:vAlign w:val="bottom"/>
            <w:shd w:val="clear" w:color="auto" w:fill="F0F3F6"/>
          </w:tcPr>
          <w:p>
            <w:pPr>
              <w:spacing w:after="0"/>
              <w:rPr>
                <w:sz w:val="19"/>
                <w:szCs w:val="19"/>
                <w:color w:val="auto"/>
              </w:rPr>
            </w:pPr>
          </w:p>
        </w:tc>
        <w:tc>
          <w:tcPr>
            <w:tcW w:w="1620" w:type="dxa"/>
            <w:vAlign w:val="bottom"/>
            <w:shd w:val="clear" w:color="auto" w:fill="F0F3F6"/>
          </w:tcPr>
          <w:p>
            <w:pPr>
              <w:ind w:left="540"/>
              <w:spacing w:after="0"/>
              <w:rPr>
                <w:sz w:val="20"/>
                <w:szCs w:val="20"/>
                <w:color w:val="auto"/>
              </w:rPr>
            </w:pPr>
            <w:r>
              <w:rPr>
                <w:rFonts w:ascii="Arial" w:cs="Arial" w:eastAsia="Arial" w:hAnsi="Arial"/>
                <w:sz w:val="14"/>
                <w:szCs w:val="14"/>
                <w:b w:val="1"/>
                <w:bCs w:val="1"/>
                <w:color w:val="3D3935"/>
              </w:rPr>
              <w:t>Performance</w:t>
            </w:r>
          </w:p>
        </w:tc>
        <w:tc>
          <w:tcPr>
            <w:tcW w:w="1320" w:type="dxa"/>
            <w:vAlign w:val="bottom"/>
            <w:shd w:val="clear" w:color="auto" w:fill="F0F3F6"/>
          </w:tcPr>
          <w:p>
            <w:pPr>
              <w:spacing w:after="0"/>
              <w:rPr>
                <w:sz w:val="19"/>
                <w:szCs w:val="19"/>
                <w:color w:val="auto"/>
              </w:rPr>
            </w:pPr>
          </w:p>
        </w:tc>
      </w:tr>
      <w:tr>
        <w:trPr>
          <w:trHeight w:val="197"/>
        </w:trPr>
        <w:tc>
          <w:tcPr>
            <w:tcW w:w="2420" w:type="dxa"/>
            <w:vAlign w:val="bottom"/>
            <w:tcBorders>
              <w:bottom w:val="single" w:sz="8" w:color="0072CE"/>
            </w:tcBorders>
            <w:shd w:val="clear" w:color="auto" w:fill="F0F3F6"/>
          </w:tcPr>
          <w:p>
            <w:pPr>
              <w:ind w:left="60"/>
              <w:spacing w:after="0"/>
              <w:rPr>
                <w:sz w:val="20"/>
                <w:szCs w:val="20"/>
                <w:color w:val="auto"/>
              </w:rPr>
            </w:pPr>
            <w:r>
              <w:rPr>
                <w:rFonts w:ascii="Arial" w:cs="Arial" w:eastAsia="Arial" w:hAnsi="Arial"/>
                <w:sz w:val="14"/>
                <w:szCs w:val="14"/>
                <w:b w:val="1"/>
                <w:bCs w:val="1"/>
                <w:color w:val="3D3935"/>
              </w:rPr>
              <w:t>PSU Measure</w:t>
            </w:r>
          </w:p>
        </w:tc>
        <w:tc>
          <w:tcPr>
            <w:tcW w:w="1160" w:type="dxa"/>
            <w:vAlign w:val="bottom"/>
            <w:tcBorders>
              <w:bottom w:val="single" w:sz="8" w:color="0072CE"/>
            </w:tcBorders>
            <w:shd w:val="clear" w:color="auto" w:fill="F0F3F6"/>
          </w:tcPr>
          <w:p>
            <w:pPr>
              <w:jc w:val="right"/>
              <w:spacing w:after="0"/>
              <w:rPr>
                <w:sz w:val="20"/>
                <w:szCs w:val="20"/>
                <w:color w:val="auto"/>
              </w:rPr>
            </w:pPr>
            <w:r>
              <w:rPr>
                <w:rFonts w:ascii="Arial" w:cs="Arial" w:eastAsia="Arial" w:hAnsi="Arial"/>
                <w:sz w:val="14"/>
                <w:szCs w:val="14"/>
                <w:b w:val="1"/>
                <w:bCs w:val="1"/>
                <w:color w:val="3D3935"/>
              </w:rPr>
              <w:t>Weight</w:t>
            </w:r>
          </w:p>
        </w:tc>
        <w:tc>
          <w:tcPr>
            <w:tcW w:w="900" w:type="dxa"/>
            <w:vAlign w:val="bottom"/>
            <w:tcBorders>
              <w:bottom w:val="single" w:sz="8" w:color="0072CE"/>
            </w:tcBorders>
            <w:shd w:val="clear" w:color="auto" w:fill="F0F3F6"/>
          </w:tcPr>
          <w:p>
            <w:pPr>
              <w:jc w:val="right"/>
              <w:spacing w:after="0"/>
              <w:rPr>
                <w:sz w:val="20"/>
                <w:szCs w:val="20"/>
                <w:color w:val="auto"/>
              </w:rPr>
            </w:pPr>
            <w:r>
              <w:rPr>
                <w:rFonts w:ascii="Arial" w:cs="Arial" w:eastAsia="Arial" w:hAnsi="Arial"/>
                <w:sz w:val="14"/>
                <w:szCs w:val="14"/>
                <w:b w:val="1"/>
                <w:bCs w:val="1"/>
                <w:color w:val="3D3935"/>
              </w:rPr>
              <w:t>Threshold</w:t>
            </w:r>
          </w:p>
        </w:tc>
        <w:tc>
          <w:tcPr>
            <w:tcW w:w="840" w:type="dxa"/>
            <w:vAlign w:val="bottom"/>
            <w:tcBorders>
              <w:bottom w:val="single" w:sz="8" w:color="0072CE"/>
            </w:tcBorders>
            <w:shd w:val="clear" w:color="auto" w:fill="F0F3F6"/>
          </w:tcPr>
          <w:p>
            <w:pPr>
              <w:ind w:left="240"/>
              <w:spacing w:after="0"/>
              <w:rPr>
                <w:sz w:val="20"/>
                <w:szCs w:val="20"/>
                <w:color w:val="auto"/>
              </w:rPr>
            </w:pPr>
            <w:r>
              <w:rPr>
                <w:rFonts w:ascii="Arial" w:cs="Arial" w:eastAsia="Arial" w:hAnsi="Arial"/>
                <w:sz w:val="14"/>
                <w:szCs w:val="14"/>
                <w:b w:val="1"/>
                <w:bCs w:val="1"/>
                <w:color w:val="3D3935"/>
              </w:rPr>
              <w:t>Target</w:t>
            </w:r>
          </w:p>
        </w:tc>
        <w:tc>
          <w:tcPr>
            <w:tcW w:w="820" w:type="dxa"/>
            <w:vAlign w:val="bottom"/>
            <w:tcBorders>
              <w:bottom w:val="single" w:sz="8" w:color="0072CE"/>
            </w:tcBorders>
            <w:shd w:val="clear" w:color="auto" w:fill="F0F3F6"/>
          </w:tcPr>
          <w:p>
            <w:pPr>
              <w:jc w:val="right"/>
              <w:spacing w:after="0"/>
              <w:rPr>
                <w:sz w:val="20"/>
                <w:szCs w:val="20"/>
                <w:color w:val="auto"/>
              </w:rPr>
            </w:pPr>
            <w:r>
              <w:rPr>
                <w:rFonts w:ascii="Arial" w:cs="Arial" w:eastAsia="Arial" w:hAnsi="Arial"/>
                <w:sz w:val="14"/>
                <w:szCs w:val="14"/>
                <w:b w:val="1"/>
                <w:bCs w:val="1"/>
                <w:color w:val="3D3935"/>
              </w:rPr>
              <w:t>Maximum</w:t>
            </w:r>
          </w:p>
        </w:tc>
        <w:tc>
          <w:tcPr>
            <w:tcW w:w="1620" w:type="dxa"/>
            <w:vAlign w:val="bottom"/>
            <w:tcBorders>
              <w:bottom w:val="single" w:sz="8" w:color="0072CE"/>
            </w:tcBorders>
            <w:shd w:val="clear" w:color="auto" w:fill="F0F3F6"/>
          </w:tcPr>
          <w:p>
            <w:pPr>
              <w:jc w:val="center"/>
              <w:ind w:left="703"/>
              <w:spacing w:after="0"/>
              <w:rPr>
                <w:sz w:val="20"/>
                <w:szCs w:val="20"/>
                <w:color w:val="auto"/>
              </w:rPr>
            </w:pPr>
            <w:r>
              <w:rPr>
                <w:rFonts w:ascii="Arial" w:cs="Arial" w:eastAsia="Arial" w:hAnsi="Arial"/>
                <w:sz w:val="14"/>
                <w:szCs w:val="14"/>
                <w:b w:val="1"/>
                <w:bCs w:val="1"/>
                <w:color w:val="3D3935"/>
              </w:rPr>
              <w:t>Result</w:t>
            </w:r>
          </w:p>
        </w:tc>
        <w:tc>
          <w:tcPr>
            <w:tcW w:w="1320" w:type="dxa"/>
            <w:vAlign w:val="bottom"/>
            <w:tcBorders>
              <w:bottom w:val="single" w:sz="8" w:color="0072CE"/>
            </w:tcBorders>
            <w:shd w:val="clear" w:color="auto" w:fill="F0F3F6"/>
          </w:tcPr>
          <w:p>
            <w:pPr>
              <w:jc w:val="right"/>
              <w:spacing w:after="0"/>
              <w:rPr>
                <w:sz w:val="20"/>
                <w:szCs w:val="20"/>
                <w:color w:val="auto"/>
              </w:rPr>
            </w:pPr>
            <w:r>
              <w:rPr>
                <w:rFonts w:ascii="Arial" w:cs="Arial" w:eastAsia="Arial" w:hAnsi="Arial"/>
                <w:sz w:val="14"/>
                <w:szCs w:val="14"/>
                <w:b w:val="1"/>
                <w:bCs w:val="1"/>
                <w:color w:val="3D3935"/>
              </w:rPr>
              <w:t>Payout</w:t>
            </w:r>
          </w:p>
        </w:tc>
      </w:tr>
      <w:tr>
        <w:trPr>
          <w:trHeight w:val="251"/>
        </w:trPr>
        <w:tc>
          <w:tcPr>
            <w:tcW w:w="242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 xml:space="preserve">EBIT-adjusted Margin </w:t>
            </w:r>
            <w:r>
              <w:rPr>
                <w:rFonts w:ascii="Arial" w:cs="Arial" w:eastAsia="Arial" w:hAnsi="Arial"/>
                <w:sz w:val="21"/>
                <w:szCs w:val="21"/>
                <w:color w:val="3D3935"/>
                <w:vertAlign w:val="superscript"/>
              </w:rPr>
              <w:t>(1)</w:t>
            </w:r>
          </w:p>
        </w:tc>
        <w:tc>
          <w:tcPr>
            <w:tcW w:w="1160" w:type="dxa"/>
            <w:vAlign w:val="bottom"/>
            <w:tcBorders>
              <w:bottom w:val="single" w:sz="8" w:color="D9D9D6"/>
            </w:tcBorders>
          </w:tcPr>
          <w:p>
            <w:pPr>
              <w:jc w:val="right"/>
              <w:ind w:right="1"/>
              <w:spacing w:after="0"/>
              <w:rPr>
                <w:sz w:val="20"/>
                <w:szCs w:val="20"/>
                <w:color w:val="auto"/>
              </w:rPr>
            </w:pPr>
            <w:r>
              <w:rPr>
                <w:rFonts w:ascii="Arial" w:cs="Arial" w:eastAsia="Arial" w:hAnsi="Arial"/>
                <w:sz w:val="16"/>
                <w:szCs w:val="16"/>
                <w:color w:val="3D3935"/>
              </w:rPr>
              <w:t>40%</w:t>
            </w:r>
          </w:p>
        </w:tc>
        <w:tc>
          <w:tcPr>
            <w:tcW w:w="90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4.9%</w:t>
            </w:r>
          </w:p>
        </w:tc>
        <w:tc>
          <w:tcPr>
            <w:tcW w:w="840" w:type="dxa"/>
            <w:vAlign w:val="bottom"/>
            <w:tcBorders>
              <w:bottom w:val="single" w:sz="8" w:color="D9D9D6"/>
            </w:tcBorders>
          </w:tcPr>
          <w:p>
            <w:pPr>
              <w:ind w:left="300"/>
              <w:spacing w:after="0"/>
              <w:rPr>
                <w:sz w:val="20"/>
                <w:szCs w:val="20"/>
                <w:color w:val="auto"/>
              </w:rPr>
            </w:pPr>
            <w:r>
              <w:rPr>
                <w:rFonts w:ascii="Arial" w:cs="Arial" w:eastAsia="Arial" w:hAnsi="Arial"/>
                <w:sz w:val="16"/>
                <w:szCs w:val="16"/>
                <w:color w:val="3D3935"/>
              </w:rPr>
              <w:t>8.4%</w:t>
            </w:r>
          </w:p>
        </w:tc>
        <w:tc>
          <w:tcPr>
            <w:tcW w:w="82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10.0%</w:t>
            </w:r>
          </w:p>
        </w:tc>
        <w:tc>
          <w:tcPr>
            <w:tcW w:w="1620" w:type="dxa"/>
            <w:vAlign w:val="bottom"/>
            <w:tcBorders>
              <w:bottom w:val="single" w:sz="8" w:color="D9D9D6"/>
            </w:tcBorders>
          </w:tcPr>
          <w:p>
            <w:pPr>
              <w:jc w:val="right"/>
              <w:ind w:right="143"/>
              <w:spacing w:after="0"/>
              <w:rPr>
                <w:sz w:val="20"/>
                <w:szCs w:val="20"/>
                <w:color w:val="auto"/>
              </w:rPr>
            </w:pPr>
            <w:r>
              <w:rPr>
                <w:rFonts w:ascii="Arial" w:cs="Arial" w:eastAsia="Arial" w:hAnsi="Arial"/>
                <w:sz w:val="16"/>
                <w:szCs w:val="16"/>
                <w:color w:val="3D3935"/>
              </w:rPr>
              <w:t>8.3%</w:t>
            </w:r>
          </w:p>
        </w:tc>
        <w:tc>
          <w:tcPr>
            <w:tcW w:w="1320" w:type="dxa"/>
            <w:vAlign w:val="bottom"/>
            <w:tcBorders>
              <w:bottom w:val="single" w:sz="8" w:color="D9D9D6"/>
            </w:tcBorders>
          </w:tcPr>
          <w:p>
            <w:pPr>
              <w:jc w:val="right"/>
              <w:ind w:right="1"/>
              <w:spacing w:after="0"/>
              <w:rPr>
                <w:sz w:val="20"/>
                <w:szCs w:val="20"/>
                <w:color w:val="auto"/>
              </w:rPr>
            </w:pPr>
            <w:r>
              <w:rPr>
                <w:rFonts w:ascii="Arial" w:cs="Arial" w:eastAsia="Arial" w:hAnsi="Arial"/>
                <w:sz w:val="16"/>
                <w:szCs w:val="16"/>
                <w:color w:val="3D3935"/>
              </w:rPr>
              <w:t>39%</w:t>
            </w:r>
          </w:p>
        </w:tc>
      </w:tr>
      <w:tr>
        <w:trPr>
          <w:trHeight w:val="250"/>
        </w:trPr>
        <w:tc>
          <w:tcPr>
            <w:tcW w:w="2420" w:type="dxa"/>
            <w:vAlign w:val="bottom"/>
          </w:tcPr>
          <w:p>
            <w:pPr>
              <w:ind w:left="60"/>
              <w:spacing w:after="0"/>
              <w:rPr>
                <w:sz w:val="20"/>
                <w:szCs w:val="20"/>
                <w:color w:val="auto"/>
              </w:rPr>
            </w:pPr>
            <w:r>
              <w:rPr>
                <w:rFonts w:ascii="Arial" w:cs="Arial" w:eastAsia="Arial" w:hAnsi="Arial"/>
                <w:sz w:val="16"/>
                <w:szCs w:val="16"/>
                <w:color w:val="3D3935"/>
              </w:rPr>
              <w:t>Relative TSR</w:t>
            </w:r>
          </w:p>
        </w:tc>
        <w:tc>
          <w:tcPr>
            <w:tcW w:w="1160" w:type="dxa"/>
            <w:vAlign w:val="bottom"/>
          </w:tcPr>
          <w:p>
            <w:pPr>
              <w:jc w:val="right"/>
              <w:ind w:right="1"/>
              <w:spacing w:after="0"/>
              <w:rPr>
                <w:sz w:val="20"/>
                <w:szCs w:val="20"/>
                <w:color w:val="auto"/>
              </w:rPr>
            </w:pPr>
            <w:r>
              <w:rPr>
                <w:rFonts w:ascii="Arial" w:cs="Arial" w:eastAsia="Arial" w:hAnsi="Arial"/>
                <w:sz w:val="16"/>
                <w:szCs w:val="16"/>
                <w:color w:val="3D3935"/>
              </w:rPr>
              <w:t>40%</w:t>
            </w:r>
          </w:p>
        </w:tc>
        <w:tc>
          <w:tcPr>
            <w:tcW w:w="90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 xml:space="preserve">25 </w:t>
            </w:r>
            <w:r>
              <w:rPr>
                <w:rFonts w:ascii="Arial" w:cs="Arial" w:eastAsia="Arial" w:hAnsi="Arial"/>
                <w:sz w:val="21"/>
                <w:szCs w:val="21"/>
                <w:color w:val="3D3935"/>
                <w:vertAlign w:val="superscript"/>
              </w:rPr>
              <w:t>th</w:t>
            </w:r>
          </w:p>
        </w:tc>
        <w:tc>
          <w:tcPr>
            <w:tcW w:w="840" w:type="dxa"/>
            <w:vAlign w:val="bottom"/>
            <w:tcBorders>
              <w:bottom w:val="single" w:sz="8" w:color="D9D9D6"/>
            </w:tcBorders>
          </w:tcPr>
          <w:p>
            <w:pPr>
              <w:ind w:left="380"/>
              <w:spacing w:after="0"/>
              <w:rPr>
                <w:sz w:val="20"/>
                <w:szCs w:val="20"/>
                <w:color w:val="auto"/>
              </w:rPr>
            </w:pPr>
            <w:r>
              <w:rPr>
                <w:rFonts w:ascii="Arial" w:cs="Arial" w:eastAsia="Arial" w:hAnsi="Arial"/>
                <w:sz w:val="16"/>
                <w:szCs w:val="16"/>
                <w:color w:val="3D3935"/>
              </w:rPr>
              <w:t xml:space="preserve">50 </w:t>
            </w:r>
            <w:r>
              <w:rPr>
                <w:rFonts w:ascii="Arial" w:cs="Arial" w:eastAsia="Arial" w:hAnsi="Arial"/>
                <w:sz w:val="21"/>
                <w:szCs w:val="21"/>
                <w:color w:val="3D3935"/>
                <w:vertAlign w:val="superscript"/>
              </w:rPr>
              <w:t>th</w:t>
            </w:r>
          </w:p>
        </w:tc>
        <w:tc>
          <w:tcPr>
            <w:tcW w:w="82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75</w:t>
            </w:r>
            <w:r>
              <w:rPr>
                <w:rFonts w:ascii="Arial" w:cs="Arial" w:eastAsia="Arial" w:hAnsi="Arial"/>
                <w:sz w:val="21"/>
                <w:szCs w:val="21"/>
                <w:color w:val="3D3935"/>
                <w:vertAlign w:val="superscript"/>
              </w:rPr>
              <w:t>th</w:t>
            </w:r>
          </w:p>
        </w:tc>
        <w:tc>
          <w:tcPr>
            <w:tcW w:w="1620" w:type="dxa"/>
            <w:vAlign w:val="bottom"/>
          </w:tcPr>
          <w:p>
            <w:pPr>
              <w:ind w:left="280"/>
              <w:spacing w:after="0"/>
              <w:rPr>
                <w:sz w:val="20"/>
                <w:szCs w:val="20"/>
                <w:color w:val="auto"/>
              </w:rPr>
            </w:pPr>
            <w:r>
              <w:rPr>
                <w:rFonts w:ascii="Arial" w:cs="Arial" w:eastAsia="Arial" w:hAnsi="Arial"/>
                <w:sz w:val="16"/>
                <w:szCs w:val="16"/>
                <w:color w:val="3D3935"/>
              </w:rPr>
              <w:t>36th Percentile</w:t>
            </w:r>
          </w:p>
        </w:tc>
        <w:tc>
          <w:tcPr>
            <w:tcW w:w="1320" w:type="dxa"/>
            <w:vAlign w:val="bottom"/>
          </w:tcPr>
          <w:p>
            <w:pPr>
              <w:jc w:val="right"/>
              <w:ind w:right="1"/>
              <w:spacing w:after="0"/>
              <w:rPr>
                <w:sz w:val="20"/>
                <w:szCs w:val="20"/>
                <w:color w:val="auto"/>
              </w:rPr>
            </w:pPr>
            <w:r>
              <w:rPr>
                <w:rFonts w:ascii="Arial" w:cs="Arial" w:eastAsia="Arial" w:hAnsi="Arial"/>
                <w:sz w:val="16"/>
                <w:szCs w:val="16"/>
                <w:color w:val="3D3935"/>
              </w:rPr>
              <w:t>29%</w:t>
            </w:r>
          </w:p>
        </w:tc>
      </w:tr>
      <w:tr>
        <w:trPr>
          <w:trHeight w:val="243"/>
        </w:trPr>
        <w:tc>
          <w:tcPr>
            <w:tcW w:w="2420" w:type="dxa"/>
            <w:vAlign w:val="bottom"/>
            <w:tcBorders>
              <w:bottom w:val="single" w:sz="8" w:color="D9D9D6"/>
            </w:tcBorders>
          </w:tcPr>
          <w:p>
            <w:pPr>
              <w:spacing w:after="0"/>
              <w:rPr>
                <w:sz w:val="21"/>
                <w:szCs w:val="21"/>
                <w:color w:val="auto"/>
              </w:rPr>
            </w:pPr>
          </w:p>
        </w:tc>
        <w:tc>
          <w:tcPr>
            <w:tcW w:w="1160" w:type="dxa"/>
            <w:vAlign w:val="bottom"/>
            <w:tcBorders>
              <w:bottom w:val="single" w:sz="8" w:color="D9D9D6"/>
            </w:tcBorders>
          </w:tcPr>
          <w:p>
            <w:pPr>
              <w:spacing w:after="0"/>
              <w:rPr>
                <w:sz w:val="21"/>
                <w:szCs w:val="21"/>
                <w:color w:val="auto"/>
              </w:rPr>
            </w:pPr>
          </w:p>
        </w:tc>
        <w:tc>
          <w:tcPr>
            <w:tcW w:w="900" w:type="dxa"/>
            <w:vAlign w:val="bottom"/>
            <w:tcBorders>
              <w:bottom w:val="single" w:sz="8" w:color="D9D9D6"/>
            </w:tcBorders>
          </w:tcPr>
          <w:p>
            <w:pPr>
              <w:spacing w:after="0"/>
              <w:rPr>
                <w:sz w:val="21"/>
                <w:szCs w:val="21"/>
                <w:color w:val="auto"/>
              </w:rPr>
            </w:pPr>
          </w:p>
        </w:tc>
        <w:tc>
          <w:tcPr>
            <w:tcW w:w="840" w:type="dxa"/>
            <w:vAlign w:val="bottom"/>
            <w:tcBorders>
              <w:bottom w:val="single" w:sz="8" w:color="D9D9D6"/>
            </w:tcBorders>
          </w:tcPr>
          <w:p>
            <w:pPr>
              <w:spacing w:after="0"/>
              <w:rPr>
                <w:sz w:val="20"/>
                <w:szCs w:val="20"/>
                <w:color w:val="auto"/>
              </w:rPr>
            </w:pPr>
            <w:r>
              <w:rPr>
                <w:rFonts w:ascii="Arial" w:cs="Arial" w:eastAsia="Arial" w:hAnsi="Arial"/>
                <w:sz w:val="16"/>
                <w:szCs w:val="16"/>
                <w:color w:val="3D3935"/>
              </w:rPr>
              <w:t>Percentile</w:t>
            </w:r>
          </w:p>
        </w:tc>
        <w:tc>
          <w:tcPr>
            <w:tcW w:w="820" w:type="dxa"/>
            <w:vAlign w:val="bottom"/>
            <w:tcBorders>
              <w:bottom w:val="single" w:sz="8" w:color="D9D9D6"/>
            </w:tcBorders>
          </w:tcPr>
          <w:p>
            <w:pPr>
              <w:spacing w:after="0"/>
              <w:rPr>
                <w:sz w:val="21"/>
                <w:szCs w:val="21"/>
                <w:color w:val="auto"/>
              </w:rPr>
            </w:pPr>
          </w:p>
        </w:tc>
        <w:tc>
          <w:tcPr>
            <w:tcW w:w="1620" w:type="dxa"/>
            <w:vAlign w:val="bottom"/>
            <w:tcBorders>
              <w:bottom w:val="single" w:sz="8" w:color="D9D9D6"/>
            </w:tcBorders>
          </w:tcPr>
          <w:p>
            <w:pPr>
              <w:spacing w:after="0"/>
              <w:rPr>
                <w:sz w:val="21"/>
                <w:szCs w:val="21"/>
                <w:color w:val="auto"/>
              </w:rPr>
            </w:pPr>
          </w:p>
        </w:tc>
        <w:tc>
          <w:tcPr>
            <w:tcW w:w="1320" w:type="dxa"/>
            <w:vAlign w:val="bottom"/>
            <w:tcBorders>
              <w:bottom w:val="single" w:sz="8" w:color="D9D9D6"/>
            </w:tcBorders>
          </w:tcPr>
          <w:p>
            <w:pPr>
              <w:spacing w:after="0"/>
              <w:rPr>
                <w:sz w:val="21"/>
                <w:szCs w:val="21"/>
                <w:color w:val="auto"/>
              </w:rPr>
            </w:pPr>
          </w:p>
        </w:tc>
      </w:tr>
      <w:tr>
        <w:trPr>
          <w:trHeight w:val="256"/>
        </w:trPr>
        <w:tc>
          <w:tcPr>
            <w:tcW w:w="242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EV Measures</w:t>
            </w:r>
            <w:r>
              <w:rPr>
                <w:rFonts w:ascii="Arial" w:cs="Arial" w:eastAsia="Arial" w:hAnsi="Arial"/>
                <w:sz w:val="21"/>
                <w:szCs w:val="21"/>
                <w:color w:val="3D3935"/>
                <w:vertAlign w:val="superscript"/>
              </w:rPr>
              <w:t>(2)</w:t>
            </w:r>
          </w:p>
        </w:tc>
        <w:tc>
          <w:tcPr>
            <w:tcW w:w="1160" w:type="dxa"/>
            <w:vAlign w:val="bottom"/>
            <w:tcBorders>
              <w:bottom w:val="single" w:sz="8" w:color="D9D9D6"/>
            </w:tcBorders>
          </w:tcPr>
          <w:p>
            <w:pPr>
              <w:jc w:val="right"/>
              <w:ind w:right="1"/>
              <w:spacing w:after="0"/>
              <w:rPr>
                <w:sz w:val="20"/>
                <w:szCs w:val="20"/>
                <w:color w:val="auto"/>
              </w:rPr>
            </w:pPr>
            <w:r>
              <w:rPr>
                <w:rFonts w:ascii="Arial" w:cs="Arial" w:eastAsia="Arial" w:hAnsi="Arial"/>
                <w:sz w:val="16"/>
                <w:szCs w:val="16"/>
                <w:color w:val="3D3935"/>
              </w:rPr>
              <w:t>20%</w:t>
            </w:r>
          </w:p>
        </w:tc>
        <w:tc>
          <w:tcPr>
            <w:tcW w:w="900" w:type="dxa"/>
            <w:vAlign w:val="bottom"/>
            <w:tcBorders>
              <w:bottom w:val="single" w:sz="8" w:color="D9D9D6"/>
            </w:tcBorders>
          </w:tcPr>
          <w:p>
            <w:pPr>
              <w:spacing w:after="0"/>
              <w:rPr>
                <w:sz w:val="22"/>
                <w:szCs w:val="22"/>
                <w:color w:val="auto"/>
              </w:rPr>
            </w:pPr>
          </w:p>
        </w:tc>
        <w:tc>
          <w:tcPr>
            <w:tcW w:w="840" w:type="dxa"/>
            <w:vAlign w:val="bottom"/>
            <w:tcBorders>
              <w:bottom w:val="single" w:sz="8" w:color="D9D9D6"/>
            </w:tcBorders>
          </w:tcPr>
          <w:p>
            <w:pPr>
              <w:ind w:left="320"/>
              <w:spacing w:after="0"/>
              <w:rPr>
                <w:sz w:val="20"/>
                <w:szCs w:val="20"/>
                <w:color w:val="auto"/>
              </w:rPr>
            </w:pPr>
            <w:r>
              <w:rPr>
                <w:rFonts w:ascii="Arial" w:cs="Arial" w:eastAsia="Arial" w:hAnsi="Arial"/>
                <w:sz w:val="11"/>
                <w:szCs w:val="11"/>
                <w:color w:val="3D3935"/>
              </w:rPr>
              <w:t>(2)</w:t>
            </w:r>
          </w:p>
        </w:tc>
        <w:tc>
          <w:tcPr>
            <w:tcW w:w="820" w:type="dxa"/>
            <w:vAlign w:val="bottom"/>
            <w:tcBorders>
              <w:bottom w:val="single" w:sz="8" w:color="D9D9D6"/>
            </w:tcBorders>
          </w:tcPr>
          <w:p>
            <w:pPr>
              <w:spacing w:after="0"/>
              <w:rPr>
                <w:sz w:val="22"/>
                <w:szCs w:val="22"/>
                <w:color w:val="auto"/>
              </w:rPr>
            </w:pPr>
          </w:p>
        </w:tc>
        <w:tc>
          <w:tcPr>
            <w:tcW w:w="1620" w:type="dxa"/>
            <w:vAlign w:val="bottom"/>
            <w:tcBorders>
              <w:bottom w:val="single" w:sz="8" w:color="D9D9D6"/>
            </w:tcBorders>
          </w:tcPr>
          <w:p>
            <w:pPr>
              <w:ind w:left="400"/>
              <w:spacing w:after="0"/>
              <w:rPr>
                <w:sz w:val="20"/>
                <w:szCs w:val="20"/>
                <w:color w:val="auto"/>
              </w:rPr>
            </w:pPr>
            <w:r>
              <w:rPr>
                <w:rFonts w:ascii="Arial" w:cs="Arial" w:eastAsia="Arial" w:hAnsi="Arial"/>
                <w:sz w:val="16"/>
                <w:szCs w:val="16"/>
                <w:color w:val="3D3935"/>
              </w:rPr>
              <w:t>60% of target</w:t>
            </w:r>
          </w:p>
        </w:tc>
        <w:tc>
          <w:tcPr>
            <w:tcW w:w="132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12%</w:t>
            </w:r>
          </w:p>
        </w:tc>
      </w:tr>
      <w:tr>
        <w:trPr>
          <w:trHeight w:val="246"/>
        </w:trPr>
        <w:tc>
          <w:tcPr>
            <w:tcW w:w="2420" w:type="dxa"/>
            <w:vAlign w:val="bottom"/>
            <w:tcBorders>
              <w:bottom w:val="single" w:sz="8" w:color="0072CE"/>
            </w:tcBorders>
          </w:tcPr>
          <w:p>
            <w:pPr>
              <w:ind w:left="60"/>
              <w:spacing w:after="0"/>
              <w:rPr>
                <w:sz w:val="20"/>
                <w:szCs w:val="20"/>
                <w:color w:val="auto"/>
              </w:rPr>
            </w:pPr>
            <w:r>
              <w:rPr>
                <w:rFonts w:ascii="Arial" w:cs="Arial" w:eastAsia="Arial" w:hAnsi="Arial"/>
                <w:sz w:val="16"/>
                <w:szCs w:val="16"/>
                <w:b w:val="1"/>
                <w:bCs w:val="1"/>
                <w:color w:val="0072CE"/>
              </w:rPr>
              <w:t>Performance Payout</w:t>
            </w:r>
          </w:p>
        </w:tc>
        <w:tc>
          <w:tcPr>
            <w:tcW w:w="1160" w:type="dxa"/>
            <w:vAlign w:val="bottom"/>
            <w:tcBorders>
              <w:bottom w:val="single" w:sz="8" w:color="0072CE"/>
            </w:tcBorders>
          </w:tcPr>
          <w:p>
            <w:pPr>
              <w:spacing w:after="0"/>
              <w:rPr>
                <w:sz w:val="21"/>
                <w:szCs w:val="21"/>
                <w:color w:val="auto"/>
              </w:rPr>
            </w:pPr>
          </w:p>
        </w:tc>
        <w:tc>
          <w:tcPr>
            <w:tcW w:w="900" w:type="dxa"/>
            <w:vAlign w:val="bottom"/>
            <w:tcBorders>
              <w:bottom w:val="single" w:sz="8" w:color="0072CE"/>
            </w:tcBorders>
          </w:tcPr>
          <w:p>
            <w:pPr>
              <w:spacing w:after="0"/>
              <w:rPr>
                <w:sz w:val="21"/>
                <w:szCs w:val="21"/>
                <w:color w:val="auto"/>
              </w:rPr>
            </w:pPr>
          </w:p>
        </w:tc>
        <w:tc>
          <w:tcPr>
            <w:tcW w:w="840" w:type="dxa"/>
            <w:vAlign w:val="bottom"/>
            <w:tcBorders>
              <w:bottom w:val="single" w:sz="8" w:color="0072CE"/>
            </w:tcBorders>
          </w:tcPr>
          <w:p>
            <w:pPr>
              <w:spacing w:after="0"/>
              <w:rPr>
                <w:sz w:val="21"/>
                <w:szCs w:val="21"/>
                <w:color w:val="auto"/>
              </w:rPr>
            </w:pPr>
          </w:p>
        </w:tc>
        <w:tc>
          <w:tcPr>
            <w:tcW w:w="820" w:type="dxa"/>
            <w:vAlign w:val="bottom"/>
            <w:tcBorders>
              <w:bottom w:val="single" w:sz="8" w:color="0072CE"/>
            </w:tcBorders>
          </w:tcPr>
          <w:p>
            <w:pPr>
              <w:spacing w:after="0"/>
              <w:rPr>
                <w:sz w:val="21"/>
                <w:szCs w:val="21"/>
                <w:color w:val="auto"/>
              </w:rPr>
            </w:pPr>
          </w:p>
        </w:tc>
        <w:tc>
          <w:tcPr>
            <w:tcW w:w="1620" w:type="dxa"/>
            <w:vAlign w:val="bottom"/>
            <w:tcBorders>
              <w:bottom w:val="single" w:sz="8" w:color="0072CE"/>
            </w:tcBorders>
          </w:tcPr>
          <w:p>
            <w:pPr>
              <w:spacing w:after="0"/>
              <w:rPr>
                <w:sz w:val="21"/>
                <w:szCs w:val="21"/>
                <w:color w:val="auto"/>
              </w:rPr>
            </w:pPr>
          </w:p>
        </w:tc>
        <w:tc>
          <w:tcPr>
            <w:tcW w:w="1320" w:type="dxa"/>
            <w:vAlign w:val="bottom"/>
            <w:tcBorders>
              <w:bottom w:val="single" w:sz="8" w:color="0072CE"/>
            </w:tcBorders>
          </w:tcPr>
          <w:p>
            <w:pPr>
              <w:jc w:val="right"/>
              <w:ind w:right="1"/>
              <w:spacing w:after="0"/>
              <w:rPr>
                <w:sz w:val="20"/>
                <w:szCs w:val="20"/>
                <w:color w:val="auto"/>
              </w:rPr>
            </w:pPr>
            <w:r>
              <w:rPr>
                <w:rFonts w:ascii="Arial" w:cs="Arial" w:eastAsia="Arial" w:hAnsi="Arial"/>
                <w:sz w:val="16"/>
                <w:szCs w:val="16"/>
                <w:b w:val="1"/>
                <w:bCs w:val="1"/>
                <w:color w:val="0072CE"/>
              </w:rPr>
              <w:t>80% of Target</w:t>
            </w:r>
          </w:p>
        </w:tc>
      </w:tr>
    </w:tbl>
    <w:p>
      <w:pPr>
        <w:spacing w:after="0" w:line="125" w:lineRule="exact"/>
        <w:rPr>
          <w:sz w:val="20"/>
          <w:szCs w:val="20"/>
          <w:color w:val="auto"/>
        </w:rPr>
      </w:pPr>
    </w:p>
    <w:p>
      <w:pPr>
        <w:ind w:left="200" w:hanging="192"/>
        <w:spacing w:after="0"/>
        <w:tabs>
          <w:tab w:leader="none" w:pos="200" w:val="left"/>
        </w:tabs>
        <w:numPr>
          <w:ilvl w:val="0"/>
          <w:numId w:val="84"/>
        </w:numPr>
        <w:rPr>
          <w:rFonts w:ascii="Arial" w:cs="Arial" w:eastAsia="Arial" w:hAnsi="Arial"/>
          <w:sz w:val="19"/>
          <w:szCs w:val="19"/>
          <w:color w:val="3D3935"/>
          <w:vertAlign w:val="superscript"/>
        </w:rPr>
      </w:pPr>
      <w:r>
        <w:rPr>
          <w:rFonts w:ascii="Arial" w:cs="Arial" w:eastAsia="Arial" w:hAnsi="Arial"/>
          <w:sz w:val="14"/>
          <w:szCs w:val="14"/>
          <w:color w:val="3D3935"/>
        </w:rPr>
        <w:t>Measure adjusted for incentive purposes. For a description of how EBIT-adjusted Margin is calculated, see Appendix A.</w:t>
      </w:r>
    </w:p>
    <w:p>
      <w:pPr>
        <w:spacing w:after="0" w:line="66" w:lineRule="exact"/>
        <w:rPr>
          <w:rFonts w:ascii="Arial" w:cs="Arial" w:eastAsia="Arial" w:hAnsi="Arial"/>
          <w:sz w:val="19"/>
          <w:szCs w:val="19"/>
          <w:color w:val="3D3935"/>
          <w:vertAlign w:val="superscript"/>
        </w:rPr>
      </w:pPr>
    </w:p>
    <w:p>
      <w:pPr>
        <w:ind w:left="200" w:right="260" w:hanging="192"/>
        <w:spacing w:after="0" w:line="264" w:lineRule="auto"/>
        <w:tabs>
          <w:tab w:leader="none" w:pos="200" w:val="left"/>
        </w:tabs>
        <w:numPr>
          <w:ilvl w:val="0"/>
          <w:numId w:val="84"/>
        </w:numPr>
        <w:rPr>
          <w:rFonts w:ascii="Arial" w:cs="Arial" w:eastAsia="Arial" w:hAnsi="Arial"/>
          <w:sz w:val="19"/>
          <w:szCs w:val="19"/>
          <w:color w:val="3D3935"/>
          <w:vertAlign w:val="superscript"/>
        </w:rPr>
      </w:pPr>
      <w:r>
        <w:rPr>
          <w:rFonts w:ascii="Arial" w:cs="Arial" w:eastAsia="Arial" w:hAnsi="Arial"/>
          <w:sz w:val="14"/>
          <w:szCs w:val="14"/>
          <w:color w:val="3D3935"/>
        </w:rPr>
        <w:t>EV Measures are comprised of quantitative GMNA EV Volume, GMNA EV Launch Timing, and GMNA EV Launch Quality. The Committee has determined not to publicly disclose specific performance targets and payout results for these measures, as information regarding our EV strategy is commercially sensitive and disclosure could be competitively harmful. Performance against these measures was evaluated based on quantitative criteria established at the beginning of the performance period.</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Summary of Equity Performance Awards</w:t>
      </w:r>
    </w:p>
    <w:p>
      <w:pPr>
        <w:spacing w:after="0" w:line="99"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3D3935"/>
        </w:rPr>
        <w:t>Each PSU award features a three-year performance period resulting in overlapping awards that, in aggregate, cover a five-year period. The potential payout for each PSU award ranges from 0 to 200 percent. The table below illustrates the performance period for the three outstanding PSU awards as of 2024 fiscal year end , and the corresponding performance measures and weights.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60" w:type="dxa"/>
            <w:vAlign w:val="bottom"/>
            <w:gridSpan w:val="2"/>
          </w:tcPr>
          <w:p>
            <w:pPr>
              <w:ind w:left="180"/>
              <w:spacing w:after="0"/>
              <w:rPr>
                <w:sz w:val="20"/>
                <w:szCs w:val="20"/>
                <w:color w:val="auto"/>
              </w:rPr>
            </w:pPr>
            <w:r>
              <w:rPr>
                <w:rFonts w:ascii="Arial" w:cs="Arial" w:eastAsia="Arial" w:hAnsi="Arial"/>
                <w:sz w:val="14"/>
                <w:szCs w:val="14"/>
                <w:color w:val="3D3935"/>
              </w:rPr>
              <w:t>Performance Measures</w:t>
            </w:r>
          </w:p>
        </w:tc>
        <w:tc>
          <w:tcPr>
            <w:tcW w:w="1140" w:type="dxa"/>
            <w:vAlign w:val="bottom"/>
          </w:tcPr>
          <w:p>
            <w:pPr>
              <w:ind w:left="100"/>
              <w:spacing w:after="0"/>
              <w:rPr>
                <w:sz w:val="20"/>
                <w:szCs w:val="20"/>
                <w:color w:val="auto"/>
              </w:rPr>
            </w:pPr>
            <w:r>
              <w:rPr>
                <w:rFonts w:ascii="Arial" w:cs="Arial" w:eastAsia="Arial" w:hAnsi="Arial"/>
                <w:sz w:val="14"/>
                <w:szCs w:val="14"/>
                <w:color w:val="3D3935"/>
              </w:rPr>
              <w:t>Potential</w:t>
            </w: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460" w:type="dxa"/>
            <w:vAlign w:val="bottom"/>
            <w:tcBorders>
              <w:bottom w:val="single" w:sz="8" w:color="0072CE"/>
            </w:tcBorders>
          </w:tcPr>
          <w:p>
            <w:pPr>
              <w:jc w:val="right"/>
              <w:ind w:right="468"/>
              <w:spacing w:after="0"/>
              <w:rPr>
                <w:sz w:val="20"/>
                <w:szCs w:val="20"/>
                <w:color w:val="auto"/>
              </w:rPr>
            </w:pPr>
            <w:r>
              <w:rPr>
                <w:rFonts w:ascii="Arial" w:cs="Arial" w:eastAsia="Arial" w:hAnsi="Arial"/>
                <w:sz w:val="14"/>
                <w:szCs w:val="14"/>
                <w:color w:val="3D3935"/>
              </w:rPr>
              <w:t>Award</w:t>
            </w:r>
          </w:p>
        </w:tc>
        <w:tc>
          <w:tcPr>
            <w:tcW w:w="2040" w:type="dxa"/>
            <w:vAlign w:val="bottom"/>
            <w:tcBorders>
              <w:bottom w:val="single" w:sz="8" w:color="0072CE"/>
            </w:tcBorders>
            <w:gridSpan w:val="3"/>
          </w:tcPr>
          <w:p>
            <w:pPr>
              <w:ind w:left="100"/>
              <w:spacing w:after="0"/>
              <w:rPr>
                <w:sz w:val="20"/>
                <w:szCs w:val="20"/>
                <w:color w:val="auto"/>
              </w:rPr>
            </w:pPr>
            <w:r>
              <w:rPr>
                <w:rFonts w:ascii="Arial" w:cs="Arial" w:eastAsia="Arial" w:hAnsi="Arial"/>
                <w:sz w:val="14"/>
                <w:szCs w:val="14"/>
                <w:color w:val="3D3935"/>
              </w:rPr>
              <w:t>Performance Period</w:t>
            </w:r>
          </w:p>
        </w:tc>
        <w:tc>
          <w:tcPr>
            <w:tcW w:w="1860" w:type="dxa"/>
            <w:vAlign w:val="bottom"/>
            <w:tcBorders>
              <w:bottom w:val="single" w:sz="8" w:color="0072CE"/>
            </w:tcBorders>
            <w:gridSpan w:val="2"/>
          </w:tcPr>
          <w:p>
            <w:pPr>
              <w:ind w:left="180"/>
              <w:spacing w:after="0"/>
              <w:rPr>
                <w:sz w:val="20"/>
                <w:szCs w:val="20"/>
                <w:color w:val="auto"/>
              </w:rPr>
            </w:pPr>
            <w:r>
              <w:rPr>
                <w:rFonts w:ascii="Arial" w:cs="Arial" w:eastAsia="Arial" w:hAnsi="Arial"/>
                <w:sz w:val="14"/>
                <w:szCs w:val="14"/>
                <w:color w:val="3D3935"/>
              </w:rPr>
              <w:t>and Weights</w:t>
            </w:r>
          </w:p>
        </w:tc>
        <w:tc>
          <w:tcPr>
            <w:tcW w:w="1140" w:type="dxa"/>
            <w:vAlign w:val="bottom"/>
            <w:tcBorders>
              <w:bottom w:val="single" w:sz="8" w:color="0072CE"/>
            </w:tcBorders>
          </w:tcPr>
          <w:p>
            <w:pPr>
              <w:ind w:left="100"/>
              <w:spacing w:after="0"/>
              <w:rPr>
                <w:sz w:val="20"/>
                <w:szCs w:val="20"/>
                <w:color w:val="auto"/>
              </w:rPr>
            </w:pPr>
            <w:r>
              <w:rPr>
                <w:rFonts w:ascii="Arial" w:cs="Arial" w:eastAsia="Arial" w:hAnsi="Arial"/>
                <w:sz w:val="14"/>
                <w:szCs w:val="14"/>
                <w:color w:val="3D3935"/>
              </w:rPr>
              <w:t>Payouts</w:t>
            </w:r>
            <w:r>
              <w:rPr>
                <w:rFonts w:ascii="Arial" w:cs="Arial" w:eastAsia="Arial" w:hAnsi="Arial"/>
                <w:sz w:val="18"/>
                <w:szCs w:val="18"/>
                <w:color w:val="3D3935"/>
                <w:vertAlign w:val="superscript"/>
              </w:rPr>
              <w:t>(1)</w:t>
            </w:r>
          </w:p>
        </w:tc>
        <w:tc>
          <w:tcPr>
            <w:tcW w:w="580" w:type="dxa"/>
            <w:vAlign w:val="bottom"/>
            <w:tcBorders>
              <w:bottom w:val="single" w:sz="8" w:color="0072CE"/>
            </w:tcBorders>
          </w:tcPr>
          <w:p>
            <w:pPr>
              <w:spacing w:after="0"/>
              <w:rPr>
                <w:sz w:val="18"/>
                <w:szCs w:val="18"/>
                <w:color w:val="auto"/>
              </w:rPr>
            </w:pPr>
          </w:p>
        </w:tc>
        <w:tc>
          <w:tcPr>
            <w:tcW w:w="400" w:type="dxa"/>
            <w:vAlign w:val="bottom"/>
            <w:tcBorders>
              <w:bottom w:val="single" w:sz="8" w:color="0072CE"/>
            </w:tcBorders>
          </w:tcPr>
          <w:p>
            <w:pPr>
              <w:spacing w:after="0"/>
              <w:rPr>
                <w:sz w:val="18"/>
                <w:szCs w:val="18"/>
                <w:color w:val="auto"/>
              </w:rPr>
            </w:pPr>
          </w:p>
        </w:tc>
        <w:tc>
          <w:tcPr>
            <w:tcW w:w="740" w:type="dxa"/>
            <w:vAlign w:val="bottom"/>
            <w:tcBorders>
              <w:bottom w:val="single" w:sz="8" w:color="0072CE"/>
            </w:tcBorders>
            <w:gridSpan w:val="3"/>
          </w:tcPr>
          <w:p>
            <w:pPr>
              <w:jc w:val="right"/>
              <w:ind w:right="100"/>
              <w:spacing w:after="0"/>
              <w:rPr>
                <w:sz w:val="20"/>
                <w:szCs w:val="20"/>
                <w:color w:val="auto"/>
              </w:rPr>
            </w:pPr>
            <w:r>
              <w:rPr>
                <w:rFonts w:ascii="Arial" w:cs="Arial" w:eastAsia="Arial" w:hAnsi="Arial"/>
                <w:sz w:val="14"/>
                <w:szCs w:val="14"/>
                <w:color w:val="3D3935"/>
              </w:rPr>
              <w:t>Vest Date</w:t>
            </w:r>
          </w:p>
        </w:tc>
        <w:tc>
          <w:tcPr>
            <w:tcW w:w="140" w:type="dxa"/>
            <w:vAlign w:val="bottom"/>
            <w:tcBorders>
              <w:bottom w:val="single" w:sz="8" w:color="0072CE"/>
            </w:tcBorders>
          </w:tcPr>
          <w:p>
            <w:pPr>
              <w:spacing w:after="0"/>
              <w:rPr>
                <w:sz w:val="18"/>
                <w:szCs w:val="18"/>
                <w:color w:val="auto"/>
              </w:rPr>
            </w:pPr>
          </w:p>
        </w:tc>
        <w:tc>
          <w:tcPr>
            <w:tcW w:w="380" w:type="dxa"/>
            <w:vAlign w:val="bottom"/>
            <w:tcBorders>
              <w:bottom w:val="single" w:sz="8" w:color="0072CE"/>
            </w:tcBorders>
          </w:tcPr>
          <w:p>
            <w:pPr>
              <w:spacing w:after="0"/>
              <w:rPr>
                <w:sz w:val="18"/>
                <w:szCs w:val="18"/>
                <w:color w:val="auto"/>
              </w:rPr>
            </w:pPr>
          </w:p>
        </w:tc>
        <w:tc>
          <w:tcPr>
            <w:tcW w:w="340" w:type="dxa"/>
            <w:vAlign w:val="bottom"/>
            <w:tcBorders>
              <w:bottom w:val="single" w:sz="8" w:color="0072CE"/>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3D3935"/>
              </w:rPr>
              <w:t>2025</w:t>
            </w: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3D3935"/>
              </w:rPr>
              <w:t>2026</w:t>
            </w: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3D3935"/>
              </w:rPr>
              <w:t>2027</w:t>
            </w:r>
          </w:p>
        </w:tc>
        <w:tc>
          <w:tcPr>
            <w:tcW w:w="0" w:type="dxa"/>
            <w:vAlign w:val="bottom"/>
          </w:tcPr>
          <w:p>
            <w:pPr>
              <w:spacing w:after="0"/>
              <w:rPr>
                <w:sz w:val="1"/>
                <w:szCs w:val="1"/>
                <w:color w:val="auto"/>
              </w:rPr>
            </w:pPr>
          </w:p>
        </w:tc>
      </w:tr>
      <w:tr>
        <w:trPr>
          <w:trHeight w:val="108"/>
        </w:trPr>
        <w:tc>
          <w:tcPr>
            <w:tcW w:w="1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Borders>
              <w:right w:val="single" w:sz="8" w:color="3D3935"/>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Borders>
              <w:right w:val="single" w:sz="8" w:color="3D3935"/>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Borders>
              <w:right w:val="single" w:sz="8" w:color="3D3935"/>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1460" w:type="dxa"/>
            <w:vAlign w:val="bottom"/>
            <w:vMerge w:val="restart"/>
          </w:tcPr>
          <w:p>
            <w:pPr>
              <w:jc w:val="right"/>
              <w:ind w:right="368"/>
              <w:spacing w:after="0"/>
              <w:rPr>
                <w:sz w:val="20"/>
                <w:szCs w:val="20"/>
                <w:color w:val="auto"/>
              </w:rPr>
            </w:pPr>
            <w:r>
              <w:rPr>
                <w:rFonts w:ascii="Arial" w:cs="Arial" w:eastAsia="Arial" w:hAnsi="Arial"/>
                <w:sz w:val="14"/>
                <w:szCs w:val="14"/>
                <w:color w:val="3D3935"/>
              </w:rPr>
              <w:t>2022-2024</w:t>
            </w:r>
          </w:p>
        </w:tc>
        <w:tc>
          <w:tcPr>
            <w:tcW w:w="2040" w:type="dxa"/>
            <w:vAlign w:val="bottom"/>
            <w:gridSpan w:val="3"/>
            <w:shd w:val="clear" w:color="auto" w:fill="69DBEB"/>
          </w:tcPr>
          <w:p>
            <w:pPr>
              <w:ind w:left="100"/>
              <w:spacing w:after="0"/>
              <w:rPr>
                <w:sz w:val="20"/>
                <w:szCs w:val="20"/>
                <w:color w:val="auto"/>
              </w:rPr>
            </w:pPr>
            <w:r>
              <w:rPr>
                <w:rFonts w:ascii="Arial" w:cs="Arial" w:eastAsia="Arial" w:hAnsi="Arial"/>
                <w:sz w:val="14"/>
                <w:szCs w:val="14"/>
                <w:color w:val="FFFFFF"/>
              </w:rPr>
              <w:t>3 Years</w:t>
            </w:r>
          </w:p>
        </w:tc>
        <w:tc>
          <w:tcPr>
            <w:tcW w:w="480" w:type="dxa"/>
            <w:vAlign w:val="bottom"/>
            <w:shd w:val="clear" w:color="auto" w:fill="69DBEB"/>
          </w:tcPr>
          <w:p>
            <w:pPr>
              <w:ind w:left="180"/>
              <w:spacing w:after="0"/>
              <w:rPr>
                <w:sz w:val="20"/>
                <w:szCs w:val="20"/>
                <w:color w:val="auto"/>
              </w:rPr>
            </w:pPr>
            <w:r>
              <w:rPr>
                <w:rFonts w:ascii="Arial" w:cs="Arial" w:eastAsia="Arial" w:hAnsi="Arial"/>
                <w:sz w:val="14"/>
                <w:szCs w:val="14"/>
                <w:color w:val="FFFFFF"/>
                <w:w w:val="99"/>
              </w:rPr>
              <w:t>40%</w:t>
            </w:r>
          </w:p>
        </w:tc>
        <w:tc>
          <w:tcPr>
            <w:tcW w:w="1380" w:type="dxa"/>
            <w:vAlign w:val="bottom"/>
            <w:shd w:val="clear" w:color="auto" w:fill="69DBEB"/>
          </w:tcPr>
          <w:p>
            <w:pPr>
              <w:ind w:left="20"/>
              <w:spacing w:after="0"/>
              <w:rPr>
                <w:sz w:val="20"/>
                <w:szCs w:val="20"/>
                <w:color w:val="auto"/>
              </w:rPr>
            </w:pPr>
            <w:r>
              <w:rPr>
                <w:rFonts w:ascii="Arial" w:cs="Arial" w:eastAsia="Arial" w:hAnsi="Arial"/>
                <w:sz w:val="14"/>
                <w:szCs w:val="14"/>
                <w:color w:val="FFFFFF"/>
              </w:rPr>
              <w:t>EBIT-adj Margin</w:t>
            </w:r>
          </w:p>
        </w:tc>
        <w:tc>
          <w:tcPr>
            <w:tcW w:w="1140" w:type="dxa"/>
            <w:vAlign w:val="bottom"/>
            <w:vMerge w:val="restart"/>
            <w:shd w:val="clear" w:color="auto" w:fill="69DBEB"/>
          </w:tcPr>
          <w:p>
            <w:pPr>
              <w:ind w:left="100"/>
              <w:spacing w:after="0"/>
              <w:rPr>
                <w:sz w:val="20"/>
                <w:szCs w:val="20"/>
                <w:color w:val="auto"/>
              </w:rPr>
            </w:pPr>
            <w:r>
              <w:rPr>
                <w:rFonts w:ascii="Arial" w:cs="Arial" w:eastAsia="Arial" w:hAnsi="Arial"/>
                <w:sz w:val="14"/>
                <w:szCs w:val="14"/>
                <w:color w:val="FFFFFF"/>
              </w:rPr>
              <w:t>0-200% with</w:t>
            </w:r>
          </w:p>
        </w:tc>
        <w:tc>
          <w:tcPr>
            <w:tcW w:w="980" w:type="dxa"/>
            <w:vAlign w:val="bottom"/>
            <w:gridSpan w:val="2"/>
            <w:vMerge w:val="restart"/>
            <w:shd w:val="clear" w:color="auto" w:fill="69DBEB"/>
          </w:tcPr>
          <w:p>
            <w:pPr>
              <w:jc w:val="right"/>
              <w:ind w:right="80"/>
              <w:spacing w:after="0"/>
              <w:rPr>
                <w:sz w:val="20"/>
                <w:szCs w:val="20"/>
                <w:color w:val="auto"/>
              </w:rPr>
            </w:pPr>
            <w:r>
              <w:rPr>
                <w:rFonts w:ascii="Arial" w:cs="Arial" w:eastAsia="Arial" w:hAnsi="Arial"/>
                <w:sz w:val="14"/>
                <w:szCs w:val="14"/>
                <w:color w:val="FFFFFF"/>
              </w:rPr>
              <w:t>2/8/2025</w:t>
            </w:r>
          </w:p>
        </w:tc>
        <w:tc>
          <w:tcPr>
            <w:tcW w:w="140" w:type="dxa"/>
            <w:vAlign w:val="bottom"/>
            <w:shd w:val="clear" w:color="auto" w:fill="69DBEB"/>
          </w:tcPr>
          <w:p>
            <w:pPr>
              <w:spacing w:after="0"/>
              <w:rPr>
                <w:sz w:val="20"/>
                <w:szCs w:val="20"/>
                <w:color w:val="auto"/>
              </w:rPr>
            </w:pPr>
          </w:p>
        </w:tc>
        <w:tc>
          <w:tcPr>
            <w:tcW w:w="380" w:type="dxa"/>
            <w:vAlign w:val="bottom"/>
            <w:tcBorders>
              <w:right w:val="single" w:sz="8" w:color="3D3935"/>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right w:val="single" w:sz="8" w:color="3D3935"/>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
        </w:trPr>
        <w:tc>
          <w:tcPr>
            <w:tcW w:w="1460" w:type="dxa"/>
            <w:vAlign w:val="bottom"/>
            <w:vMerge w:val="continue"/>
          </w:tcPr>
          <w:p>
            <w:pPr>
              <w:spacing w:after="0"/>
              <w:rPr>
                <w:sz w:val="7"/>
                <w:szCs w:val="7"/>
                <w:color w:val="auto"/>
              </w:rPr>
            </w:pPr>
          </w:p>
        </w:tc>
        <w:tc>
          <w:tcPr>
            <w:tcW w:w="2040" w:type="dxa"/>
            <w:vAlign w:val="bottom"/>
            <w:gridSpan w:val="3"/>
            <w:vMerge w:val="restart"/>
            <w:shd w:val="clear" w:color="auto" w:fill="69DBEB"/>
          </w:tcPr>
          <w:p>
            <w:pPr>
              <w:ind w:left="100"/>
              <w:spacing w:after="0"/>
              <w:rPr>
                <w:sz w:val="20"/>
                <w:szCs w:val="20"/>
                <w:color w:val="auto"/>
              </w:rPr>
            </w:pPr>
            <w:r>
              <w:rPr>
                <w:rFonts w:ascii="Arial" w:cs="Arial" w:eastAsia="Arial" w:hAnsi="Arial"/>
                <w:sz w:val="14"/>
                <w:szCs w:val="14"/>
                <w:color w:val="FFFFFF"/>
              </w:rPr>
              <w:t>1/1/2022 to</w:t>
            </w:r>
          </w:p>
        </w:tc>
        <w:tc>
          <w:tcPr>
            <w:tcW w:w="480" w:type="dxa"/>
            <w:vAlign w:val="bottom"/>
            <w:vMerge w:val="restart"/>
            <w:shd w:val="clear" w:color="auto" w:fill="69DBEB"/>
          </w:tcPr>
          <w:p>
            <w:pPr>
              <w:ind w:left="180"/>
              <w:spacing w:after="0"/>
              <w:rPr>
                <w:sz w:val="20"/>
                <w:szCs w:val="20"/>
                <w:color w:val="auto"/>
              </w:rPr>
            </w:pPr>
            <w:r>
              <w:rPr>
                <w:rFonts w:ascii="Arial" w:cs="Arial" w:eastAsia="Arial" w:hAnsi="Arial"/>
                <w:sz w:val="14"/>
                <w:szCs w:val="14"/>
                <w:color w:val="FFFFFF"/>
                <w:w w:val="99"/>
              </w:rPr>
              <w:t>40%</w:t>
            </w:r>
          </w:p>
        </w:tc>
        <w:tc>
          <w:tcPr>
            <w:tcW w:w="1380" w:type="dxa"/>
            <w:vAlign w:val="bottom"/>
            <w:vMerge w:val="restart"/>
            <w:shd w:val="clear" w:color="auto" w:fill="69DBEB"/>
          </w:tcPr>
          <w:p>
            <w:pPr>
              <w:ind w:left="20"/>
              <w:spacing w:after="0"/>
              <w:rPr>
                <w:sz w:val="20"/>
                <w:szCs w:val="20"/>
                <w:color w:val="auto"/>
              </w:rPr>
            </w:pPr>
            <w:r>
              <w:rPr>
                <w:rFonts w:ascii="Arial" w:cs="Arial" w:eastAsia="Arial" w:hAnsi="Arial"/>
                <w:sz w:val="14"/>
                <w:szCs w:val="14"/>
                <w:color w:val="FFFFFF"/>
              </w:rPr>
              <w:t>Relative TSR</w:t>
            </w:r>
          </w:p>
        </w:tc>
        <w:tc>
          <w:tcPr>
            <w:tcW w:w="1140" w:type="dxa"/>
            <w:vAlign w:val="bottom"/>
            <w:vMerge w:val="continue"/>
            <w:shd w:val="clear" w:color="auto" w:fill="69DBEB"/>
          </w:tcPr>
          <w:p>
            <w:pPr>
              <w:spacing w:after="0"/>
              <w:rPr>
                <w:sz w:val="7"/>
                <w:szCs w:val="7"/>
                <w:color w:val="auto"/>
              </w:rPr>
            </w:pPr>
          </w:p>
        </w:tc>
        <w:tc>
          <w:tcPr>
            <w:tcW w:w="980" w:type="dxa"/>
            <w:vAlign w:val="bottom"/>
            <w:gridSpan w:val="2"/>
            <w:vMerge w:val="continue"/>
            <w:shd w:val="clear" w:color="auto" w:fill="69DBEB"/>
          </w:tcPr>
          <w:p>
            <w:pPr>
              <w:spacing w:after="0"/>
              <w:rPr>
                <w:sz w:val="7"/>
                <w:szCs w:val="7"/>
                <w:color w:val="auto"/>
              </w:rPr>
            </w:pPr>
          </w:p>
        </w:tc>
        <w:tc>
          <w:tcPr>
            <w:tcW w:w="140" w:type="dxa"/>
            <w:vAlign w:val="bottom"/>
            <w:shd w:val="clear" w:color="auto" w:fill="69DBEB"/>
          </w:tcPr>
          <w:p>
            <w:pPr>
              <w:spacing w:after="0"/>
              <w:rPr>
                <w:sz w:val="7"/>
                <w:szCs w:val="7"/>
                <w:color w:val="auto"/>
              </w:rPr>
            </w:pPr>
          </w:p>
        </w:tc>
        <w:tc>
          <w:tcPr>
            <w:tcW w:w="380" w:type="dxa"/>
            <w:vAlign w:val="bottom"/>
            <w:tcBorders>
              <w:right w:val="single" w:sz="8" w:color="3D3935"/>
            </w:tcBorders>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Borders>
              <w:right w:val="single" w:sz="8" w:color="3D3935"/>
            </w:tcBorders>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460" w:type="dxa"/>
            <w:vAlign w:val="bottom"/>
            <w:vMerge w:val="restart"/>
          </w:tcPr>
          <w:p>
            <w:pPr>
              <w:jc w:val="right"/>
              <w:ind w:right="468"/>
              <w:spacing w:after="0"/>
              <w:rPr>
                <w:sz w:val="20"/>
                <w:szCs w:val="20"/>
                <w:color w:val="auto"/>
              </w:rPr>
            </w:pPr>
            <w:r>
              <w:rPr>
                <w:rFonts w:ascii="Arial" w:cs="Arial" w:eastAsia="Arial" w:hAnsi="Arial"/>
                <w:sz w:val="14"/>
                <w:szCs w:val="14"/>
                <w:color w:val="3D3935"/>
              </w:rPr>
              <w:t>PSUs</w:t>
            </w:r>
          </w:p>
        </w:tc>
        <w:tc>
          <w:tcPr>
            <w:tcW w:w="2040" w:type="dxa"/>
            <w:vAlign w:val="bottom"/>
            <w:gridSpan w:val="3"/>
            <w:vMerge w:val="continue"/>
            <w:shd w:val="clear" w:color="auto" w:fill="69DBEB"/>
          </w:tcPr>
          <w:p>
            <w:pPr>
              <w:spacing w:after="0"/>
              <w:rPr>
                <w:sz w:val="8"/>
                <w:szCs w:val="8"/>
                <w:color w:val="auto"/>
              </w:rPr>
            </w:pPr>
          </w:p>
        </w:tc>
        <w:tc>
          <w:tcPr>
            <w:tcW w:w="480" w:type="dxa"/>
            <w:vAlign w:val="bottom"/>
            <w:vMerge w:val="continue"/>
            <w:shd w:val="clear" w:color="auto" w:fill="69DBEB"/>
          </w:tcPr>
          <w:p>
            <w:pPr>
              <w:spacing w:after="0"/>
              <w:rPr>
                <w:sz w:val="8"/>
                <w:szCs w:val="8"/>
                <w:color w:val="auto"/>
              </w:rPr>
            </w:pPr>
          </w:p>
        </w:tc>
        <w:tc>
          <w:tcPr>
            <w:tcW w:w="1380" w:type="dxa"/>
            <w:vAlign w:val="bottom"/>
            <w:vMerge w:val="continue"/>
            <w:shd w:val="clear" w:color="auto" w:fill="69DBEB"/>
          </w:tcPr>
          <w:p>
            <w:pPr>
              <w:spacing w:after="0"/>
              <w:rPr>
                <w:sz w:val="8"/>
                <w:szCs w:val="8"/>
                <w:color w:val="auto"/>
              </w:rPr>
            </w:pPr>
          </w:p>
        </w:tc>
        <w:tc>
          <w:tcPr>
            <w:tcW w:w="1140" w:type="dxa"/>
            <w:vAlign w:val="bottom"/>
            <w:shd w:val="clear" w:color="auto" w:fill="69DBEB"/>
          </w:tcPr>
          <w:p>
            <w:pPr>
              <w:ind w:left="860"/>
              <w:spacing w:after="0" w:line="93" w:lineRule="exact"/>
              <w:rPr>
                <w:sz w:val="20"/>
                <w:szCs w:val="20"/>
                <w:color w:val="auto"/>
              </w:rPr>
            </w:pPr>
            <w:r>
              <w:rPr>
                <w:rFonts w:ascii="Arial" w:cs="Arial" w:eastAsia="Arial" w:hAnsi="Arial"/>
                <w:sz w:val="9"/>
                <w:szCs w:val="9"/>
                <w:color w:val="FFFFFF"/>
              </w:rPr>
              <w:t>(3)</w:t>
            </w:r>
          </w:p>
        </w:tc>
        <w:tc>
          <w:tcPr>
            <w:tcW w:w="580" w:type="dxa"/>
            <w:vAlign w:val="bottom"/>
            <w:tcBorders>
              <w:right w:val="single" w:sz="8" w:color="69DBEB"/>
            </w:tcBorders>
            <w:shd w:val="clear" w:color="auto" w:fill="69DBEB"/>
          </w:tcPr>
          <w:p>
            <w:pPr>
              <w:spacing w:after="0"/>
              <w:rPr>
                <w:sz w:val="8"/>
                <w:szCs w:val="8"/>
                <w:color w:val="auto"/>
              </w:rPr>
            </w:pPr>
          </w:p>
        </w:tc>
        <w:tc>
          <w:tcPr>
            <w:tcW w:w="400" w:type="dxa"/>
            <w:vAlign w:val="bottom"/>
            <w:shd w:val="clear" w:color="auto" w:fill="69DBEB"/>
          </w:tcPr>
          <w:p>
            <w:pPr>
              <w:spacing w:after="0"/>
              <w:rPr>
                <w:sz w:val="8"/>
                <w:szCs w:val="8"/>
                <w:color w:val="auto"/>
              </w:rPr>
            </w:pPr>
          </w:p>
        </w:tc>
        <w:tc>
          <w:tcPr>
            <w:tcW w:w="140" w:type="dxa"/>
            <w:vAlign w:val="bottom"/>
            <w:shd w:val="clear" w:color="auto" w:fill="69DBEB"/>
          </w:tcPr>
          <w:p>
            <w:pPr>
              <w:spacing w:after="0"/>
              <w:rPr>
                <w:sz w:val="8"/>
                <w:szCs w:val="8"/>
                <w:color w:val="auto"/>
              </w:rPr>
            </w:pPr>
          </w:p>
        </w:tc>
        <w:tc>
          <w:tcPr>
            <w:tcW w:w="380" w:type="dxa"/>
            <w:vAlign w:val="bottom"/>
            <w:tcBorders>
              <w:right w:val="single" w:sz="8" w:color="3D3935"/>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Borders>
              <w:right w:val="single" w:sz="8" w:color="3D3935"/>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460" w:type="dxa"/>
            <w:vAlign w:val="bottom"/>
            <w:vMerge w:val="continue"/>
          </w:tcPr>
          <w:p>
            <w:pPr>
              <w:spacing w:after="0"/>
              <w:rPr>
                <w:sz w:val="8"/>
                <w:szCs w:val="8"/>
                <w:color w:val="auto"/>
              </w:rPr>
            </w:pPr>
          </w:p>
        </w:tc>
        <w:tc>
          <w:tcPr>
            <w:tcW w:w="1040" w:type="dxa"/>
            <w:vAlign w:val="bottom"/>
            <w:gridSpan w:val="2"/>
            <w:vMerge w:val="restart"/>
            <w:shd w:val="clear" w:color="auto" w:fill="69DBEB"/>
          </w:tcPr>
          <w:p>
            <w:pPr>
              <w:ind w:left="100"/>
              <w:spacing w:after="0"/>
              <w:rPr>
                <w:sz w:val="20"/>
                <w:szCs w:val="20"/>
                <w:color w:val="auto"/>
              </w:rPr>
            </w:pPr>
            <w:r>
              <w:rPr>
                <w:rFonts w:ascii="Arial" w:cs="Arial" w:eastAsia="Arial" w:hAnsi="Arial"/>
                <w:sz w:val="14"/>
                <w:szCs w:val="14"/>
                <w:color w:val="FFFFFF"/>
              </w:rPr>
              <w:t>12/31/2024</w:t>
            </w:r>
          </w:p>
        </w:tc>
        <w:tc>
          <w:tcPr>
            <w:tcW w:w="1000" w:type="dxa"/>
            <w:vAlign w:val="bottom"/>
            <w:shd w:val="clear" w:color="auto" w:fill="69DBEB"/>
          </w:tcPr>
          <w:p>
            <w:pPr>
              <w:spacing w:after="0"/>
              <w:rPr>
                <w:sz w:val="8"/>
                <w:szCs w:val="8"/>
                <w:color w:val="auto"/>
              </w:rPr>
            </w:pPr>
          </w:p>
        </w:tc>
        <w:tc>
          <w:tcPr>
            <w:tcW w:w="480" w:type="dxa"/>
            <w:vAlign w:val="bottom"/>
            <w:vMerge w:val="restart"/>
            <w:shd w:val="clear" w:color="auto" w:fill="69DBEB"/>
          </w:tcPr>
          <w:p>
            <w:pPr>
              <w:ind w:left="180"/>
              <w:spacing w:after="0"/>
              <w:rPr>
                <w:sz w:val="20"/>
                <w:szCs w:val="20"/>
                <w:color w:val="auto"/>
              </w:rPr>
            </w:pPr>
            <w:r>
              <w:rPr>
                <w:rFonts w:ascii="Arial" w:cs="Arial" w:eastAsia="Arial" w:hAnsi="Arial"/>
                <w:sz w:val="14"/>
                <w:szCs w:val="14"/>
                <w:color w:val="FFFFFF"/>
                <w:w w:val="99"/>
              </w:rPr>
              <w:t>20%</w:t>
            </w:r>
          </w:p>
        </w:tc>
        <w:tc>
          <w:tcPr>
            <w:tcW w:w="1380" w:type="dxa"/>
            <w:vAlign w:val="bottom"/>
            <w:vMerge w:val="restart"/>
            <w:shd w:val="clear" w:color="auto" w:fill="69DBEB"/>
          </w:tcPr>
          <w:p>
            <w:pPr>
              <w:ind w:left="20"/>
              <w:spacing w:after="0"/>
              <w:rPr>
                <w:sz w:val="20"/>
                <w:szCs w:val="20"/>
                <w:color w:val="auto"/>
              </w:rPr>
            </w:pPr>
            <w:r>
              <w:rPr>
                <w:rFonts w:ascii="Arial" w:cs="Arial" w:eastAsia="Arial" w:hAnsi="Arial"/>
                <w:sz w:val="14"/>
                <w:szCs w:val="14"/>
                <w:color w:val="FFFFFF"/>
              </w:rPr>
              <w:t>EV Measures</w:t>
            </w:r>
            <w:r>
              <w:rPr>
                <w:rFonts w:ascii="Arial" w:cs="Arial" w:eastAsia="Arial" w:hAnsi="Arial"/>
                <w:sz w:val="18"/>
                <w:szCs w:val="18"/>
                <w:color w:val="FFFFFF"/>
                <w:vertAlign w:val="superscript"/>
              </w:rPr>
              <w:t>(2)</w:t>
            </w:r>
          </w:p>
        </w:tc>
        <w:tc>
          <w:tcPr>
            <w:tcW w:w="1140" w:type="dxa"/>
            <w:vAlign w:val="bottom"/>
            <w:vMerge w:val="restart"/>
            <w:shd w:val="clear" w:color="auto" w:fill="69DBEB"/>
          </w:tcPr>
          <w:p>
            <w:pPr>
              <w:ind w:left="100"/>
              <w:spacing w:after="0"/>
              <w:rPr>
                <w:sz w:val="20"/>
                <w:szCs w:val="20"/>
                <w:color w:val="auto"/>
              </w:rPr>
            </w:pPr>
            <w:r>
              <w:rPr>
                <w:rFonts w:ascii="Arial" w:cs="Arial" w:eastAsia="Arial" w:hAnsi="Arial"/>
                <w:sz w:val="14"/>
                <w:szCs w:val="14"/>
                <w:color w:val="FFFFFF"/>
              </w:rPr>
              <w:t>Payout Cap</w:t>
            </w:r>
          </w:p>
        </w:tc>
        <w:tc>
          <w:tcPr>
            <w:tcW w:w="980" w:type="dxa"/>
            <w:vAlign w:val="bottom"/>
            <w:gridSpan w:val="2"/>
            <w:vMerge w:val="restart"/>
            <w:shd w:val="clear" w:color="auto" w:fill="69DBEB"/>
          </w:tcPr>
          <w:p>
            <w:pPr>
              <w:jc w:val="center"/>
              <w:ind w:left="48"/>
              <w:spacing w:after="0"/>
              <w:rPr>
                <w:sz w:val="20"/>
                <w:szCs w:val="20"/>
                <w:color w:val="auto"/>
              </w:rPr>
            </w:pPr>
            <w:r>
              <w:rPr>
                <w:rFonts w:ascii="Arial" w:cs="Arial" w:eastAsia="Arial" w:hAnsi="Arial"/>
                <w:sz w:val="14"/>
                <w:szCs w:val="14"/>
                <w:color w:val="FFFFFF"/>
              </w:rPr>
              <w:t>(80% payout)</w:t>
            </w:r>
          </w:p>
        </w:tc>
        <w:tc>
          <w:tcPr>
            <w:tcW w:w="140" w:type="dxa"/>
            <w:vAlign w:val="bottom"/>
            <w:shd w:val="clear" w:color="auto" w:fill="69DBEB"/>
          </w:tcPr>
          <w:p>
            <w:pPr>
              <w:spacing w:after="0"/>
              <w:rPr>
                <w:sz w:val="8"/>
                <w:szCs w:val="8"/>
                <w:color w:val="auto"/>
              </w:rPr>
            </w:pPr>
          </w:p>
        </w:tc>
        <w:tc>
          <w:tcPr>
            <w:tcW w:w="380" w:type="dxa"/>
            <w:vAlign w:val="bottom"/>
            <w:tcBorders>
              <w:right w:val="single" w:sz="8" w:color="3D3935"/>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Borders>
              <w:right w:val="single" w:sz="8" w:color="3D3935"/>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460" w:type="dxa"/>
            <w:vAlign w:val="bottom"/>
          </w:tcPr>
          <w:p>
            <w:pPr>
              <w:spacing w:after="0"/>
              <w:rPr>
                <w:sz w:val="10"/>
                <w:szCs w:val="10"/>
                <w:color w:val="auto"/>
              </w:rPr>
            </w:pPr>
          </w:p>
        </w:tc>
        <w:tc>
          <w:tcPr>
            <w:tcW w:w="1040" w:type="dxa"/>
            <w:vAlign w:val="bottom"/>
            <w:gridSpan w:val="2"/>
            <w:vMerge w:val="continue"/>
            <w:shd w:val="clear" w:color="auto" w:fill="69DBEB"/>
          </w:tcPr>
          <w:p>
            <w:pPr>
              <w:spacing w:after="0"/>
              <w:rPr>
                <w:sz w:val="10"/>
                <w:szCs w:val="10"/>
                <w:color w:val="auto"/>
              </w:rPr>
            </w:pPr>
          </w:p>
        </w:tc>
        <w:tc>
          <w:tcPr>
            <w:tcW w:w="1000" w:type="dxa"/>
            <w:vAlign w:val="bottom"/>
            <w:shd w:val="clear" w:color="auto" w:fill="69DBEB"/>
          </w:tcPr>
          <w:p>
            <w:pPr>
              <w:spacing w:after="0"/>
              <w:rPr>
                <w:sz w:val="10"/>
                <w:szCs w:val="10"/>
                <w:color w:val="auto"/>
              </w:rPr>
            </w:pPr>
          </w:p>
        </w:tc>
        <w:tc>
          <w:tcPr>
            <w:tcW w:w="480" w:type="dxa"/>
            <w:vAlign w:val="bottom"/>
            <w:vMerge w:val="continue"/>
            <w:shd w:val="clear" w:color="auto" w:fill="69DBEB"/>
          </w:tcPr>
          <w:p>
            <w:pPr>
              <w:spacing w:after="0"/>
              <w:rPr>
                <w:sz w:val="10"/>
                <w:szCs w:val="10"/>
                <w:color w:val="auto"/>
              </w:rPr>
            </w:pPr>
          </w:p>
        </w:tc>
        <w:tc>
          <w:tcPr>
            <w:tcW w:w="1380" w:type="dxa"/>
            <w:vAlign w:val="bottom"/>
            <w:vMerge w:val="continue"/>
            <w:shd w:val="clear" w:color="auto" w:fill="69DBEB"/>
          </w:tcPr>
          <w:p>
            <w:pPr>
              <w:spacing w:after="0"/>
              <w:rPr>
                <w:sz w:val="10"/>
                <w:szCs w:val="10"/>
                <w:color w:val="auto"/>
              </w:rPr>
            </w:pPr>
          </w:p>
        </w:tc>
        <w:tc>
          <w:tcPr>
            <w:tcW w:w="1140" w:type="dxa"/>
            <w:vAlign w:val="bottom"/>
            <w:vMerge w:val="continue"/>
            <w:shd w:val="clear" w:color="auto" w:fill="69DBEB"/>
          </w:tcPr>
          <w:p>
            <w:pPr>
              <w:spacing w:after="0"/>
              <w:rPr>
                <w:sz w:val="10"/>
                <w:szCs w:val="10"/>
                <w:color w:val="auto"/>
              </w:rPr>
            </w:pPr>
          </w:p>
        </w:tc>
        <w:tc>
          <w:tcPr>
            <w:tcW w:w="980" w:type="dxa"/>
            <w:vAlign w:val="bottom"/>
            <w:gridSpan w:val="2"/>
            <w:vMerge w:val="continue"/>
            <w:shd w:val="clear" w:color="auto" w:fill="69DBEB"/>
          </w:tcPr>
          <w:p>
            <w:pPr>
              <w:spacing w:after="0"/>
              <w:rPr>
                <w:sz w:val="10"/>
                <w:szCs w:val="10"/>
                <w:color w:val="auto"/>
              </w:rPr>
            </w:pPr>
          </w:p>
        </w:tc>
        <w:tc>
          <w:tcPr>
            <w:tcW w:w="140" w:type="dxa"/>
            <w:vAlign w:val="bottom"/>
            <w:shd w:val="clear" w:color="auto" w:fill="69DBEB"/>
          </w:tcPr>
          <w:p>
            <w:pPr>
              <w:spacing w:after="0"/>
              <w:rPr>
                <w:sz w:val="10"/>
                <w:szCs w:val="10"/>
                <w:color w:val="auto"/>
              </w:rPr>
            </w:pPr>
          </w:p>
        </w:tc>
        <w:tc>
          <w:tcPr>
            <w:tcW w:w="380" w:type="dxa"/>
            <w:vAlign w:val="bottom"/>
            <w:tcBorders>
              <w:right w:val="single" w:sz="8" w:color="3D3935"/>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Borders>
              <w:right w:val="single" w:sz="8" w:color="3D3935"/>
            </w:tcBorders>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Borders>
              <w:right w:val="single" w:sz="8" w:color="3D3935"/>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Borders>
              <w:right w:val="single" w:sz="8" w:color="3D3935"/>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1460" w:type="dxa"/>
            <w:vAlign w:val="bottom"/>
            <w:vMerge w:val="restart"/>
          </w:tcPr>
          <w:p>
            <w:pPr>
              <w:jc w:val="right"/>
              <w:ind w:right="348"/>
              <w:spacing w:after="0"/>
              <w:rPr>
                <w:sz w:val="20"/>
                <w:szCs w:val="20"/>
                <w:color w:val="auto"/>
              </w:rPr>
            </w:pPr>
            <w:r>
              <w:rPr>
                <w:rFonts w:ascii="Arial" w:cs="Arial" w:eastAsia="Arial" w:hAnsi="Arial"/>
                <w:sz w:val="14"/>
                <w:szCs w:val="14"/>
                <w:color w:val="3D3935"/>
              </w:rPr>
              <w:t>2023-2025</w:t>
            </w:r>
          </w:p>
        </w:tc>
        <w:tc>
          <w:tcPr>
            <w:tcW w:w="520" w:type="dxa"/>
            <w:vAlign w:val="bottom"/>
          </w:tcPr>
          <w:p>
            <w:pPr>
              <w:spacing w:after="0"/>
              <w:rPr>
                <w:sz w:val="20"/>
                <w:szCs w:val="20"/>
                <w:color w:val="auto"/>
              </w:rPr>
            </w:pPr>
          </w:p>
        </w:tc>
        <w:tc>
          <w:tcPr>
            <w:tcW w:w="1520" w:type="dxa"/>
            <w:vAlign w:val="bottom"/>
            <w:gridSpan w:val="2"/>
            <w:shd w:val="clear" w:color="auto" w:fill="05C3DD"/>
          </w:tcPr>
          <w:p>
            <w:pPr>
              <w:ind w:left="120"/>
              <w:spacing w:after="0"/>
              <w:rPr>
                <w:sz w:val="20"/>
                <w:szCs w:val="20"/>
                <w:color w:val="auto"/>
              </w:rPr>
            </w:pPr>
            <w:r>
              <w:rPr>
                <w:rFonts w:ascii="Arial" w:cs="Arial" w:eastAsia="Arial" w:hAnsi="Arial"/>
                <w:sz w:val="14"/>
                <w:szCs w:val="14"/>
                <w:color w:val="FFFFFF"/>
              </w:rPr>
              <w:t>3 Years</w:t>
            </w:r>
          </w:p>
        </w:tc>
        <w:tc>
          <w:tcPr>
            <w:tcW w:w="480" w:type="dxa"/>
            <w:vAlign w:val="bottom"/>
            <w:shd w:val="clear" w:color="auto" w:fill="05C3DD"/>
          </w:tcPr>
          <w:p>
            <w:pPr>
              <w:ind w:left="180"/>
              <w:spacing w:after="0"/>
              <w:rPr>
                <w:sz w:val="20"/>
                <w:szCs w:val="20"/>
                <w:color w:val="auto"/>
              </w:rPr>
            </w:pPr>
            <w:r>
              <w:rPr>
                <w:rFonts w:ascii="Arial" w:cs="Arial" w:eastAsia="Arial" w:hAnsi="Arial"/>
                <w:sz w:val="14"/>
                <w:szCs w:val="14"/>
                <w:color w:val="FFFFFF"/>
                <w:w w:val="99"/>
              </w:rPr>
              <w:t>40%</w:t>
            </w:r>
          </w:p>
        </w:tc>
        <w:tc>
          <w:tcPr>
            <w:tcW w:w="1380" w:type="dxa"/>
            <w:vAlign w:val="bottom"/>
            <w:shd w:val="clear" w:color="auto" w:fill="05C3DD"/>
          </w:tcPr>
          <w:p>
            <w:pPr>
              <w:ind w:left="20"/>
              <w:spacing w:after="0"/>
              <w:rPr>
                <w:sz w:val="20"/>
                <w:szCs w:val="20"/>
                <w:color w:val="auto"/>
              </w:rPr>
            </w:pPr>
            <w:r>
              <w:rPr>
                <w:rFonts w:ascii="Arial" w:cs="Arial" w:eastAsia="Arial" w:hAnsi="Arial"/>
                <w:sz w:val="14"/>
                <w:szCs w:val="14"/>
                <w:color w:val="FFFFFF"/>
              </w:rPr>
              <w:t>EBIT-adj Margin</w:t>
            </w:r>
          </w:p>
        </w:tc>
        <w:tc>
          <w:tcPr>
            <w:tcW w:w="1140" w:type="dxa"/>
            <w:vAlign w:val="bottom"/>
            <w:vMerge w:val="restart"/>
            <w:shd w:val="clear" w:color="auto" w:fill="05C3DD"/>
          </w:tcPr>
          <w:p>
            <w:pPr>
              <w:ind w:left="100"/>
              <w:spacing w:after="0"/>
              <w:rPr>
                <w:sz w:val="20"/>
                <w:szCs w:val="20"/>
                <w:color w:val="auto"/>
              </w:rPr>
            </w:pPr>
            <w:r>
              <w:rPr>
                <w:rFonts w:ascii="Arial" w:cs="Arial" w:eastAsia="Arial" w:hAnsi="Arial"/>
                <w:sz w:val="14"/>
                <w:szCs w:val="14"/>
                <w:color w:val="FFFFFF"/>
              </w:rPr>
              <w:t>0-200% with</w:t>
            </w:r>
          </w:p>
        </w:tc>
        <w:tc>
          <w:tcPr>
            <w:tcW w:w="580" w:type="dxa"/>
            <w:vAlign w:val="bottom"/>
            <w:tcBorders>
              <w:right w:val="single" w:sz="8" w:color="05C3DD"/>
            </w:tcBorders>
            <w:shd w:val="clear" w:color="auto" w:fill="05C3DD"/>
          </w:tcPr>
          <w:p>
            <w:pPr>
              <w:spacing w:after="0"/>
              <w:rPr>
                <w:sz w:val="20"/>
                <w:szCs w:val="20"/>
                <w:color w:val="auto"/>
              </w:rPr>
            </w:pPr>
          </w:p>
        </w:tc>
        <w:tc>
          <w:tcPr>
            <w:tcW w:w="400" w:type="dxa"/>
            <w:vAlign w:val="bottom"/>
            <w:shd w:val="clear" w:color="auto" w:fill="05C3DD"/>
          </w:tcPr>
          <w:p>
            <w:pPr>
              <w:spacing w:after="0"/>
              <w:rPr>
                <w:sz w:val="20"/>
                <w:szCs w:val="20"/>
                <w:color w:val="auto"/>
              </w:rPr>
            </w:pPr>
          </w:p>
        </w:tc>
        <w:tc>
          <w:tcPr>
            <w:tcW w:w="140" w:type="dxa"/>
            <w:vAlign w:val="bottom"/>
            <w:shd w:val="clear" w:color="auto" w:fill="05C3DD"/>
          </w:tcPr>
          <w:p>
            <w:pPr>
              <w:spacing w:after="0"/>
              <w:rPr>
                <w:sz w:val="20"/>
                <w:szCs w:val="20"/>
                <w:color w:val="auto"/>
              </w:rPr>
            </w:pPr>
          </w:p>
        </w:tc>
        <w:tc>
          <w:tcPr>
            <w:tcW w:w="380" w:type="dxa"/>
            <w:vAlign w:val="bottom"/>
            <w:tcBorders>
              <w:right w:val="single" w:sz="8" w:color="05C3DD"/>
            </w:tcBorders>
            <w:shd w:val="clear" w:color="auto" w:fill="05C3DD"/>
          </w:tcPr>
          <w:p>
            <w:pPr>
              <w:spacing w:after="0"/>
              <w:rPr>
                <w:sz w:val="20"/>
                <w:szCs w:val="20"/>
                <w:color w:val="auto"/>
              </w:rPr>
            </w:pPr>
          </w:p>
        </w:tc>
        <w:tc>
          <w:tcPr>
            <w:tcW w:w="220" w:type="dxa"/>
            <w:vAlign w:val="bottom"/>
            <w:shd w:val="clear" w:color="auto" w:fill="05C3DD"/>
          </w:tcPr>
          <w:p>
            <w:pPr>
              <w:spacing w:after="0"/>
              <w:rPr>
                <w:sz w:val="20"/>
                <w:szCs w:val="20"/>
                <w:color w:val="auto"/>
              </w:rPr>
            </w:pPr>
          </w:p>
        </w:tc>
        <w:tc>
          <w:tcPr>
            <w:tcW w:w="140" w:type="dxa"/>
            <w:vAlign w:val="bottom"/>
            <w:shd w:val="clear" w:color="auto" w:fill="05C3DD"/>
          </w:tcPr>
          <w:p>
            <w:pPr>
              <w:spacing w:after="0"/>
              <w:rPr>
                <w:sz w:val="20"/>
                <w:szCs w:val="20"/>
                <w:color w:val="auto"/>
              </w:rPr>
            </w:pPr>
          </w:p>
        </w:tc>
        <w:tc>
          <w:tcPr>
            <w:tcW w:w="380" w:type="dxa"/>
            <w:vAlign w:val="bottom"/>
            <w:tcBorders>
              <w:right w:val="single" w:sz="8" w:color="3D3935"/>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
        </w:trPr>
        <w:tc>
          <w:tcPr>
            <w:tcW w:w="14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520" w:type="dxa"/>
            <w:vAlign w:val="bottom"/>
            <w:gridSpan w:val="2"/>
            <w:vMerge w:val="restart"/>
            <w:shd w:val="clear" w:color="auto" w:fill="05C3DD"/>
          </w:tcPr>
          <w:p>
            <w:pPr>
              <w:ind w:left="120"/>
              <w:spacing w:after="0"/>
              <w:rPr>
                <w:sz w:val="20"/>
                <w:szCs w:val="20"/>
                <w:color w:val="auto"/>
              </w:rPr>
            </w:pPr>
            <w:r>
              <w:rPr>
                <w:rFonts w:ascii="Arial" w:cs="Arial" w:eastAsia="Arial" w:hAnsi="Arial"/>
                <w:sz w:val="14"/>
                <w:szCs w:val="14"/>
                <w:color w:val="FFFFFF"/>
              </w:rPr>
              <w:t>1/1/2023 to</w:t>
            </w:r>
          </w:p>
        </w:tc>
        <w:tc>
          <w:tcPr>
            <w:tcW w:w="480" w:type="dxa"/>
            <w:vAlign w:val="bottom"/>
            <w:vMerge w:val="restart"/>
            <w:shd w:val="clear" w:color="auto" w:fill="05C3DD"/>
          </w:tcPr>
          <w:p>
            <w:pPr>
              <w:ind w:left="180"/>
              <w:spacing w:after="0"/>
              <w:rPr>
                <w:sz w:val="20"/>
                <w:szCs w:val="20"/>
                <w:color w:val="auto"/>
              </w:rPr>
            </w:pPr>
            <w:r>
              <w:rPr>
                <w:rFonts w:ascii="Arial" w:cs="Arial" w:eastAsia="Arial" w:hAnsi="Arial"/>
                <w:sz w:val="14"/>
                <w:szCs w:val="14"/>
                <w:color w:val="FFFFFF"/>
                <w:w w:val="99"/>
              </w:rPr>
              <w:t>40%</w:t>
            </w:r>
          </w:p>
        </w:tc>
        <w:tc>
          <w:tcPr>
            <w:tcW w:w="1380" w:type="dxa"/>
            <w:vAlign w:val="bottom"/>
            <w:vMerge w:val="restart"/>
            <w:shd w:val="clear" w:color="auto" w:fill="05C3DD"/>
          </w:tcPr>
          <w:p>
            <w:pPr>
              <w:ind w:left="20"/>
              <w:spacing w:after="0"/>
              <w:rPr>
                <w:sz w:val="20"/>
                <w:szCs w:val="20"/>
                <w:color w:val="auto"/>
              </w:rPr>
            </w:pPr>
            <w:r>
              <w:rPr>
                <w:rFonts w:ascii="Arial" w:cs="Arial" w:eastAsia="Arial" w:hAnsi="Arial"/>
                <w:sz w:val="14"/>
                <w:szCs w:val="14"/>
                <w:color w:val="FFFFFF"/>
              </w:rPr>
              <w:t>Relative TSR</w:t>
            </w:r>
          </w:p>
        </w:tc>
        <w:tc>
          <w:tcPr>
            <w:tcW w:w="1140" w:type="dxa"/>
            <w:vAlign w:val="bottom"/>
            <w:vMerge w:val="continue"/>
            <w:shd w:val="clear" w:color="auto" w:fill="05C3DD"/>
          </w:tcPr>
          <w:p>
            <w:pPr>
              <w:spacing w:after="0"/>
              <w:rPr>
                <w:sz w:val="7"/>
                <w:szCs w:val="7"/>
                <w:color w:val="auto"/>
              </w:rPr>
            </w:pPr>
          </w:p>
        </w:tc>
        <w:tc>
          <w:tcPr>
            <w:tcW w:w="580" w:type="dxa"/>
            <w:vAlign w:val="bottom"/>
            <w:tcBorders>
              <w:right w:val="single" w:sz="8" w:color="05C3DD"/>
            </w:tcBorders>
            <w:shd w:val="clear" w:color="auto" w:fill="05C3DD"/>
          </w:tcPr>
          <w:p>
            <w:pPr>
              <w:spacing w:after="0"/>
              <w:rPr>
                <w:sz w:val="7"/>
                <w:szCs w:val="7"/>
                <w:color w:val="auto"/>
              </w:rPr>
            </w:pPr>
          </w:p>
        </w:tc>
        <w:tc>
          <w:tcPr>
            <w:tcW w:w="400" w:type="dxa"/>
            <w:vAlign w:val="bottom"/>
            <w:shd w:val="clear" w:color="auto" w:fill="05C3DD"/>
          </w:tcPr>
          <w:p>
            <w:pPr>
              <w:spacing w:after="0"/>
              <w:rPr>
                <w:sz w:val="7"/>
                <w:szCs w:val="7"/>
                <w:color w:val="auto"/>
              </w:rPr>
            </w:pPr>
          </w:p>
        </w:tc>
        <w:tc>
          <w:tcPr>
            <w:tcW w:w="740" w:type="dxa"/>
            <w:vAlign w:val="bottom"/>
            <w:gridSpan w:val="3"/>
            <w:vMerge w:val="restart"/>
            <w:shd w:val="clear" w:color="auto" w:fill="05C3DD"/>
          </w:tcPr>
          <w:p>
            <w:pPr>
              <w:jc w:val="right"/>
              <w:ind w:right="80"/>
              <w:spacing w:after="0"/>
              <w:rPr>
                <w:sz w:val="20"/>
                <w:szCs w:val="20"/>
                <w:color w:val="auto"/>
              </w:rPr>
            </w:pPr>
            <w:r>
              <w:rPr>
                <w:rFonts w:ascii="Arial" w:cs="Arial" w:eastAsia="Arial" w:hAnsi="Arial"/>
                <w:sz w:val="14"/>
                <w:szCs w:val="14"/>
                <w:color w:val="FFFFFF"/>
              </w:rPr>
              <w:t>2/7/2026</w:t>
            </w:r>
          </w:p>
        </w:tc>
        <w:tc>
          <w:tcPr>
            <w:tcW w:w="140" w:type="dxa"/>
            <w:vAlign w:val="bottom"/>
            <w:shd w:val="clear" w:color="auto" w:fill="05C3DD"/>
          </w:tcPr>
          <w:p>
            <w:pPr>
              <w:spacing w:after="0"/>
              <w:rPr>
                <w:sz w:val="7"/>
                <w:szCs w:val="7"/>
                <w:color w:val="auto"/>
              </w:rPr>
            </w:pPr>
          </w:p>
        </w:tc>
        <w:tc>
          <w:tcPr>
            <w:tcW w:w="380" w:type="dxa"/>
            <w:vAlign w:val="bottom"/>
            <w:tcBorders>
              <w:right w:val="single" w:sz="8" w:color="3D3935"/>
            </w:tcBorders>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460" w:type="dxa"/>
            <w:vAlign w:val="bottom"/>
            <w:vMerge w:val="restart"/>
          </w:tcPr>
          <w:p>
            <w:pPr>
              <w:jc w:val="right"/>
              <w:ind w:right="468"/>
              <w:spacing w:after="0"/>
              <w:rPr>
                <w:sz w:val="20"/>
                <w:szCs w:val="20"/>
                <w:color w:val="auto"/>
              </w:rPr>
            </w:pPr>
            <w:r>
              <w:rPr>
                <w:rFonts w:ascii="Arial" w:cs="Arial" w:eastAsia="Arial" w:hAnsi="Arial"/>
                <w:sz w:val="14"/>
                <w:szCs w:val="14"/>
                <w:color w:val="3D3935"/>
              </w:rPr>
              <w:t>PSUs</w:t>
            </w:r>
          </w:p>
        </w:tc>
        <w:tc>
          <w:tcPr>
            <w:tcW w:w="520" w:type="dxa"/>
            <w:vAlign w:val="bottom"/>
          </w:tcPr>
          <w:p>
            <w:pPr>
              <w:spacing w:after="0"/>
              <w:rPr>
                <w:sz w:val="8"/>
                <w:szCs w:val="8"/>
                <w:color w:val="auto"/>
              </w:rPr>
            </w:pPr>
          </w:p>
        </w:tc>
        <w:tc>
          <w:tcPr>
            <w:tcW w:w="1520" w:type="dxa"/>
            <w:vAlign w:val="bottom"/>
            <w:gridSpan w:val="2"/>
            <w:vMerge w:val="continue"/>
            <w:shd w:val="clear" w:color="auto" w:fill="05C3DD"/>
          </w:tcPr>
          <w:p>
            <w:pPr>
              <w:spacing w:after="0"/>
              <w:rPr>
                <w:sz w:val="8"/>
                <w:szCs w:val="8"/>
                <w:color w:val="auto"/>
              </w:rPr>
            </w:pPr>
          </w:p>
        </w:tc>
        <w:tc>
          <w:tcPr>
            <w:tcW w:w="480" w:type="dxa"/>
            <w:vAlign w:val="bottom"/>
            <w:vMerge w:val="continue"/>
            <w:shd w:val="clear" w:color="auto" w:fill="05C3DD"/>
          </w:tcPr>
          <w:p>
            <w:pPr>
              <w:spacing w:after="0"/>
              <w:rPr>
                <w:sz w:val="8"/>
                <w:szCs w:val="8"/>
                <w:color w:val="auto"/>
              </w:rPr>
            </w:pPr>
          </w:p>
        </w:tc>
        <w:tc>
          <w:tcPr>
            <w:tcW w:w="1380" w:type="dxa"/>
            <w:vAlign w:val="bottom"/>
            <w:vMerge w:val="continue"/>
            <w:shd w:val="clear" w:color="auto" w:fill="05C3DD"/>
          </w:tcPr>
          <w:p>
            <w:pPr>
              <w:spacing w:after="0"/>
              <w:rPr>
                <w:sz w:val="8"/>
                <w:szCs w:val="8"/>
                <w:color w:val="auto"/>
              </w:rPr>
            </w:pPr>
          </w:p>
        </w:tc>
        <w:tc>
          <w:tcPr>
            <w:tcW w:w="1140" w:type="dxa"/>
            <w:vAlign w:val="bottom"/>
            <w:shd w:val="clear" w:color="auto" w:fill="05C3DD"/>
          </w:tcPr>
          <w:p>
            <w:pPr>
              <w:ind w:left="860"/>
              <w:spacing w:after="0" w:line="93" w:lineRule="exact"/>
              <w:rPr>
                <w:sz w:val="20"/>
                <w:szCs w:val="20"/>
                <w:color w:val="auto"/>
              </w:rPr>
            </w:pPr>
            <w:r>
              <w:rPr>
                <w:rFonts w:ascii="Arial" w:cs="Arial" w:eastAsia="Arial" w:hAnsi="Arial"/>
                <w:sz w:val="9"/>
                <w:szCs w:val="9"/>
                <w:color w:val="FFFFFF"/>
              </w:rPr>
              <w:t>(3))</w:t>
            </w:r>
          </w:p>
        </w:tc>
        <w:tc>
          <w:tcPr>
            <w:tcW w:w="580" w:type="dxa"/>
            <w:vAlign w:val="bottom"/>
            <w:tcBorders>
              <w:right w:val="single" w:sz="8" w:color="05C3DD"/>
            </w:tcBorders>
            <w:shd w:val="clear" w:color="auto" w:fill="05C3DD"/>
          </w:tcPr>
          <w:p>
            <w:pPr>
              <w:spacing w:after="0"/>
              <w:rPr>
                <w:sz w:val="8"/>
                <w:szCs w:val="8"/>
                <w:color w:val="auto"/>
              </w:rPr>
            </w:pPr>
          </w:p>
        </w:tc>
        <w:tc>
          <w:tcPr>
            <w:tcW w:w="400" w:type="dxa"/>
            <w:vAlign w:val="bottom"/>
            <w:shd w:val="clear" w:color="auto" w:fill="05C3DD"/>
          </w:tcPr>
          <w:p>
            <w:pPr>
              <w:spacing w:after="0"/>
              <w:rPr>
                <w:sz w:val="8"/>
                <w:szCs w:val="8"/>
                <w:color w:val="auto"/>
              </w:rPr>
            </w:pPr>
          </w:p>
        </w:tc>
        <w:tc>
          <w:tcPr>
            <w:tcW w:w="740" w:type="dxa"/>
            <w:vAlign w:val="bottom"/>
            <w:gridSpan w:val="3"/>
            <w:vMerge w:val="continue"/>
            <w:shd w:val="clear" w:color="auto" w:fill="05C3DD"/>
          </w:tcPr>
          <w:p>
            <w:pPr>
              <w:spacing w:after="0"/>
              <w:rPr>
                <w:sz w:val="8"/>
                <w:szCs w:val="8"/>
                <w:color w:val="auto"/>
              </w:rPr>
            </w:pPr>
          </w:p>
        </w:tc>
        <w:tc>
          <w:tcPr>
            <w:tcW w:w="140" w:type="dxa"/>
            <w:vAlign w:val="bottom"/>
            <w:shd w:val="clear" w:color="auto" w:fill="05C3DD"/>
          </w:tcPr>
          <w:p>
            <w:pPr>
              <w:spacing w:after="0"/>
              <w:rPr>
                <w:sz w:val="8"/>
                <w:szCs w:val="8"/>
                <w:color w:val="auto"/>
              </w:rPr>
            </w:pPr>
          </w:p>
        </w:tc>
        <w:tc>
          <w:tcPr>
            <w:tcW w:w="380" w:type="dxa"/>
            <w:vAlign w:val="bottom"/>
            <w:tcBorders>
              <w:right w:val="single" w:sz="8" w:color="3D3935"/>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46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520" w:type="dxa"/>
            <w:vAlign w:val="bottom"/>
            <w:gridSpan w:val="2"/>
            <w:vMerge w:val="restart"/>
            <w:shd w:val="clear" w:color="auto" w:fill="05C3DD"/>
          </w:tcPr>
          <w:p>
            <w:pPr>
              <w:ind w:left="120"/>
              <w:spacing w:after="0"/>
              <w:rPr>
                <w:sz w:val="20"/>
                <w:szCs w:val="20"/>
                <w:color w:val="auto"/>
              </w:rPr>
            </w:pPr>
            <w:r>
              <w:rPr>
                <w:rFonts w:ascii="Arial" w:cs="Arial" w:eastAsia="Arial" w:hAnsi="Arial"/>
                <w:sz w:val="14"/>
                <w:szCs w:val="14"/>
                <w:color w:val="FFFFFF"/>
              </w:rPr>
              <w:t>12/31/2025</w:t>
            </w:r>
          </w:p>
        </w:tc>
        <w:tc>
          <w:tcPr>
            <w:tcW w:w="480" w:type="dxa"/>
            <w:vAlign w:val="bottom"/>
            <w:vMerge w:val="restart"/>
            <w:shd w:val="clear" w:color="auto" w:fill="05C3DD"/>
          </w:tcPr>
          <w:p>
            <w:pPr>
              <w:ind w:left="180"/>
              <w:spacing w:after="0"/>
              <w:rPr>
                <w:sz w:val="20"/>
                <w:szCs w:val="20"/>
                <w:color w:val="auto"/>
              </w:rPr>
            </w:pPr>
            <w:r>
              <w:rPr>
                <w:rFonts w:ascii="Arial" w:cs="Arial" w:eastAsia="Arial" w:hAnsi="Arial"/>
                <w:sz w:val="14"/>
                <w:szCs w:val="14"/>
                <w:color w:val="FFFFFF"/>
                <w:w w:val="99"/>
              </w:rPr>
              <w:t>20%</w:t>
            </w:r>
          </w:p>
        </w:tc>
        <w:tc>
          <w:tcPr>
            <w:tcW w:w="1380" w:type="dxa"/>
            <w:vAlign w:val="bottom"/>
            <w:vMerge w:val="restart"/>
            <w:shd w:val="clear" w:color="auto" w:fill="05C3DD"/>
          </w:tcPr>
          <w:p>
            <w:pPr>
              <w:ind w:left="20"/>
              <w:spacing w:after="0"/>
              <w:rPr>
                <w:sz w:val="20"/>
                <w:szCs w:val="20"/>
                <w:color w:val="auto"/>
              </w:rPr>
            </w:pPr>
            <w:r>
              <w:rPr>
                <w:rFonts w:ascii="Arial" w:cs="Arial" w:eastAsia="Arial" w:hAnsi="Arial"/>
                <w:sz w:val="14"/>
                <w:szCs w:val="14"/>
                <w:color w:val="FFFFFF"/>
              </w:rPr>
              <w:t>EV Measures</w:t>
            </w:r>
            <w:r>
              <w:rPr>
                <w:rFonts w:ascii="Arial" w:cs="Arial" w:eastAsia="Arial" w:hAnsi="Arial"/>
                <w:sz w:val="18"/>
                <w:szCs w:val="18"/>
                <w:color w:val="FFFFFF"/>
                <w:vertAlign w:val="superscript"/>
              </w:rPr>
              <w:t>(2)</w:t>
            </w:r>
          </w:p>
        </w:tc>
        <w:tc>
          <w:tcPr>
            <w:tcW w:w="1140" w:type="dxa"/>
            <w:vAlign w:val="bottom"/>
            <w:vMerge w:val="restart"/>
            <w:shd w:val="clear" w:color="auto" w:fill="05C3DD"/>
          </w:tcPr>
          <w:p>
            <w:pPr>
              <w:ind w:left="100"/>
              <w:spacing w:after="0"/>
              <w:rPr>
                <w:sz w:val="20"/>
                <w:szCs w:val="20"/>
                <w:color w:val="auto"/>
              </w:rPr>
            </w:pPr>
            <w:r>
              <w:rPr>
                <w:rFonts w:ascii="Arial" w:cs="Arial" w:eastAsia="Arial" w:hAnsi="Arial"/>
                <w:sz w:val="14"/>
                <w:szCs w:val="14"/>
                <w:color w:val="FFFFFF"/>
              </w:rPr>
              <w:t>Payout Cap</w:t>
            </w:r>
          </w:p>
        </w:tc>
        <w:tc>
          <w:tcPr>
            <w:tcW w:w="580" w:type="dxa"/>
            <w:vAlign w:val="bottom"/>
            <w:tcBorders>
              <w:right w:val="single" w:sz="8" w:color="05C3DD"/>
            </w:tcBorders>
            <w:shd w:val="clear" w:color="auto" w:fill="05C3DD"/>
          </w:tcPr>
          <w:p>
            <w:pPr>
              <w:spacing w:after="0"/>
              <w:rPr>
                <w:sz w:val="8"/>
                <w:szCs w:val="8"/>
                <w:color w:val="auto"/>
              </w:rPr>
            </w:pPr>
          </w:p>
        </w:tc>
        <w:tc>
          <w:tcPr>
            <w:tcW w:w="400" w:type="dxa"/>
            <w:vAlign w:val="bottom"/>
            <w:shd w:val="clear" w:color="auto" w:fill="05C3DD"/>
          </w:tcPr>
          <w:p>
            <w:pPr>
              <w:spacing w:after="0"/>
              <w:rPr>
                <w:sz w:val="8"/>
                <w:szCs w:val="8"/>
                <w:color w:val="auto"/>
              </w:rPr>
            </w:pPr>
          </w:p>
        </w:tc>
        <w:tc>
          <w:tcPr>
            <w:tcW w:w="140" w:type="dxa"/>
            <w:vAlign w:val="bottom"/>
            <w:shd w:val="clear" w:color="auto" w:fill="05C3DD"/>
          </w:tcPr>
          <w:p>
            <w:pPr>
              <w:spacing w:after="0"/>
              <w:rPr>
                <w:sz w:val="8"/>
                <w:szCs w:val="8"/>
                <w:color w:val="auto"/>
              </w:rPr>
            </w:pPr>
          </w:p>
        </w:tc>
        <w:tc>
          <w:tcPr>
            <w:tcW w:w="380" w:type="dxa"/>
            <w:vAlign w:val="bottom"/>
            <w:tcBorders>
              <w:right w:val="single" w:sz="8" w:color="05C3DD"/>
            </w:tcBorders>
            <w:shd w:val="clear" w:color="auto" w:fill="05C3DD"/>
          </w:tcPr>
          <w:p>
            <w:pPr>
              <w:spacing w:after="0"/>
              <w:rPr>
                <w:sz w:val="8"/>
                <w:szCs w:val="8"/>
                <w:color w:val="auto"/>
              </w:rPr>
            </w:pPr>
          </w:p>
        </w:tc>
        <w:tc>
          <w:tcPr>
            <w:tcW w:w="220" w:type="dxa"/>
            <w:vAlign w:val="bottom"/>
            <w:shd w:val="clear" w:color="auto" w:fill="05C3DD"/>
          </w:tcPr>
          <w:p>
            <w:pPr>
              <w:spacing w:after="0"/>
              <w:rPr>
                <w:sz w:val="8"/>
                <w:szCs w:val="8"/>
                <w:color w:val="auto"/>
              </w:rPr>
            </w:pPr>
          </w:p>
        </w:tc>
        <w:tc>
          <w:tcPr>
            <w:tcW w:w="140" w:type="dxa"/>
            <w:vAlign w:val="bottom"/>
            <w:shd w:val="clear" w:color="auto" w:fill="05C3DD"/>
          </w:tcPr>
          <w:p>
            <w:pPr>
              <w:spacing w:after="0"/>
              <w:rPr>
                <w:sz w:val="8"/>
                <w:szCs w:val="8"/>
                <w:color w:val="auto"/>
              </w:rPr>
            </w:pPr>
          </w:p>
        </w:tc>
        <w:tc>
          <w:tcPr>
            <w:tcW w:w="380" w:type="dxa"/>
            <w:vAlign w:val="bottom"/>
            <w:tcBorders>
              <w:right w:val="single" w:sz="8" w:color="3D3935"/>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520" w:type="dxa"/>
            <w:vAlign w:val="bottom"/>
            <w:gridSpan w:val="2"/>
            <w:vMerge w:val="continue"/>
            <w:shd w:val="clear" w:color="auto" w:fill="05C3DD"/>
          </w:tcPr>
          <w:p>
            <w:pPr>
              <w:spacing w:after="0"/>
              <w:rPr>
                <w:sz w:val="10"/>
                <w:szCs w:val="10"/>
                <w:color w:val="auto"/>
              </w:rPr>
            </w:pPr>
          </w:p>
        </w:tc>
        <w:tc>
          <w:tcPr>
            <w:tcW w:w="480" w:type="dxa"/>
            <w:vAlign w:val="bottom"/>
            <w:vMerge w:val="continue"/>
            <w:shd w:val="clear" w:color="auto" w:fill="05C3DD"/>
          </w:tcPr>
          <w:p>
            <w:pPr>
              <w:spacing w:after="0"/>
              <w:rPr>
                <w:sz w:val="10"/>
                <w:szCs w:val="10"/>
                <w:color w:val="auto"/>
              </w:rPr>
            </w:pPr>
          </w:p>
        </w:tc>
        <w:tc>
          <w:tcPr>
            <w:tcW w:w="1380" w:type="dxa"/>
            <w:vAlign w:val="bottom"/>
            <w:vMerge w:val="continue"/>
            <w:shd w:val="clear" w:color="auto" w:fill="05C3DD"/>
          </w:tcPr>
          <w:p>
            <w:pPr>
              <w:spacing w:after="0"/>
              <w:rPr>
                <w:sz w:val="10"/>
                <w:szCs w:val="10"/>
                <w:color w:val="auto"/>
              </w:rPr>
            </w:pPr>
          </w:p>
        </w:tc>
        <w:tc>
          <w:tcPr>
            <w:tcW w:w="1140" w:type="dxa"/>
            <w:vAlign w:val="bottom"/>
            <w:vMerge w:val="continue"/>
            <w:shd w:val="clear" w:color="auto" w:fill="05C3DD"/>
          </w:tcPr>
          <w:p>
            <w:pPr>
              <w:spacing w:after="0"/>
              <w:rPr>
                <w:sz w:val="10"/>
                <w:szCs w:val="10"/>
                <w:color w:val="auto"/>
              </w:rPr>
            </w:pPr>
          </w:p>
        </w:tc>
        <w:tc>
          <w:tcPr>
            <w:tcW w:w="580" w:type="dxa"/>
            <w:vAlign w:val="bottom"/>
            <w:tcBorders>
              <w:right w:val="single" w:sz="8" w:color="05C3DD"/>
            </w:tcBorders>
            <w:shd w:val="clear" w:color="auto" w:fill="05C3DD"/>
          </w:tcPr>
          <w:p>
            <w:pPr>
              <w:spacing w:after="0"/>
              <w:rPr>
                <w:sz w:val="10"/>
                <w:szCs w:val="10"/>
                <w:color w:val="auto"/>
              </w:rPr>
            </w:pPr>
          </w:p>
        </w:tc>
        <w:tc>
          <w:tcPr>
            <w:tcW w:w="400" w:type="dxa"/>
            <w:vAlign w:val="bottom"/>
            <w:shd w:val="clear" w:color="auto" w:fill="05C3DD"/>
          </w:tcPr>
          <w:p>
            <w:pPr>
              <w:spacing w:after="0"/>
              <w:rPr>
                <w:sz w:val="10"/>
                <w:szCs w:val="10"/>
                <w:color w:val="auto"/>
              </w:rPr>
            </w:pPr>
          </w:p>
        </w:tc>
        <w:tc>
          <w:tcPr>
            <w:tcW w:w="140" w:type="dxa"/>
            <w:vAlign w:val="bottom"/>
            <w:shd w:val="clear" w:color="auto" w:fill="05C3DD"/>
          </w:tcPr>
          <w:p>
            <w:pPr>
              <w:spacing w:after="0"/>
              <w:rPr>
                <w:sz w:val="10"/>
                <w:szCs w:val="10"/>
                <w:color w:val="auto"/>
              </w:rPr>
            </w:pPr>
          </w:p>
        </w:tc>
        <w:tc>
          <w:tcPr>
            <w:tcW w:w="380" w:type="dxa"/>
            <w:vAlign w:val="bottom"/>
            <w:tcBorders>
              <w:right w:val="single" w:sz="8" w:color="05C3DD"/>
            </w:tcBorders>
            <w:shd w:val="clear" w:color="auto" w:fill="05C3DD"/>
          </w:tcPr>
          <w:p>
            <w:pPr>
              <w:spacing w:after="0"/>
              <w:rPr>
                <w:sz w:val="10"/>
                <w:szCs w:val="10"/>
                <w:color w:val="auto"/>
              </w:rPr>
            </w:pPr>
          </w:p>
        </w:tc>
        <w:tc>
          <w:tcPr>
            <w:tcW w:w="220" w:type="dxa"/>
            <w:vAlign w:val="bottom"/>
            <w:shd w:val="clear" w:color="auto" w:fill="05C3DD"/>
          </w:tcPr>
          <w:p>
            <w:pPr>
              <w:spacing w:after="0"/>
              <w:rPr>
                <w:sz w:val="10"/>
                <w:szCs w:val="10"/>
                <w:color w:val="auto"/>
              </w:rPr>
            </w:pPr>
          </w:p>
        </w:tc>
        <w:tc>
          <w:tcPr>
            <w:tcW w:w="140" w:type="dxa"/>
            <w:vAlign w:val="bottom"/>
            <w:shd w:val="clear" w:color="auto" w:fill="05C3DD"/>
          </w:tcPr>
          <w:p>
            <w:pPr>
              <w:spacing w:after="0"/>
              <w:rPr>
                <w:sz w:val="10"/>
                <w:szCs w:val="10"/>
                <w:color w:val="auto"/>
              </w:rPr>
            </w:pPr>
          </w:p>
        </w:tc>
        <w:tc>
          <w:tcPr>
            <w:tcW w:w="380" w:type="dxa"/>
            <w:vAlign w:val="bottom"/>
            <w:tcBorders>
              <w:right w:val="single" w:sz="8" w:color="3D3935"/>
            </w:tcBorders>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60" w:type="dxa"/>
            <w:vAlign w:val="bottom"/>
            <w:gridSpan w:val="2"/>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Borders>
              <w:right w:val="single" w:sz="8" w:color="3D3935"/>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1460" w:type="dxa"/>
            <w:vAlign w:val="bottom"/>
            <w:vMerge w:val="restart"/>
          </w:tcPr>
          <w:p>
            <w:pPr>
              <w:jc w:val="right"/>
              <w:ind w:right="368"/>
              <w:spacing w:after="0"/>
              <w:rPr>
                <w:sz w:val="20"/>
                <w:szCs w:val="20"/>
                <w:color w:val="auto"/>
              </w:rPr>
            </w:pPr>
            <w:r>
              <w:rPr>
                <w:rFonts w:ascii="Arial" w:cs="Arial" w:eastAsia="Arial" w:hAnsi="Arial"/>
                <w:sz w:val="14"/>
                <w:szCs w:val="14"/>
                <w:color w:val="3D3935"/>
              </w:rPr>
              <w:t>2024-2026</w:t>
            </w: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shd w:val="clear" w:color="auto" w:fill="0072CE"/>
          </w:tcPr>
          <w:p>
            <w:pPr>
              <w:ind w:left="120"/>
              <w:spacing w:after="0"/>
              <w:rPr>
                <w:sz w:val="20"/>
                <w:szCs w:val="20"/>
                <w:color w:val="auto"/>
              </w:rPr>
            </w:pPr>
            <w:r>
              <w:rPr>
                <w:rFonts w:ascii="Arial" w:cs="Arial" w:eastAsia="Arial" w:hAnsi="Arial"/>
                <w:sz w:val="14"/>
                <w:szCs w:val="14"/>
                <w:color w:val="FFFFFF"/>
              </w:rPr>
              <w:t>3 Years</w:t>
            </w:r>
          </w:p>
        </w:tc>
        <w:tc>
          <w:tcPr>
            <w:tcW w:w="1860" w:type="dxa"/>
            <w:vAlign w:val="bottom"/>
            <w:gridSpan w:val="2"/>
            <w:shd w:val="clear" w:color="auto" w:fill="0072CE"/>
          </w:tcPr>
          <w:p>
            <w:pPr>
              <w:ind w:left="180"/>
              <w:spacing w:after="0"/>
              <w:rPr>
                <w:sz w:val="20"/>
                <w:szCs w:val="20"/>
                <w:color w:val="auto"/>
              </w:rPr>
            </w:pPr>
            <w:r>
              <w:rPr>
                <w:rFonts w:ascii="Arial" w:cs="Arial" w:eastAsia="Arial" w:hAnsi="Arial"/>
                <w:sz w:val="14"/>
                <w:szCs w:val="14"/>
                <w:color w:val="FFFFFF"/>
              </w:rPr>
              <w:t>40% Cumulative AAOCF</w:t>
            </w:r>
          </w:p>
        </w:tc>
        <w:tc>
          <w:tcPr>
            <w:tcW w:w="1140" w:type="dxa"/>
            <w:vAlign w:val="bottom"/>
            <w:vMerge w:val="restart"/>
            <w:shd w:val="clear" w:color="auto" w:fill="0072CE"/>
          </w:tcPr>
          <w:p>
            <w:pPr>
              <w:ind w:left="100"/>
              <w:spacing w:after="0"/>
              <w:rPr>
                <w:sz w:val="20"/>
                <w:szCs w:val="20"/>
                <w:color w:val="auto"/>
              </w:rPr>
            </w:pPr>
            <w:r>
              <w:rPr>
                <w:rFonts w:ascii="Arial" w:cs="Arial" w:eastAsia="Arial" w:hAnsi="Arial"/>
                <w:sz w:val="14"/>
                <w:szCs w:val="14"/>
                <w:color w:val="FFFFFF"/>
              </w:rPr>
              <w:t>0-200% with</w:t>
            </w:r>
          </w:p>
        </w:tc>
        <w:tc>
          <w:tcPr>
            <w:tcW w:w="580" w:type="dxa"/>
            <w:vAlign w:val="bottom"/>
            <w:tcBorders>
              <w:right w:val="single" w:sz="8" w:color="0072CE"/>
            </w:tcBorders>
            <w:shd w:val="clear" w:color="auto" w:fill="0072CE"/>
          </w:tcPr>
          <w:p>
            <w:pPr>
              <w:spacing w:after="0"/>
              <w:rPr>
                <w:sz w:val="20"/>
                <w:szCs w:val="20"/>
                <w:color w:val="auto"/>
              </w:rPr>
            </w:pPr>
          </w:p>
        </w:tc>
        <w:tc>
          <w:tcPr>
            <w:tcW w:w="400" w:type="dxa"/>
            <w:vAlign w:val="bottom"/>
            <w:shd w:val="clear" w:color="auto" w:fill="0072CE"/>
          </w:tcPr>
          <w:p>
            <w:pPr>
              <w:spacing w:after="0"/>
              <w:rPr>
                <w:sz w:val="20"/>
                <w:szCs w:val="20"/>
                <w:color w:val="auto"/>
              </w:rPr>
            </w:pPr>
          </w:p>
        </w:tc>
        <w:tc>
          <w:tcPr>
            <w:tcW w:w="140" w:type="dxa"/>
            <w:vAlign w:val="bottom"/>
            <w:shd w:val="clear" w:color="auto" w:fill="0072CE"/>
          </w:tcPr>
          <w:p>
            <w:pPr>
              <w:spacing w:after="0"/>
              <w:rPr>
                <w:sz w:val="20"/>
                <w:szCs w:val="20"/>
                <w:color w:val="auto"/>
              </w:rPr>
            </w:pPr>
          </w:p>
        </w:tc>
        <w:tc>
          <w:tcPr>
            <w:tcW w:w="380" w:type="dxa"/>
            <w:vAlign w:val="bottom"/>
            <w:tcBorders>
              <w:right w:val="single" w:sz="8" w:color="0072CE"/>
            </w:tcBorders>
            <w:shd w:val="clear" w:color="auto" w:fill="0072CE"/>
          </w:tcPr>
          <w:p>
            <w:pPr>
              <w:spacing w:after="0"/>
              <w:rPr>
                <w:sz w:val="20"/>
                <w:szCs w:val="20"/>
                <w:color w:val="auto"/>
              </w:rPr>
            </w:pPr>
          </w:p>
        </w:tc>
        <w:tc>
          <w:tcPr>
            <w:tcW w:w="220" w:type="dxa"/>
            <w:vAlign w:val="bottom"/>
            <w:shd w:val="clear" w:color="auto" w:fill="0072CE"/>
          </w:tcPr>
          <w:p>
            <w:pPr>
              <w:spacing w:after="0"/>
              <w:rPr>
                <w:sz w:val="20"/>
                <w:szCs w:val="20"/>
                <w:color w:val="auto"/>
              </w:rPr>
            </w:pPr>
          </w:p>
        </w:tc>
        <w:tc>
          <w:tcPr>
            <w:tcW w:w="140" w:type="dxa"/>
            <w:vAlign w:val="bottom"/>
            <w:shd w:val="clear" w:color="auto" w:fill="0072CE"/>
          </w:tcPr>
          <w:p>
            <w:pPr>
              <w:spacing w:after="0"/>
              <w:rPr>
                <w:sz w:val="20"/>
                <w:szCs w:val="20"/>
                <w:color w:val="auto"/>
              </w:rPr>
            </w:pPr>
          </w:p>
        </w:tc>
        <w:tc>
          <w:tcPr>
            <w:tcW w:w="380" w:type="dxa"/>
            <w:vAlign w:val="bottom"/>
            <w:tcBorders>
              <w:right w:val="single" w:sz="8" w:color="0072CE"/>
            </w:tcBorders>
            <w:shd w:val="clear" w:color="auto" w:fill="0072CE"/>
          </w:tcPr>
          <w:p>
            <w:pPr>
              <w:spacing w:after="0"/>
              <w:rPr>
                <w:sz w:val="20"/>
                <w:szCs w:val="20"/>
                <w:color w:val="auto"/>
              </w:rPr>
            </w:pPr>
          </w:p>
        </w:tc>
        <w:tc>
          <w:tcPr>
            <w:tcW w:w="340" w:type="dxa"/>
            <w:vAlign w:val="bottom"/>
            <w:shd w:val="clear" w:color="auto" w:fill="0072CE"/>
          </w:tcPr>
          <w:p>
            <w:pPr>
              <w:spacing w:after="0"/>
              <w:rPr>
                <w:sz w:val="20"/>
                <w:szCs w:val="20"/>
                <w:color w:val="auto"/>
              </w:rPr>
            </w:pPr>
          </w:p>
        </w:tc>
        <w:tc>
          <w:tcPr>
            <w:tcW w:w="0" w:type="dxa"/>
            <w:vAlign w:val="bottom"/>
          </w:tcPr>
          <w:p>
            <w:pPr>
              <w:spacing w:after="0"/>
              <w:rPr>
                <w:sz w:val="1"/>
                <w:szCs w:val="1"/>
                <w:color w:val="auto"/>
              </w:rPr>
            </w:pPr>
          </w:p>
        </w:tc>
      </w:tr>
      <w:tr>
        <w:trPr>
          <w:trHeight w:val="91"/>
        </w:trPr>
        <w:tc>
          <w:tcPr>
            <w:tcW w:w="14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0" w:type="dxa"/>
            <w:vAlign w:val="bottom"/>
            <w:vMerge w:val="restart"/>
            <w:shd w:val="clear" w:color="auto" w:fill="0072CE"/>
          </w:tcPr>
          <w:p>
            <w:pPr>
              <w:ind w:left="120"/>
              <w:spacing w:after="0"/>
              <w:rPr>
                <w:sz w:val="20"/>
                <w:szCs w:val="20"/>
                <w:color w:val="auto"/>
              </w:rPr>
            </w:pPr>
            <w:r>
              <w:rPr>
                <w:rFonts w:ascii="Arial" w:cs="Arial" w:eastAsia="Arial" w:hAnsi="Arial"/>
                <w:sz w:val="14"/>
                <w:szCs w:val="14"/>
                <w:color w:val="FFFFFF"/>
              </w:rPr>
              <w:t>1/1/2024 to</w:t>
            </w:r>
          </w:p>
        </w:tc>
        <w:tc>
          <w:tcPr>
            <w:tcW w:w="480" w:type="dxa"/>
            <w:vAlign w:val="bottom"/>
            <w:vMerge w:val="restart"/>
            <w:shd w:val="clear" w:color="auto" w:fill="0072CE"/>
          </w:tcPr>
          <w:p>
            <w:pPr>
              <w:ind w:left="180"/>
              <w:spacing w:after="0"/>
              <w:rPr>
                <w:sz w:val="20"/>
                <w:szCs w:val="20"/>
                <w:color w:val="auto"/>
              </w:rPr>
            </w:pPr>
            <w:r>
              <w:rPr>
                <w:rFonts w:ascii="Arial" w:cs="Arial" w:eastAsia="Arial" w:hAnsi="Arial"/>
                <w:sz w:val="14"/>
                <w:szCs w:val="14"/>
                <w:color w:val="FFFFFF"/>
                <w:w w:val="99"/>
              </w:rPr>
              <w:t>40%</w:t>
            </w:r>
          </w:p>
        </w:tc>
        <w:tc>
          <w:tcPr>
            <w:tcW w:w="1380" w:type="dxa"/>
            <w:vAlign w:val="bottom"/>
            <w:vMerge w:val="restart"/>
            <w:shd w:val="clear" w:color="auto" w:fill="0072CE"/>
          </w:tcPr>
          <w:p>
            <w:pPr>
              <w:ind w:left="20"/>
              <w:spacing w:after="0"/>
              <w:rPr>
                <w:sz w:val="20"/>
                <w:szCs w:val="20"/>
                <w:color w:val="auto"/>
              </w:rPr>
            </w:pPr>
            <w:r>
              <w:rPr>
                <w:rFonts w:ascii="Arial" w:cs="Arial" w:eastAsia="Arial" w:hAnsi="Arial"/>
                <w:sz w:val="14"/>
                <w:szCs w:val="14"/>
                <w:color w:val="FFFFFF"/>
              </w:rPr>
              <w:t>Relative TSR</w:t>
            </w:r>
          </w:p>
        </w:tc>
        <w:tc>
          <w:tcPr>
            <w:tcW w:w="1140" w:type="dxa"/>
            <w:vAlign w:val="bottom"/>
            <w:vMerge w:val="continue"/>
            <w:shd w:val="clear" w:color="auto" w:fill="0072CE"/>
          </w:tcPr>
          <w:p>
            <w:pPr>
              <w:spacing w:after="0"/>
              <w:rPr>
                <w:sz w:val="7"/>
                <w:szCs w:val="7"/>
                <w:color w:val="auto"/>
              </w:rPr>
            </w:pPr>
          </w:p>
        </w:tc>
        <w:tc>
          <w:tcPr>
            <w:tcW w:w="580" w:type="dxa"/>
            <w:vAlign w:val="bottom"/>
            <w:tcBorders>
              <w:right w:val="single" w:sz="8" w:color="0072CE"/>
            </w:tcBorders>
            <w:shd w:val="clear" w:color="auto" w:fill="0072CE"/>
          </w:tcPr>
          <w:p>
            <w:pPr>
              <w:spacing w:after="0"/>
              <w:rPr>
                <w:sz w:val="7"/>
                <w:szCs w:val="7"/>
                <w:color w:val="auto"/>
              </w:rPr>
            </w:pPr>
          </w:p>
        </w:tc>
        <w:tc>
          <w:tcPr>
            <w:tcW w:w="400" w:type="dxa"/>
            <w:vAlign w:val="bottom"/>
            <w:shd w:val="clear" w:color="auto" w:fill="0072CE"/>
          </w:tcPr>
          <w:p>
            <w:pPr>
              <w:spacing w:after="0"/>
              <w:rPr>
                <w:sz w:val="7"/>
                <w:szCs w:val="7"/>
                <w:color w:val="auto"/>
              </w:rPr>
            </w:pPr>
          </w:p>
        </w:tc>
        <w:tc>
          <w:tcPr>
            <w:tcW w:w="140" w:type="dxa"/>
            <w:vAlign w:val="bottom"/>
            <w:shd w:val="clear" w:color="auto" w:fill="0072CE"/>
          </w:tcPr>
          <w:p>
            <w:pPr>
              <w:spacing w:after="0"/>
              <w:rPr>
                <w:sz w:val="7"/>
                <w:szCs w:val="7"/>
                <w:color w:val="auto"/>
              </w:rPr>
            </w:pPr>
          </w:p>
        </w:tc>
        <w:tc>
          <w:tcPr>
            <w:tcW w:w="380" w:type="dxa"/>
            <w:vAlign w:val="bottom"/>
            <w:tcBorders>
              <w:right w:val="single" w:sz="8" w:color="0072CE"/>
            </w:tcBorders>
            <w:shd w:val="clear" w:color="auto" w:fill="0072CE"/>
          </w:tcPr>
          <w:p>
            <w:pPr>
              <w:spacing w:after="0"/>
              <w:rPr>
                <w:sz w:val="7"/>
                <w:szCs w:val="7"/>
                <w:color w:val="auto"/>
              </w:rPr>
            </w:pPr>
          </w:p>
        </w:tc>
        <w:tc>
          <w:tcPr>
            <w:tcW w:w="220" w:type="dxa"/>
            <w:vAlign w:val="bottom"/>
            <w:shd w:val="clear" w:color="auto" w:fill="0072CE"/>
          </w:tcPr>
          <w:p>
            <w:pPr>
              <w:spacing w:after="0"/>
              <w:rPr>
                <w:sz w:val="7"/>
                <w:szCs w:val="7"/>
                <w:color w:val="auto"/>
              </w:rPr>
            </w:pPr>
          </w:p>
        </w:tc>
        <w:tc>
          <w:tcPr>
            <w:tcW w:w="860" w:type="dxa"/>
            <w:vAlign w:val="bottom"/>
            <w:gridSpan w:val="3"/>
            <w:vMerge w:val="restart"/>
            <w:shd w:val="clear" w:color="auto" w:fill="0072CE"/>
          </w:tcPr>
          <w:p>
            <w:pPr>
              <w:jc w:val="right"/>
              <w:ind w:right="220"/>
              <w:spacing w:after="0"/>
              <w:rPr>
                <w:sz w:val="20"/>
                <w:szCs w:val="20"/>
                <w:color w:val="auto"/>
              </w:rPr>
            </w:pPr>
            <w:r>
              <w:rPr>
                <w:rFonts w:ascii="Arial" w:cs="Arial" w:eastAsia="Arial" w:hAnsi="Arial"/>
                <w:sz w:val="14"/>
                <w:szCs w:val="14"/>
                <w:color w:val="FFFFFF"/>
              </w:rPr>
              <w:t>2/6/2027</w:t>
            </w:r>
          </w:p>
        </w:tc>
        <w:tc>
          <w:tcPr>
            <w:tcW w:w="0" w:type="dxa"/>
            <w:vAlign w:val="bottom"/>
          </w:tcPr>
          <w:p>
            <w:pPr>
              <w:spacing w:after="0"/>
              <w:rPr>
                <w:sz w:val="1"/>
                <w:szCs w:val="1"/>
                <w:color w:val="auto"/>
              </w:rPr>
            </w:pPr>
          </w:p>
        </w:tc>
      </w:tr>
      <w:tr>
        <w:trPr>
          <w:trHeight w:val="160"/>
        </w:trPr>
        <w:tc>
          <w:tcPr>
            <w:tcW w:w="1460" w:type="dxa"/>
            <w:vAlign w:val="bottom"/>
          </w:tcPr>
          <w:p>
            <w:pPr>
              <w:jc w:val="right"/>
              <w:ind w:right="468"/>
              <w:spacing w:after="0"/>
              <w:rPr>
                <w:sz w:val="20"/>
                <w:szCs w:val="20"/>
                <w:color w:val="auto"/>
              </w:rPr>
            </w:pPr>
            <w:r>
              <w:rPr>
                <w:rFonts w:ascii="Arial" w:cs="Arial" w:eastAsia="Arial" w:hAnsi="Arial"/>
                <w:sz w:val="14"/>
                <w:szCs w:val="14"/>
                <w:color w:val="3D3935"/>
              </w:rPr>
              <w:t>PSUs</w:t>
            </w: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vMerge w:val="continue"/>
            <w:shd w:val="clear" w:color="auto" w:fill="0072CE"/>
          </w:tcPr>
          <w:p>
            <w:pPr>
              <w:spacing w:after="0"/>
              <w:rPr>
                <w:sz w:val="13"/>
                <w:szCs w:val="13"/>
                <w:color w:val="auto"/>
              </w:rPr>
            </w:pPr>
          </w:p>
        </w:tc>
        <w:tc>
          <w:tcPr>
            <w:tcW w:w="480" w:type="dxa"/>
            <w:vAlign w:val="bottom"/>
            <w:vMerge w:val="continue"/>
            <w:shd w:val="clear" w:color="auto" w:fill="0072CE"/>
          </w:tcPr>
          <w:p>
            <w:pPr>
              <w:spacing w:after="0"/>
              <w:rPr>
                <w:sz w:val="13"/>
                <w:szCs w:val="13"/>
                <w:color w:val="auto"/>
              </w:rPr>
            </w:pPr>
          </w:p>
        </w:tc>
        <w:tc>
          <w:tcPr>
            <w:tcW w:w="1380" w:type="dxa"/>
            <w:vAlign w:val="bottom"/>
            <w:vMerge w:val="continue"/>
            <w:shd w:val="clear" w:color="auto" w:fill="0072CE"/>
          </w:tcPr>
          <w:p>
            <w:pPr>
              <w:spacing w:after="0"/>
              <w:rPr>
                <w:sz w:val="13"/>
                <w:szCs w:val="13"/>
                <w:color w:val="auto"/>
              </w:rPr>
            </w:pPr>
          </w:p>
        </w:tc>
        <w:tc>
          <w:tcPr>
            <w:tcW w:w="1140" w:type="dxa"/>
            <w:vAlign w:val="bottom"/>
            <w:shd w:val="clear" w:color="auto" w:fill="0072CE"/>
          </w:tcPr>
          <w:p>
            <w:pPr>
              <w:ind w:left="100"/>
              <w:spacing w:after="0" w:line="160" w:lineRule="exact"/>
              <w:rPr>
                <w:sz w:val="20"/>
                <w:szCs w:val="20"/>
                <w:color w:val="auto"/>
              </w:rPr>
            </w:pPr>
            <w:r>
              <w:rPr>
                <w:rFonts w:ascii="Arial" w:cs="Arial" w:eastAsia="Arial" w:hAnsi="Arial"/>
                <w:sz w:val="14"/>
                <w:szCs w:val="14"/>
                <w:color w:val="FFFFFF"/>
              </w:rPr>
              <w:t>Payout Cap</w:t>
            </w:r>
            <w:r>
              <w:rPr>
                <w:rFonts w:ascii="Arial" w:cs="Arial" w:eastAsia="Arial" w:hAnsi="Arial"/>
                <w:sz w:val="18"/>
                <w:szCs w:val="18"/>
                <w:color w:val="FFFFFF"/>
                <w:vertAlign w:val="superscript"/>
              </w:rPr>
              <w:t>(3)</w:t>
            </w:r>
          </w:p>
        </w:tc>
        <w:tc>
          <w:tcPr>
            <w:tcW w:w="580" w:type="dxa"/>
            <w:vAlign w:val="bottom"/>
            <w:tcBorders>
              <w:right w:val="single" w:sz="8" w:color="0072CE"/>
            </w:tcBorders>
            <w:shd w:val="clear" w:color="auto" w:fill="0072CE"/>
          </w:tcPr>
          <w:p>
            <w:pPr>
              <w:spacing w:after="0"/>
              <w:rPr>
                <w:sz w:val="13"/>
                <w:szCs w:val="13"/>
                <w:color w:val="auto"/>
              </w:rPr>
            </w:pPr>
          </w:p>
        </w:tc>
        <w:tc>
          <w:tcPr>
            <w:tcW w:w="400" w:type="dxa"/>
            <w:vAlign w:val="bottom"/>
            <w:shd w:val="clear" w:color="auto" w:fill="0072CE"/>
          </w:tcPr>
          <w:p>
            <w:pPr>
              <w:spacing w:after="0"/>
              <w:rPr>
                <w:sz w:val="13"/>
                <w:szCs w:val="13"/>
                <w:color w:val="auto"/>
              </w:rPr>
            </w:pPr>
          </w:p>
        </w:tc>
        <w:tc>
          <w:tcPr>
            <w:tcW w:w="140" w:type="dxa"/>
            <w:vAlign w:val="bottom"/>
            <w:shd w:val="clear" w:color="auto" w:fill="0072CE"/>
          </w:tcPr>
          <w:p>
            <w:pPr>
              <w:spacing w:after="0"/>
              <w:rPr>
                <w:sz w:val="13"/>
                <w:szCs w:val="13"/>
                <w:color w:val="auto"/>
              </w:rPr>
            </w:pPr>
          </w:p>
        </w:tc>
        <w:tc>
          <w:tcPr>
            <w:tcW w:w="380" w:type="dxa"/>
            <w:vAlign w:val="bottom"/>
            <w:tcBorders>
              <w:right w:val="single" w:sz="8" w:color="0072CE"/>
            </w:tcBorders>
            <w:shd w:val="clear" w:color="auto" w:fill="0072CE"/>
          </w:tcPr>
          <w:p>
            <w:pPr>
              <w:spacing w:after="0"/>
              <w:rPr>
                <w:sz w:val="13"/>
                <w:szCs w:val="13"/>
                <w:color w:val="auto"/>
              </w:rPr>
            </w:pPr>
          </w:p>
        </w:tc>
        <w:tc>
          <w:tcPr>
            <w:tcW w:w="220" w:type="dxa"/>
            <w:vAlign w:val="bottom"/>
            <w:shd w:val="clear" w:color="auto" w:fill="0072CE"/>
          </w:tcPr>
          <w:p>
            <w:pPr>
              <w:spacing w:after="0"/>
              <w:rPr>
                <w:sz w:val="13"/>
                <w:szCs w:val="13"/>
                <w:color w:val="auto"/>
              </w:rPr>
            </w:pPr>
          </w:p>
        </w:tc>
        <w:tc>
          <w:tcPr>
            <w:tcW w:w="860" w:type="dxa"/>
            <w:vAlign w:val="bottom"/>
            <w:gridSpan w:val="3"/>
            <w:vMerge w:val="continue"/>
            <w:shd w:val="clear" w:color="auto" w:fill="0072C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1040" w:type="dxa"/>
            <w:vAlign w:val="bottom"/>
            <w:gridSpan w:val="2"/>
          </w:tcPr>
          <w:p>
            <w:pPr>
              <w:spacing w:after="0"/>
              <w:rPr>
                <w:sz w:val="12"/>
                <w:szCs w:val="12"/>
                <w:color w:val="auto"/>
              </w:rPr>
            </w:pPr>
          </w:p>
        </w:tc>
        <w:tc>
          <w:tcPr>
            <w:tcW w:w="1000" w:type="dxa"/>
            <w:vAlign w:val="bottom"/>
            <w:shd w:val="clear" w:color="auto" w:fill="0072CE"/>
          </w:tcPr>
          <w:p>
            <w:pPr>
              <w:ind w:left="120"/>
              <w:spacing w:after="0" w:line="149" w:lineRule="exact"/>
              <w:rPr>
                <w:sz w:val="20"/>
                <w:szCs w:val="20"/>
                <w:color w:val="auto"/>
              </w:rPr>
            </w:pPr>
            <w:r>
              <w:rPr>
                <w:rFonts w:ascii="Arial" w:cs="Arial" w:eastAsia="Arial" w:hAnsi="Arial"/>
                <w:sz w:val="14"/>
                <w:szCs w:val="14"/>
                <w:color w:val="FFFFFF"/>
              </w:rPr>
              <w:t>12/31/2026</w:t>
            </w:r>
          </w:p>
        </w:tc>
        <w:tc>
          <w:tcPr>
            <w:tcW w:w="480" w:type="dxa"/>
            <w:vAlign w:val="bottom"/>
            <w:shd w:val="clear" w:color="auto" w:fill="0072CE"/>
          </w:tcPr>
          <w:p>
            <w:pPr>
              <w:ind w:left="180"/>
              <w:spacing w:after="0" w:line="149" w:lineRule="exact"/>
              <w:rPr>
                <w:sz w:val="20"/>
                <w:szCs w:val="20"/>
                <w:color w:val="auto"/>
              </w:rPr>
            </w:pPr>
            <w:r>
              <w:rPr>
                <w:rFonts w:ascii="Arial" w:cs="Arial" w:eastAsia="Arial" w:hAnsi="Arial"/>
                <w:sz w:val="14"/>
                <w:szCs w:val="14"/>
                <w:color w:val="FFFFFF"/>
                <w:w w:val="99"/>
              </w:rPr>
              <w:t>20%</w:t>
            </w:r>
          </w:p>
        </w:tc>
        <w:tc>
          <w:tcPr>
            <w:tcW w:w="1380" w:type="dxa"/>
            <w:vAlign w:val="bottom"/>
            <w:shd w:val="clear" w:color="auto" w:fill="0072CE"/>
          </w:tcPr>
          <w:p>
            <w:pPr>
              <w:ind w:left="20"/>
              <w:spacing w:after="0" w:line="149" w:lineRule="exact"/>
              <w:rPr>
                <w:sz w:val="20"/>
                <w:szCs w:val="20"/>
                <w:color w:val="auto"/>
              </w:rPr>
            </w:pPr>
            <w:r>
              <w:rPr>
                <w:rFonts w:ascii="Arial" w:cs="Arial" w:eastAsia="Arial" w:hAnsi="Arial"/>
                <w:sz w:val="14"/>
                <w:szCs w:val="14"/>
                <w:color w:val="FFFFFF"/>
              </w:rPr>
              <w:t>EBIT-adj Margin</w:t>
            </w:r>
          </w:p>
        </w:tc>
        <w:tc>
          <w:tcPr>
            <w:tcW w:w="1140" w:type="dxa"/>
            <w:vAlign w:val="bottom"/>
            <w:shd w:val="clear" w:color="auto" w:fill="0072CE"/>
          </w:tcPr>
          <w:p>
            <w:pPr>
              <w:spacing w:after="0"/>
              <w:rPr>
                <w:sz w:val="12"/>
                <w:szCs w:val="12"/>
                <w:color w:val="auto"/>
              </w:rPr>
            </w:pPr>
          </w:p>
        </w:tc>
        <w:tc>
          <w:tcPr>
            <w:tcW w:w="580" w:type="dxa"/>
            <w:vAlign w:val="bottom"/>
            <w:tcBorders>
              <w:right w:val="single" w:sz="8" w:color="0072CE"/>
            </w:tcBorders>
            <w:shd w:val="clear" w:color="auto" w:fill="0072CE"/>
          </w:tcPr>
          <w:p>
            <w:pPr>
              <w:spacing w:after="0"/>
              <w:rPr>
                <w:sz w:val="12"/>
                <w:szCs w:val="12"/>
                <w:color w:val="auto"/>
              </w:rPr>
            </w:pPr>
          </w:p>
        </w:tc>
        <w:tc>
          <w:tcPr>
            <w:tcW w:w="400" w:type="dxa"/>
            <w:vAlign w:val="bottom"/>
            <w:shd w:val="clear" w:color="auto" w:fill="0072CE"/>
          </w:tcPr>
          <w:p>
            <w:pPr>
              <w:spacing w:after="0"/>
              <w:rPr>
                <w:sz w:val="12"/>
                <w:szCs w:val="12"/>
                <w:color w:val="auto"/>
              </w:rPr>
            </w:pPr>
          </w:p>
        </w:tc>
        <w:tc>
          <w:tcPr>
            <w:tcW w:w="140" w:type="dxa"/>
            <w:vAlign w:val="bottom"/>
            <w:shd w:val="clear" w:color="auto" w:fill="0072CE"/>
          </w:tcPr>
          <w:p>
            <w:pPr>
              <w:spacing w:after="0"/>
              <w:rPr>
                <w:sz w:val="12"/>
                <w:szCs w:val="12"/>
                <w:color w:val="auto"/>
              </w:rPr>
            </w:pPr>
          </w:p>
        </w:tc>
        <w:tc>
          <w:tcPr>
            <w:tcW w:w="380" w:type="dxa"/>
            <w:vAlign w:val="bottom"/>
            <w:tcBorders>
              <w:right w:val="single" w:sz="8" w:color="0072CE"/>
            </w:tcBorders>
            <w:shd w:val="clear" w:color="auto" w:fill="0072CE"/>
          </w:tcPr>
          <w:p>
            <w:pPr>
              <w:spacing w:after="0"/>
              <w:rPr>
                <w:sz w:val="12"/>
                <w:szCs w:val="12"/>
                <w:color w:val="auto"/>
              </w:rPr>
            </w:pPr>
          </w:p>
        </w:tc>
        <w:tc>
          <w:tcPr>
            <w:tcW w:w="220" w:type="dxa"/>
            <w:vAlign w:val="bottom"/>
            <w:shd w:val="clear" w:color="auto" w:fill="0072CE"/>
          </w:tcPr>
          <w:p>
            <w:pPr>
              <w:spacing w:after="0"/>
              <w:rPr>
                <w:sz w:val="12"/>
                <w:szCs w:val="12"/>
                <w:color w:val="auto"/>
              </w:rPr>
            </w:pPr>
          </w:p>
        </w:tc>
        <w:tc>
          <w:tcPr>
            <w:tcW w:w="140" w:type="dxa"/>
            <w:vAlign w:val="bottom"/>
            <w:shd w:val="clear" w:color="auto" w:fill="0072CE"/>
          </w:tcPr>
          <w:p>
            <w:pPr>
              <w:spacing w:after="0"/>
              <w:rPr>
                <w:sz w:val="12"/>
                <w:szCs w:val="12"/>
                <w:color w:val="auto"/>
              </w:rPr>
            </w:pPr>
          </w:p>
        </w:tc>
        <w:tc>
          <w:tcPr>
            <w:tcW w:w="380" w:type="dxa"/>
            <w:vAlign w:val="bottom"/>
            <w:tcBorders>
              <w:right w:val="single" w:sz="8" w:color="0072CE"/>
            </w:tcBorders>
            <w:shd w:val="clear" w:color="auto" w:fill="0072CE"/>
          </w:tcPr>
          <w:p>
            <w:pPr>
              <w:spacing w:after="0"/>
              <w:rPr>
                <w:sz w:val="12"/>
                <w:szCs w:val="12"/>
                <w:color w:val="auto"/>
              </w:rPr>
            </w:pPr>
          </w:p>
        </w:tc>
        <w:tc>
          <w:tcPr>
            <w:tcW w:w="340" w:type="dxa"/>
            <w:vAlign w:val="bottom"/>
            <w:shd w:val="clear" w:color="auto" w:fill="0072C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460" w:type="dxa"/>
            <w:vAlign w:val="bottom"/>
            <w:tcBorders>
              <w:bottom w:val="single" w:sz="8" w:color="0072CE"/>
            </w:tcBorders>
          </w:tcPr>
          <w:p>
            <w:pPr>
              <w:spacing w:after="0"/>
              <w:rPr>
                <w:sz w:val="5"/>
                <w:szCs w:val="5"/>
                <w:color w:val="auto"/>
              </w:rPr>
            </w:pPr>
          </w:p>
        </w:tc>
        <w:tc>
          <w:tcPr>
            <w:tcW w:w="520" w:type="dxa"/>
            <w:vAlign w:val="bottom"/>
            <w:tcBorders>
              <w:bottom w:val="single" w:sz="8" w:color="0072CE"/>
            </w:tcBorders>
          </w:tcPr>
          <w:p>
            <w:pPr>
              <w:spacing w:after="0"/>
              <w:rPr>
                <w:sz w:val="5"/>
                <w:szCs w:val="5"/>
                <w:color w:val="auto"/>
              </w:rPr>
            </w:pPr>
          </w:p>
        </w:tc>
        <w:tc>
          <w:tcPr>
            <w:tcW w:w="520" w:type="dxa"/>
            <w:vAlign w:val="bottom"/>
            <w:tcBorders>
              <w:bottom w:val="single" w:sz="8" w:color="0072CE"/>
            </w:tcBorders>
          </w:tcPr>
          <w:p>
            <w:pPr>
              <w:spacing w:after="0"/>
              <w:rPr>
                <w:sz w:val="5"/>
                <w:szCs w:val="5"/>
                <w:color w:val="auto"/>
              </w:rPr>
            </w:pPr>
          </w:p>
        </w:tc>
        <w:tc>
          <w:tcPr>
            <w:tcW w:w="1000" w:type="dxa"/>
            <w:vAlign w:val="bottom"/>
            <w:tcBorders>
              <w:bottom w:val="single" w:sz="8" w:color="0072CE"/>
            </w:tcBorders>
          </w:tcPr>
          <w:p>
            <w:pPr>
              <w:spacing w:after="0"/>
              <w:rPr>
                <w:sz w:val="5"/>
                <w:szCs w:val="5"/>
                <w:color w:val="auto"/>
              </w:rPr>
            </w:pPr>
          </w:p>
        </w:tc>
        <w:tc>
          <w:tcPr>
            <w:tcW w:w="480" w:type="dxa"/>
            <w:vAlign w:val="bottom"/>
            <w:tcBorders>
              <w:bottom w:val="single" w:sz="8" w:color="0072CE"/>
            </w:tcBorders>
          </w:tcPr>
          <w:p>
            <w:pPr>
              <w:spacing w:after="0"/>
              <w:rPr>
                <w:sz w:val="5"/>
                <w:szCs w:val="5"/>
                <w:color w:val="auto"/>
              </w:rPr>
            </w:pPr>
          </w:p>
        </w:tc>
        <w:tc>
          <w:tcPr>
            <w:tcW w:w="1380" w:type="dxa"/>
            <w:vAlign w:val="bottom"/>
            <w:tcBorders>
              <w:bottom w:val="single" w:sz="8" w:color="0072CE"/>
            </w:tcBorders>
          </w:tcPr>
          <w:p>
            <w:pPr>
              <w:spacing w:after="0"/>
              <w:rPr>
                <w:sz w:val="5"/>
                <w:szCs w:val="5"/>
                <w:color w:val="auto"/>
              </w:rPr>
            </w:pPr>
          </w:p>
        </w:tc>
        <w:tc>
          <w:tcPr>
            <w:tcW w:w="1140" w:type="dxa"/>
            <w:vAlign w:val="bottom"/>
            <w:tcBorders>
              <w:bottom w:val="single" w:sz="8" w:color="0072CE"/>
            </w:tcBorders>
          </w:tcPr>
          <w:p>
            <w:pPr>
              <w:spacing w:after="0"/>
              <w:rPr>
                <w:sz w:val="5"/>
                <w:szCs w:val="5"/>
                <w:color w:val="auto"/>
              </w:rPr>
            </w:pPr>
          </w:p>
        </w:tc>
        <w:tc>
          <w:tcPr>
            <w:tcW w:w="580" w:type="dxa"/>
            <w:vAlign w:val="bottom"/>
            <w:tcBorders>
              <w:bottom w:val="single" w:sz="8" w:color="0072CE"/>
            </w:tcBorders>
          </w:tcPr>
          <w:p>
            <w:pPr>
              <w:spacing w:after="0"/>
              <w:rPr>
                <w:sz w:val="5"/>
                <w:szCs w:val="5"/>
                <w:color w:val="auto"/>
              </w:rPr>
            </w:pPr>
          </w:p>
        </w:tc>
        <w:tc>
          <w:tcPr>
            <w:tcW w:w="400" w:type="dxa"/>
            <w:vAlign w:val="bottom"/>
            <w:tcBorders>
              <w:bottom w:val="single" w:sz="8" w:color="0072CE"/>
            </w:tcBorders>
          </w:tcPr>
          <w:p>
            <w:pPr>
              <w:spacing w:after="0"/>
              <w:rPr>
                <w:sz w:val="5"/>
                <w:szCs w:val="5"/>
                <w:color w:val="auto"/>
              </w:rPr>
            </w:pPr>
          </w:p>
        </w:tc>
        <w:tc>
          <w:tcPr>
            <w:tcW w:w="140" w:type="dxa"/>
            <w:vAlign w:val="bottom"/>
            <w:tcBorders>
              <w:bottom w:val="single" w:sz="8" w:color="0072CE"/>
            </w:tcBorders>
          </w:tcPr>
          <w:p>
            <w:pPr>
              <w:spacing w:after="0"/>
              <w:rPr>
                <w:sz w:val="5"/>
                <w:szCs w:val="5"/>
                <w:color w:val="auto"/>
              </w:rPr>
            </w:pPr>
          </w:p>
        </w:tc>
        <w:tc>
          <w:tcPr>
            <w:tcW w:w="380" w:type="dxa"/>
            <w:vAlign w:val="bottom"/>
            <w:tcBorders>
              <w:bottom w:val="single" w:sz="8" w:color="0072CE"/>
            </w:tcBorders>
          </w:tcPr>
          <w:p>
            <w:pPr>
              <w:spacing w:after="0"/>
              <w:rPr>
                <w:sz w:val="5"/>
                <w:szCs w:val="5"/>
                <w:color w:val="auto"/>
              </w:rPr>
            </w:pPr>
          </w:p>
        </w:tc>
        <w:tc>
          <w:tcPr>
            <w:tcW w:w="220" w:type="dxa"/>
            <w:vAlign w:val="bottom"/>
            <w:tcBorders>
              <w:bottom w:val="single" w:sz="8" w:color="0072CE"/>
            </w:tcBorders>
          </w:tcPr>
          <w:p>
            <w:pPr>
              <w:spacing w:after="0"/>
              <w:rPr>
                <w:sz w:val="5"/>
                <w:szCs w:val="5"/>
                <w:color w:val="auto"/>
              </w:rPr>
            </w:pPr>
          </w:p>
        </w:tc>
        <w:tc>
          <w:tcPr>
            <w:tcW w:w="140" w:type="dxa"/>
            <w:vAlign w:val="bottom"/>
            <w:tcBorders>
              <w:bottom w:val="single" w:sz="8" w:color="0072CE"/>
            </w:tcBorders>
          </w:tcPr>
          <w:p>
            <w:pPr>
              <w:spacing w:after="0"/>
              <w:rPr>
                <w:sz w:val="5"/>
                <w:szCs w:val="5"/>
                <w:color w:val="auto"/>
              </w:rPr>
            </w:pPr>
          </w:p>
        </w:tc>
        <w:tc>
          <w:tcPr>
            <w:tcW w:w="380" w:type="dxa"/>
            <w:vAlign w:val="bottom"/>
            <w:tcBorders>
              <w:bottom w:val="single" w:sz="8" w:color="0072CE"/>
            </w:tcBorders>
          </w:tcPr>
          <w:p>
            <w:pPr>
              <w:spacing w:after="0"/>
              <w:rPr>
                <w:sz w:val="5"/>
                <w:szCs w:val="5"/>
                <w:color w:val="auto"/>
              </w:rPr>
            </w:pPr>
          </w:p>
        </w:tc>
        <w:tc>
          <w:tcPr>
            <w:tcW w:w="340" w:type="dxa"/>
            <w:vAlign w:val="bottom"/>
            <w:tcBorders>
              <w:bottom w:val="single" w:sz="8" w:color="0072CE"/>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240"/>
          </w:cols>
          <w:pgMar w:left="1400" w:top="130" w:right="1259" w:bottom="0" w:gutter="0" w:footer="0" w:header="0"/>
          <w:type w:val="continuous"/>
        </w:sectPr>
      </w:pPr>
    </w:p>
    <w:bookmarkStart w:id="56" w:name="page57"/>
    <w:bookmarkEnd w:id="56"/>
    <w:p>
      <w:pPr>
        <w:ind w:left="200" w:hanging="192"/>
        <w:spacing w:after="0"/>
        <w:tabs>
          <w:tab w:leader="none" w:pos="200" w:val="left"/>
        </w:tabs>
        <w:numPr>
          <w:ilvl w:val="0"/>
          <w:numId w:val="85"/>
        </w:numPr>
        <w:rPr>
          <w:rFonts w:ascii="Arial" w:cs="Arial" w:eastAsia="Arial" w:hAnsi="Arial"/>
          <w:sz w:val="19"/>
          <w:szCs w:val="19"/>
          <w:color w:val="3D3935"/>
          <w:vertAlign w:val="superscript"/>
        </w:rPr>
      </w:pPr>
      <w:r>
        <w:rPr>
          <w:rFonts w:ascii="Arial" w:cs="Arial" w:eastAsia="Arial" w:hAnsi="Arial"/>
          <w:sz w:val="14"/>
          <w:szCs w:val="14"/>
          <w:color w:val="3D3935"/>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11677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10375" cy="1167765"/>
                    </a:xfrm>
                    <a:prstGeom prst="rect">
                      <a:avLst/>
                    </a:prstGeom>
                    <a:noFill/>
                  </pic:spPr>
                </pic:pic>
              </a:graphicData>
            </a:graphic>
          </wp:anchor>
        </w:drawing>
        <w:t>The performance of each PSU award will be measured and determined at the end of the performance period.</w:t>
      </w:r>
    </w:p>
    <w:p>
      <w:pPr>
        <w:spacing w:after="0" w:line="43" w:lineRule="exact"/>
        <w:rPr>
          <w:rFonts w:ascii="Arial" w:cs="Arial" w:eastAsia="Arial" w:hAnsi="Arial"/>
          <w:sz w:val="19"/>
          <w:szCs w:val="19"/>
          <w:color w:val="3D3935"/>
          <w:vertAlign w:val="superscript"/>
        </w:rPr>
      </w:pPr>
    </w:p>
    <w:p>
      <w:pPr>
        <w:ind w:left="200" w:hanging="192"/>
        <w:spacing w:after="0" w:line="219" w:lineRule="auto"/>
        <w:tabs>
          <w:tab w:leader="none" w:pos="200" w:val="left"/>
        </w:tabs>
        <w:numPr>
          <w:ilvl w:val="0"/>
          <w:numId w:val="85"/>
        </w:numPr>
        <w:rPr>
          <w:rFonts w:ascii="Arial" w:cs="Arial" w:eastAsia="Arial" w:hAnsi="Arial"/>
          <w:sz w:val="19"/>
          <w:szCs w:val="19"/>
          <w:color w:val="3D3935"/>
          <w:vertAlign w:val="superscript"/>
        </w:rPr>
      </w:pPr>
      <w:r>
        <w:rPr>
          <w:rFonts w:ascii="Arial" w:cs="Arial" w:eastAsia="Arial" w:hAnsi="Arial"/>
          <w:sz w:val="14"/>
          <w:szCs w:val="14"/>
          <w:color w:val="3D3935"/>
        </w:rPr>
        <w:t>EV Measures are comprised of GMNA EV Volume, GMNA EV Launch Timing, and GMNA EV Launch Quality (modifier).</w:t>
      </w:r>
    </w:p>
    <w:p>
      <w:pPr>
        <w:spacing w:after="0" w:line="43" w:lineRule="exact"/>
        <w:rPr>
          <w:rFonts w:ascii="Arial" w:cs="Arial" w:eastAsia="Arial" w:hAnsi="Arial"/>
          <w:sz w:val="19"/>
          <w:szCs w:val="19"/>
          <w:color w:val="3D3935"/>
          <w:vertAlign w:val="superscript"/>
        </w:rPr>
      </w:pPr>
    </w:p>
    <w:p>
      <w:pPr>
        <w:ind w:left="200" w:hanging="192"/>
        <w:spacing w:after="0" w:line="219" w:lineRule="auto"/>
        <w:tabs>
          <w:tab w:leader="none" w:pos="200" w:val="left"/>
        </w:tabs>
        <w:numPr>
          <w:ilvl w:val="0"/>
          <w:numId w:val="85"/>
        </w:numPr>
        <w:rPr>
          <w:rFonts w:ascii="Arial" w:cs="Arial" w:eastAsia="Arial" w:hAnsi="Arial"/>
          <w:sz w:val="19"/>
          <w:szCs w:val="19"/>
          <w:color w:val="3D3935"/>
          <w:vertAlign w:val="superscript"/>
        </w:rPr>
      </w:pPr>
      <w:r>
        <w:rPr>
          <w:rFonts w:ascii="Arial" w:cs="Arial" w:eastAsia="Arial" w:hAnsi="Arial"/>
          <w:sz w:val="14"/>
          <w:szCs w:val="14"/>
          <w:color w:val="3D3935"/>
        </w:rPr>
        <w:t>Relative TSR is capped at target if GM’s TSR is negative over the performance period.</w:t>
      </w:r>
    </w:p>
    <w:p>
      <w:pPr>
        <w:spacing w:after="0" w:line="200" w:lineRule="exact"/>
        <w:rPr>
          <w:sz w:val="20"/>
          <w:szCs w:val="20"/>
          <w:color w:val="auto"/>
        </w:rPr>
      </w:pPr>
    </w:p>
    <w:p>
      <w:pPr>
        <w:spacing w:after="0" w:line="379"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3D3935"/>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88677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Perquisites and Other Compensation</w:t>
      </w:r>
    </w:p>
    <w:p>
      <w:pPr>
        <w:spacing w:after="0" w:line="114" w:lineRule="exact"/>
        <w:rPr>
          <w:sz w:val="20"/>
          <w:szCs w:val="20"/>
          <w:color w:val="auto"/>
        </w:rPr>
      </w:pPr>
    </w:p>
    <w:p>
      <w:pPr>
        <w:ind w:right="159"/>
        <w:spacing w:after="0" w:line="321" w:lineRule="auto"/>
        <w:rPr>
          <w:sz w:val="20"/>
          <w:szCs w:val="20"/>
          <w:color w:val="auto"/>
        </w:rPr>
      </w:pPr>
      <w:r>
        <w:rPr>
          <w:rFonts w:ascii="Arial" w:cs="Arial" w:eastAsia="Arial" w:hAnsi="Arial"/>
          <w:sz w:val="16"/>
          <w:szCs w:val="16"/>
          <w:color w:val="3D3935"/>
        </w:rPr>
        <w:t>We provide perquisites and other compensation to our NEOs consistent with market practices. The following perquisites and other compensation were provided in 2024:</w:t>
      </w:r>
    </w:p>
    <w:p>
      <w:pPr>
        <w:spacing w:after="0" w:line="48" w:lineRule="exact"/>
        <w:rPr>
          <w:sz w:val="20"/>
          <w:szCs w:val="20"/>
          <w:color w:val="auto"/>
        </w:rPr>
      </w:pPr>
    </w:p>
    <w:p>
      <w:pPr>
        <w:ind w:right="179"/>
        <w:spacing w:after="0" w:line="285" w:lineRule="auto"/>
        <w:rPr>
          <w:sz w:val="20"/>
          <w:szCs w:val="20"/>
          <w:color w:val="auto"/>
        </w:rPr>
      </w:pPr>
      <w:r>
        <w:rPr>
          <w:rFonts w:ascii="Arial" w:cs="Arial" w:eastAsia="Arial" w:hAnsi="Arial"/>
          <w:sz w:val="16"/>
          <w:szCs w:val="16"/>
          <w:b w:val="1"/>
          <w:bCs w:val="1"/>
          <w:color w:val="0072CE"/>
        </w:rPr>
        <w:t xml:space="preserve">Personal Air Travel </w:t>
      </w:r>
      <w:r>
        <w:rPr>
          <w:rFonts w:ascii="Arial" w:cs="Arial" w:eastAsia="Arial" w:hAnsi="Arial"/>
          <w:sz w:val="16"/>
          <w:szCs w:val="16"/>
          <w:color w:val="3D3935"/>
        </w:rPr>
        <w:t>– Due to security reasons identified by an independent, third-party security consultant, Company policy</w:t>
      </w:r>
      <w:r>
        <w:rPr>
          <w:rFonts w:ascii="Arial" w:cs="Arial" w:eastAsia="Arial" w:hAnsi="Arial"/>
          <w:sz w:val="16"/>
          <w:szCs w:val="16"/>
          <w:b w:val="1"/>
          <w:bCs w:val="1"/>
          <w:color w:val="0072CE"/>
        </w:rPr>
        <w:t xml:space="preserve"> </w:t>
      </w:r>
      <w:r>
        <w:rPr>
          <w:rFonts w:ascii="Arial" w:cs="Arial" w:eastAsia="Arial" w:hAnsi="Arial"/>
          <w:sz w:val="16"/>
          <w:szCs w:val="16"/>
          <w:color w:val="3D3935"/>
        </w:rPr>
        <w:t>prohibits Ms. Barra from using commercial air travel for business or personal use. As a result, the Company pays the costs associated with both business and personal use of aircraft. Other NEOs may travel on company aircraft in certain circumstances with prior approval from the CEO or the Senior Vice President and Chief People Officer. All NEOs, including our CEO, incur imputed income when aircraft is used for personal travel and do not receive any tax gross-up payments. Aircraft travel by NEOs for an annual executive physical through the Executive Physical Program is included under Personal Travel in the “Perquisites and Other Personal Benefits” table. Certain NEOs, including our CEO, have personal travel caps and are eligible for reimbursement of personal travel pursuant to time-sharing agreements that the Company may enter into from time-to-time, subject to Federal Aviation Administration regulations. Our Board of Directors regularly reviews executive officers’ air travel usage and compliance with the Company’s air travel policies and approves any revisions to air travel policies as needed.</w:t>
      </w:r>
    </w:p>
    <w:p>
      <w:pPr>
        <w:spacing w:after="0" w:line="81" w:lineRule="exact"/>
        <w:rPr>
          <w:sz w:val="20"/>
          <w:szCs w:val="20"/>
          <w:color w:val="auto"/>
        </w:rPr>
      </w:pPr>
    </w:p>
    <w:p>
      <w:pPr>
        <w:ind w:right="159"/>
        <w:spacing w:after="0" w:line="291" w:lineRule="auto"/>
        <w:rPr>
          <w:sz w:val="20"/>
          <w:szCs w:val="20"/>
          <w:color w:val="auto"/>
        </w:rPr>
      </w:pPr>
      <w:r>
        <w:rPr>
          <w:rFonts w:ascii="Arial" w:cs="Arial" w:eastAsia="Arial" w:hAnsi="Arial"/>
          <w:sz w:val="16"/>
          <w:szCs w:val="16"/>
          <w:b w:val="1"/>
          <w:bCs w:val="1"/>
          <w:color w:val="0072CE"/>
        </w:rPr>
        <w:t xml:space="preserve">Security </w:t>
      </w:r>
      <w:r>
        <w:rPr>
          <w:rFonts w:ascii="Arial" w:cs="Arial" w:eastAsia="Arial" w:hAnsi="Arial"/>
          <w:sz w:val="16"/>
          <w:szCs w:val="16"/>
          <w:color w:val="3D3935"/>
        </w:rPr>
        <w:t>– NEOs may receive security services, including home security systems and monitoring, for specific</w:t>
      </w:r>
      <w:r>
        <w:rPr>
          <w:rFonts w:ascii="Arial" w:cs="Arial" w:eastAsia="Arial" w:hAnsi="Arial"/>
          <w:sz w:val="16"/>
          <w:szCs w:val="16"/>
          <w:b w:val="1"/>
          <w:bCs w:val="1"/>
          <w:color w:val="0072CE"/>
        </w:rPr>
        <w:t xml:space="preserve"> </w:t>
      </w:r>
      <w:r>
        <w:rPr>
          <w:rFonts w:ascii="Arial" w:cs="Arial" w:eastAsia="Arial" w:hAnsi="Arial"/>
          <w:sz w:val="16"/>
          <w:szCs w:val="16"/>
          <w:color w:val="3D3935"/>
        </w:rPr>
        <w:t>security-related reasons identified by an independent, third-party security consultant or our security team. We maintain security staff to help provide all employees with a safe and secure environment, which aligns to and reinforces our safety culture. Our Board of Directors regularly evaluates executive officers’ security policies. An updated security assessment was performed in early 2025 for Ms. Barra and Mr. Reuss, and as a result, heightened security services are expected to be provided in future years.</w:t>
      </w:r>
    </w:p>
    <w:p>
      <w:pPr>
        <w:spacing w:after="0" w:line="289" w:lineRule="exact"/>
        <w:rPr>
          <w:sz w:val="20"/>
          <w:szCs w:val="20"/>
          <w:color w:val="auto"/>
        </w:rPr>
      </w:pPr>
    </w:p>
    <w:p>
      <w:pPr>
        <w:ind w:right="199"/>
        <w:spacing w:after="0" w:line="301" w:lineRule="auto"/>
        <w:rPr>
          <w:sz w:val="20"/>
          <w:szCs w:val="20"/>
          <w:color w:val="auto"/>
        </w:rPr>
      </w:pPr>
      <w:r>
        <w:rPr>
          <w:rFonts w:ascii="Arial" w:cs="Arial" w:eastAsia="Arial" w:hAnsi="Arial"/>
          <w:sz w:val="16"/>
          <w:szCs w:val="16"/>
          <w:b w:val="1"/>
          <w:bCs w:val="1"/>
          <w:color w:val="0072CE"/>
        </w:rPr>
        <w:t xml:space="preserve">Company Vehicle Programs </w:t>
      </w:r>
      <w:r>
        <w:rPr>
          <w:rFonts w:ascii="Arial" w:cs="Arial" w:eastAsia="Arial" w:hAnsi="Arial"/>
          <w:sz w:val="16"/>
          <w:szCs w:val="16"/>
          <w:color w:val="3D3935"/>
        </w:rPr>
        <w:t>– NEOs are eligible to participate in the Executive Company Vehicle Program and may use</w:t>
      </w:r>
      <w:r>
        <w:rPr>
          <w:rFonts w:ascii="Arial" w:cs="Arial" w:eastAsia="Arial" w:hAnsi="Arial"/>
          <w:sz w:val="16"/>
          <w:szCs w:val="16"/>
          <w:b w:val="1"/>
          <w:bCs w:val="1"/>
          <w:color w:val="0072CE"/>
        </w:rPr>
        <w:t xml:space="preserve"> </w:t>
      </w:r>
      <w:r>
        <w:rPr>
          <w:rFonts w:ascii="Arial" w:cs="Arial" w:eastAsia="Arial" w:hAnsi="Arial"/>
          <w:sz w:val="16"/>
          <w:szCs w:val="16"/>
          <w:color w:val="3D3935"/>
        </w:rPr>
        <w:t>evaluation vehicles for the purpose of providing feedback on Company products. In addition, NEOs are eligible to use driver services provided by the Company in accordance with Company policies.</w:t>
      </w:r>
    </w:p>
    <w:p>
      <w:pPr>
        <w:spacing w:after="0" w:line="64" w:lineRule="exact"/>
        <w:rPr>
          <w:sz w:val="20"/>
          <w:szCs w:val="20"/>
          <w:color w:val="auto"/>
        </w:rPr>
      </w:pPr>
    </w:p>
    <w:p>
      <w:pPr>
        <w:ind w:right="119"/>
        <w:spacing w:after="0" w:line="286" w:lineRule="auto"/>
        <w:rPr>
          <w:sz w:val="20"/>
          <w:szCs w:val="20"/>
          <w:color w:val="auto"/>
        </w:rPr>
      </w:pPr>
      <w:r>
        <w:rPr>
          <w:rFonts w:ascii="Arial" w:cs="Arial" w:eastAsia="Arial" w:hAnsi="Arial"/>
          <w:sz w:val="16"/>
          <w:szCs w:val="16"/>
          <w:b w:val="1"/>
          <w:bCs w:val="1"/>
          <w:color w:val="0072CE"/>
        </w:rPr>
        <w:t xml:space="preserve">Executive Physicals </w:t>
      </w:r>
      <w:r>
        <w:rPr>
          <w:rFonts w:ascii="Arial" w:cs="Arial" w:eastAsia="Arial" w:hAnsi="Arial"/>
          <w:sz w:val="16"/>
          <w:szCs w:val="16"/>
          <w:color w:val="3D3935"/>
        </w:rPr>
        <w:t>– The health and wellness of our workforce is a priority, and all employees are encouraged to complete</w:t>
      </w:r>
      <w:r>
        <w:rPr>
          <w:rFonts w:ascii="Arial" w:cs="Arial" w:eastAsia="Arial" w:hAnsi="Arial"/>
          <w:sz w:val="16"/>
          <w:szCs w:val="16"/>
          <w:b w:val="1"/>
          <w:bCs w:val="1"/>
          <w:color w:val="0072CE"/>
        </w:rPr>
        <w:t xml:space="preserve"> </w:t>
      </w:r>
      <w:r>
        <w:rPr>
          <w:rFonts w:ascii="Arial" w:cs="Arial" w:eastAsia="Arial" w:hAnsi="Arial"/>
          <w:sz w:val="16"/>
          <w:szCs w:val="16"/>
          <w:color w:val="3D3935"/>
        </w:rPr>
        <w:t>an annual physical. NEOs are eligible to receive a comprehensive wellness examination with an approved provider. The cost of meals, lodging, commercial air travel, and ground transportation for NEOs who traveled for an annual executive physical through the Executive Physical Program is included under Executive Physicals in the “Perquisites and Other Personal Benefits” table. These wellness visits promote employee well-being and enable employees to take appropriate steps in the event of illness or a medical condition that may impact their ability to perform their duties.</w:t>
      </w:r>
    </w:p>
    <w:p>
      <w:pPr>
        <w:spacing w:after="0" w:line="75" w:lineRule="exact"/>
        <w:rPr>
          <w:sz w:val="20"/>
          <w:szCs w:val="20"/>
          <w:color w:val="auto"/>
        </w:rPr>
      </w:pPr>
    </w:p>
    <w:p>
      <w:pPr>
        <w:ind w:right="139"/>
        <w:spacing w:after="0" w:line="301" w:lineRule="auto"/>
        <w:rPr>
          <w:sz w:val="20"/>
          <w:szCs w:val="20"/>
          <w:color w:val="auto"/>
        </w:rPr>
      </w:pPr>
      <w:r>
        <w:rPr>
          <w:rFonts w:ascii="Arial" w:cs="Arial" w:eastAsia="Arial" w:hAnsi="Arial"/>
          <w:sz w:val="16"/>
          <w:szCs w:val="16"/>
          <w:b w:val="1"/>
          <w:bCs w:val="1"/>
          <w:color w:val="0072CE"/>
        </w:rPr>
        <w:t xml:space="preserve">Financial Counseling </w:t>
      </w:r>
      <w:r>
        <w:rPr>
          <w:rFonts w:ascii="Arial" w:cs="Arial" w:eastAsia="Arial" w:hAnsi="Arial"/>
          <w:sz w:val="16"/>
          <w:szCs w:val="16"/>
          <w:color w:val="3D3935"/>
        </w:rPr>
        <w:t>– NEOs are eligible to receive financial counseling, estate planning, and tax preparation services</w:t>
      </w:r>
      <w:r>
        <w:rPr>
          <w:rFonts w:ascii="Arial" w:cs="Arial" w:eastAsia="Arial" w:hAnsi="Arial"/>
          <w:sz w:val="16"/>
          <w:szCs w:val="16"/>
          <w:b w:val="1"/>
          <w:bCs w:val="1"/>
          <w:color w:val="0072CE"/>
        </w:rPr>
        <w:t xml:space="preserve"> </w:t>
      </w:r>
      <w:r>
        <w:rPr>
          <w:rFonts w:ascii="Arial" w:cs="Arial" w:eastAsia="Arial" w:hAnsi="Arial"/>
          <w:sz w:val="16"/>
          <w:szCs w:val="16"/>
          <w:color w:val="3D3935"/>
        </w:rPr>
        <w:t>through an approved provider. These services allow our NEOs to focus on Company business and ensure accurate personal tax reporting.</w:t>
      </w:r>
    </w:p>
    <w:p>
      <w:pPr>
        <w:sectPr>
          <w:pgSz w:w="11900" w:h="16838" w:orient="portrait"/>
          <w:cols w:equalWidth="0" w:num="1">
            <w:col w:w="9059"/>
          </w:cols>
          <w:pgMar w:left="1400" w:top="143" w:right="1440" w:bottom="5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3162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10375" cy="316230"/>
                    </a:xfrm>
                    <a:prstGeom prst="rect">
                      <a:avLst/>
                    </a:prstGeom>
                    <a:noFill/>
                  </pic:spPr>
                </pic:pic>
              </a:graphicData>
            </a:graphic>
          </wp:anchor>
        </w:drawing>
      </w:r>
    </w:p>
    <w:p>
      <w:pPr>
        <w:sectPr>
          <w:pgSz w:w="11900" w:h="16838" w:orient="portrait"/>
          <w:cols w:equalWidth="0" w:num="1">
            <w:col w:w="9059"/>
          </w:cols>
          <w:pgMar w:left="1400" w:top="143" w:right="1440" w:bottom="592" w:gutter="0" w:footer="0" w:header="0"/>
          <w:type w:val="continuous"/>
        </w:sectPr>
      </w:pPr>
    </w:p>
    <w:bookmarkStart w:id="57" w:name="page58"/>
    <w:bookmarkEnd w:id="57"/>
    <w:p>
      <w:pPr>
        <w:spacing w:after="0" w:line="8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-87630</wp:posOffset>
            </wp:positionV>
            <wp:extent cx="6810375" cy="85401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10375" cy="854011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Compensation Decision-Making Process</w:t>
      </w:r>
    </w:p>
    <w:p>
      <w:pPr>
        <w:sectPr>
          <w:pgSz w:w="11900" w:h="16922" w:orient="portrait"/>
          <w:cols w:equalWidth="0" w:num="1">
            <w:col w:w="9240"/>
          </w:cols>
          <w:pgMar w:left="1400" w:top="118" w:right="1259" w:bottom="0" w:gutter="0" w:footer="0" w:header="0"/>
        </w:sectPr>
      </w:pP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Roles and Responsibilities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0072CE"/>
        </w:rPr>
        <w:t>How We Plan Compensation</w:t>
      </w:r>
    </w:p>
    <w:p>
      <w:pPr>
        <w:spacing w:after="0" w:line="200" w:lineRule="exact"/>
        <w:rPr>
          <w:sz w:val="20"/>
          <w:szCs w:val="20"/>
          <w:color w:val="auto"/>
        </w:rPr>
      </w:pPr>
    </w:p>
    <w:p>
      <w:pPr>
        <w:spacing w:after="0" w:line="268"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0072CE"/>
        </w:rPr>
        <w:t>GM</w:t>
      </w:r>
    </w:p>
    <w:p>
      <w:pPr>
        <w:spacing w:after="0" w:line="27"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0072CE"/>
        </w:rPr>
        <w:t>Management</w:t>
      </w:r>
    </w:p>
    <w:p>
      <w:pPr>
        <w:spacing w:after="0" w:line="104" w:lineRule="exact"/>
        <w:rPr>
          <w:sz w:val="20"/>
          <w:szCs w:val="20"/>
          <w:color w:val="auto"/>
        </w:rPr>
      </w:pPr>
    </w:p>
    <w:p>
      <w:pPr>
        <w:ind w:left="420" w:right="980" w:hanging="189"/>
        <w:spacing w:after="0" w:line="301" w:lineRule="auto"/>
        <w:tabs>
          <w:tab w:leader="none" w:pos="420" w:val="left"/>
        </w:tabs>
        <w:numPr>
          <w:ilvl w:val="0"/>
          <w:numId w:val="86"/>
        </w:numPr>
        <w:rPr>
          <w:rFonts w:ascii="Arial" w:cs="Arial" w:eastAsia="Arial" w:hAnsi="Arial"/>
          <w:sz w:val="16"/>
          <w:szCs w:val="16"/>
          <w:color w:val="0072CE"/>
        </w:rPr>
      </w:pPr>
      <w:r>
        <w:rPr>
          <w:rFonts w:ascii="Arial" w:cs="Arial" w:eastAsia="Arial" w:hAnsi="Arial"/>
          <w:sz w:val="16"/>
          <w:szCs w:val="16"/>
          <w:color w:val="3D3935"/>
        </w:rPr>
        <w:t>Makes recommendations regarding compensation structure and design</w:t>
      </w:r>
    </w:p>
    <w:p>
      <w:pPr>
        <w:spacing w:after="0" w:line="63" w:lineRule="exact"/>
        <w:rPr>
          <w:rFonts w:ascii="Arial" w:cs="Arial" w:eastAsia="Arial" w:hAnsi="Arial"/>
          <w:sz w:val="16"/>
          <w:szCs w:val="16"/>
          <w:color w:val="0072CE"/>
        </w:rPr>
      </w:pPr>
    </w:p>
    <w:p>
      <w:pPr>
        <w:ind w:left="420" w:right="840" w:hanging="189"/>
        <w:spacing w:after="0" w:line="301" w:lineRule="auto"/>
        <w:tabs>
          <w:tab w:leader="none" w:pos="420" w:val="left"/>
        </w:tabs>
        <w:numPr>
          <w:ilvl w:val="0"/>
          <w:numId w:val="86"/>
        </w:numPr>
        <w:rPr>
          <w:rFonts w:ascii="Arial" w:cs="Arial" w:eastAsia="Arial" w:hAnsi="Arial"/>
          <w:sz w:val="16"/>
          <w:szCs w:val="16"/>
          <w:color w:val="0072CE"/>
        </w:rPr>
      </w:pPr>
      <w:r>
        <w:rPr>
          <w:rFonts w:ascii="Arial" w:cs="Arial" w:eastAsia="Arial" w:hAnsi="Arial"/>
          <w:sz w:val="16"/>
          <w:szCs w:val="16"/>
          <w:color w:val="3D3935"/>
        </w:rPr>
        <w:t>Provides input on individual performance and results against key business goals</w:t>
      </w:r>
    </w:p>
    <w:p>
      <w:pPr>
        <w:spacing w:after="0" w:line="279" w:lineRule="exact"/>
        <w:rPr>
          <w:rFonts w:ascii="Arial" w:cs="Arial" w:eastAsia="Arial" w:hAnsi="Arial"/>
          <w:sz w:val="16"/>
          <w:szCs w:val="16"/>
          <w:color w:val="0072CE"/>
        </w:rPr>
      </w:pPr>
    </w:p>
    <w:p>
      <w:pPr>
        <w:ind w:left="420" w:right="1020" w:hanging="189"/>
        <w:spacing w:after="0" w:line="295" w:lineRule="auto"/>
        <w:tabs>
          <w:tab w:leader="none" w:pos="420" w:val="left"/>
        </w:tabs>
        <w:numPr>
          <w:ilvl w:val="0"/>
          <w:numId w:val="86"/>
        </w:numPr>
        <w:rPr>
          <w:rFonts w:ascii="Arial" w:cs="Arial" w:eastAsia="Arial" w:hAnsi="Arial"/>
          <w:sz w:val="16"/>
          <w:szCs w:val="16"/>
          <w:color w:val="0072CE"/>
        </w:rPr>
      </w:pPr>
      <w:r>
        <w:rPr>
          <w:rFonts w:ascii="Arial" w:cs="Arial" w:eastAsia="Arial" w:hAnsi="Arial"/>
          <w:sz w:val="16"/>
          <w:szCs w:val="16"/>
          <w:color w:val="3D3935"/>
        </w:rPr>
        <w:t>Provides additional information as requested by the Compensation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89"/>
        <w:spacing w:after="0"/>
        <w:rPr>
          <w:sz w:val="20"/>
          <w:szCs w:val="20"/>
          <w:color w:val="auto"/>
        </w:rPr>
      </w:pPr>
      <w:r>
        <w:rPr>
          <w:rFonts w:ascii="Arial" w:cs="Arial" w:eastAsia="Arial" w:hAnsi="Arial"/>
          <w:sz w:val="18"/>
          <w:szCs w:val="18"/>
          <w:b w:val="1"/>
          <w:bCs w:val="1"/>
          <w:color w:val="0072CE"/>
        </w:rPr>
        <w:t>Compensation</w:t>
      </w:r>
    </w:p>
    <w:p>
      <w:pPr>
        <w:spacing w:after="0" w:line="27" w:lineRule="exact"/>
        <w:rPr>
          <w:sz w:val="20"/>
          <w:szCs w:val="20"/>
          <w:color w:val="auto"/>
        </w:rPr>
      </w:pPr>
    </w:p>
    <w:p>
      <w:pPr>
        <w:ind w:left="629"/>
        <w:spacing w:after="0"/>
        <w:rPr>
          <w:sz w:val="20"/>
          <w:szCs w:val="20"/>
          <w:color w:val="auto"/>
        </w:rPr>
      </w:pPr>
      <w:r>
        <w:rPr>
          <w:rFonts w:ascii="Arial" w:cs="Arial" w:eastAsia="Arial" w:hAnsi="Arial"/>
          <w:sz w:val="18"/>
          <w:szCs w:val="18"/>
          <w:b w:val="1"/>
          <w:bCs w:val="1"/>
          <w:color w:val="0072CE"/>
        </w:rPr>
        <w:t>Committee</w:t>
      </w:r>
    </w:p>
    <w:p>
      <w:pPr>
        <w:spacing w:after="0" w:line="104" w:lineRule="exact"/>
        <w:rPr>
          <w:sz w:val="20"/>
          <w:szCs w:val="20"/>
          <w:color w:val="auto"/>
        </w:rPr>
      </w:pPr>
    </w:p>
    <w:p>
      <w:pPr>
        <w:ind w:left="189" w:right="277" w:hanging="189"/>
        <w:spacing w:after="0" w:line="281" w:lineRule="auto"/>
        <w:tabs>
          <w:tab w:leader="none" w:pos="189" w:val="left"/>
        </w:tabs>
        <w:numPr>
          <w:ilvl w:val="0"/>
          <w:numId w:val="87"/>
        </w:numPr>
        <w:rPr>
          <w:rFonts w:ascii="Arial" w:cs="Arial" w:eastAsia="Arial" w:hAnsi="Arial"/>
          <w:sz w:val="16"/>
          <w:szCs w:val="16"/>
          <w:color w:val="0072CE"/>
        </w:rPr>
      </w:pPr>
      <w:r>
        <w:rPr>
          <w:rFonts w:ascii="Arial" w:cs="Arial" w:eastAsia="Arial" w:hAnsi="Arial"/>
          <w:sz w:val="16"/>
          <w:szCs w:val="16"/>
          <w:color w:val="3D3935"/>
        </w:rPr>
        <w:t>Reviews and approves plan design, metrics, goals, and overall incentive compensation</w:t>
      </w:r>
    </w:p>
    <w:p>
      <w:pPr>
        <w:spacing w:after="0" w:line="2" w:lineRule="exact"/>
        <w:rPr>
          <w:rFonts w:ascii="Arial" w:cs="Arial" w:eastAsia="Arial" w:hAnsi="Arial"/>
          <w:sz w:val="16"/>
          <w:szCs w:val="16"/>
          <w:color w:val="0072CE"/>
        </w:rPr>
      </w:pPr>
    </w:p>
    <w:p>
      <w:pPr>
        <w:ind w:left="189"/>
        <w:spacing w:after="0"/>
        <w:rPr>
          <w:rFonts w:ascii="Arial" w:cs="Arial" w:eastAsia="Arial" w:hAnsi="Arial"/>
          <w:sz w:val="16"/>
          <w:szCs w:val="16"/>
          <w:color w:val="0072CE"/>
        </w:rPr>
      </w:pPr>
      <w:r>
        <w:rPr>
          <w:rFonts w:ascii="Arial" w:cs="Arial" w:eastAsia="Arial" w:hAnsi="Arial"/>
          <w:sz w:val="16"/>
          <w:szCs w:val="16"/>
          <w:color w:val="3D3935"/>
        </w:rPr>
        <w:t>funding levels</w:t>
      </w:r>
    </w:p>
    <w:p>
      <w:pPr>
        <w:spacing w:after="0" w:line="140" w:lineRule="exact"/>
        <w:rPr>
          <w:rFonts w:ascii="Arial" w:cs="Arial" w:eastAsia="Arial" w:hAnsi="Arial"/>
          <w:sz w:val="16"/>
          <w:szCs w:val="16"/>
          <w:color w:val="0072CE"/>
        </w:rPr>
      </w:pPr>
    </w:p>
    <w:p>
      <w:pPr>
        <w:ind w:left="189" w:right="557" w:hanging="189"/>
        <w:spacing w:after="0" w:line="295" w:lineRule="auto"/>
        <w:tabs>
          <w:tab w:leader="none" w:pos="189" w:val="left"/>
        </w:tabs>
        <w:numPr>
          <w:ilvl w:val="0"/>
          <w:numId w:val="87"/>
        </w:numPr>
        <w:rPr>
          <w:rFonts w:ascii="Arial" w:cs="Arial" w:eastAsia="Arial" w:hAnsi="Arial"/>
          <w:sz w:val="16"/>
          <w:szCs w:val="16"/>
          <w:color w:val="0072CE"/>
        </w:rPr>
      </w:pPr>
      <w:r>
        <w:rPr>
          <w:rFonts w:ascii="Arial" w:cs="Arial" w:eastAsia="Arial" w:hAnsi="Arial"/>
          <w:sz w:val="16"/>
          <w:szCs w:val="16"/>
          <w:color w:val="3D3935"/>
        </w:rPr>
        <w:t>Reviews and approves individual targets and actual compensation for our most senior leaders</w:t>
      </w:r>
    </w:p>
    <w:p>
      <w:pPr>
        <w:spacing w:after="0" w:line="67" w:lineRule="exact"/>
        <w:rPr>
          <w:rFonts w:ascii="Arial" w:cs="Arial" w:eastAsia="Arial" w:hAnsi="Arial"/>
          <w:sz w:val="16"/>
          <w:szCs w:val="16"/>
          <w:color w:val="0072CE"/>
        </w:rPr>
      </w:pPr>
    </w:p>
    <w:p>
      <w:pPr>
        <w:ind w:left="189" w:right="437" w:hanging="189"/>
        <w:spacing w:after="0" w:line="286" w:lineRule="auto"/>
        <w:tabs>
          <w:tab w:leader="none" w:pos="189" w:val="left"/>
        </w:tabs>
        <w:numPr>
          <w:ilvl w:val="0"/>
          <w:numId w:val="87"/>
        </w:numPr>
        <w:rPr>
          <w:rFonts w:ascii="Arial" w:cs="Arial" w:eastAsia="Arial" w:hAnsi="Arial"/>
          <w:sz w:val="16"/>
          <w:szCs w:val="16"/>
          <w:color w:val="0072CE"/>
        </w:rPr>
      </w:pPr>
      <w:r>
        <w:rPr>
          <w:rFonts w:ascii="Arial" w:cs="Arial" w:eastAsia="Arial" w:hAnsi="Arial"/>
          <w:sz w:val="16"/>
          <w:szCs w:val="16"/>
          <w:color w:val="3D3935"/>
        </w:rPr>
        <w:t>Ensures alignment and integration of the Company’s sustainability goals and milestones into the executive compensation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23"/>
        <w:spacing w:after="0"/>
        <w:rPr>
          <w:sz w:val="20"/>
          <w:szCs w:val="20"/>
          <w:color w:val="auto"/>
        </w:rPr>
      </w:pPr>
      <w:r>
        <w:rPr>
          <w:rFonts w:ascii="Arial" w:cs="Arial" w:eastAsia="Arial" w:hAnsi="Arial"/>
          <w:sz w:val="18"/>
          <w:szCs w:val="18"/>
          <w:b w:val="1"/>
          <w:bCs w:val="1"/>
          <w:color w:val="0072CE"/>
        </w:rPr>
        <w:t>Committee</w:t>
      </w:r>
    </w:p>
    <w:p>
      <w:pPr>
        <w:spacing w:after="0" w:line="27" w:lineRule="exact"/>
        <w:rPr>
          <w:sz w:val="20"/>
          <w:szCs w:val="20"/>
          <w:color w:val="auto"/>
        </w:rPr>
      </w:pPr>
    </w:p>
    <w:p>
      <w:pPr>
        <w:ind w:left="623"/>
        <w:spacing w:after="0"/>
        <w:rPr>
          <w:sz w:val="20"/>
          <w:szCs w:val="20"/>
          <w:color w:val="auto"/>
        </w:rPr>
      </w:pPr>
      <w:r>
        <w:rPr>
          <w:rFonts w:ascii="Arial" w:cs="Arial" w:eastAsia="Arial" w:hAnsi="Arial"/>
          <w:sz w:val="18"/>
          <w:szCs w:val="18"/>
          <w:b w:val="1"/>
          <w:bCs w:val="1"/>
          <w:color w:val="0072CE"/>
        </w:rPr>
        <w:t>Consultant</w:t>
      </w:r>
    </w:p>
    <w:p>
      <w:pPr>
        <w:spacing w:after="0" w:line="104" w:lineRule="exact"/>
        <w:rPr>
          <w:sz w:val="20"/>
          <w:szCs w:val="20"/>
          <w:color w:val="auto"/>
        </w:rPr>
      </w:pPr>
    </w:p>
    <w:p>
      <w:pPr>
        <w:ind w:left="203" w:right="720" w:hanging="203"/>
        <w:spacing w:after="0" w:line="321" w:lineRule="auto"/>
        <w:tabs>
          <w:tab w:leader="none" w:pos="203" w:val="left"/>
        </w:tabs>
        <w:numPr>
          <w:ilvl w:val="0"/>
          <w:numId w:val="88"/>
        </w:numPr>
        <w:rPr>
          <w:rFonts w:ascii="Arial" w:cs="Arial" w:eastAsia="Arial" w:hAnsi="Arial"/>
          <w:sz w:val="16"/>
          <w:szCs w:val="16"/>
          <w:color w:val="0072CE"/>
        </w:rPr>
      </w:pPr>
      <w:r>
        <w:rPr>
          <w:rFonts w:ascii="Arial" w:cs="Arial" w:eastAsia="Arial" w:hAnsi="Arial"/>
          <w:sz w:val="16"/>
          <w:szCs w:val="16"/>
          <w:color w:val="3D3935"/>
        </w:rPr>
        <w:t>Assists with peer group selection and analysis</w:t>
      </w:r>
    </w:p>
    <w:p>
      <w:pPr>
        <w:spacing w:after="0" w:line="47" w:lineRule="exact"/>
        <w:rPr>
          <w:rFonts w:ascii="Arial" w:cs="Arial" w:eastAsia="Arial" w:hAnsi="Arial"/>
          <w:sz w:val="16"/>
          <w:szCs w:val="16"/>
          <w:color w:val="0072CE"/>
        </w:rPr>
      </w:pPr>
    </w:p>
    <w:p>
      <w:pPr>
        <w:ind w:left="203" w:right="460" w:hanging="203"/>
        <w:spacing w:after="0" w:line="291" w:lineRule="auto"/>
        <w:tabs>
          <w:tab w:leader="none" w:pos="203" w:val="left"/>
        </w:tabs>
        <w:numPr>
          <w:ilvl w:val="0"/>
          <w:numId w:val="88"/>
        </w:numPr>
        <w:rPr>
          <w:rFonts w:ascii="Arial" w:cs="Arial" w:eastAsia="Arial" w:hAnsi="Arial"/>
          <w:sz w:val="16"/>
          <w:szCs w:val="16"/>
          <w:color w:val="0072CE"/>
        </w:rPr>
      </w:pPr>
      <w:r>
        <w:rPr>
          <w:rFonts w:ascii="Arial" w:cs="Arial" w:eastAsia="Arial" w:hAnsi="Arial"/>
          <w:sz w:val="16"/>
          <w:szCs w:val="16"/>
          <w:color w:val="3D3935"/>
        </w:rPr>
        <w:t>Advises the Compensation Committee on competitive benchmarking for pay levels, practices, and governance trends</w:t>
      </w:r>
    </w:p>
    <w:p>
      <w:pPr>
        <w:spacing w:after="0" w:line="72" w:lineRule="exact"/>
        <w:rPr>
          <w:rFonts w:ascii="Arial" w:cs="Arial" w:eastAsia="Arial" w:hAnsi="Arial"/>
          <w:sz w:val="16"/>
          <w:szCs w:val="16"/>
          <w:color w:val="0072CE"/>
        </w:rPr>
      </w:pPr>
    </w:p>
    <w:p>
      <w:pPr>
        <w:ind w:left="203" w:right="640" w:hanging="203"/>
        <w:spacing w:after="0" w:line="301" w:lineRule="auto"/>
        <w:tabs>
          <w:tab w:leader="none" w:pos="203" w:val="left"/>
        </w:tabs>
        <w:numPr>
          <w:ilvl w:val="0"/>
          <w:numId w:val="88"/>
        </w:numPr>
        <w:rPr>
          <w:rFonts w:ascii="Arial" w:cs="Arial" w:eastAsia="Arial" w:hAnsi="Arial"/>
          <w:sz w:val="16"/>
          <w:szCs w:val="16"/>
          <w:color w:val="0072CE"/>
        </w:rPr>
      </w:pPr>
      <w:r>
        <w:rPr>
          <w:rFonts w:ascii="Arial" w:cs="Arial" w:eastAsia="Arial" w:hAnsi="Arial"/>
          <w:sz w:val="16"/>
          <w:szCs w:val="16"/>
          <w:color w:val="3D3935"/>
        </w:rPr>
        <w:t>Reviews and advises on recommendations, plan design, and measures</w:t>
      </w:r>
    </w:p>
    <w:p>
      <w:pPr>
        <w:spacing w:after="0" w:line="1255" w:lineRule="exact"/>
        <w:rPr>
          <w:sz w:val="20"/>
          <w:szCs w:val="20"/>
          <w:color w:val="auto"/>
        </w:rPr>
      </w:pPr>
    </w:p>
    <w:p>
      <w:pPr>
        <w:sectPr>
          <w:pgSz w:w="11900" w:h="16922" w:orient="portrait"/>
          <w:cols w:equalWidth="0" w:num="3">
            <w:col w:w="3220" w:space="251"/>
            <w:col w:w="2466" w:space="720"/>
            <w:col w:w="2583"/>
          </w:cols>
          <w:pgMar w:left="1400" w:top="118" w:right="1259" w:bottom="0"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Compensation Committee and Consultant Independence</w:t>
      </w:r>
    </w:p>
    <w:p>
      <w:pPr>
        <w:spacing w:after="0" w:line="99"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3D3935"/>
        </w:rPr>
        <w:t>Our Compensation Committee is composed entirely of independent directors as determined by the Board under NYSE and SEC rules, and as defined for various regulatory purposes. Under its charter, the Compensation Committee has the authority to hire outside consultants and advisors at the Company’s expense.</w:t>
      </w:r>
    </w:p>
    <w:p>
      <w:pPr>
        <w:spacing w:after="0" w:line="91" w:lineRule="exact"/>
        <w:rPr>
          <w:sz w:val="20"/>
          <w:szCs w:val="20"/>
          <w:color w:val="auto"/>
        </w:rPr>
      </w:pPr>
    </w:p>
    <w:p>
      <w:pPr>
        <w:ind w:right="280"/>
        <w:spacing w:after="0" w:line="288" w:lineRule="auto"/>
        <w:rPr>
          <w:sz w:val="20"/>
          <w:szCs w:val="20"/>
          <w:color w:val="auto"/>
        </w:rPr>
      </w:pPr>
      <w:r>
        <w:rPr>
          <w:rFonts w:ascii="Arial" w:cs="Arial" w:eastAsia="Arial" w:hAnsi="Arial"/>
          <w:sz w:val="16"/>
          <w:szCs w:val="16"/>
          <w:color w:val="3D3935"/>
        </w:rPr>
        <w:t>For 2024, the Compensation Committee retained the services of Semler Brossy Consulting Group LLC (“Semler Brossy”), for advice related to the compensation of NEOs and other executive compensation-related matters. Semler Brossy takes direction from, and is solely responsible to, the Compensation Committee and does not provide services to the Company’s management. A representative from Semler Brossy attended all Compensation Committee meetings, either in person or virtually, consulted with and advised the Compensation Committee members on executive compensation, including the structure and amounts of various pay elements, and developed executive benchmarking data. The Compensation Committee is also aided in its deliberations by in-house legal counsel.</w:t>
      </w:r>
    </w:p>
    <w:p>
      <w:pPr>
        <w:spacing w:after="0" w:line="115" w:lineRule="exact"/>
        <w:rPr>
          <w:sz w:val="20"/>
          <w:szCs w:val="20"/>
          <w:color w:val="auto"/>
        </w:rPr>
      </w:pPr>
    </w:p>
    <w:p>
      <w:pPr>
        <w:ind w:right="340"/>
        <w:spacing w:after="0" w:line="321" w:lineRule="auto"/>
        <w:rPr>
          <w:sz w:val="20"/>
          <w:szCs w:val="20"/>
          <w:color w:val="auto"/>
        </w:rPr>
      </w:pPr>
      <w:r>
        <w:rPr>
          <w:rFonts w:ascii="Arial" w:cs="Arial" w:eastAsia="Arial" w:hAnsi="Arial"/>
          <w:sz w:val="16"/>
          <w:szCs w:val="16"/>
          <w:color w:val="3D3935"/>
        </w:rPr>
        <w:t>The Compensation Committee annually reviews the performance of its compensation consultant and considers the following factors when assessing consultant independence in accordance with NYSE standards:</w:t>
      </w:r>
    </w:p>
    <w:p>
      <w:pPr>
        <w:spacing w:after="0" w:line="75" w:lineRule="exact"/>
        <w:rPr>
          <w:sz w:val="20"/>
          <w:szCs w:val="20"/>
          <w:color w:val="auto"/>
        </w:rPr>
      </w:pPr>
    </w:p>
    <w:p>
      <w:pPr>
        <w:ind w:left="200" w:hanging="192"/>
        <w:spacing w:after="0"/>
        <w:tabs>
          <w:tab w:leader="none" w:pos="200" w:val="left"/>
        </w:tabs>
        <w:numPr>
          <w:ilvl w:val="0"/>
          <w:numId w:val="89"/>
        </w:numPr>
        <w:rPr>
          <w:rFonts w:ascii="Arial" w:cs="Arial" w:eastAsia="Arial" w:hAnsi="Arial"/>
          <w:sz w:val="16"/>
          <w:szCs w:val="16"/>
          <w:color w:val="0072CE"/>
        </w:rPr>
      </w:pPr>
      <w:r>
        <w:rPr>
          <w:rFonts w:ascii="Arial" w:cs="Arial" w:eastAsia="Arial" w:hAnsi="Arial"/>
          <w:sz w:val="16"/>
          <w:szCs w:val="16"/>
          <w:color w:val="3D3935"/>
        </w:rPr>
        <w:t>Services provided to GM management outside the services provided to the Compensation Committee;</w:t>
      </w:r>
    </w:p>
    <w:p>
      <w:pPr>
        <w:spacing w:after="0" w:line="86" w:lineRule="exact"/>
        <w:rPr>
          <w:rFonts w:ascii="Arial" w:cs="Arial" w:eastAsia="Arial" w:hAnsi="Arial"/>
          <w:sz w:val="16"/>
          <w:szCs w:val="16"/>
          <w:color w:val="0072CE"/>
        </w:rPr>
      </w:pPr>
    </w:p>
    <w:p>
      <w:pPr>
        <w:ind w:left="200" w:hanging="192"/>
        <w:spacing w:after="0"/>
        <w:tabs>
          <w:tab w:leader="none" w:pos="200" w:val="left"/>
        </w:tabs>
        <w:numPr>
          <w:ilvl w:val="0"/>
          <w:numId w:val="89"/>
        </w:numPr>
        <w:rPr>
          <w:rFonts w:ascii="Arial" w:cs="Arial" w:eastAsia="Arial" w:hAnsi="Arial"/>
          <w:sz w:val="16"/>
          <w:szCs w:val="16"/>
          <w:color w:val="0072CE"/>
        </w:rPr>
      </w:pPr>
      <w:r>
        <w:rPr>
          <w:rFonts w:ascii="Arial" w:cs="Arial" w:eastAsia="Arial" w:hAnsi="Arial"/>
          <w:sz w:val="16"/>
          <w:szCs w:val="16"/>
          <w:color w:val="3D3935"/>
        </w:rPr>
        <w:t>Fees paid as a percentage of the compensation consultants’ total revenue;</w:t>
      </w:r>
    </w:p>
    <w:p>
      <w:pPr>
        <w:spacing w:after="0" w:line="86" w:lineRule="exact"/>
        <w:rPr>
          <w:rFonts w:ascii="Arial" w:cs="Arial" w:eastAsia="Arial" w:hAnsi="Arial"/>
          <w:sz w:val="16"/>
          <w:szCs w:val="16"/>
          <w:color w:val="0072CE"/>
        </w:rPr>
      </w:pPr>
    </w:p>
    <w:p>
      <w:pPr>
        <w:ind w:left="200" w:hanging="192"/>
        <w:spacing w:after="0"/>
        <w:tabs>
          <w:tab w:leader="none" w:pos="200" w:val="left"/>
        </w:tabs>
        <w:numPr>
          <w:ilvl w:val="0"/>
          <w:numId w:val="89"/>
        </w:numPr>
        <w:rPr>
          <w:rFonts w:ascii="Arial" w:cs="Arial" w:eastAsia="Arial" w:hAnsi="Arial"/>
          <w:sz w:val="16"/>
          <w:szCs w:val="16"/>
          <w:color w:val="0072CE"/>
        </w:rPr>
      </w:pPr>
      <w:r>
        <w:rPr>
          <w:rFonts w:ascii="Arial" w:cs="Arial" w:eastAsia="Arial" w:hAnsi="Arial"/>
          <w:sz w:val="16"/>
          <w:szCs w:val="16"/>
          <w:color w:val="3D3935"/>
        </w:rPr>
        <w:t>Policies and procedures designed to prevent conflicts of interest;</w:t>
      </w:r>
    </w:p>
    <w:p>
      <w:pPr>
        <w:spacing w:after="0" w:line="86" w:lineRule="exact"/>
        <w:rPr>
          <w:rFonts w:ascii="Arial" w:cs="Arial" w:eastAsia="Arial" w:hAnsi="Arial"/>
          <w:sz w:val="16"/>
          <w:szCs w:val="16"/>
          <w:color w:val="0072CE"/>
        </w:rPr>
      </w:pPr>
    </w:p>
    <w:p>
      <w:pPr>
        <w:ind w:left="200" w:right="1940" w:hanging="192"/>
        <w:spacing w:after="0" w:line="316" w:lineRule="auto"/>
        <w:tabs>
          <w:tab w:leader="none" w:pos="200" w:val="left"/>
        </w:tabs>
        <w:numPr>
          <w:ilvl w:val="0"/>
          <w:numId w:val="89"/>
        </w:numPr>
        <w:rPr>
          <w:rFonts w:ascii="Arial" w:cs="Arial" w:eastAsia="Arial" w:hAnsi="Arial"/>
          <w:sz w:val="16"/>
          <w:szCs w:val="16"/>
          <w:color w:val="0072CE"/>
        </w:rPr>
      </w:pPr>
      <w:r>
        <w:rPr>
          <w:rFonts w:ascii="Arial" w:cs="Arial" w:eastAsia="Arial" w:hAnsi="Arial"/>
          <w:sz w:val="16"/>
          <w:szCs w:val="16"/>
          <w:color w:val="3D3935"/>
        </w:rPr>
        <w:t>Any business or personal relationships between members of the Compensation Committee and the compensation consultant;</w:t>
      </w:r>
    </w:p>
    <w:p>
      <w:pPr>
        <w:spacing w:after="0" w:line="1" w:lineRule="exact"/>
        <w:rPr>
          <w:rFonts w:ascii="Arial" w:cs="Arial" w:eastAsia="Arial" w:hAnsi="Arial"/>
          <w:sz w:val="16"/>
          <w:szCs w:val="16"/>
          <w:color w:val="0072CE"/>
        </w:rPr>
      </w:pPr>
    </w:p>
    <w:p>
      <w:pPr>
        <w:ind w:left="200" w:hanging="192"/>
        <w:spacing w:after="0"/>
        <w:tabs>
          <w:tab w:leader="none" w:pos="200" w:val="left"/>
        </w:tabs>
        <w:numPr>
          <w:ilvl w:val="0"/>
          <w:numId w:val="89"/>
        </w:numPr>
        <w:rPr>
          <w:rFonts w:ascii="Arial" w:cs="Arial" w:eastAsia="Arial" w:hAnsi="Arial"/>
          <w:sz w:val="16"/>
          <w:szCs w:val="16"/>
          <w:color w:val="0072CE"/>
        </w:rPr>
      </w:pPr>
      <w:r>
        <w:rPr>
          <w:rFonts w:ascii="Arial" w:cs="Arial" w:eastAsia="Arial" w:hAnsi="Arial"/>
          <w:sz w:val="16"/>
          <w:szCs w:val="16"/>
          <w:color w:val="3D3935"/>
        </w:rPr>
        <w:t>GM stock ownership by employees of the compensation consultant; and</w:t>
      </w:r>
    </w:p>
    <w:p>
      <w:pPr>
        <w:spacing w:after="0" w:line="86" w:lineRule="exact"/>
        <w:rPr>
          <w:rFonts w:ascii="Arial" w:cs="Arial" w:eastAsia="Arial" w:hAnsi="Arial"/>
          <w:sz w:val="16"/>
          <w:szCs w:val="16"/>
          <w:color w:val="0072CE"/>
        </w:rPr>
      </w:pPr>
    </w:p>
    <w:p>
      <w:pPr>
        <w:ind w:left="200" w:hanging="192"/>
        <w:spacing w:after="0"/>
        <w:tabs>
          <w:tab w:leader="none" w:pos="200" w:val="left"/>
        </w:tabs>
        <w:numPr>
          <w:ilvl w:val="0"/>
          <w:numId w:val="89"/>
        </w:numPr>
        <w:rPr>
          <w:rFonts w:ascii="Arial" w:cs="Arial" w:eastAsia="Arial" w:hAnsi="Arial"/>
          <w:sz w:val="16"/>
          <w:szCs w:val="16"/>
          <w:color w:val="0072CE"/>
        </w:rPr>
      </w:pPr>
      <w:r>
        <w:rPr>
          <w:rFonts w:ascii="Arial" w:cs="Arial" w:eastAsia="Arial" w:hAnsi="Arial"/>
          <w:sz w:val="16"/>
          <w:szCs w:val="16"/>
          <w:color w:val="3D3935"/>
        </w:rPr>
        <w:t>Any business or personal relationships between GM and the compensation consultant.</w:t>
      </w:r>
    </w:p>
    <w:p>
      <w:pPr>
        <w:spacing w:after="0" w:line="181" w:lineRule="exact"/>
        <w:rPr>
          <w:sz w:val="20"/>
          <w:szCs w:val="20"/>
          <w:color w:val="auto"/>
        </w:rPr>
      </w:pPr>
    </w:p>
    <w:p>
      <w:pPr>
        <w:ind w:right="1300"/>
        <w:spacing w:after="0" w:line="321" w:lineRule="auto"/>
        <w:rPr>
          <w:sz w:val="20"/>
          <w:szCs w:val="20"/>
          <w:color w:val="auto"/>
        </w:rPr>
      </w:pPr>
      <w:r>
        <w:rPr>
          <w:rFonts w:ascii="Arial" w:cs="Arial" w:eastAsia="Arial" w:hAnsi="Arial"/>
          <w:sz w:val="16"/>
          <w:szCs w:val="16"/>
          <w:color w:val="3D3935"/>
        </w:rPr>
        <w:t>After reviewing the performance and independence of its consultant, the Compensation Committee determined Semler Brossy was independent based on the standards above.</w:t>
      </w:r>
    </w:p>
    <w:p>
      <w:pPr>
        <w:spacing w:after="0" w:line="200" w:lineRule="exact"/>
        <w:rPr>
          <w:sz w:val="20"/>
          <w:szCs w:val="20"/>
          <w:color w:val="auto"/>
        </w:rPr>
      </w:pPr>
    </w:p>
    <w:p>
      <w:pPr>
        <w:spacing w:after="0" w:line="325"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3D3935"/>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18935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10375" cy="1893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Peer Group</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Peer Group for 2024-2026 LTIP Performance (Relative TSR)</w:t>
      </w:r>
    </w:p>
    <w:p>
      <w:pPr>
        <w:spacing w:after="0" w:line="112" w:lineRule="exact"/>
        <w:rPr>
          <w:sz w:val="20"/>
          <w:szCs w:val="20"/>
          <w:color w:val="auto"/>
        </w:rPr>
      </w:pPr>
    </w:p>
    <w:p>
      <w:pPr>
        <w:jc w:val="both"/>
        <w:ind w:right="360"/>
        <w:spacing w:after="0" w:line="301" w:lineRule="auto"/>
        <w:rPr>
          <w:sz w:val="20"/>
          <w:szCs w:val="20"/>
          <w:color w:val="auto"/>
        </w:rPr>
      </w:pPr>
      <w:r>
        <w:rPr>
          <w:rFonts w:ascii="Arial" w:cs="Arial" w:eastAsia="Arial" w:hAnsi="Arial"/>
          <w:sz w:val="16"/>
          <w:szCs w:val="16"/>
          <w:color w:val="3D3935"/>
        </w:rPr>
        <w:t>The Compensation Committee uses the following OEMs in the Dow Jones Automobiles &amp; Parts Titans 30 Index to measure relative performance for the Relative TSR measure in the 2024–2026 PSU awards, as they represent our global competition and are subject to similar macroeconomic forces that we believe impact our TSR.</w:t>
      </w:r>
    </w:p>
    <w:p>
      <w:pPr>
        <w:sectPr>
          <w:pgSz w:w="11900" w:h="16922" w:orient="portrait"/>
          <w:cols w:equalWidth="0" w:num="1">
            <w:col w:w="9240"/>
          </w:cols>
          <w:pgMar w:left="1400" w:top="118" w:right="1259" w:bottom="0" w:gutter="0" w:footer="0" w:header="0"/>
          <w:type w:val="continuous"/>
        </w:sectPr>
      </w:pPr>
    </w:p>
    <w:p>
      <w:pPr>
        <w:spacing w:after="0" w:line="168" w:lineRule="exact"/>
        <w:rPr>
          <w:sz w:val="20"/>
          <w:szCs w:val="20"/>
          <w:color w:val="auto"/>
        </w:rPr>
      </w:pPr>
    </w:p>
    <w:p>
      <w:pPr>
        <w:ind w:left="4540"/>
        <w:spacing w:after="0"/>
        <w:rPr>
          <w:sz w:val="20"/>
          <w:szCs w:val="20"/>
          <w:color w:val="auto"/>
        </w:rPr>
      </w:pPr>
      <w:r>
        <w:rPr>
          <w:rFonts w:ascii="Arial" w:cs="Arial" w:eastAsia="Arial" w:hAnsi="Arial"/>
          <w:sz w:val="9"/>
          <w:szCs w:val="9"/>
          <w:color w:val="3D3935"/>
        </w:rPr>
        <w:t>(1)</w:t>
      </w:r>
    </w:p>
    <w:p>
      <w:pPr>
        <w:ind w:left="60"/>
        <w:spacing w:after="0"/>
        <w:rPr>
          <w:sz w:val="20"/>
          <w:szCs w:val="20"/>
          <w:color w:val="auto"/>
        </w:rPr>
      </w:pPr>
      <w:r>
        <w:rPr>
          <w:rFonts w:ascii="Arial" w:cs="Arial" w:eastAsia="Arial" w:hAnsi="Arial"/>
          <w:sz w:val="14"/>
          <w:szCs w:val="14"/>
          <w:b w:val="1"/>
          <w:bCs w:val="1"/>
          <w:color w:val="3D3935"/>
        </w:rPr>
        <w:t>Dow Jones Automobiles &amp; Parts Titans 30 Index – OEM Peer Group</w:t>
      </w:r>
    </w:p>
    <w:p>
      <w:pPr>
        <w:sectPr>
          <w:pgSz w:w="11900" w:h="16922" w:orient="portrait"/>
          <w:cols w:equalWidth="0" w:num="1">
            <w:col w:w="9240"/>
          </w:cols>
          <w:pgMar w:left="1400" w:top="118" w:right="1259" w:bottom="0" w:gutter="0" w:footer="0" w:header="0"/>
          <w:type w:val="continuous"/>
        </w:sectPr>
      </w:pPr>
    </w:p>
    <w:bookmarkStart w:id="58" w:name="page59"/>
    <w:bookmarkEnd w:id="58"/>
    <w:tbl>
      <w:tblPr>
        <w:tblLayout w:type="fixed"/>
        <w:tblInd w:w="60" w:type="dxa"/>
        <w:tblCellMar>
          <w:top w:w="0" w:type="dxa"/>
          <w:left w:w="0" w:type="dxa"/>
          <w:bottom w:w="0" w:type="dxa"/>
          <w:right w:w="0" w:type="dxa"/>
        </w:tblCellMar>
      </w:tblPr>
      <w:tr>
        <w:trPr>
          <w:trHeight w:val="215"/>
        </w:trPr>
        <w:tc>
          <w:tcPr>
            <w:tcW w:w="2620" w:type="dxa"/>
            <w:vAlign w:val="bottom"/>
          </w:tcPr>
          <w:p>
            <w:pPr>
              <w:spacing w:after="0"/>
              <w:rPr>
                <w:sz w:val="20"/>
                <w:szCs w:val="20"/>
                <w:color w:val="auto"/>
              </w:rPr>
            </w:pPr>
            <w:r>
              <w:rPr>
                <w:rFonts w:ascii="Arial" w:cs="Arial" w:eastAsia="Arial" w:hAnsi="Arial"/>
                <w:sz w:val="16"/>
                <w:szCs w:val="16"/>
                <w:color w:val="3D3935"/>
              </w:rPr>
              <w:t>Bayerische Motoren Werke AG</w:t>
            </w:r>
          </w:p>
        </w:tc>
        <w:tc>
          <w:tcPr>
            <w:tcW w:w="2860" w:type="dxa"/>
            <w:vAlign w:val="bottom"/>
          </w:tcPr>
          <w:p>
            <w:pPr>
              <w:ind w:left="400"/>
              <w:spacing w:after="0"/>
              <w:rPr>
                <w:sz w:val="20"/>
                <w:szCs w:val="20"/>
                <w:color w:val="auto"/>
              </w:rPr>
            </w:pPr>
            <w:r>
              <w:rPr>
                <w:rFonts w:ascii="Arial" w:cs="Arial" w:eastAsia="Arial" w:hAnsi="Arial"/>
                <w:sz w:val="16"/>
                <w:szCs w:val="16"/>
                <w:color w:val="3D3935"/>
              </w:rPr>
              <w:t>Mercedes-Benz Group AG</w:t>
            </w:r>
          </w:p>
        </w:tc>
        <w:tc>
          <w:tcPr>
            <w:tcW w:w="2400" w:type="dxa"/>
            <w:vAlign w:val="bottom"/>
          </w:tcPr>
          <w:p>
            <w:pPr>
              <w:ind w:left="560"/>
              <w:spacing w:after="0"/>
              <w:rPr>
                <w:sz w:val="20"/>
                <w:szCs w:val="20"/>
                <w:color w:val="auto"/>
              </w:rPr>
            </w:pPr>
            <w:r>
              <w:rPr>
                <w:rFonts w:ascii="Arial" w:cs="Arial" w:eastAsia="Arial" w:hAnsi="Arial"/>
                <w:sz w:val="16"/>
                <w:szCs w:val="16"/>
                <w:color w:val="3D3935"/>
              </w:rPr>
              <w:t>Suzuki Motor Corporation</w:t>
            </w:r>
          </w:p>
        </w:tc>
      </w:tr>
      <w:tr>
        <w:trPr>
          <w:trHeight w:val="378"/>
        </w:trPr>
        <w:tc>
          <w:tcPr>
            <w:tcW w:w="2620" w:type="dxa"/>
            <w:vAlign w:val="bottom"/>
          </w:tcPr>
          <w:p>
            <w:pPr>
              <w:spacing w:after="0"/>
              <w:rPr>
                <w:sz w:val="20"/>
                <w:szCs w:val="20"/>
                <w:color w:val="auto"/>
              </w:rPr>
            </w:pPr>
            <w:r>
              <w:rPr>
                <w:rFonts w:ascii="Arial" w:cs="Arial" w:eastAsia="Arial" w:hAnsi="Arial"/>
                <w:sz w:val="16"/>
                <w:szCs w:val="16"/>
                <w:color w:val="3D3935"/>
              </w:rPr>
              <w:t>Ford Motor Company</w:t>
            </w:r>
          </w:p>
        </w:tc>
        <w:tc>
          <w:tcPr>
            <w:tcW w:w="2860" w:type="dxa"/>
            <w:vAlign w:val="bottom"/>
          </w:tcPr>
          <w:p>
            <w:pPr>
              <w:ind w:left="400"/>
              <w:spacing w:after="0"/>
              <w:rPr>
                <w:sz w:val="20"/>
                <w:szCs w:val="20"/>
                <w:color w:val="auto"/>
              </w:rPr>
            </w:pPr>
            <w:r>
              <w:rPr>
                <w:rFonts w:ascii="Arial" w:cs="Arial" w:eastAsia="Arial" w:hAnsi="Arial"/>
                <w:sz w:val="16"/>
                <w:szCs w:val="16"/>
                <w:color w:val="3D3935"/>
              </w:rPr>
              <w:t>Nissan Motor Co., Ltd.</w:t>
            </w:r>
          </w:p>
        </w:tc>
        <w:tc>
          <w:tcPr>
            <w:tcW w:w="2400" w:type="dxa"/>
            <w:vAlign w:val="bottom"/>
          </w:tcPr>
          <w:p>
            <w:pPr>
              <w:ind w:left="560"/>
              <w:spacing w:after="0"/>
              <w:rPr>
                <w:sz w:val="20"/>
                <w:szCs w:val="20"/>
                <w:color w:val="auto"/>
              </w:rPr>
            </w:pPr>
            <w:r>
              <w:rPr>
                <w:rFonts w:ascii="Arial" w:cs="Arial" w:eastAsia="Arial" w:hAnsi="Arial"/>
                <w:sz w:val="16"/>
                <w:szCs w:val="16"/>
                <w:color w:val="3D3935"/>
              </w:rPr>
              <w:t>Tesla, Inc.</w:t>
            </w:r>
          </w:p>
        </w:tc>
      </w:tr>
      <w:tr>
        <w:trPr>
          <w:trHeight w:val="378"/>
        </w:trPr>
        <w:tc>
          <w:tcPr>
            <w:tcW w:w="2620" w:type="dxa"/>
            <w:vAlign w:val="bottom"/>
          </w:tcPr>
          <w:p>
            <w:pPr>
              <w:spacing w:after="0"/>
              <w:rPr>
                <w:sz w:val="20"/>
                <w:szCs w:val="20"/>
                <w:color w:val="auto"/>
              </w:rPr>
            </w:pPr>
            <w:r>
              <w:rPr>
                <w:rFonts w:ascii="Arial" w:cs="Arial" w:eastAsia="Arial" w:hAnsi="Arial"/>
                <w:sz w:val="16"/>
                <w:szCs w:val="16"/>
                <w:color w:val="3D3935"/>
              </w:rPr>
              <w:t>Honda Motor Co., Ltd.</w:t>
            </w:r>
          </w:p>
        </w:tc>
        <w:tc>
          <w:tcPr>
            <w:tcW w:w="2860" w:type="dxa"/>
            <w:vAlign w:val="bottom"/>
          </w:tcPr>
          <w:p>
            <w:pPr>
              <w:ind w:left="400"/>
              <w:spacing w:after="0"/>
              <w:rPr>
                <w:sz w:val="20"/>
                <w:szCs w:val="20"/>
                <w:color w:val="auto"/>
              </w:rPr>
            </w:pPr>
            <w:r>
              <w:rPr>
                <w:rFonts w:ascii="Arial" w:cs="Arial" w:eastAsia="Arial" w:hAnsi="Arial"/>
                <w:sz w:val="16"/>
                <w:szCs w:val="16"/>
                <w:color w:val="3D3935"/>
              </w:rPr>
              <w:t>Renault SA</w:t>
            </w:r>
          </w:p>
        </w:tc>
        <w:tc>
          <w:tcPr>
            <w:tcW w:w="2400" w:type="dxa"/>
            <w:vAlign w:val="bottom"/>
          </w:tcPr>
          <w:p>
            <w:pPr>
              <w:ind w:left="560"/>
              <w:spacing w:after="0"/>
              <w:rPr>
                <w:sz w:val="20"/>
                <w:szCs w:val="20"/>
                <w:color w:val="auto"/>
              </w:rPr>
            </w:pPr>
            <w:r>
              <w:rPr>
                <w:rFonts w:ascii="Arial" w:cs="Arial" w:eastAsia="Arial" w:hAnsi="Arial"/>
                <w:sz w:val="16"/>
                <w:szCs w:val="16"/>
                <w:color w:val="3D3935"/>
                <w:w w:val="99"/>
              </w:rPr>
              <w:t>Toyota Motor Corporation</w:t>
            </w:r>
          </w:p>
        </w:tc>
      </w:tr>
      <w:tr>
        <w:trPr>
          <w:trHeight w:val="378"/>
        </w:trPr>
        <w:tc>
          <w:tcPr>
            <w:tcW w:w="2620" w:type="dxa"/>
            <w:vAlign w:val="bottom"/>
          </w:tcPr>
          <w:p>
            <w:pPr>
              <w:spacing w:after="0"/>
              <w:rPr>
                <w:sz w:val="20"/>
                <w:szCs w:val="20"/>
                <w:color w:val="auto"/>
              </w:rPr>
            </w:pPr>
            <w:r>
              <w:rPr>
                <w:rFonts w:ascii="Arial" w:cs="Arial" w:eastAsia="Arial" w:hAnsi="Arial"/>
                <w:sz w:val="16"/>
                <w:szCs w:val="16"/>
                <w:color w:val="3D3935"/>
              </w:rPr>
              <w:t>Hyundai Motor Company</w:t>
            </w:r>
          </w:p>
        </w:tc>
        <w:tc>
          <w:tcPr>
            <w:tcW w:w="2860" w:type="dxa"/>
            <w:vAlign w:val="bottom"/>
          </w:tcPr>
          <w:p>
            <w:pPr>
              <w:ind w:left="400"/>
              <w:spacing w:after="0"/>
              <w:rPr>
                <w:sz w:val="20"/>
                <w:szCs w:val="20"/>
                <w:color w:val="auto"/>
              </w:rPr>
            </w:pPr>
            <w:r>
              <w:rPr>
                <w:rFonts w:ascii="Arial" w:cs="Arial" w:eastAsia="Arial" w:hAnsi="Arial"/>
                <w:sz w:val="16"/>
                <w:szCs w:val="16"/>
                <w:color w:val="3D3935"/>
              </w:rPr>
              <w:t>Stellantis NV</w:t>
            </w:r>
          </w:p>
        </w:tc>
        <w:tc>
          <w:tcPr>
            <w:tcW w:w="2400" w:type="dxa"/>
            <w:vAlign w:val="bottom"/>
          </w:tcPr>
          <w:p>
            <w:pPr>
              <w:ind w:left="560"/>
              <w:spacing w:after="0"/>
              <w:rPr>
                <w:sz w:val="20"/>
                <w:szCs w:val="20"/>
                <w:color w:val="auto"/>
              </w:rPr>
            </w:pPr>
            <w:r>
              <w:rPr>
                <w:rFonts w:ascii="Arial" w:cs="Arial" w:eastAsia="Arial" w:hAnsi="Arial"/>
                <w:sz w:val="16"/>
                <w:szCs w:val="16"/>
                <w:color w:val="3D3935"/>
              </w:rPr>
              <w:t>Volkswagen AG</w:t>
            </w:r>
          </w:p>
        </w:tc>
      </w:tr>
      <w:tr>
        <w:trPr>
          <w:trHeight w:val="378"/>
        </w:trPr>
        <w:tc>
          <w:tcPr>
            <w:tcW w:w="2620" w:type="dxa"/>
            <w:vAlign w:val="bottom"/>
          </w:tcPr>
          <w:p>
            <w:pPr>
              <w:spacing w:after="0"/>
              <w:rPr>
                <w:sz w:val="20"/>
                <w:szCs w:val="20"/>
                <w:color w:val="auto"/>
              </w:rPr>
            </w:pPr>
            <w:r>
              <w:rPr>
                <w:rFonts w:ascii="Arial" w:cs="Arial" w:eastAsia="Arial" w:hAnsi="Arial"/>
                <w:sz w:val="16"/>
                <w:szCs w:val="16"/>
                <w:color w:val="3D3935"/>
              </w:rPr>
              <w:t>Kia Corporation</w:t>
            </w:r>
          </w:p>
        </w:tc>
        <w:tc>
          <w:tcPr>
            <w:tcW w:w="2860" w:type="dxa"/>
            <w:vAlign w:val="bottom"/>
          </w:tcPr>
          <w:p>
            <w:pPr>
              <w:ind w:left="400"/>
              <w:spacing w:after="0"/>
              <w:rPr>
                <w:sz w:val="20"/>
                <w:szCs w:val="20"/>
                <w:color w:val="auto"/>
              </w:rPr>
            </w:pPr>
            <w:r>
              <w:rPr>
                <w:rFonts w:ascii="Arial" w:cs="Arial" w:eastAsia="Arial" w:hAnsi="Arial"/>
                <w:sz w:val="16"/>
                <w:szCs w:val="16"/>
                <w:color w:val="3D3935"/>
              </w:rPr>
              <w:t>Subaru Corporation</w:t>
            </w:r>
          </w:p>
        </w:tc>
        <w:tc>
          <w:tcPr>
            <w:tcW w:w="2400" w:type="dxa"/>
            <w:vAlign w:val="bottom"/>
          </w:tcPr>
          <w:p>
            <w:pPr>
              <w:spacing w:after="0"/>
              <w:rPr>
                <w:sz w:val="24"/>
                <w:szCs w:val="24"/>
                <w:color w:val="auto"/>
              </w:rPr>
            </w:pPr>
          </w:p>
        </w:tc>
      </w:tr>
    </w:tbl>
    <w:p>
      <w:pPr>
        <w:spacing w:after="0" w:line="2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69627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10375" cy="6962775"/>
                    </a:xfrm>
                    <a:prstGeom prst="rect">
                      <a:avLst/>
                    </a:prstGeom>
                    <a:noFill/>
                  </pic:spPr>
                </pic:pic>
              </a:graphicData>
            </a:graphic>
          </wp:anchor>
        </w:drawing>
      </w:r>
    </w:p>
    <w:p>
      <w:pPr>
        <w:ind w:left="200" w:right="620" w:hanging="192"/>
        <w:spacing w:after="0" w:line="239" w:lineRule="auto"/>
        <w:tabs>
          <w:tab w:leader="none" w:pos="200" w:val="left"/>
        </w:tabs>
        <w:numPr>
          <w:ilvl w:val="0"/>
          <w:numId w:val="90"/>
        </w:numPr>
        <w:rPr>
          <w:rFonts w:ascii="Arial" w:cs="Arial" w:eastAsia="Arial" w:hAnsi="Arial"/>
          <w:sz w:val="19"/>
          <w:szCs w:val="19"/>
          <w:color w:val="3D3935"/>
          <w:vertAlign w:val="superscript"/>
        </w:rPr>
      </w:pPr>
      <w:r>
        <w:rPr>
          <w:rFonts w:ascii="Arial" w:cs="Arial" w:eastAsia="Arial" w:hAnsi="Arial"/>
          <w:sz w:val="14"/>
          <w:szCs w:val="14"/>
          <w:color w:val="3D3935"/>
        </w:rPr>
        <w:t>GM is a member of the Dow Jones Automobiles &amp; Parts Titans 30 Index. Our performance is determined on a continuous ranking for performance relative to the OEM peer group.</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Peer Group for Overall Compensation Benchmarking</w:t>
      </w:r>
    </w:p>
    <w:p>
      <w:pPr>
        <w:spacing w:after="0" w:line="166"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3D3935"/>
        </w:rPr>
        <w:t>The Compensation Committee annually reviews its peer group for overall compensation benchmarking comparisons (see table on the following page) and makes updates as needed to align with the established criteria and the Company’s strategy. We use this peer group to gather competitive market data on executive pay levels, executive compensation program design, and evolving trends in pay practices. This peer group is intended to reflect the full spectrum of industries from which we source talent to support the execution of our transformation strategy. Advancing our strategic priorities - particularly our S&amp;S and AV strategies - increasingly demands that we source technology talent from outside our direct industry. As a result, our peer group includes peers from both our direct industry, as well as from the technology industry with which we increasingly compete for talent. The Compensation Committee believes it is important to consider this range of peers to ensure our compensation opportunities remain highly competitive to be able to attract the best talent.</w:t>
      </w:r>
    </w:p>
    <w:p>
      <w:pPr>
        <w:spacing w:after="0" w:line="106" w:lineRule="exact"/>
        <w:rPr>
          <w:sz w:val="20"/>
          <w:szCs w:val="20"/>
          <w:color w:val="auto"/>
        </w:rPr>
      </w:pPr>
    </w:p>
    <w:p>
      <w:pPr>
        <w:ind w:right="480"/>
        <w:spacing w:after="0" w:line="321" w:lineRule="auto"/>
        <w:rPr>
          <w:sz w:val="20"/>
          <w:szCs w:val="20"/>
          <w:color w:val="auto"/>
        </w:rPr>
      </w:pPr>
      <w:r>
        <w:rPr>
          <w:rFonts w:ascii="Arial" w:cs="Arial" w:eastAsia="Arial" w:hAnsi="Arial"/>
          <w:sz w:val="16"/>
          <w:szCs w:val="16"/>
          <w:color w:val="3D3935"/>
        </w:rPr>
        <w:t>The Compensation Committee considered the following factors when selecting the peer group used to help establish 2024 target compensation levels for our NEOs:</w:t>
      </w:r>
    </w:p>
    <w:p>
      <w:pPr>
        <w:sectPr>
          <w:pgSz w:w="11900" w:h="16838" w:orient="portrait"/>
          <w:cols w:equalWidth="0" w:num="1">
            <w:col w:w="9240"/>
          </w:cols>
          <w:pgMar w:left="1400" w:top="301" w:right="1259" w:bottom="1440" w:gutter="0" w:footer="0" w:header="0"/>
        </w:sectPr>
      </w:pPr>
    </w:p>
    <w:p>
      <w:pPr>
        <w:spacing w:after="0" w:line="394"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0072CE"/>
        </w:rPr>
        <w:t>Set an Initial List of</w:t>
      </w:r>
    </w:p>
    <w:p>
      <w:pPr>
        <w:spacing w:after="0" w:line="27"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0072CE"/>
        </w:rPr>
        <w:t>Companies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3D3935"/>
        </w:rPr>
        <w:t>Attributes:</w:t>
      </w:r>
    </w:p>
    <w:p>
      <w:pPr>
        <w:spacing w:after="0" w:line="95" w:lineRule="exact"/>
        <w:rPr>
          <w:sz w:val="20"/>
          <w:szCs w:val="20"/>
          <w:color w:val="auto"/>
        </w:rPr>
      </w:pPr>
    </w:p>
    <w:p>
      <w:pPr>
        <w:ind w:left="420" w:right="651" w:hanging="189"/>
        <w:spacing w:after="0" w:line="316" w:lineRule="auto"/>
        <w:tabs>
          <w:tab w:leader="none" w:pos="420" w:val="left"/>
        </w:tabs>
        <w:numPr>
          <w:ilvl w:val="0"/>
          <w:numId w:val="91"/>
        </w:numPr>
        <w:rPr>
          <w:rFonts w:ascii="Arial" w:cs="Arial" w:eastAsia="Arial" w:hAnsi="Arial"/>
          <w:sz w:val="16"/>
          <w:szCs w:val="16"/>
          <w:color w:val="0072CE"/>
        </w:rPr>
      </w:pPr>
      <w:r>
        <w:rPr>
          <w:rFonts w:ascii="Arial" w:cs="Arial" w:eastAsia="Arial" w:hAnsi="Arial"/>
          <w:sz w:val="16"/>
          <w:szCs w:val="16"/>
          <w:color w:val="3D3935"/>
        </w:rPr>
        <w:t>Traded on a major U.S. stock exchange</w:t>
      </w:r>
    </w:p>
    <w:p>
      <w:pPr>
        <w:spacing w:after="0" w:line="1" w:lineRule="exact"/>
        <w:rPr>
          <w:rFonts w:ascii="Arial" w:cs="Arial" w:eastAsia="Arial" w:hAnsi="Arial"/>
          <w:sz w:val="16"/>
          <w:szCs w:val="16"/>
          <w:color w:val="0072CE"/>
        </w:rPr>
      </w:pPr>
    </w:p>
    <w:p>
      <w:pPr>
        <w:ind w:left="420" w:right="711" w:hanging="189"/>
        <w:spacing w:after="0" w:line="301" w:lineRule="auto"/>
        <w:tabs>
          <w:tab w:leader="none" w:pos="420" w:val="left"/>
        </w:tabs>
        <w:numPr>
          <w:ilvl w:val="0"/>
          <w:numId w:val="91"/>
        </w:numPr>
        <w:rPr>
          <w:rFonts w:ascii="Arial" w:cs="Arial" w:eastAsia="Arial" w:hAnsi="Arial"/>
          <w:sz w:val="16"/>
          <w:szCs w:val="16"/>
          <w:color w:val="0072CE"/>
        </w:rPr>
      </w:pPr>
      <w:r>
        <w:rPr>
          <w:rFonts w:ascii="Arial" w:cs="Arial" w:eastAsia="Arial" w:hAnsi="Arial"/>
          <w:sz w:val="16"/>
          <w:szCs w:val="16"/>
          <w:color w:val="3D3935"/>
        </w:rPr>
        <w:t>GICS Industry: manufacturers and technology companies</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jc w:val="center"/>
        <w:ind w:right="268"/>
        <w:spacing w:after="0"/>
        <w:rPr>
          <w:sz w:val="20"/>
          <w:szCs w:val="20"/>
          <w:color w:val="auto"/>
        </w:rPr>
      </w:pPr>
      <w:r>
        <w:rPr>
          <w:rFonts w:ascii="Arial" w:cs="Arial" w:eastAsia="Arial" w:hAnsi="Arial"/>
          <w:sz w:val="17"/>
          <w:szCs w:val="17"/>
          <w:b w:val="1"/>
          <w:bCs w:val="1"/>
          <w:color w:val="0072CE"/>
        </w:rPr>
        <w:t>Screen Initial List with</w:t>
      </w:r>
    </w:p>
    <w:p>
      <w:pPr>
        <w:spacing w:after="0" w:line="39" w:lineRule="exact"/>
        <w:rPr>
          <w:sz w:val="20"/>
          <w:szCs w:val="20"/>
          <w:color w:val="auto"/>
        </w:rPr>
      </w:pPr>
    </w:p>
    <w:p>
      <w:pPr>
        <w:jc w:val="center"/>
        <w:ind w:right="228"/>
        <w:spacing w:after="0"/>
        <w:rPr>
          <w:sz w:val="20"/>
          <w:szCs w:val="20"/>
          <w:color w:val="auto"/>
        </w:rPr>
      </w:pPr>
      <w:r>
        <w:rPr>
          <w:rFonts w:ascii="Arial" w:cs="Arial" w:eastAsia="Arial" w:hAnsi="Arial"/>
          <w:sz w:val="18"/>
          <w:szCs w:val="18"/>
          <w:b w:val="1"/>
          <w:bCs w:val="1"/>
          <w:color w:val="0072CE"/>
        </w:rPr>
        <w:t>Established Financial</w:t>
      </w:r>
    </w:p>
    <w:p>
      <w:pPr>
        <w:spacing w:after="0" w:line="9" w:lineRule="exact"/>
        <w:rPr>
          <w:sz w:val="20"/>
          <w:szCs w:val="20"/>
          <w:color w:val="auto"/>
        </w:rPr>
      </w:pPr>
    </w:p>
    <w:p>
      <w:pPr>
        <w:jc w:val="center"/>
        <w:ind w:right="288"/>
        <w:spacing w:after="0"/>
        <w:rPr>
          <w:sz w:val="20"/>
          <w:szCs w:val="20"/>
          <w:color w:val="auto"/>
        </w:rPr>
      </w:pPr>
      <w:r>
        <w:rPr>
          <w:rFonts w:ascii="Arial" w:cs="Arial" w:eastAsia="Arial" w:hAnsi="Arial"/>
          <w:sz w:val="18"/>
          <w:szCs w:val="18"/>
          <w:b w:val="1"/>
          <w:bCs w:val="1"/>
          <w:color w:val="0072CE"/>
        </w:rPr>
        <w:t>Criteria</w:t>
      </w:r>
    </w:p>
    <w:p>
      <w:pPr>
        <w:spacing w:after="0" w:line="99"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Size Screen:</w:t>
      </w:r>
    </w:p>
    <w:p>
      <w:pPr>
        <w:spacing w:after="0" w:line="108" w:lineRule="exact"/>
        <w:rPr>
          <w:sz w:val="20"/>
          <w:szCs w:val="20"/>
          <w:color w:val="auto"/>
        </w:rPr>
      </w:pPr>
    </w:p>
    <w:p>
      <w:pPr>
        <w:ind w:left="189" w:hanging="189"/>
        <w:spacing w:after="0"/>
        <w:tabs>
          <w:tab w:leader="none" w:pos="189" w:val="left"/>
        </w:tabs>
        <w:numPr>
          <w:ilvl w:val="0"/>
          <w:numId w:val="92"/>
        </w:numPr>
        <w:rPr>
          <w:rFonts w:ascii="Arial" w:cs="Arial" w:eastAsia="Arial" w:hAnsi="Arial"/>
          <w:sz w:val="16"/>
          <w:szCs w:val="16"/>
          <w:color w:val="0072CE"/>
        </w:rPr>
      </w:pPr>
      <w:r>
        <w:rPr>
          <w:rFonts w:ascii="Arial" w:cs="Arial" w:eastAsia="Arial" w:hAnsi="Arial"/>
          <w:sz w:val="16"/>
          <w:szCs w:val="16"/>
          <w:color w:val="3D3935"/>
        </w:rPr>
        <w:t>Revenue &gt; $25B</w:t>
      </w:r>
    </w:p>
    <w:p>
      <w:pPr>
        <w:spacing w:after="0" w:line="162"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Business Screens:</w:t>
      </w:r>
    </w:p>
    <w:p>
      <w:pPr>
        <w:spacing w:after="0" w:line="108" w:lineRule="exact"/>
        <w:rPr>
          <w:sz w:val="20"/>
          <w:szCs w:val="20"/>
          <w:color w:val="auto"/>
        </w:rPr>
      </w:pPr>
    </w:p>
    <w:p>
      <w:pPr>
        <w:ind w:left="189" w:right="1077" w:hanging="189"/>
        <w:spacing w:after="0" w:line="316" w:lineRule="auto"/>
        <w:tabs>
          <w:tab w:leader="none" w:pos="189" w:val="left"/>
        </w:tabs>
        <w:numPr>
          <w:ilvl w:val="0"/>
          <w:numId w:val="93"/>
        </w:numPr>
        <w:rPr>
          <w:rFonts w:ascii="Arial" w:cs="Arial" w:eastAsia="Arial" w:hAnsi="Arial"/>
          <w:sz w:val="16"/>
          <w:szCs w:val="16"/>
          <w:color w:val="0072CE"/>
        </w:rPr>
      </w:pPr>
      <w:r>
        <w:rPr>
          <w:rFonts w:ascii="Arial" w:cs="Arial" w:eastAsia="Arial" w:hAnsi="Arial"/>
          <w:sz w:val="16"/>
          <w:szCs w:val="16"/>
          <w:color w:val="3D3935"/>
        </w:rPr>
        <w:t>Capital-intensive operations</w:t>
      </w:r>
    </w:p>
    <w:p>
      <w:pPr>
        <w:spacing w:after="0" w:line="1" w:lineRule="exact"/>
        <w:rPr>
          <w:rFonts w:ascii="Arial" w:cs="Arial" w:eastAsia="Arial" w:hAnsi="Arial"/>
          <w:sz w:val="16"/>
          <w:szCs w:val="16"/>
          <w:color w:val="0072CE"/>
        </w:rPr>
      </w:pPr>
    </w:p>
    <w:p>
      <w:pPr>
        <w:ind w:left="189" w:right="597" w:hanging="189"/>
        <w:spacing w:after="0" w:line="321" w:lineRule="auto"/>
        <w:tabs>
          <w:tab w:leader="none" w:pos="189" w:val="left"/>
        </w:tabs>
        <w:numPr>
          <w:ilvl w:val="0"/>
          <w:numId w:val="93"/>
        </w:numPr>
        <w:rPr>
          <w:rFonts w:ascii="Arial" w:cs="Arial" w:eastAsia="Arial" w:hAnsi="Arial"/>
          <w:sz w:val="16"/>
          <w:szCs w:val="16"/>
          <w:color w:val="0072CE"/>
        </w:rPr>
      </w:pPr>
      <w:r>
        <w:rPr>
          <w:rFonts w:ascii="Arial" w:cs="Arial" w:eastAsia="Arial" w:hAnsi="Arial"/>
          <w:sz w:val="16"/>
          <w:szCs w:val="16"/>
          <w:color w:val="3D3935"/>
        </w:rPr>
        <w:t>Significant international revenue</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jc w:val="center"/>
        <w:ind w:left="-122"/>
        <w:spacing w:after="0" w:line="273" w:lineRule="auto"/>
        <w:rPr>
          <w:sz w:val="20"/>
          <w:szCs w:val="20"/>
          <w:color w:val="auto"/>
        </w:rPr>
      </w:pPr>
      <w:r>
        <w:rPr>
          <w:rFonts w:ascii="Arial" w:cs="Arial" w:eastAsia="Arial" w:hAnsi="Arial"/>
          <w:sz w:val="18"/>
          <w:szCs w:val="18"/>
          <w:b w:val="1"/>
          <w:bCs w:val="1"/>
          <w:color w:val="0072CE"/>
        </w:rPr>
        <w:t>Apply Refining Criteria to Select the Final Peer Group</w:t>
      </w:r>
    </w:p>
    <w:p>
      <w:pPr>
        <w:spacing w:after="0" w:line="50" w:lineRule="exact"/>
        <w:rPr>
          <w:sz w:val="20"/>
          <w:szCs w:val="20"/>
          <w:color w:val="auto"/>
        </w:rPr>
      </w:pPr>
    </w:p>
    <w:p>
      <w:pPr>
        <w:jc w:val="center"/>
        <w:ind w:right="1117"/>
        <w:spacing w:after="0"/>
        <w:rPr>
          <w:sz w:val="20"/>
          <w:szCs w:val="20"/>
          <w:color w:val="auto"/>
        </w:rPr>
      </w:pPr>
      <w:r>
        <w:rPr>
          <w:rFonts w:ascii="Arial" w:cs="Arial" w:eastAsia="Arial" w:hAnsi="Arial"/>
          <w:sz w:val="17"/>
          <w:szCs w:val="17"/>
          <w:b w:val="1"/>
          <w:bCs w:val="1"/>
          <w:color w:val="auto"/>
        </w:rPr>
        <w:t>Refining Criteria:</w:t>
      </w:r>
    </w:p>
    <w:p>
      <w:pPr>
        <w:spacing w:after="0" w:line="120" w:lineRule="exact"/>
        <w:rPr>
          <w:sz w:val="20"/>
          <w:szCs w:val="20"/>
          <w:color w:val="auto"/>
        </w:rPr>
      </w:pPr>
    </w:p>
    <w:p>
      <w:pPr>
        <w:ind w:left="203" w:hanging="203"/>
        <w:spacing w:after="0"/>
        <w:tabs>
          <w:tab w:leader="none" w:pos="203" w:val="left"/>
        </w:tabs>
        <w:numPr>
          <w:ilvl w:val="0"/>
          <w:numId w:val="94"/>
        </w:numPr>
        <w:rPr>
          <w:rFonts w:ascii="Arial" w:cs="Arial" w:eastAsia="Arial" w:hAnsi="Arial"/>
          <w:sz w:val="16"/>
          <w:szCs w:val="16"/>
          <w:color w:val="0072CE"/>
        </w:rPr>
      </w:pPr>
      <w:r>
        <w:rPr>
          <w:rFonts w:ascii="Arial" w:cs="Arial" w:eastAsia="Arial" w:hAnsi="Arial"/>
          <w:sz w:val="16"/>
          <w:szCs w:val="16"/>
          <w:color w:val="3D3935"/>
        </w:rPr>
        <w:t>Technology-focused</w:t>
      </w:r>
    </w:p>
    <w:p>
      <w:pPr>
        <w:spacing w:after="0" w:line="86" w:lineRule="exact"/>
        <w:rPr>
          <w:rFonts w:ascii="Arial" w:cs="Arial" w:eastAsia="Arial" w:hAnsi="Arial"/>
          <w:sz w:val="16"/>
          <w:szCs w:val="16"/>
          <w:color w:val="0072CE"/>
        </w:rPr>
      </w:pPr>
    </w:p>
    <w:p>
      <w:pPr>
        <w:ind w:left="203" w:right="1340" w:hanging="203"/>
        <w:spacing w:after="0" w:line="338" w:lineRule="auto"/>
        <w:tabs>
          <w:tab w:leader="none" w:pos="203" w:val="left"/>
        </w:tabs>
        <w:numPr>
          <w:ilvl w:val="0"/>
          <w:numId w:val="94"/>
        </w:numPr>
        <w:rPr>
          <w:rFonts w:ascii="Arial" w:cs="Arial" w:eastAsia="Arial" w:hAnsi="Arial"/>
          <w:sz w:val="15"/>
          <w:szCs w:val="15"/>
          <w:color w:val="0072CE"/>
        </w:rPr>
      </w:pPr>
      <w:r>
        <w:rPr>
          <w:rFonts w:ascii="Arial" w:cs="Arial" w:eastAsia="Arial" w:hAnsi="Arial"/>
          <w:sz w:val="15"/>
          <w:szCs w:val="15"/>
          <w:color w:val="3D3935"/>
        </w:rPr>
        <w:t>Durable goods manufacturer</w:t>
      </w:r>
    </w:p>
    <w:p>
      <w:pPr>
        <w:ind w:left="203" w:right="1020" w:hanging="203"/>
        <w:spacing w:after="0" w:line="338" w:lineRule="auto"/>
        <w:tabs>
          <w:tab w:leader="none" w:pos="203" w:val="left"/>
        </w:tabs>
        <w:numPr>
          <w:ilvl w:val="0"/>
          <w:numId w:val="94"/>
        </w:numPr>
        <w:rPr>
          <w:rFonts w:ascii="Arial" w:cs="Arial" w:eastAsia="Arial" w:hAnsi="Arial"/>
          <w:sz w:val="15"/>
          <w:szCs w:val="15"/>
          <w:color w:val="0072CE"/>
        </w:rPr>
      </w:pPr>
      <w:r>
        <w:rPr>
          <w:rFonts w:ascii="Arial" w:cs="Arial" w:eastAsia="Arial" w:hAnsi="Arial"/>
          <w:sz w:val="15"/>
          <w:szCs w:val="15"/>
          <w:color w:val="3D3935"/>
        </w:rPr>
        <w:t>Strong branded consumer products</w:t>
      </w:r>
    </w:p>
    <w:p>
      <w:pPr>
        <w:ind w:left="203" w:hanging="203"/>
        <w:spacing w:after="0"/>
        <w:tabs>
          <w:tab w:leader="none" w:pos="203" w:val="left"/>
        </w:tabs>
        <w:numPr>
          <w:ilvl w:val="0"/>
          <w:numId w:val="94"/>
        </w:numPr>
        <w:rPr>
          <w:rFonts w:ascii="Arial" w:cs="Arial" w:eastAsia="Arial" w:hAnsi="Arial"/>
          <w:sz w:val="16"/>
          <w:szCs w:val="16"/>
          <w:color w:val="0072CE"/>
        </w:rPr>
      </w:pPr>
      <w:r>
        <w:rPr>
          <w:rFonts w:ascii="Arial" w:cs="Arial" w:eastAsia="Arial" w:hAnsi="Arial"/>
          <w:sz w:val="16"/>
          <w:szCs w:val="16"/>
          <w:color w:val="3D3935"/>
        </w:rPr>
        <w:t>Comparable revenue</w:t>
      </w:r>
    </w:p>
    <w:p>
      <w:pPr>
        <w:spacing w:after="0" w:line="86" w:lineRule="exact"/>
        <w:rPr>
          <w:rFonts w:ascii="Arial" w:cs="Arial" w:eastAsia="Arial" w:hAnsi="Arial"/>
          <w:sz w:val="16"/>
          <w:szCs w:val="16"/>
          <w:color w:val="0072CE"/>
        </w:rPr>
      </w:pPr>
    </w:p>
    <w:p>
      <w:pPr>
        <w:ind w:left="203" w:right="960" w:hanging="203"/>
        <w:spacing w:after="0" w:line="308" w:lineRule="auto"/>
        <w:tabs>
          <w:tab w:leader="none" w:pos="203" w:val="left"/>
        </w:tabs>
        <w:numPr>
          <w:ilvl w:val="0"/>
          <w:numId w:val="94"/>
        </w:numPr>
        <w:rPr>
          <w:rFonts w:ascii="Arial" w:cs="Arial" w:eastAsia="Arial" w:hAnsi="Arial"/>
          <w:sz w:val="16"/>
          <w:szCs w:val="16"/>
          <w:color w:val="0072CE"/>
        </w:rPr>
      </w:pPr>
      <w:r>
        <w:rPr>
          <w:rFonts w:ascii="Arial" w:cs="Arial" w:eastAsia="Arial" w:hAnsi="Arial"/>
          <w:sz w:val="16"/>
          <w:szCs w:val="16"/>
          <w:color w:val="3D3935"/>
        </w:rPr>
        <w:t>Comparable market capitalization</w:t>
      </w:r>
    </w:p>
    <w:p>
      <w:pPr>
        <w:jc w:val="both"/>
        <w:ind w:left="203" w:right="760" w:hanging="203"/>
        <w:spacing w:after="0" w:line="321" w:lineRule="auto"/>
        <w:tabs>
          <w:tab w:leader="none" w:pos="203" w:val="left"/>
        </w:tabs>
        <w:numPr>
          <w:ilvl w:val="0"/>
          <w:numId w:val="94"/>
        </w:numPr>
        <w:rPr>
          <w:rFonts w:ascii="Arial" w:cs="Arial" w:eastAsia="Arial" w:hAnsi="Arial"/>
          <w:sz w:val="16"/>
          <w:szCs w:val="16"/>
          <w:color w:val="0072CE"/>
        </w:rPr>
      </w:pPr>
      <w:r>
        <w:rPr>
          <w:rFonts w:ascii="Arial" w:cs="Arial" w:eastAsia="Arial" w:hAnsi="Arial"/>
          <w:sz w:val="16"/>
          <w:szCs w:val="16"/>
          <w:color w:val="3D3935"/>
        </w:rPr>
        <w:t>Comparable R&amp;D as a percentage of revenue</w:t>
      </w:r>
    </w:p>
    <w:p>
      <w:pPr>
        <w:spacing w:after="0" w:line="200" w:lineRule="exact"/>
        <w:rPr>
          <w:sz w:val="20"/>
          <w:szCs w:val="20"/>
          <w:color w:val="auto"/>
        </w:rPr>
      </w:pPr>
    </w:p>
    <w:p>
      <w:pPr>
        <w:sectPr>
          <w:pgSz w:w="11900" w:h="16838" w:orient="portrait"/>
          <w:cols w:equalWidth="0" w:num="3">
            <w:col w:w="2751" w:space="720"/>
            <w:col w:w="2466" w:space="720"/>
            <w:col w:w="2583"/>
          </w:cols>
          <w:pgMar w:left="1400" w:top="301"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3470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10375" cy="3470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207AB2"/>
        </w:rPr>
        <w:t>Peer Group</w:t>
      </w:r>
    </w:p>
    <w:p>
      <w:pPr>
        <w:spacing w:after="0" w:line="203" w:lineRule="exact"/>
        <w:rPr>
          <w:sz w:val="20"/>
          <w:szCs w:val="20"/>
          <w:color w:val="auto"/>
        </w:rPr>
      </w:pPr>
    </w:p>
    <w:tbl>
      <w:tblPr>
        <w:tblLayout w:type="fixed"/>
        <w:tblInd w:w="180" w:type="dxa"/>
        <w:tblCellMar>
          <w:top w:w="0" w:type="dxa"/>
          <w:left w:w="0" w:type="dxa"/>
          <w:bottom w:w="0" w:type="dxa"/>
          <w:right w:w="0" w:type="dxa"/>
        </w:tblCellMar>
      </w:tblPr>
      <w:tr>
        <w:trPr>
          <w:trHeight w:val="54"/>
        </w:trPr>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740" w:type="dxa"/>
            <w:vAlign w:val="bottom"/>
            <w:shd w:val="clear" w:color="auto" w:fill="F0F3F5"/>
          </w:tcPr>
          <w:p>
            <w:pPr>
              <w:spacing w:after="0"/>
              <w:rPr>
                <w:sz w:val="4"/>
                <w:szCs w:val="4"/>
                <w:color w:val="auto"/>
              </w:rPr>
            </w:pPr>
          </w:p>
        </w:tc>
        <w:tc>
          <w:tcPr>
            <w:tcW w:w="500" w:type="dxa"/>
            <w:vAlign w:val="bottom"/>
            <w:shd w:val="clear" w:color="auto" w:fill="F0F3F5"/>
          </w:tcPr>
          <w:p>
            <w:pPr>
              <w:spacing w:after="0"/>
              <w:rPr>
                <w:sz w:val="4"/>
                <w:szCs w:val="4"/>
                <w:color w:val="auto"/>
              </w:rPr>
            </w:pPr>
          </w:p>
        </w:tc>
        <w:tc>
          <w:tcPr>
            <w:tcW w:w="2180" w:type="dxa"/>
            <w:vAlign w:val="bottom"/>
            <w:shd w:val="clear" w:color="auto" w:fill="F0F3F5"/>
          </w:tcPr>
          <w:p>
            <w:pPr>
              <w:spacing w:after="0"/>
              <w:rPr>
                <w:sz w:val="4"/>
                <w:szCs w:val="4"/>
                <w:color w:val="auto"/>
              </w:rPr>
            </w:pPr>
          </w:p>
        </w:tc>
        <w:tc>
          <w:tcPr>
            <w:tcW w:w="720" w:type="dxa"/>
            <w:vAlign w:val="bottom"/>
            <w:shd w:val="clear" w:color="auto" w:fill="F0F3F5"/>
          </w:tcPr>
          <w:p>
            <w:pPr>
              <w:spacing w:after="0"/>
              <w:rPr>
                <w:sz w:val="4"/>
                <w:szCs w:val="4"/>
                <w:color w:val="auto"/>
              </w:rPr>
            </w:pPr>
          </w:p>
        </w:tc>
        <w:tc>
          <w:tcPr>
            <w:tcW w:w="2900" w:type="dxa"/>
            <w:vAlign w:val="bottom"/>
            <w:shd w:val="clear" w:color="auto" w:fill="F0F3F5"/>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180" w:type="dxa"/>
            <w:vAlign w:val="bottom"/>
            <w:shd w:val="clear" w:color="auto" w:fill="F0F3F5"/>
          </w:tcPr>
          <w:p>
            <w:pPr>
              <w:ind w:left="60"/>
              <w:spacing w:after="0"/>
              <w:rPr>
                <w:sz w:val="20"/>
                <w:szCs w:val="20"/>
                <w:color w:val="auto"/>
              </w:rPr>
            </w:pPr>
            <w:r>
              <w:rPr>
                <w:rFonts w:ascii="Arial" w:cs="Arial" w:eastAsia="Arial" w:hAnsi="Arial"/>
                <w:sz w:val="16"/>
                <w:szCs w:val="16"/>
                <w:color w:val="0072CE"/>
              </w:rPr>
              <w:t>•</w:t>
            </w:r>
          </w:p>
        </w:tc>
        <w:tc>
          <w:tcPr>
            <w:tcW w:w="2420" w:type="dxa"/>
            <w:vAlign w:val="bottom"/>
            <w:gridSpan w:val="2"/>
            <w:shd w:val="clear" w:color="auto" w:fill="F0F3F5"/>
          </w:tcPr>
          <w:p>
            <w:pPr>
              <w:ind w:left="60"/>
              <w:spacing w:after="0"/>
              <w:rPr>
                <w:sz w:val="20"/>
                <w:szCs w:val="20"/>
                <w:color w:val="auto"/>
              </w:rPr>
            </w:pPr>
            <w:r>
              <w:rPr>
                <w:rFonts w:ascii="Arial" w:cs="Arial" w:eastAsia="Arial" w:hAnsi="Arial"/>
                <w:sz w:val="16"/>
                <w:szCs w:val="16"/>
                <w:color w:val="3D3935"/>
              </w:rPr>
              <w:t>3M Company</w:t>
            </w:r>
          </w:p>
        </w:tc>
        <w:tc>
          <w:tcPr>
            <w:tcW w:w="500" w:type="dxa"/>
            <w:vAlign w:val="bottom"/>
            <w:shd w:val="clear" w:color="auto" w:fill="F0F3F5"/>
          </w:tcPr>
          <w:p>
            <w:pPr>
              <w:ind w:left="360"/>
              <w:spacing w:after="0"/>
              <w:rPr>
                <w:sz w:val="20"/>
                <w:szCs w:val="20"/>
                <w:color w:val="auto"/>
              </w:rPr>
            </w:pPr>
            <w:r>
              <w:rPr>
                <w:rFonts w:ascii="Arial" w:cs="Arial" w:eastAsia="Arial" w:hAnsi="Arial"/>
                <w:sz w:val="16"/>
                <w:szCs w:val="16"/>
                <w:color w:val="0072CE"/>
              </w:rPr>
              <w:t>•</w:t>
            </w:r>
          </w:p>
        </w:tc>
        <w:tc>
          <w:tcPr>
            <w:tcW w:w="2180" w:type="dxa"/>
            <w:vAlign w:val="bottom"/>
            <w:shd w:val="clear" w:color="auto" w:fill="F0F3F5"/>
          </w:tcPr>
          <w:p>
            <w:pPr>
              <w:ind w:left="60"/>
              <w:spacing w:after="0"/>
              <w:rPr>
                <w:sz w:val="20"/>
                <w:szCs w:val="20"/>
                <w:color w:val="auto"/>
              </w:rPr>
            </w:pPr>
            <w:r>
              <w:rPr>
                <w:rFonts w:ascii="Arial" w:cs="Arial" w:eastAsia="Arial" w:hAnsi="Arial"/>
                <w:sz w:val="16"/>
                <w:szCs w:val="16"/>
                <w:color w:val="3D3935"/>
              </w:rPr>
              <w:t>HP Inc.</w:t>
            </w:r>
          </w:p>
        </w:tc>
        <w:tc>
          <w:tcPr>
            <w:tcW w:w="720" w:type="dxa"/>
            <w:vAlign w:val="bottom"/>
            <w:shd w:val="clear" w:color="auto" w:fill="F0F3F5"/>
          </w:tcPr>
          <w:p>
            <w:pPr>
              <w:ind w:left="580"/>
              <w:spacing w:after="0"/>
              <w:rPr>
                <w:sz w:val="20"/>
                <w:szCs w:val="20"/>
                <w:color w:val="auto"/>
              </w:rPr>
            </w:pPr>
            <w:r>
              <w:rPr>
                <w:rFonts w:ascii="Arial" w:cs="Arial" w:eastAsia="Arial" w:hAnsi="Arial"/>
                <w:sz w:val="16"/>
                <w:szCs w:val="16"/>
                <w:color w:val="0072CE"/>
              </w:rPr>
              <w:t>•</w:t>
            </w:r>
          </w:p>
        </w:tc>
        <w:tc>
          <w:tcPr>
            <w:tcW w:w="2900" w:type="dxa"/>
            <w:vAlign w:val="bottom"/>
            <w:shd w:val="clear" w:color="auto" w:fill="F0F3F5"/>
          </w:tcPr>
          <w:p>
            <w:pPr>
              <w:ind w:left="60"/>
              <w:spacing w:after="0"/>
              <w:rPr>
                <w:sz w:val="20"/>
                <w:szCs w:val="20"/>
                <w:color w:val="auto"/>
              </w:rPr>
            </w:pPr>
            <w:r>
              <w:rPr>
                <w:rFonts w:ascii="Arial" w:cs="Arial" w:eastAsia="Arial" w:hAnsi="Arial"/>
                <w:sz w:val="16"/>
                <w:szCs w:val="16"/>
                <w:color w:val="3D3935"/>
              </w:rPr>
              <w:t>Pfizer Inc.</w:t>
            </w:r>
          </w:p>
        </w:tc>
        <w:tc>
          <w:tcPr>
            <w:tcW w:w="0" w:type="dxa"/>
            <w:vAlign w:val="bottom"/>
          </w:tcPr>
          <w:p>
            <w:pPr>
              <w:spacing w:after="0"/>
              <w:rPr>
                <w:sz w:val="1"/>
                <w:szCs w:val="1"/>
                <w:color w:val="auto"/>
              </w:rPr>
            </w:pPr>
          </w:p>
        </w:tc>
      </w:tr>
      <w:tr>
        <w:trPr>
          <w:trHeight w:val="270"/>
        </w:trPr>
        <w:tc>
          <w:tcPr>
            <w:tcW w:w="180" w:type="dxa"/>
            <w:vAlign w:val="bottom"/>
            <w:shd w:val="clear" w:color="auto" w:fill="F0F3F5"/>
          </w:tcPr>
          <w:p>
            <w:pPr>
              <w:ind w:left="60"/>
              <w:spacing w:after="0"/>
              <w:rPr>
                <w:sz w:val="20"/>
                <w:szCs w:val="20"/>
                <w:color w:val="auto"/>
              </w:rPr>
            </w:pPr>
            <w:r>
              <w:rPr>
                <w:rFonts w:ascii="Arial" w:cs="Arial" w:eastAsia="Arial" w:hAnsi="Arial"/>
                <w:sz w:val="16"/>
                <w:szCs w:val="16"/>
                <w:color w:val="0072CE"/>
              </w:rPr>
              <w:t>•</w:t>
            </w:r>
          </w:p>
        </w:tc>
        <w:tc>
          <w:tcPr>
            <w:tcW w:w="2420" w:type="dxa"/>
            <w:vAlign w:val="bottom"/>
            <w:gridSpan w:val="2"/>
            <w:shd w:val="clear" w:color="auto" w:fill="F0F3F5"/>
          </w:tcPr>
          <w:p>
            <w:pPr>
              <w:ind w:left="60"/>
              <w:spacing w:after="0"/>
              <w:rPr>
                <w:sz w:val="20"/>
                <w:szCs w:val="20"/>
                <w:color w:val="auto"/>
              </w:rPr>
            </w:pPr>
            <w:r>
              <w:rPr>
                <w:rFonts w:ascii="Arial" w:cs="Arial" w:eastAsia="Arial" w:hAnsi="Arial"/>
                <w:sz w:val="16"/>
                <w:szCs w:val="16"/>
                <w:color w:val="3D3935"/>
              </w:rPr>
              <w:t>The Boeing Company</w:t>
            </w:r>
          </w:p>
        </w:tc>
        <w:tc>
          <w:tcPr>
            <w:tcW w:w="500" w:type="dxa"/>
            <w:vAlign w:val="bottom"/>
            <w:shd w:val="clear" w:color="auto" w:fill="F0F3F5"/>
          </w:tcPr>
          <w:p>
            <w:pPr>
              <w:ind w:left="360"/>
              <w:spacing w:after="0"/>
              <w:rPr>
                <w:sz w:val="20"/>
                <w:szCs w:val="20"/>
                <w:color w:val="auto"/>
              </w:rPr>
            </w:pPr>
            <w:r>
              <w:rPr>
                <w:rFonts w:ascii="Arial" w:cs="Arial" w:eastAsia="Arial" w:hAnsi="Arial"/>
                <w:sz w:val="16"/>
                <w:szCs w:val="16"/>
                <w:color w:val="0072CE"/>
              </w:rPr>
              <w:t>•</w:t>
            </w:r>
          </w:p>
        </w:tc>
        <w:tc>
          <w:tcPr>
            <w:tcW w:w="2180" w:type="dxa"/>
            <w:vAlign w:val="bottom"/>
            <w:shd w:val="clear" w:color="auto" w:fill="F0F3F5"/>
          </w:tcPr>
          <w:p>
            <w:pPr>
              <w:ind w:left="60"/>
              <w:spacing w:after="0"/>
              <w:rPr>
                <w:sz w:val="20"/>
                <w:szCs w:val="20"/>
                <w:color w:val="auto"/>
              </w:rPr>
            </w:pPr>
            <w:r>
              <w:rPr>
                <w:rFonts w:ascii="Arial" w:cs="Arial" w:eastAsia="Arial" w:hAnsi="Arial"/>
                <w:sz w:val="16"/>
                <w:szCs w:val="16"/>
                <w:color w:val="3D3935"/>
              </w:rPr>
              <w:t>IBM Corporation</w:t>
            </w:r>
          </w:p>
        </w:tc>
        <w:tc>
          <w:tcPr>
            <w:tcW w:w="720" w:type="dxa"/>
            <w:vAlign w:val="bottom"/>
            <w:shd w:val="clear" w:color="auto" w:fill="F0F3F5"/>
          </w:tcPr>
          <w:p>
            <w:pPr>
              <w:ind w:left="580"/>
              <w:spacing w:after="0"/>
              <w:rPr>
                <w:sz w:val="20"/>
                <w:szCs w:val="20"/>
                <w:color w:val="auto"/>
              </w:rPr>
            </w:pPr>
            <w:r>
              <w:rPr>
                <w:rFonts w:ascii="Arial" w:cs="Arial" w:eastAsia="Arial" w:hAnsi="Arial"/>
                <w:sz w:val="16"/>
                <w:szCs w:val="16"/>
                <w:color w:val="0072CE"/>
              </w:rPr>
              <w:t>•</w:t>
            </w:r>
          </w:p>
        </w:tc>
        <w:tc>
          <w:tcPr>
            <w:tcW w:w="2900" w:type="dxa"/>
            <w:vAlign w:val="bottom"/>
            <w:shd w:val="clear" w:color="auto" w:fill="F0F3F5"/>
          </w:tcPr>
          <w:p>
            <w:pPr>
              <w:ind w:left="60"/>
              <w:spacing w:after="0"/>
              <w:rPr>
                <w:sz w:val="20"/>
                <w:szCs w:val="20"/>
                <w:color w:val="auto"/>
              </w:rPr>
            </w:pPr>
            <w:r>
              <w:rPr>
                <w:rFonts w:ascii="Arial" w:cs="Arial" w:eastAsia="Arial" w:hAnsi="Arial"/>
                <w:sz w:val="16"/>
                <w:szCs w:val="16"/>
                <w:color w:val="3D3935"/>
              </w:rPr>
              <w:t>The Procter &amp; Gamble Company</w:t>
            </w:r>
          </w:p>
        </w:tc>
        <w:tc>
          <w:tcPr>
            <w:tcW w:w="0" w:type="dxa"/>
            <w:vAlign w:val="bottom"/>
          </w:tcPr>
          <w:p>
            <w:pPr>
              <w:spacing w:after="0"/>
              <w:rPr>
                <w:sz w:val="1"/>
                <w:szCs w:val="1"/>
                <w:color w:val="auto"/>
              </w:rPr>
            </w:pPr>
          </w:p>
        </w:tc>
      </w:tr>
      <w:tr>
        <w:trPr>
          <w:trHeight w:val="270"/>
        </w:trPr>
        <w:tc>
          <w:tcPr>
            <w:tcW w:w="180" w:type="dxa"/>
            <w:vAlign w:val="bottom"/>
            <w:shd w:val="clear" w:color="auto" w:fill="F0F3F5"/>
          </w:tcPr>
          <w:p>
            <w:pPr>
              <w:ind w:left="60"/>
              <w:spacing w:after="0"/>
              <w:rPr>
                <w:sz w:val="20"/>
                <w:szCs w:val="20"/>
                <w:color w:val="auto"/>
              </w:rPr>
            </w:pPr>
            <w:r>
              <w:rPr>
                <w:rFonts w:ascii="Arial" w:cs="Arial" w:eastAsia="Arial" w:hAnsi="Arial"/>
                <w:sz w:val="16"/>
                <w:szCs w:val="16"/>
                <w:color w:val="0072CE"/>
              </w:rPr>
              <w:t>•</w:t>
            </w:r>
          </w:p>
        </w:tc>
        <w:tc>
          <w:tcPr>
            <w:tcW w:w="2420" w:type="dxa"/>
            <w:vAlign w:val="bottom"/>
            <w:gridSpan w:val="2"/>
            <w:shd w:val="clear" w:color="auto" w:fill="F0F3F5"/>
          </w:tcPr>
          <w:p>
            <w:pPr>
              <w:ind w:left="60"/>
              <w:spacing w:after="0"/>
              <w:rPr>
                <w:sz w:val="20"/>
                <w:szCs w:val="20"/>
                <w:color w:val="auto"/>
              </w:rPr>
            </w:pPr>
            <w:r>
              <w:rPr>
                <w:rFonts w:ascii="Arial" w:cs="Arial" w:eastAsia="Arial" w:hAnsi="Arial"/>
                <w:sz w:val="16"/>
                <w:szCs w:val="16"/>
                <w:color w:val="3D3935"/>
              </w:rPr>
              <w:t>Caterpillar Inc.</w:t>
            </w:r>
          </w:p>
        </w:tc>
        <w:tc>
          <w:tcPr>
            <w:tcW w:w="500" w:type="dxa"/>
            <w:vAlign w:val="bottom"/>
            <w:shd w:val="clear" w:color="auto" w:fill="F0F3F5"/>
          </w:tcPr>
          <w:p>
            <w:pPr>
              <w:ind w:left="360"/>
              <w:spacing w:after="0"/>
              <w:rPr>
                <w:sz w:val="20"/>
                <w:szCs w:val="20"/>
                <w:color w:val="auto"/>
              </w:rPr>
            </w:pPr>
            <w:r>
              <w:rPr>
                <w:rFonts w:ascii="Arial" w:cs="Arial" w:eastAsia="Arial" w:hAnsi="Arial"/>
                <w:sz w:val="16"/>
                <w:szCs w:val="16"/>
                <w:color w:val="0072CE"/>
              </w:rPr>
              <w:t>•</w:t>
            </w:r>
          </w:p>
        </w:tc>
        <w:tc>
          <w:tcPr>
            <w:tcW w:w="2180" w:type="dxa"/>
            <w:vAlign w:val="bottom"/>
            <w:shd w:val="clear" w:color="auto" w:fill="F0F3F5"/>
          </w:tcPr>
          <w:p>
            <w:pPr>
              <w:ind w:left="60"/>
              <w:spacing w:after="0"/>
              <w:rPr>
                <w:sz w:val="20"/>
                <w:szCs w:val="20"/>
                <w:color w:val="auto"/>
              </w:rPr>
            </w:pPr>
            <w:r>
              <w:rPr>
                <w:rFonts w:ascii="Arial" w:cs="Arial" w:eastAsia="Arial" w:hAnsi="Arial"/>
                <w:sz w:val="16"/>
                <w:szCs w:val="16"/>
                <w:color w:val="3D3935"/>
              </w:rPr>
              <w:t>Intel Corporation</w:t>
            </w:r>
          </w:p>
        </w:tc>
        <w:tc>
          <w:tcPr>
            <w:tcW w:w="720" w:type="dxa"/>
            <w:vAlign w:val="bottom"/>
            <w:shd w:val="clear" w:color="auto" w:fill="F0F3F5"/>
          </w:tcPr>
          <w:p>
            <w:pPr>
              <w:ind w:left="580"/>
              <w:spacing w:after="0"/>
              <w:rPr>
                <w:sz w:val="20"/>
                <w:szCs w:val="20"/>
                <w:color w:val="auto"/>
              </w:rPr>
            </w:pPr>
            <w:r>
              <w:rPr>
                <w:rFonts w:ascii="Arial" w:cs="Arial" w:eastAsia="Arial" w:hAnsi="Arial"/>
                <w:sz w:val="16"/>
                <w:szCs w:val="16"/>
                <w:color w:val="0072CE"/>
              </w:rPr>
              <w:t>•</w:t>
            </w:r>
          </w:p>
        </w:tc>
        <w:tc>
          <w:tcPr>
            <w:tcW w:w="2900" w:type="dxa"/>
            <w:vAlign w:val="bottom"/>
            <w:shd w:val="clear" w:color="auto" w:fill="F0F3F5"/>
          </w:tcPr>
          <w:p>
            <w:pPr>
              <w:ind w:left="60"/>
              <w:spacing w:after="0"/>
              <w:rPr>
                <w:sz w:val="20"/>
                <w:szCs w:val="20"/>
                <w:color w:val="auto"/>
              </w:rPr>
            </w:pPr>
            <w:r>
              <w:rPr>
                <w:rFonts w:ascii="Arial" w:cs="Arial" w:eastAsia="Arial" w:hAnsi="Arial"/>
                <w:sz w:val="16"/>
                <w:szCs w:val="16"/>
                <w:color w:val="3D3935"/>
              </w:rPr>
              <w:t>Raytheon Technologies</w:t>
            </w:r>
          </w:p>
        </w:tc>
        <w:tc>
          <w:tcPr>
            <w:tcW w:w="0" w:type="dxa"/>
            <w:vAlign w:val="bottom"/>
          </w:tcPr>
          <w:p>
            <w:pPr>
              <w:spacing w:after="0"/>
              <w:rPr>
                <w:sz w:val="1"/>
                <w:szCs w:val="1"/>
                <w:color w:val="auto"/>
              </w:rPr>
            </w:pPr>
          </w:p>
        </w:tc>
      </w:tr>
      <w:tr>
        <w:trPr>
          <w:trHeight w:val="216"/>
        </w:trPr>
        <w:tc>
          <w:tcPr>
            <w:tcW w:w="180" w:type="dxa"/>
            <w:vAlign w:val="bottom"/>
            <w:vMerge w:val="restart"/>
            <w:shd w:val="clear" w:color="auto" w:fill="F0F3F5"/>
          </w:tcPr>
          <w:p>
            <w:pPr>
              <w:ind w:left="60"/>
              <w:spacing w:after="0"/>
              <w:rPr>
                <w:sz w:val="20"/>
                <w:szCs w:val="20"/>
                <w:color w:val="auto"/>
              </w:rPr>
            </w:pPr>
            <w:r>
              <w:rPr>
                <w:rFonts w:ascii="Arial" w:cs="Arial" w:eastAsia="Arial" w:hAnsi="Arial"/>
                <w:sz w:val="16"/>
                <w:szCs w:val="16"/>
                <w:color w:val="0072CE"/>
              </w:rPr>
              <w:t>•</w:t>
            </w:r>
          </w:p>
        </w:tc>
        <w:tc>
          <w:tcPr>
            <w:tcW w:w="2420" w:type="dxa"/>
            <w:vAlign w:val="bottom"/>
            <w:gridSpan w:val="2"/>
            <w:vMerge w:val="restart"/>
            <w:shd w:val="clear" w:color="auto" w:fill="F0F3F5"/>
          </w:tcPr>
          <w:p>
            <w:pPr>
              <w:ind w:left="60"/>
              <w:spacing w:after="0"/>
              <w:rPr>
                <w:sz w:val="20"/>
                <w:szCs w:val="20"/>
                <w:color w:val="auto"/>
              </w:rPr>
            </w:pPr>
            <w:r>
              <w:rPr>
                <w:rFonts w:ascii="Arial" w:cs="Arial" w:eastAsia="Arial" w:hAnsi="Arial"/>
                <w:sz w:val="16"/>
                <w:szCs w:val="16"/>
                <w:color w:val="3D3935"/>
              </w:rPr>
              <w:t>Cisco Systems Inc.</w:t>
            </w:r>
          </w:p>
        </w:tc>
        <w:tc>
          <w:tcPr>
            <w:tcW w:w="500" w:type="dxa"/>
            <w:vAlign w:val="bottom"/>
            <w:vMerge w:val="restart"/>
            <w:shd w:val="clear" w:color="auto" w:fill="F0F3F5"/>
          </w:tcPr>
          <w:p>
            <w:pPr>
              <w:ind w:left="360"/>
              <w:spacing w:after="0"/>
              <w:rPr>
                <w:sz w:val="20"/>
                <w:szCs w:val="20"/>
                <w:color w:val="auto"/>
              </w:rPr>
            </w:pPr>
            <w:r>
              <w:rPr>
                <w:rFonts w:ascii="Arial" w:cs="Arial" w:eastAsia="Arial" w:hAnsi="Arial"/>
                <w:sz w:val="16"/>
                <w:szCs w:val="16"/>
                <w:color w:val="0072CE"/>
              </w:rPr>
              <w:t>•</w:t>
            </w:r>
          </w:p>
        </w:tc>
        <w:tc>
          <w:tcPr>
            <w:tcW w:w="2180" w:type="dxa"/>
            <w:vAlign w:val="bottom"/>
            <w:vMerge w:val="restart"/>
            <w:shd w:val="clear" w:color="auto" w:fill="F0F3F5"/>
          </w:tcPr>
          <w:p>
            <w:pPr>
              <w:ind w:left="60"/>
              <w:spacing w:after="0"/>
              <w:rPr>
                <w:sz w:val="20"/>
                <w:szCs w:val="20"/>
                <w:color w:val="auto"/>
              </w:rPr>
            </w:pPr>
            <w:r>
              <w:rPr>
                <w:rFonts w:ascii="Arial" w:cs="Arial" w:eastAsia="Arial" w:hAnsi="Arial"/>
                <w:sz w:val="16"/>
                <w:szCs w:val="16"/>
                <w:color w:val="3D3935"/>
              </w:rPr>
              <w:t>Johnson &amp; Johnson</w:t>
            </w:r>
          </w:p>
        </w:tc>
        <w:tc>
          <w:tcPr>
            <w:tcW w:w="720" w:type="dxa"/>
            <w:vAlign w:val="bottom"/>
            <w:shd w:val="clear" w:color="auto" w:fill="F0F3F5"/>
          </w:tcPr>
          <w:p>
            <w:pPr>
              <w:spacing w:after="0"/>
              <w:rPr>
                <w:sz w:val="18"/>
                <w:szCs w:val="18"/>
                <w:color w:val="auto"/>
              </w:rPr>
            </w:pPr>
          </w:p>
        </w:tc>
        <w:tc>
          <w:tcPr>
            <w:tcW w:w="2900" w:type="dxa"/>
            <w:vAlign w:val="bottom"/>
            <w:shd w:val="clear" w:color="auto" w:fill="F0F3F5"/>
          </w:tcPr>
          <w:p>
            <w:pPr>
              <w:ind w:left="60"/>
              <w:spacing w:after="0"/>
              <w:rPr>
                <w:sz w:val="20"/>
                <w:szCs w:val="20"/>
                <w:color w:val="auto"/>
              </w:rPr>
            </w:pPr>
            <w:r>
              <w:rPr>
                <w:rFonts w:ascii="Arial" w:cs="Arial" w:eastAsia="Arial" w:hAnsi="Arial"/>
                <w:sz w:val="16"/>
                <w:szCs w:val="16"/>
                <w:color w:val="3D3935"/>
              </w:rPr>
              <w:t>Corporation</w:t>
            </w:r>
          </w:p>
        </w:tc>
        <w:tc>
          <w:tcPr>
            <w:tcW w:w="0" w:type="dxa"/>
            <w:vAlign w:val="bottom"/>
          </w:tcPr>
          <w:p>
            <w:pPr>
              <w:spacing w:after="0"/>
              <w:rPr>
                <w:sz w:val="1"/>
                <w:szCs w:val="1"/>
                <w:color w:val="auto"/>
              </w:rPr>
            </w:pPr>
          </w:p>
        </w:tc>
      </w:tr>
      <w:tr>
        <w:trPr>
          <w:trHeight w:val="54"/>
        </w:trPr>
        <w:tc>
          <w:tcPr>
            <w:tcW w:w="180" w:type="dxa"/>
            <w:vAlign w:val="bottom"/>
            <w:vMerge w:val="continue"/>
            <w:shd w:val="clear" w:color="auto" w:fill="F0F3F5"/>
          </w:tcPr>
          <w:p>
            <w:pPr>
              <w:spacing w:after="0"/>
              <w:rPr>
                <w:sz w:val="4"/>
                <w:szCs w:val="4"/>
                <w:color w:val="auto"/>
              </w:rPr>
            </w:pPr>
          </w:p>
        </w:tc>
        <w:tc>
          <w:tcPr>
            <w:tcW w:w="2420" w:type="dxa"/>
            <w:vAlign w:val="bottom"/>
            <w:gridSpan w:val="2"/>
            <w:vMerge w:val="continue"/>
            <w:shd w:val="clear" w:color="auto" w:fill="F0F3F5"/>
          </w:tcPr>
          <w:p>
            <w:pPr>
              <w:spacing w:after="0"/>
              <w:rPr>
                <w:sz w:val="4"/>
                <w:szCs w:val="4"/>
                <w:color w:val="auto"/>
              </w:rPr>
            </w:pPr>
          </w:p>
        </w:tc>
        <w:tc>
          <w:tcPr>
            <w:tcW w:w="500" w:type="dxa"/>
            <w:vAlign w:val="bottom"/>
            <w:vMerge w:val="continue"/>
            <w:shd w:val="clear" w:color="auto" w:fill="F0F3F5"/>
          </w:tcPr>
          <w:p>
            <w:pPr>
              <w:spacing w:after="0"/>
              <w:rPr>
                <w:sz w:val="4"/>
                <w:szCs w:val="4"/>
                <w:color w:val="auto"/>
              </w:rPr>
            </w:pPr>
          </w:p>
        </w:tc>
        <w:tc>
          <w:tcPr>
            <w:tcW w:w="2180" w:type="dxa"/>
            <w:vAlign w:val="bottom"/>
            <w:vMerge w:val="continue"/>
            <w:shd w:val="clear" w:color="auto" w:fill="F0F3F5"/>
          </w:tcPr>
          <w:p>
            <w:pPr>
              <w:spacing w:after="0"/>
              <w:rPr>
                <w:sz w:val="4"/>
                <w:szCs w:val="4"/>
                <w:color w:val="auto"/>
              </w:rPr>
            </w:pPr>
          </w:p>
        </w:tc>
        <w:tc>
          <w:tcPr>
            <w:tcW w:w="720" w:type="dxa"/>
            <w:vAlign w:val="bottom"/>
            <w:shd w:val="clear" w:color="auto" w:fill="F0F3F5"/>
          </w:tcPr>
          <w:p>
            <w:pPr>
              <w:spacing w:after="0"/>
              <w:rPr>
                <w:sz w:val="4"/>
                <w:szCs w:val="4"/>
                <w:color w:val="auto"/>
              </w:rPr>
            </w:pPr>
          </w:p>
        </w:tc>
        <w:tc>
          <w:tcPr>
            <w:tcW w:w="2900" w:type="dxa"/>
            <w:vAlign w:val="bottom"/>
            <w:shd w:val="clear" w:color="auto" w:fill="F0F3F5"/>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80" w:type="dxa"/>
            <w:vAlign w:val="bottom"/>
            <w:vMerge w:val="restart"/>
            <w:shd w:val="clear" w:color="auto" w:fill="F0F3F5"/>
          </w:tcPr>
          <w:p>
            <w:pPr>
              <w:ind w:left="60"/>
              <w:spacing w:after="0"/>
              <w:rPr>
                <w:sz w:val="20"/>
                <w:szCs w:val="20"/>
                <w:color w:val="auto"/>
              </w:rPr>
            </w:pPr>
            <w:r>
              <w:rPr>
                <w:rFonts w:ascii="Arial" w:cs="Arial" w:eastAsia="Arial" w:hAnsi="Arial"/>
                <w:sz w:val="16"/>
                <w:szCs w:val="16"/>
                <w:color w:val="0072CE"/>
              </w:rPr>
              <w:t>•</w:t>
            </w:r>
          </w:p>
        </w:tc>
        <w:tc>
          <w:tcPr>
            <w:tcW w:w="2420" w:type="dxa"/>
            <w:vAlign w:val="bottom"/>
            <w:gridSpan w:val="2"/>
            <w:vMerge w:val="restart"/>
            <w:shd w:val="clear" w:color="auto" w:fill="F0F3F5"/>
          </w:tcPr>
          <w:p>
            <w:pPr>
              <w:ind w:left="60"/>
              <w:spacing w:after="0"/>
              <w:rPr>
                <w:sz w:val="20"/>
                <w:szCs w:val="20"/>
                <w:color w:val="auto"/>
              </w:rPr>
            </w:pPr>
            <w:r>
              <w:rPr>
                <w:rFonts w:ascii="Arial" w:cs="Arial" w:eastAsia="Arial" w:hAnsi="Arial"/>
                <w:sz w:val="16"/>
                <w:szCs w:val="16"/>
                <w:color w:val="3D3935"/>
              </w:rPr>
              <w:t>Ford Motor Company</w:t>
            </w:r>
          </w:p>
        </w:tc>
        <w:tc>
          <w:tcPr>
            <w:tcW w:w="500" w:type="dxa"/>
            <w:vAlign w:val="bottom"/>
            <w:vMerge w:val="restart"/>
            <w:shd w:val="clear" w:color="auto" w:fill="F0F3F5"/>
          </w:tcPr>
          <w:p>
            <w:pPr>
              <w:ind w:left="360"/>
              <w:spacing w:after="0"/>
              <w:rPr>
                <w:sz w:val="20"/>
                <w:szCs w:val="20"/>
                <w:color w:val="auto"/>
              </w:rPr>
            </w:pPr>
            <w:r>
              <w:rPr>
                <w:rFonts w:ascii="Arial" w:cs="Arial" w:eastAsia="Arial" w:hAnsi="Arial"/>
                <w:sz w:val="16"/>
                <w:szCs w:val="16"/>
                <w:color w:val="0072CE"/>
              </w:rPr>
              <w:t>•</w:t>
            </w:r>
          </w:p>
        </w:tc>
        <w:tc>
          <w:tcPr>
            <w:tcW w:w="2180" w:type="dxa"/>
            <w:vAlign w:val="bottom"/>
            <w:vMerge w:val="restart"/>
            <w:shd w:val="clear" w:color="auto" w:fill="F0F3F5"/>
          </w:tcPr>
          <w:p>
            <w:pPr>
              <w:ind w:left="60"/>
              <w:spacing w:after="0"/>
              <w:rPr>
                <w:sz w:val="20"/>
                <w:szCs w:val="20"/>
                <w:color w:val="auto"/>
              </w:rPr>
            </w:pPr>
            <w:r>
              <w:rPr>
                <w:rFonts w:ascii="Arial" w:cs="Arial" w:eastAsia="Arial" w:hAnsi="Arial"/>
                <w:sz w:val="16"/>
                <w:szCs w:val="16"/>
                <w:color w:val="3D3935"/>
              </w:rPr>
              <w:t>Microsoft Corporation</w:t>
            </w:r>
          </w:p>
        </w:tc>
        <w:tc>
          <w:tcPr>
            <w:tcW w:w="720" w:type="dxa"/>
            <w:vAlign w:val="bottom"/>
            <w:shd w:val="clear" w:color="auto" w:fill="F0F3F5"/>
          </w:tcPr>
          <w:p>
            <w:pPr>
              <w:ind w:left="580"/>
              <w:spacing w:after="0"/>
              <w:rPr>
                <w:sz w:val="20"/>
                <w:szCs w:val="20"/>
                <w:color w:val="auto"/>
              </w:rPr>
            </w:pPr>
            <w:r>
              <w:rPr>
                <w:rFonts w:ascii="Arial" w:cs="Arial" w:eastAsia="Arial" w:hAnsi="Arial"/>
                <w:sz w:val="16"/>
                <w:szCs w:val="16"/>
                <w:color w:val="0072CE"/>
              </w:rPr>
              <w:t>•</w:t>
            </w:r>
          </w:p>
        </w:tc>
        <w:tc>
          <w:tcPr>
            <w:tcW w:w="2900" w:type="dxa"/>
            <w:vAlign w:val="bottom"/>
            <w:shd w:val="clear" w:color="auto" w:fill="F0F3F5"/>
          </w:tcPr>
          <w:p>
            <w:pPr>
              <w:ind w:left="60"/>
              <w:spacing w:after="0"/>
              <w:rPr>
                <w:sz w:val="20"/>
                <w:szCs w:val="20"/>
                <w:color w:val="auto"/>
              </w:rPr>
            </w:pPr>
            <w:r>
              <w:rPr>
                <w:rFonts w:ascii="Arial" w:cs="Arial" w:eastAsia="Arial" w:hAnsi="Arial"/>
                <w:sz w:val="16"/>
                <w:szCs w:val="16"/>
                <w:color w:val="3D3935"/>
              </w:rPr>
              <w:t>Tesla, Inc.</w:t>
            </w:r>
          </w:p>
        </w:tc>
        <w:tc>
          <w:tcPr>
            <w:tcW w:w="0" w:type="dxa"/>
            <w:vAlign w:val="bottom"/>
          </w:tcPr>
          <w:p>
            <w:pPr>
              <w:spacing w:after="0"/>
              <w:rPr>
                <w:sz w:val="1"/>
                <w:szCs w:val="1"/>
                <w:color w:val="auto"/>
              </w:rPr>
            </w:pPr>
          </w:p>
        </w:tc>
      </w:tr>
      <w:tr>
        <w:trPr>
          <w:trHeight w:val="54"/>
        </w:trPr>
        <w:tc>
          <w:tcPr>
            <w:tcW w:w="180" w:type="dxa"/>
            <w:vAlign w:val="bottom"/>
            <w:vMerge w:val="continue"/>
            <w:shd w:val="clear" w:color="auto" w:fill="F0F3F5"/>
          </w:tcPr>
          <w:p>
            <w:pPr>
              <w:spacing w:after="0"/>
              <w:rPr>
                <w:sz w:val="4"/>
                <w:szCs w:val="4"/>
                <w:color w:val="auto"/>
              </w:rPr>
            </w:pPr>
          </w:p>
        </w:tc>
        <w:tc>
          <w:tcPr>
            <w:tcW w:w="2420" w:type="dxa"/>
            <w:vAlign w:val="bottom"/>
            <w:gridSpan w:val="2"/>
            <w:vMerge w:val="continue"/>
            <w:shd w:val="clear" w:color="auto" w:fill="F0F3F5"/>
          </w:tcPr>
          <w:p>
            <w:pPr>
              <w:spacing w:after="0"/>
              <w:rPr>
                <w:sz w:val="4"/>
                <w:szCs w:val="4"/>
                <w:color w:val="auto"/>
              </w:rPr>
            </w:pPr>
          </w:p>
        </w:tc>
        <w:tc>
          <w:tcPr>
            <w:tcW w:w="500" w:type="dxa"/>
            <w:vAlign w:val="bottom"/>
            <w:vMerge w:val="continue"/>
            <w:shd w:val="clear" w:color="auto" w:fill="F0F3F5"/>
          </w:tcPr>
          <w:p>
            <w:pPr>
              <w:spacing w:after="0"/>
              <w:rPr>
                <w:sz w:val="4"/>
                <w:szCs w:val="4"/>
                <w:color w:val="auto"/>
              </w:rPr>
            </w:pPr>
          </w:p>
        </w:tc>
        <w:tc>
          <w:tcPr>
            <w:tcW w:w="2180" w:type="dxa"/>
            <w:vAlign w:val="bottom"/>
            <w:vMerge w:val="continue"/>
            <w:shd w:val="clear" w:color="auto" w:fill="F0F3F5"/>
          </w:tcPr>
          <w:p>
            <w:pPr>
              <w:spacing w:after="0"/>
              <w:rPr>
                <w:sz w:val="4"/>
                <w:szCs w:val="4"/>
                <w:color w:val="auto"/>
              </w:rPr>
            </w:pPr>
          </w:p>
        </w:tc>
        <w:tc>
          <w:tcPr>
            <w:tcW w:w="720" w:type="dxa"/>
            <w:vAlign w:val="bottom"/>
            <w:shd w:val="clear" w:color="auto" w:fill="F0F3F5"/>
          </w:tcPr>
          <w:p>
            <w:pPr>
              <w:spacing w:after="0"/>
              <w:rPr>
                <w:sz w:val="4"/>
                <w:szCs w:val="4"/>
                <w:color w:val="auto"/>
              </w:rPr>
            </w:pPr>
          </w:p>
        </w:tc>
        <w:tc>
          <w:tcPr>
            <w:tcW w:w="2900" w:type="dxa"/>
            <w:vAlign w:val="bottom"/>
            <w:shd w:val="clear" w:color="auto" w:fill="F0F3F5"/>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80" w:type="dxa"/>
            <w:vAlign w:val="bottom"/>
            <w:shd w:val="clear" w:color="auto" w:fill="F0F3F5"/>
          </w:tcPr>
          <w:p>
            <w:pPr>
              <w:ind w:left="60"/>
              <w:spacing w:after="0"/>
              <w:rPr>
                <w:sz w:val="20"/>
                <w:szCs w:val="20"/>
                <w:color w:val="auto"/>
              </w:rPr>
            </w:pPr>
            <w:r>
              <w:rPr>
                <w:rFonts w:ascii="Arial" w:cs="Arial" w:eastAsia="Arial" w:hAnsi="Arial"/>
                <w:sz w:val="16"/>
                <w:szCs w:val="16"/>
                <w:color w:val="0072CE"/>
              </w:rPr>
              <w:t>•</w:t>
            </w:r>
          </w:p>
        </w:tc>
        <w:tc>
          <w:tcPr>
            <w:tcW w:w="2420" w:type="dxa"/>
            <w:vAlign w:val="bottom"/>
            <w:gridSpan w:val="2"/>
            <w:shd w:val="clear" w:color="auto" w:fill="F0F3F5"/>
          </w:tcPr>
          <w:p>
            <w:pPr>
              <w:ind w:left="60"/>
              <w:spacing w:after="0"/>
              <w:rPr>
                <w:sz w:val="20"/>
                <w:szCs w:val="20"/>
                <w:color w:val="auto"/>
              </w:rPr>
            </w:pPr>
            <w:r>
              <w:rPr>
                <w:rFonts w:ascii="Arial" w:cs="Arial" w:eastAsia="Arial" w:hAnsi="Arial"/>
                <w:sz w:val="16"/>
                <w:szCs w:val="16"/>
                <w:color w:val="3D3935"/>
              </w:rPr>
              <w:t>Honeywell International Inc.</w:t>
            </w:r>
          </w:p>
        </w:tc>
        <w:tc>
          <w:tcPr>
            <w:tcW w:w="500" w:type="dxa"/>
            <w:vAlign w:val="bottom"/>
            <w:shd w:val="clear" w:color="auto" w:fill="F0F3F5"/>
          </w:tcPr>
          <w:p>
            <w:pPr>
              <w:ind w:left="360"/>
              <w:spacing w:after="0"/>
              <w:rPr>
                <w:sz w:val="20"/>
                <w:szCs w:val="20"/>
                <w:color w:val="auto"/>
              </w:rPr>
            </w:pPr>
            <w:r>
              <w:rPr>
                <w:rFonts w:ascii="Arial" w:cs="Arial" w:eastAsia="Arial" w:hAnsi="Arial"/>
                <w:sz w:val="16"/>
                <w:szCs w:val="16"/>
                <w:color w:val="0072CE"/>
              </w:rPr>
              <w:t>•</w:t>
            </w:r>
          </w:p>
        </w:tc>
        <w:tc>
          <w:tcPr>
            <w:tcW w:w="2180" w:type="dxa"/>
            <w:vAlign w:val="bottom"/>
            <w:shd w:val="clear" w:color="auto" w:fill="F0F3F5"/>
          </w:tcPr>
          <w:p>
            <w:pPr>
              <w:ind w:left="60"/>
              <w:spacing w:after="0"/>
              <w:rPr>
                <w:sz w:val="20"/>
                <w:szCs w:val="20"/>
                <w:color w:val="auto"/>
              </w:rPr>
            </w:pPr>
            <w:r>
              <w:rPr>
                <w:rFonts w:ascii="Arial" w:cs="Arial" w:eastAsia="Arial" w:hAnsi="Arial"/>
                <w:sz w:val="16"/>
                <w:szCs w:val="16"/>
                <w:color w:val="3D3935"/>
              </w:rPr>
              <w:t>PepsiCo Inc.</w:t>
            </w:r>
          </w:p>
        </w:tc>
        <w:tc>
          <w:tcPr>
            <w:tcW w:w="720" w:type="dxa"/>
            <w:vAlign w:val="bottom"/>
            <w:shd w:val="clear" w:color="auto" w:fill="F0F3F5"/>
          </w:tcPr>
          <w:p>
            <w:pPr>
              <w:spacing w:after="0"/>
              <w:rPr>
                <w:sz w:val="23"/>
                <w:szCs w:val="23"/>
                <w:color w:val="auto"/>
              </w:rPr>
            </w:pPr>
          </w:p>
        </w:tc>
        <w:tc>
          <w:tcPr>
            <w:tcW w:w="2900" w:type="dxa"/>
            <w:vAlign w:val="bottom"/>
            <w:shd w:val="clear" w:color="auto" w:fill="F0F3F5"/>
          </w:tcPr>
          <w:p>
            <w:pPr>
              <w:spacing w:after="0"/>
              <w:rPr>
                <w:sz w:val="23"/>
                <w:szCs w:val="23"/>
                <w:color w:val="auto"/>
              </w:rPr>
            </w:pPr>
          </w:p>
        </w:tc>
        <w:tc>
          <w:tcPr>
            <w:tcW w:w="0" w:type="dxa"/>
            <w:vAlign w:val="bottom"/>
          </w:tcPr>
          <w:p>
            <w:pPr>
              <w:spacing w:after="0"/>
              <w:rPr>
                <w:sz w:val="1"/>
                <w:szCs w:val="1"/>
                <w:color w:val="auto"/>
              </w:rPr>
            </w:pPr>
          </w:p>
        </w:tc>
      </w:tr>
      <w:tr>
        <w:trPr>
          <w:trHeight w:val="178"/>
        </w:trPr>
        <w:tc>
          <w:tcPr>
            <w:tcW w:w="180" w:type="dxa"/>
            <w:vAlign w:val="bottom"/>
            <w:shd w:val="clear" w:color="auto" w:fill="F0F3F5"/>
          </w:tcPr>
          <w:p>
            <w:pPr>
              <w:spacing w:after="0"/>
              <w:rPr>
                <w:sz w:val="15"/>
                <w:szCs w:val="15"/>
                <w:color w:val="auto"/>
              </w:rPr>
            </w:pPr>
          </w:p>
        </w:tc>
        <w:tc>
          <w:tcPr>
            <w:tcW w:w="680" w:type="dxa"/>
            <w:vAlign w:val="bottom"/>
            <w:shd w:val="clear" w:color="auto" w:fill="F0F3F5"/>
          </w:tcPr>
          <w:p>
            <w:pPr>
              <w:spacing w:after="0"/>
              <w:rPr>
                <w:sz w:val="15"/>
                <w:szCs w:val="15"/>
                <w:color w:val="auto"/>
              </w:rPr>
            </w:pPr>
          </w:p>
        </w:tc>
        <w:tc>
          <w:tcPr>
            <w:tcW w:w="1740" w:type="dxa"/>
            <w:vAlign w:val="bottom"/>
            <w:shd w:val="clear" w:color="auto" w:fill="F0F3F5"/>
          </w:tcPr>
          <w:p>
            <w:pPr>
              <w:spacing w:after="0"/>
              <w:rPr>
                <w:sz w:val="15"/>
                <w:szCs w:val="15"/>
                <w:color w:val="auto"/>
              </w:rPr>
            </w:pPr>
          </w:p>
        </w:tc>
        <w:tc>
          <w:tcPr>
            <w:tcW w:w="500" w:type="dxa"/>
            <w:vAlign w:val="bottom"/>
            <w:shd w:val="clear" w:color="auto" w:fill="F0F3F5"/>
          </w:tcPr>
          <w:p>
            <w:pPr>
              <w:spacing w:after="0"/>
              <w:rPr>
                <w:sz w:val="15"/>
                <w:szCs w:val="15"/>
                <w:color w:val="auto"/>
              </w:rPr>
            </w:pPr>
          </w:p>
        </w:tc>
        <w:tc>
          <w:tcPr>
            <w:tcW w:w="2180" w:type="dxa"/>
            <w:vAlign w:val="bottom"/>
            <w:shd w:val="clear" w:color="auto" w:fill="F0F3F5"/>
          </w:tcPr>
          <w:p>
            <w:pPr>
              <w:spacing w:after="0"/>
              <w:rPr>
                <w:sz w:val="15"/>
                <w:szCs w:val="15"/>
                <w:color w:val="auto"/>
              </w:rPr>
            </w:pPr>
          </w:p>
        </w:tc>
        <w:tc>
          <w:tcPr>
            <w:tcW w:w="720" w:type="dxa"/>
            <w:vAlign w:val="bottom"/>
            <w:shd w:val="clear" w:color="auto" w:fill="F0F3F5"/>
          </w:tcPr>
          <w:p>
            <w:pPr>
              <w:spacing w:after="0"/>
              <w:rPr>
                <w:sz w:val="15"/>
                <w:szCs w:val="15"/>
                <w:color w:val="auto"/>
              </w:rPr>
            </w:pPr>
          </w:p>
        </w:tc>
        <w:tc>
          <w:tcPr>
            <w:tcW w:w="2900" w:type="dxa"/>
            <w:vAlign w:val="bottom"/>
            <w:shd w:val="clear" w:color="auto" w:fill="F0F3F5"/>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9240"/>
          </w:cols>
          <w:pgMar w:left="1400" w:top="301" w:right="1259" w:bottom="1440" w:gutter="0" w:footer="0" w:header="0"/>
          <w:type w:val="continuous"/>
        </w:sectPr>
      </w:pPr>
    </w:p>
    <w:bookmarkStart w:id="59" w:name="page60"/>
    <w:bookmarkEnd w:id="59"/>
    <w:p>
      <w:pPr>
        <w:spacing w:after="0" w:line="2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53854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10375" cy="538543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3D3935"/>
        </w:rPr>
        <w:t>How We Use Benchmarking Data to Assess Compensation</w:t>
      </w:r>
    </w:p>
    <w:p>
      <w:pPr>
        <w:spacing w:after="0" w:line="99"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3D3935"/>
        </w:rPr>
        <w:t>We benchmark pay practices and compensation levels against the proxy statement disclosures of our peer group. In addition, we use executive compensation surveys and competitive data to benchmark executive positions and adjust this data to reflect GM’s size and market-expected compensation trends. Furthermore, the Compensation Committee reviews an</w:t>
      </w:r>
    </w:p>
    <w:p>
      <w:pPr>
        <w:spacing w:after="0" w:line="2"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3D3935"/>
        </w:rPr>
        <w:t>analysis completed by its independent compensation consultant of the competitive position of ea ch of our executives relative to its benchmark data.</w:t>
      </w:r>
    </w:p>
    <w:p>
      <w:pPr>
        <w:spacing w:after="0" w:line="75"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3D3935"/>
        </w:rPr>
        <w:t>We review each element of total direct compensation (salary, STIP, and LTIP) compared with the market. An individual element or an individual’s total direct compensation may be positioned above or below the market due to a variety of considerations, such as specific responsibilities, experience, performance in role, and pay positioning required to attract and retain top talent needed to execute on our vision during this critical period of transformation.</w:t>
      </w:r>
    </w:p>
    <w:p>
      <w:pPr>
        <w:spacing w:after="0" w:line="84"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Compensation Risk Assessment</w:t>
      </w:r>
    </w:p>
    <w:p>
      <w:pPr>
        <w:spacing w:after="0" w:line="114"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3D3935"/>
        </w:rPr>
        <w:t>Annually, the Compensation Committee reviews the potential impact of our compensation programs on organizational risk. The Compensation Committee discusses the compensation programs and risk mitigation features when evaluating whether the programs encourage or reward employees for engaging in excessive, imprudent, inappropriate, or unnecessary risk-taking. The Compensation Committee also confirms the alignment of the compensation programs to the Company’s sustainability risks and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3D3935"/>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50482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10375" cy="5048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77" w:lineRule="exact"/>
        <w:rPr>
          <w:sz w:val="20"/>
          <w:szCs w:val="20"/>
          <w:color w:val="auto"/>
        </w:rPr>
      </w:pPr>
    </w:p>
    <w:p>
      <w:pPr>
        <w:ind w:right="220"/>
        <w:spacing w:after="0" w:line="295" w:lineRule="auto"/>
        <w:rPr>
          <w:sz w:val="20"/>
          <w:szCs w:val="20"/>
          <w:color w:val="auto"/>
        </w:rPr>
      </w:pPr>
      <w:r>
        <w:rPr>
          <w:rFonts w:ascii="Arial" w:cs="Arial" w:eastAsia="Arial" w:hAnsi="Arial"/>
          <w:sz w:val="16"/>
          <w:szCs w:val="16"/>
          <w:color w:val="3D3935"/>
        </w:rPr>
        <w:t>The annual risk review, completed in December 2024, with assistance from our human resources, audit, and legal organizations, as well as our independent compensation consultant, involved analyzing our current compensation programs in relation to organizational risk. Our analysis concluded that our compensation programs include the following risk mitigation features: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400" w:type="dxa"/>
            <w:vAlign w:val="bottom"/>
          </w:tcPr>
          <w:p>
            <w:pPr>
              <w:ind w:left="640"/>
              <w:spacing w:after="0"/>
              <w:rPr>
                <w:sz w:val="20"/>
                <w:szCs w:val="20"/>
                <w:color w:val="auto"/>
              </w:rPr>
            </w:pPr>
            <w:r>
              <w:rPr>
                <w:rFonts w:ascii="Arial" w:cs="Arial" w:eastAsia="Arial" w:hAnsi="Arial"/>
                <w:sz w:val="16"/>
                <w:szCs w:val="16"/>
                <w:b w:val="1"/>
                <w:bCs w:val="1"/>
                <w:color w:val="0072CE"/>
              </w:rPr>
              <w:t>Mix of Pay Elements</w:t>
            </w:r>
          </w:p>
        </w:tc>
        <w:tc>
          <w:tcPr>
            <w:tcW w:w="6680" w:type="dxa"/>
            <w:vAlign w:val="bottom"/>
          </w:tcPr>
          <w:p>
            <w:pPr>
              <w:ind w:left="120"/>
              <w:spacing w:after="0"/>
              <w:rPr>
                <w:sz w:val="20"/>
                <w:szCs w:val="20"/>
                <w:color w:val="auto"/>
              </w:rPr>
            </w:pPr>
            <w:r>
              <w:rPr>
                <w:rFonts w:ascii="Arial" w:cs="Arial" w:eastAsia="Arial" w:hAnsi="Arial"/>
                <w:sz w:val="16"/>
                <w:szCs w:val="16"/>
                <w:color w:val="3D3935"/>
              </w:rPr>
              <w:t>Salary, STIP, PSUs, and RSUs are included in the executive compensation program.</w:t>
            </w:r>
          </w:p>
        </w:tc>
        <w:tc>
          <w:tcPr>
            <w:tcW w:w="0" w:type="dxa"/>
            <w:vAlign w:val="bottom"/>
          </w:tcPr>
          <w:p>
            <w:pPr>
              <w:spacing w:after="0"/>
              <w:rPr>
                <w:sz w:val="1"/>
                <w:szCs w:val="1"/>
                <w:color w:val="auto"/>
              </w:rPr>
            </w:pPr>
          </w:p>
        </w:tc>
      </w:tr>
      <w:tr>
        <w:trPr>
          <w:trHeight w:val="183"/>
        </w:trPr>
        <w:tc>
          <w:tcPr>
            <w:tcW w:w="2400" w:type="dxa"/>
            <w:vAlign w:val="bottom"/>
            <w:tcBorders>
              <w:bottom w:val="single" w:sz="8" w:color="D9D9D6"/>
            </w:tcBorders>
          </w:tcPr>
          <w:p>
            <w:pPr>
              <w:spacing w:after="0"/>
              <w:rPr>
                <w:sz w:val="15"/>
                <w:szCs w:val="15"/>
                <w:color w:val="auto"/>
              </w:rPr>
            </w:pPr>
          </w:p>
        </w:tc>
        <w:tc>
          <w:tcPr>
            <w:tcW w:w="6680" w:type="dxa"/>
            <w:vAlign w:val="bottom"/>
            <w:tcBorders>
              <w:bottom w:val="single" w:sz="8" w:color="D9D9D6"/>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400" w:type="dxa"/>
            <w:vAlign w:val="bottom"/>
          </w:tcPr>
          <w:p>
            <w:pPr>
              <w:ind w:left="640"/>
              <w:spacing w:after="0"/>
              <w:rPr>
                <w:sz w:val="20"/>
                <w:szCs w:val="20"/>
                <w:color w:val="auto"/>
              </w:rPr>
            </w:pPr>
            <w:r>
              <w:rPr>
                <w:rFonts w:ascii="Arial" w:cs="Arial" w:eastAsia="Arial" w:hAnsi="Arial"/>
                <w:sz w:val="16"/>
                <w:szCs w:val="16"/>
                <w:b w:val="1"/>
                <w:bCs w:val="1"/>
                <w:color w:val="0072CE"/>
              </w:rPr>
              <w:t>Short-Term and</w:t>
            </w:r>
          </w:p>
        </w:tc>
        <w:tc>
          <w:tcPr>
            <w:tcW w:w="6680" w:type="dxa"/>
            <w:vAlign w:val="bottom"/>
          </w:tcPr>
          <w:p>
            <w:pPr>
              <w:ind w:left="120"/>
              <w:spacing w:after="0"/>
              <w:rPr>
                <w:sz w:val="20"/>
                <w:szCs w:val="20"/>
                <w:color w:val="auto"/>
              </w:rPr>
            </w:pPr>
            <w:r>
              <w:rPr>
                <w:rFonts w:ascii="Arial" w:cs="Arial" w:eastAsia="Arial" w:hAnsi="Arial"/>
                <w:sz w:val="16"/>
                <w:szCs w:val="16"/>
                <w:color w:val="3D3935"/>
              </w:rPr>
              <w:t>The mix of our short-term and long-term compensation plans appropriately reward</w:t>
            </w:r>
          </w:p>
        </w:tc>
        <w:tc>
          <w:tcPr>
            <w:tcW w:w="0" w:type="dxa"/>
            <w:vAlign w:val="bottom"/>
          </w:tcPr>
          <w:p>
            <w:pPr>
              <w:spacing w:after="0"/>
              <w:rPr>
                <w:sz w:val="1"/>
                <w:szCs w:val="1"/>
                <w:color w:val="auto"/>
              </w:rPr>
            </w:pPr>
          </w:p>
        </w:tc>
      </w:tr>
      <w:tr>
        <w:trPr>
          <w:trHeight w:val="223"/>
        </w:trPr>
        <w:tc>
          <w:tcPr>
            <w:tcW w:w="2400" w:type="dxa"/>
            <w:vAlign w:val="bottom"/>
          </w:tcPr>
          <w:p>
            <w:pPr>
              <w:ind w:left="640"/>
              <w:spacing w:after="0"/>
              <w:rPr>
                <w:sz w:val="20"/>
                <w:szCs w:val="20"/>
                <w:color w:val="auto"/>
              </w:rPr>
            </w:pPr>
            <w:r>
              <w:rPr>
                <w:rFonts w:ascii="Arial" w:cs="Arial" w:eastAsia="Arial" w:hAnsi="Arial"/>
                <w:sz w:val="16"/>
                <w:szCs w:val="16"/>
                <w:b w:val="1"/>
                <w:bCs w:val="1"/>
                <w:color w:val="0072CE"/>
              </w:rPr>
              <w:t>Long-Term Plans</w:t>
            </w:r>
          </w:p>
        </w:tc>
        <w:tc>
          <w:tcPr>
            <w:tcW w:w="6680" w:type="dxa"/>
            <w:vAlign w:val="bottom"/>
          </w:tcPr>
          <w:p>
            <w:pPr>
              <w:ind w:left="120"/>
              <w:spacing w:after="0"/>
              <w:rPr>
                <w:sz w:val="20"/>
                <w:szCs w:val="20"/>
                <w:color w:val="auto"/>
              </w:rPr>
            </w:pPr>
            <w:r>
              <w:rPr>
                <w:rFonts w:ascii="Arial" w:cs="Arial" w:eastAsia="Arial" w:hAnsi="Arial"/>
                <w:sz w:val="16"/>
                <w:szCs w:val="16"/>
                <w:color w:val="3D3935"/>
              </w:rPr>
              <w:t>employees while balancing risk through the delayed payment of long-term awards.</w:t>
            </w:r>
          </w:p>
        </w:tc>
        <w:tc>
          <w:tcPr>
            <w:tcW w:w="0" w:type="dxa"/>
            <w:vAlign w:val="bottom"/>
          </w:tcPr>
          <w:p>
            <w:pPr>
              <w:spacing w:after="0"/>
              <w:rPr>
                <w:sz w:val="1"/>
                <w:szCs w:val="1"/>
                <w:color w:val="auto"/>
              </w:rPr>
            </w:pPr>
          </w:p>
        </w:tc>
      </w:tr>
      <w:tr>
        <w:trPr>
          <w:trHeight w:val="89"/>
        </w:trPr>
        <w:tc>
          <w:tcPr>
            <w:tcW w:w="2400" w:type="dxa"/>
            <w:vAlign w:val="bottom"/>
            <w:tcBorders>
              <w:bottom w:val="single" w:sz="8" w:color="D9D9D6"/>
            </w:tcBorders>
          </w:tcPr>
          <w:p>
            <w:pPr>
              <w:spacing w:after="0"/>
              <w:rPr>
                <w:sz w:val="7"/>
                <w:szCs w:val="7"/>
                <w:color w:val="auto"/>
              </w:rPr>
            </w:pPr>
          </w:p>
        </w:tc>
        <w:tc>
          <w:tcPr>
            <w:tcW w:w="6680" w:type="dxa"/>
            <w:vAlign w:val="bottom"/>
            <w:tcBorders>
              <w:bottom w:val="single" w:sz="8" w:color="D9D9D6"/>
            </w:tcBorders>
          </w:tcPr>
          <w:p>
            <w:pPr>
              <w:spacing w:after="0"/>
              <w:rPr>
                <w:sz w:val="7"/>
                <w:szCs w:val="7"/>
                <w:color w:val="auto"/>
              </w:rPr>
            </w:pPr>
          </w:p>
        </w:tc>
        <w:tc>
          <w:tcPr>
            <w:tcW w:w="0" w:type="dxa"/>
            <w:vAlign w:val="bottom"/>
          </w:tcPr>
          <w:p>
            <w:pPr>
              <w:spacing w:after="0"/>
              <w:rPr>
                <w:sz w:val="1"/>
                <w:szCs w:val="1"/>
                <w:color w:val="auto"/>
              </w:rPr>
            </w:pPr>
          </w:p>
        </w:tc>
      </w:tr>
      <w:tr>
        <w:trPr>
          <w:trHeight w:val="303"/>
        </w:trPr>
        <w:tc>
          <w:tcPr>
            <w:tcW w:w="2400" w:type="dxa"/>
            <w:vAlign w:val="bottom"/>
          </w:tcPr>
          <w:p>
            <w:pPr>
              <w:ind w:left="640"/>
              <w:spacing w:after="0"/>
              <w:rPr>
                <w:sz w:val="20"/>
                <w:szCs w:val="20"/>
                <w:color w:val="auto"/>
              </w:rPr>
            </w:pPr>
            <w:r>
              <w:rPr>
                <w:rFonts w:ascii="Arial" w:cs="Arial" w:eastAsia="Arial" w:hAnsi="Arial"/>
                <w:sz w:val="16"/>
                <w:szCs w:val="16"/>
                <w:b w:val="1"/>
                <w:bCs w:val="1"/>
                <w:color w:val="0072CE"/>
              </w:rPr>
              <w:t>Adjustments to</w:t>
            </w:r>
          </w:p>
        </w:tc>
        <w:tc>
          <w:tcPr>
            <w:tcW w:w="6680" w:type="dxa"/>
            <w:vAlign w:val="bottom"/>
          </w:tcPr>
          <w:p>
            <w:pPr>
              <w:ind w:left="120"/>
              <w:spacing w:after="0"/>
              <w:rPr>
                <w:sz w:val="20"/>
                <w:szCs w:val="20"/>
                <w:color w:val="auto"/>
              </w:rPr>
            </w:pPr>
            <w:r>
              <w:rPr>
                <w:rFonts w:ascii="Arial" w:cs="Arial" w:eastAsia="Arial" w:hAnsi="Arial"/>
                <w:sz w:val="16"/>
                <w:szCs w:val="16"/>
                <w:color w:val="3D3935"/>
              </w:rPr>
              <w:t>Maximum payout caps are in place for incentive compensation, and the Compensation</w:t>
            </w:r>
          </w:p>
        </w:tc>
        <w:tc>
          <w:tcPr>
            <w:tcW w:w="0" w:type="dxa"/>
            <w:vAlign w:val="bottom"/>
          </w:tcPr>
          <w:p>
            <w:pPr>
              <w:spacing w:after="0"/>
              <w:rPr>
                <w:sz w:val="1"/>
                <w:szCs w:val="1"/>
                <w:color w:val="auto"/>
              </w:rPr>
            </w:pPr>
          </w:p>
        </w:tc>
      </w:tr>
      <w:tr>
        <w:trPr>
          <w:trHeight w:val="223"/>
        </w:trPr>
        <w:tc>
          <w:tcPr>
            <w:tcW w:w="2400" w:type="dxa"/>
            <w:vAlign w:val="bottom"/>
          </w:tcPr>
          <w:p>
            <w:pPr>
              <w:ind w:left="640"/>
              <w:spacing w:after="0"/>
              <w:rPr>
                <w:sz w:val="20"/>
                <w:szCs w:val="20"/>
                <w:color w:val="auto"/>
              </w:rPr>
            </w:pPr>
            <w:r>
              <w:rPr>
                <w:rFonts w:ascii="Arial" w:cs="Arial" w:eastAsia="Arial" w:hAnsi="Arial"/>
                <w:sz w:val="16"/>
                <w:szCs w:val="16"/>
                <w:b w:val="1"/>
                <w:bCs w:val="1"/>
                <w:color w:val="0072CE"/>
              </w:rPr>
              <w:t>Compensation</w:t>
            </w:r>
          </w:p>
        </w:tc>
        <w:tc>
          <w:tcPr>
            <w:tcW w:w="6680" w:type="dxa"/>
            <w:vAlign w:val="bottom"/>
          </w:tcPr>
          <w:p>
            <w:pPr>
              <w:ind w:left="120"/>
              <w:spacing w:after="0"/>
              <w:rPr>
                <w:sz w:val="20"/>
                <w:szCs w:val="20"/>
                <w:color w:val="auto"/>
              </w:rPr>
            </w:pPr>
            <w:r>
              <w:rPr>
                <w:rFonts w:ascii="Arial" w:cs="Arial" w:eastAsia="Arial" w:hAnsi="Arial"/>
                <w:sz w:val="16"/>
                <w:szCs w:val="16"/>
                <w:color w:val="3D3935"/>
              </w:rPr>
              <w:t>Committee has the ability to apply negative discretion.</w:t>
            </w:r>
          </w:p>
        </w:tc>
        <w:tc>
          <w:tcPr>
            <w:tcW w:w="0" w:type="dxa"/>
            <w:vAlign w:val="bottom"/>
          </w:tcPr>
          <w:p>
            <w:pPr>
              <w:spacing w:after="0"/>
              <w:rPr>
                <w:sz w:val="1"/>
                <w:szCs w:val="1"/>
                <w:color w:val="auto"/>
              </w:rPr>
            </w:pPr>
          </w:p>
        </w:tc>
      </w:tr>
      <w:tr>
        <w:trPr>
          <w:trHeight w:val="89"/>
        </w:trPr>
        <w:tc>
          <w:tcPr>
            <w:tcW w:w="2400" w:type="dxa"/>
            <w:vAlign w:val="bottom"/>
            <w:tcBorders>
              <w:bottom w:val="single" w:sz="8" w:color="D9D9D6"/>
            </w:tcBorders>
          </w:tcPr>
          <w:p>
            <w:pPr>
              <w:spacing w:after="0"/>
              <w:rPr>
                <w:sz w:val="7"/>
                <w:szCs w:val="7"/>
                <w:color w:val="auto"/>
              </w:rPr>
            </w:pPr>
          </w:p>
        </w:tc>
        <w:tc>
          <w:tcPr>
            <w:tcW w:w="6680" w:type="dxa"/>
            <w:vAlign w:val="bottom"/>
            <w:tcBorders>
              <w:bottom w:val="single" w:sz="8" w:color="D9D9D6"/>
            </w:tcBorders>
          </w:tcPr>
          <w:p>
            <w:pPr>
              <w:spacing w:after="0"/>
              <w:rPr>
                <w:sz w:val="7"/>
                <w:szCs w:val="7"/>
                <w:color w:val="auto"/>
              </w:rPr>
            </w:pPr>
          </w:p>
        </w:tc>
        <w:tc>
          <w:tcPr>
            <w:tcW w:w="0" w:type="dxa"/>
            <w:vAlign w:val="bottom"/>
          </w:tcPr>
          <w:p>
            <w:pPr>
              <w:spacing w:after="0"/>
              <w:rPr>
                <w:sz w:val="1"/>
                <w:szCs w:val="1"/>
                <w:color w:val="auto"/>
              </w:rPr>
            </w:pPr>
          </w:p>
        </w:tc>
      </w:tr>
      <w:tr>
        <w:trPr>
          <w:trHeight w:val="303"/>
        </w:trPr>
        <w:tc>
          <w:tcPr>
            <w:tcW w:w="2400" w:type="dxa"/>
            <w:vAlign w:val="bottom"/>
          </w:tcPr>
          <w:p>
            <w:pPr>
              <w:ind w:left="640"/>
              <w:spacing w:after="0"/>
              <w:rPr>
                <w:sz w:val="20"/>
                <w:szCs w:val="20"/>
                <w:color w:val="auto"/>
              </w:rPr>
            </w:pPr>
            <w:r>
              <w:rPr>
                <w:rFonts w:ascii="Arial" w:cs="Arial" w:eastAsia="Arial" w:hAnsi="Arial"/>
                <w:sz w:val="16"/>
                <w:szCs w:val="16"/>
                <w:b w:val="1"/>
                <w:bCs w:val="1"/>
                <w:color w:val="0072CE"/>
              </w:rPr>
              <w:t>Compensation</w:t>
            </w:r>
          </w:p>
        </w:tc>
        <w:tc>
          <w:tcPr>
            <w:tcW w:w="6680" w:type="dxa"/>
            <w:vAlign w:val="bottom"/>
          </w:tcPr>
          <w:p>
            <w:pPr>
              <w:ind w:left="120"/>
              <w:spacing w:after="0"/>
              <w:rPr>
                <w:sz w:val="20"/>
                <w:szCs w:val="20"/>
                <w:color w:val="auto"/>
              </w:rPr>
            </w:pPr>
            <w:r>
              <w:rPr>
                <w:rFonts w:ascii="Arial" w:cs="Arial" w:eastAsia="Arial" w:hAnsi="Arial"/>
                <w:sz w:val="16"/>
                <w:szCs w:val="16"/>
                <w:color w:val="3D3935"/>
              </w:rPr>
              <w:t>Our Compensation Committee reviews plan performance and approves all executive</w:t>
            </w:r>
          </w:p>
        </w:tc>
        <w:tc>
          <w:tcPr>
            <w:tcW w:w="0" w:type="dxa"/>
            <w:vAlign w:val="bottom"/>
          </w:tcPr>
          <w:p>
            <w:pPr>
              <w:spacing w:after="0"/>
              <w:rPr>
                <w:sz w:val="1"/>
                <w:szCs w:val="1"/>
                <w:color w:val="auto"/>
              </w:rPr>
            </w:pPr>
          </w:p>
        </w:tc>
      </w:tr>
      <w:tr>
        <w:trPr>
          <w:trHeight w:val="223"/>
        </w:trPr>
        <w:tc>
          <w:tcPr>
            <w:tcW w:w="2400" w:type="dxa"/>
            <w:vAlign w:val="bottom"/>
          </w:tcPr>
          <w:p>
            <w:pPr>
              <w:ind w:left="640"/>
              <w:spacing w:after="0"/>
              <w:rPr>
                <w:sz w:val="20"/>
                <w:szCs w:val="20"/>
                <w:color w:val="auto"/>
              </w:rPr>
            </w:pPr>
            <w:r>
              <w:rPr>
                <w:rFonts w:ascii="Arial" w:cs="Arial" w:eastAsia="Arial" w:hAnsi="Arial"/>
                <w:sz w:val="16"/>
                <w:szCs w:val="16"/>
                <w:b w:val="1"/>
                <w:bCs w:val="1"/>
                <w:color w:val="0072CE"/>
              </w:rPr>
              <w:t>Committee Oversight</w:t>
            </w:r>
          </w:p>
        </w:tc>
        <w:tc>
          <w:tcPr>
            <w:tcW w:w="6680" w:type="dxa"/>
            <w:vAlign w:val="bottom"/>
          </w:tcPr>
          <w:p>
            <w:pPr>
              <w:ind w:left="120"/>
              <w:spacing w:after="0"/>
              <w:rPr>
                <w:sz w:val="20"/>
                <w:szCs w:val="20"/>
                <w:color w:val="auto"/>
              </w:rPr>
            </w:pPr>
            <w:r>
              <w:rPr>
                <w:rFonts w:ascii="Arial" w:cs="Arial" w:eastAsia="Arial" w:hAnsi="Arial"/>
                <w:sz w:val="16"/>
                <w:szCs w:val="16"/>
                <w:color w:val="3D3935"/>
              </w:rPr>
              <w:t>compensation plans and payouts.</w:t>
            </w:r>
          </w:p>
        </w:tc>
        <w:tc>
          <w:tcPr>
            <w:tcW w:w="0" w:type="dxa"/>
            <w:vAlign w:val="bottom"/>
          </w:tcPr>
          <w:p>
            <w:pPr>
              <w:spacing w:after="0"/>
              <w:rPr>
                <w:sz w:val="1"/>
                <w:szCs w:val="1"/>
                <w:color w:val="auto"/>
              </w:rPr>
            </w:pPr>
          </w:p>
        </w:tc>
      </w:tr>
      <w:tr>
        <w:trPr>
          <w:trHeight w:val="88"/>
        </w:trPr>
        <w:tc>
          <w:tcPr>
            <w:tcW w:w="2400" w:type="dxa"/>
            <w:vAlign w:val="bottom"/>
            <w:tcBorders>
              <w:bottom w:val="single" w:sz="8" w:color="D9D9D6"/>
            </w:tcBorders>
          </w:tcPr>
          <w:p>
            <w:pPr>
              <w:spacing w:after="0"/>
              <w:rPr>
                <w:sz w:val="7"/>
                <w:szCs w:val="7"/>
                <w:color w:val="auto"/>
              </w:rPr>
            </w:pPr>
          </w:p>
        </w:tc>
        <w:tc>
          <w:tcPr>
            <w:tcW w:w="6680" w:type="dxa"/>
            <w:vAlign w:val="bottom"/>
            <w:tcBorders>
              <w:bottom w:val="single" w:sz="8" w:color="D9D9D6"/>
            </w:tcBorders>
          </w:tcPr>
          <w:p>
            <w:pPr>
              <w:spacing w:after="0"/>
              <w:rPr>
                <w:sz w:val="7"/>
                <w:szCs w:val="7"/>
                <w:color w:val="auto"/>
              </w:rPr>
            </w:pPr>
          </w:p>
        </w:tc>
        <w:tc>
          <w:tcPr>
            <w:tcW w:w="0" w:type="dxa"/>
            <w:vAlign w:val="bottom"/>
          </w:tcPr>
          <w:p>
            <w:pPr>
              <w:spacing w:after="0"/>
              <w:rPr>
                <w:sz w:val="1"/>
                <w:szCs w:val="1"/>
                <w:color w:val="auto"/>
              </w:rPr>
            </w:pPr>
          </w:p>
        </w:tc>
      </w:tr>
      <w:tr>
        <w:trPr>
          <w:trHeight w:val="303"/>
        </w:trPr>
        <w:tc>
          <w:tcPr>
            <w:tcW w:w="2400" w:type="dxa"/>
            <w:vAlign w:val="bottom"/>
          </w:tcPr>
          <w:p>
            <w:pPr>
              <w:ind w:left="640"/>
              <w:spacing w:after="0"/>
              <w:rPr>
                <w:sz w:val="20"/>
                <w:szCs w:val="20"/>
                <w:color w:val="auto"/>
              </w:rPr>
            </w:pPr>
            <w:r>
              <w:rPr>
                <w:rFonts w:ascii="Arial" w:cs="Arial" w:eastAsia="Arial" w:hAnsi="Arial"/>
                <w:sz w:val="16"/>
                <w:szCs w:val="16"/>
                <w:b w:val="1"/>
                <w:bCs w:val="1"/>
                <w:color w:val="0072CE"/>
              </w:rPr>
              <w:t>Multiple Performance</w:t>
            </w:r>
          </w:p>
        </w:tc>
        <w:tc>
          <w:tcPr>
            <w:tcW w:w="6680" w:type="dxa"/>
            <w:vAlign w:val="bottom"/>
          </w:tcPr>
          <w:p>
            <w:pPr>
              <w:ind w:left="120"/>
              <w:spacing w:after="0"/>
              <w:rPr>
                <w:sz w:val="20"/>
                <w:szCs w:val="20"/>
                <w:color w:val="auto"/>
              </w:rPr>
            </w:pPr>
            <w:r>
              <w:rPr>
                <w:rFonts w:ascii="Arial" w:cs="Arial" w:eastAsia="Arial" w:hAnsi="Arial"/>
                <w:sz w:val="16"/>
                <w:szCs w:val="16"/>
                <w:color w:val="3D3935"/>
              </w:rPr>
              <w:t>Multiple performance measures work together to balance risk in our incentive</w:t>
            </w:r>
          </w:p>
        </w:tc>
        <w:tc>
          <w:tcPr>
            <w:tcW w:w="0" w:type="dxa"/>
            <w:vAlign w:val="bottom"/>
          </w:tcPr>
          <w:p>
            <w:pPr>
              <w:spacing w:after="0"/>
              <w:rPr>
                <w:sz w:val="1"/>
                <w:szCs w:val="1"/>
                <w:color w:val="auto"/>
              </w:rPr>
            </w:pPr>
          </w:p>
        </w:tc>
      </w:tr>
      <w:tr>
        <w:trPr>
          <w:trHeight w:val="223"/>
        </w:trPr>
        <w:tc>
          <w:tcPr>
            <w:tcW w:w="2400" w:type="dxa"/>
            <w:vAlign w:val="bottom"/>
          </w:tcPr>
          <w:p>
            <w:pPr>
              <w:ind w:left="640"/>
              <w:spacing w:after="0"/>
              <w:rPr>
                <w:sz w:val="20"/>
                <w:szCs w:val="20"/>
                <w:color w:val="auto"/>
              </w:rPr>
            </w:pPr>
            <w:r>
              <w:rPr>
                <w:rFonts w:ascii="Arial" w:cs="Arial" w:eastAsia="Arial" w:hAnsi="Arial"/>
                <w:sz w:val="16"/>
                <w:szCs w:val="16"/>
                <w:b w:val="1"/>
                <w:bCs w:val="1"/>
                <w:color w:val="0072CE"/>
              </w:rPr>
              <w:t>Measures</w:t>
            </w:r>
          </w:p>
        </w:tc>
        <w:tc>
          <w:tcPr>
            <w:tcW w:w="6680" w:type="dxa"/>
            <w:vAlign w:val="bottom"/>
          </w:tcPr>
          <w:p>
            <w:pPr>
              <w:ind w:left="120"/>
              <w:spacing w:after="0"/>
              <w:rPr>
                <w:sz w:val="20"/>
                <w:szCs w:val="20"/>
                <w:color w:val="auto"/>
              </w:rPr>
            </w:pPr>
            <w:r>
              <w:rPr>
                <w:rFonts w:ascii="Arial" w:cs="Arial" w:eastAsia="Arial" w:hAnsi="Arial"/>
                <w:sz w:val="16"/>
                <w:szCs w:val="16"/>
                <w:color w:val="3D3935"/>
              </w:rPr>
              <w:t>compensation plans.</w:t>
            </w:r>
          </w:p>
        </w:tc>
        <w:tc>
          <w:tcPr>
            <w:tcW w:w="0" w:type="dxa"/>
            <w:vAlign w:val="bottom"/>
          </w:tcPr>
          <w:p>
            <w:pPr>
              <w:spacing w:after="0"/>
              <w:rPr>
                <w:sz w:val="1"/>
                <w:szCs w:val="1"/>
                <w:color w:val="auto"/>
              </w:rPr>
            </w:pPr>
          </w:p>
        </w:tc>
      </w:tr>
      <w:tr>
        <w:trPr>
          <w:trHeight w:val="89"/>
        </w:trPr>
        <w:tc>
          <w:tcPr>
            <w:tcW w:w="2400" w:type="dxa"/>
            <w:vAlign w:val="bottom"/>
            <w:tcBorders>
              <w:bottom w:val="single" w:sz="8" w:color="D9D9D6"/>
            </w:tcBorders>
          </w:tcPr>
          <w:p>
            <w:pPr>
              <w:spacing w:after="0"/>
              <w:rPr>
                <w:sz w:val="7"/>
                <w:szCs w:val="7"/>
                <w:color w:val="auto"/>
              </w:rPr>
            </w:pPr>
          </w:p>
        </w:tc>
        <w:tc>
          <w:tcPr>
            <w:tcW w:w="6680" w:type="dxa"/>
            <w:vAlign w:val="bottom"/>
            <w:tcBorders>
              <w:bottom w:val="single" w:sz="8" w:color="D9D9D6"/>
            </w:tcBorders>
          </w:tcPr>
          <w:p>
            <w:pPr>
              <w:spacing w:after="0"/>
              <w:rPr>
                <w:sz w:val="7"/>
                <w:szCs w:val="7"/>
                <w:color w:val="auto"/>
              </w:rPr>
            </w:pPr>
          </w:p>
        </w:tc>
        <w:tc>
          <w:tcPr>
            <w:tcW w:w="0" w:type="dxa"/>
            <w:vAlign w:val="bottom"/>
          </w:tcPr>
          <w:p>
            <w:pPr>
              <w:spacing w:after="0"/>
              <w:rPr>
                <w:sz w:val="1"/>
                <w:szCs w:val="1"/>
                <w:color w:val="auto"/>
              </w:rPr>
            </w:pPr>
          </w:p>
        </w:tc>
      </w:tr>
      <w:tr>
        <w:trPr>
          <w:trHeight w:val="303"/>
        </w:trPr>
        <w:tc>
          <w:tcPr>
            <w:tcW w:w="2400" w:type="dxa"/>
            <w:vAlign w:val="bottom"/>
          </w:tcPr>
          <w:p>
            <w:pPr>
              <w:ind w:left="640"/>
              <w:spacing w:after="0"/>
              <w:rPr>
                <w:sz w:val="20"/>
                <w:szCs w:val="20"/>
                <w:color w:val="auto"/>
              </w:rPr>
            </w:pPr>
            <w:r>
              <w:rPr>
                <w:rFonts w:ascii="Arial" w:cs="Arial" w:eastAsia="Arial" w:hAnsi="Arial"/>
                <w:sz w:val="16"/>
                <w:szCs w:val="16"/>
                <w:b w:val="1"/>
                <w:bCs w:val="1"/>
                <w:color w:val="0072CE"/>
              </w:rPr>
              <w:t>Stock Ownership</w:t>
            </w:r>
          </w:p>
        </w:tc>
        <w:tc>
          <w:tcPr>
            <w:tcW w:w="6680" w:type="dxa"/>
            <w:vAlign w:val="bottom"/>
            <w:vMerge w:val="restart"/>
          </w:tcPr>
          <w:p>
            <w:pPr>
              <w:ind w:left="120"/>
              <w:spacing w:after="0"/>
              <w:rPr>
                <w:sz w:val="20"/>
                <w:szCs w:val="20"/>
                <w:color w:val="auto"/>
              </w:rPr>
            </w:pPr>
            <w:r>
              <w:rPr>
                <w:rFonts w:ascii="Arial" w:cs="Arial" w:eastAsia="Arial" w:hAnsi="Arial"/>
                <w:sz w:val="16"/>
                <w:szCs w:val="16"/>
                <w:color w:val="3D3935"/>
              </w:rPr>
              <w:t>All senior leaders are subject to stock ownership requirements, as described below.</w:t>
            </w:r>
          </w:p>
        </w:tc>
        <w:tc>
          <w:tcPr>
            <w:tcW w:w="0" w:type="dxa"/>
            <w:vAlign w:val="bottom"/>
          </w:tcPr>
          <w:p>
            <w:pPr>
              <w:spacing w:after="0"/>
              <w:rPr>
                <w:sz w:val="1"/>
                <w:szCs w:val="1"/>
                <w:color w:val="auto"/>
              </w:rPr>
            </w:pPr>
          </w:p>
        </w:tc>
      </w:tr>
      <w:tr>
        <w:trPr>
          <w:trHeight w:val="120"/>
        </w:trPr>
        <w:tc>
          <w:tcPr>
            <w:tcW w:w="2400" w:type="dxa"/>
            <w:vAlign w:val="bottom"/>
            <w:vMerge w:val="restart"/>
          </w:tcPr>
          <w:p>
            <w:pPr>
              <w:ind w:left="640"/>
              <w:spacing w:after="0"/>
              <w:rPr>
                <w:sz w:val="20"/>
                <w:szCs w:val="20"/>
                <w:color w:val="auto"/>
              </w:rPr>
            </w:pPr>
            <w:r>
              <w:rPr>
                <w:rFonts w:ascii="Arial" w:cs="Arial" w:eastAsia="Arial" w:hAnsi="Arial"/>
                <w:sz w:val="16"/>
                <w:szCs w:val="16"/>
                <w:b w:val="1"/>
                <w:bCs w:val="1"/>
                <w:color w:val="0072CE"/>
              </w:rPr>
              <w:t>Requirements</w:t>
            </w:r>
          </w:p>
        </w:tc>
        <w:tc>
          <w:tcPr>
            <w:tcW w:w="6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400" w:type="dxa"/>
            <w:vAlign w:val="bottom"/>
            <w:vMerge w:val="continue"/>
          </w:tcPr>
          <w:p>
            <w:pPr>
              <w:spacing w:after="0"/>
              <w:rPr>
                <w:sz w:val="8"/>
                <w:szCs w:val="8"/>
                <w:color w:val="auto"/>
              </w:rPr>
            </w:pPr>
          </w:p>
        </w:tc>
        <w:tc>
          <w:tcPr>
            <w:tcW w:w="6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400" w:type="dxa"/>
            <w:vAlign w:val="bottom"/>
            <w:tcBorders>
              <w:bottom w:val="single" w:sz="8" w:color="D9D9D6"/>
            </w:tcBorders>
          </w:tcPr>
          <w:p>
            <w:pPr>
              <w:spacing w:after="0"/>
              <w:rPr>
                <w:sz w:val="7"/>
                <w:szCs w:val="7"/>
                <w:color w:val="auto"/>
              </w:rPr>
            </w:pPr>
          </w:p>
        </w:tc>
        <w:tc>
          <w:tcPr>
            <w:tcW w:w="6680" w:type="dxa"/>
            <w:vAlign w:val="bottom"/>
            <w:tcBorders>
              <w:bottom w:val="single" w:sz="8" w:color="D9D9D6"/>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2400" w:type="dxa"/>
            <w:vAlign w:val="bottom"/>
          </w:tcPr>
          <w:p>
            <w:pPr>
              <w:ind w:left="640"/>
              <w:spacing w:after="0"/>
              <w:rPr>
                <w:sz w:val="20"/>
                <w:szCs w:val="20"/>
                <w:color w:val="auto"/>
              </w:rPr>
            </w:pPr>
            <w:r>
              <w:rPr>
                <w:rFonts w:ascii="Arial" w:cs="Arial" w:eastAsia="Arial" w:hAnsi="Arial"/>
                <w:sz w:val="16"/>
                <w:szCs w:val="16"/>
                <w:b w:val="1"/>
                <w:bCs w:val="1"/>
                <w:color w:val="0072CE"/>
              </w:rPr>
              <w:t>Clawback and</w:t>
            </w:r>
          </w:p>
        </w:tc>
        <w:tc>
          <w:tcPr>
            <w:tcW w:w="6680" w:type="dxa"/>
            <w:vAlign w:val="bottom"/>
          </w:tcPr>
          <w:p>
            <w:pPr>
              <w:ind w:left="120"/>
              <w:spacing w:after="0"/>
              <w:rPr>
                <w:sz w:val="20"/>
                <w:szCs w:val="20"/>
                <w:color w:val="auto"/>
              </w:rPr>
            </w:pPr>
            <w:r>
              <w:rPr>
                <w:rFonts w:ascii="Arial" w:cs="Arial" w:eastAsia="Arial" w:hAnsi="Arial"/>
                <w:sz w:val="16"/>
                <w:szCs w:val="16"/>
                <w:color w:val="3D3935"/>
              </w:rPr>
              <w:t>All awards are subject to our Policy on Recoupment of Incentive Compensation, as</w:t>
            </w:r>
          </w:p>
        </w:tc>
        <w:tc>
          <w:tcPr>
            <w:tcW w:w="0" w:type="dxa"/>
            <w:vAlign w:val="bottom"/>
          </w:tcPr>
          <w:p>
            <w:pPr>
              <w:spacing w:after="0"/>
              <w:rPr>
                <w:sz w:val="1"/>
                <w:szCs w:val="1"/>
                <w:color w:val="auto"/>
              </w:rPr>
            </w:pPr>
          </w:p>
        </w:tc>
      </w:tr>
      <w:tr>
        <w:trPr>
          <w:trHeight w:val="203"/>
        </w:trPr>
        <w:tc>
          <w:tcPr>
            <w:tcW w:w="2400" w:type="dxa"/>
            <w:vAlign w:val="bottom"/>
          </w:tcPr>
          <w:p>
            <w:pPr>
              <w:ind w:left="640"/>
              <w:spacing w:after="0"/>
              <w:rPr>
                <w:sz w:val="20"/>
                <w:szCs w:val="20"/>
                <w:color w:val="auto"/>
              </w:rPr>
            </w:pPr>
            <w:r>
              <w:rPr>
                <w:rFonts w:ascii="Arial" w:cs="Arial" w:eastAsia="Arial" w:hAnsi="Arial"/>
                <w:sz w:val="16"/>
                <w:szCs w:val="16"/>
                <w:b w:val="1"/>
                <w:bCs w:val="1"/>
                <w:color w:val="0072CE"/>
              </w:rPr>
              <w:t>Cancellation</w:t>
            </w:r>
          </w:p>
        </w:tc>
        <w:tc>
          <w:tcPr>
            <w:tcW w:w="6680" w:type="dxa"/>
            <w:vAlign w:val="bottom"/>
          </w:tcPr>
          <w:p>
            <w:pPr>
              <w:ind w:left="120"/>
              <w:spacing w:after="0"/>
              <w:rPr>
                <w:sz w:val="20"/>
                <w:szCs w:val="20"/>
                <w:color w:val="auto"/>
              </w:rPr>
            </w:pPr>
            <w:r>
              <w:rPr>
                <w:rFonts w:ascii="Arial" w:cs="Arial" w:eastAsia="Arial" w:hAnsi="Arial"/>
                <w:sz w:val="16"/>
                <w:szCs w:val="16"/>
                <w:color w:val="3D3935"/>
              </w:rPr>
              <w:t>described below. In addition, cancellation provisions apply to all outstanding STIP and</w:t>
            </w:r>
          </w:p>
        </w:tc>
        <w:tc>
          <w:tcPr>
            <w:tcW w:w="0" w:type="dxa"/>
            <w:vAlign w:val="bottom"/>
          </w:tcPr>
          <w:p>
            <w:pPr>
              <w:spacing w:after="0"/>
              <w:rPr>
                <w:sz w:val="1"/>
                <w:szCs w:val="1"/>
                <w:color w:val="auto"/>
              </w:rPr>
            </w:pPr>
          </w:p>
        </w:tc>
      </w:tr>
      <w:tr>
        <w:trPr>
          <w:trHeight w:val="223"/>
        </w:trPr>
        <w:tc>
          <w:tcPr>
            <w:tcW w:w="2400" w:type="dxa"/>
            <w:vAlign w:val="bottom"/>
          </w:tcPr>
          <w:p>
            <w:pPr>
              <w:ind w:left="640"/>
              <w:spacing w:after="0"/>
              <w:rPr>
                <w:sz w:val="20"/>
                <w:szCs w:val="20"/>
                <w:color w:val="auto"/>
              </w:rPr>
            </w:pPr>
            <w:r>
              <w:rPr>
                <w:rFonts w:ascii="Arial" w:cs="Arial" w:eastAsia="Arial" w:hAnsi="Arial"/>
                <w:sz w:val="16"/>
                <w:szCs w:val="16"/>
                <w:b w:val="1"/>
                <w:bCs w:val="1"/>
                <w:color w:val="0072CE"/>
              </w:rPr>
              <w:t>Provisions</w:t>
            </w:r>
          </w:p>
        </w:tc>
        <w:tc>
          <w:tcPr>
            <w:tcW w:w="6680" w:type="dxa"/>
            <w:vAlign w:val="bottom"/>
          </w:tcPr>
          <w:p>
            <w:pPr>
              <w:ind w:left="120"/>
              <w:spacing w:after="0"/>
              <w:rPr>
                <w:sz w:val="20"/>
                <w:szCs w:val="20"/>
                <w:color w:val="auto"/>
              </w:rPr>
            </w:pPr>
            <w:r>
              <w:rPr>
                <w:rFonts w:ascii="Arial" w:cs="Arial" w:eastAsia="Arial" w:hAnsi="Arial"/>
                <w:sz w:val="16"/>
                <w:szCs w:val="16"/>
                <w:color w:val="3D3935"/>
              </w:rPr>
              <w:t>LTIP awards.</w:t>
            </w:r>
          </w:p>
        </w:tc>
        <w:tc>
          <w:tcPr>
            <w:tcW w:w="0" w:type="dxa"/>
            <w:vAlign w:val="bottom"/>
          </w:tcPr>
          <w:p>
            <w:pPr>
              <w:spacing w:after="0"/>
              <w:rPr>
                <w:sz w:val="1"/>
                <w:szCs w:val="1"/>
                <w:color w:val="auto"/>
              </w:rPr>
            </w:pPr>
          </w:p>
        </w:tc>
      </w:tr>
      <w:tr>
        <w:trPr>
          <w:trHeight w:val="61"/>
        </w:trPr>
        <w:tc>
          <w:tcPr>
            <w:tcW w:w="2400" w:type="dxa"/>
            <w:vAlign w:val="bottom"/>
            <w:tcBorders>
              <w:bottom w:val="single" w:sz="8" w:color="0072CE"/>
            </w:tcBorders>
          </w:tcPr>
          <w:p>
            <w:pPr>
              <w:spacing w:after="0"/>
              <w:rPr>
                <w:sz w:val="5"/>
                <w:szCs w:val="5"/>
                <w:color w:val="auto"/>
              </w:rPr>
            </w:pPr>
          </w:p>
        </w:tc>
        <w:tc>
          <w:tcPr>
            <w:tcW w:w="6680" w:type="dxa"/>
            <w:vAlign w:val="bottom"/>
            <w:tcBorders>
              <w:bottom w:val="single" w:sz="8" w:color="0072CE"/>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3D3935"/>
        </w:rPr>
        <w:t>In 2024, the Compensation Committee determined that our compensation programs have sufficient risk mitigation features and do not encourage or reward employees for engaging in excessive, imprudent, inappropriate, or unnecessary risk-taking. Based on the Compensation Committee’s review, it was determined our compensation programs are low risk.</w:t>
      </w:r>
    </w:p>
    <w:p>
      <w:pPr>
        <w:sectPr>
          <w:pgSz w:w="11900" w:h="16838" w:orient="portrait"/>
          <w:cols w:equalWidth="0" w:num="1">
            <w:col w:w="9080"/>
          </w:cols>
          <w:pgMar w:left="1400" w:top="1440" w:right="1419" w:bottom="0" w:gutter="0" w:footer="0" w:header="0"/>
        </w:sectPr>
      </w:pPr>
    </w:p>
    <w:bookmarkStart w:id="60" w:name="page61"/>
    <w:bookmarkEnd w:id="60"/>
    <w:p>
      <w:pPr>
        <w:spacing w:after="0"/>
        <w:rPr>
          <w:sz w:val="20"/>
          <w:szCs w:val="20"/>
          <w:color w:val="auto"/>
        </w:rPr>
      </w:pPr>
      <w:r>
        <w:rPr>
          <w:rFonts w:ascii="Arial" w:cs="Arial" w:eastAsia="Arial" w:hAnsi="Arial"/>
          <w:sz w:val="29"/>
          <w:szCs w:val="29"/>
          <w:b w:val="1"/>
          <w:bCs w:val="1"/>
          <w:color w:val="3D3935"/>
        </w:rPr>
        <w:t>Compensation Policies and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-154940</wp:posOffset>
            </wp:positionV>
            <wp:extent cx="6810375" cy="38080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10375" cy="3808095"/>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b w:val="1"/>
          <w:bCs w:val="1"/>
          <w:color w:val="0072CE"/>
        </w:rPr>
        <w:t>Stock Ownership Requirements</w:t>
      </w:r>
    </w:p>
    <w:p>
      <w:pPr>
        <w:spacing w:after="0" w:line="88" w:lineRule="exact"/>
        <w:rPr>
          <w:sz w:val="20"/>
          <w:szCs w:val="20"/>
          <w:color w:val="auto"/>
        </w:rPr>
      </w:pPr>
    </w:p>
    <w:p>
      <w:pPr>
        <w:ind w:right="400"/>
        <w:spacing w:after="0" w:line="321" w:lineRule="auto"/>
        <w:rPr>
          <w:sz w:val="20"/>
          <w:szCs w:val="20"/>
          <w:color w:val="auto"/>
        </w:rPr>
      </w:pPr>
      <w:r>
        <w:rPr>
          <w:rFonts w:ascii="Arial" w:cs="Arial" w:eastAsia="Arial" w:hAnsi="Arial"/>
          <w:sz w:val="16"/>
          <w:szCs w:val="16"/>
          <w:color w:val="3D3935"/>
        </w:rPr>
        <w:t>The Company requires our senior leaders to own GM stock to align their interests with those of our shareholders. Our stock ownership requirements:</w:t>
      </w:r>
    </w:p>
    <w:p>
      <w:pPr>
        <w:spacing w:after="0" w:line="88" w:lineRule="exact"/>
        <w:rPr>
          <w:sz w:val="20"/>
          <w:szCs w:val="20"/>
          <w:color w:val="auto"/>
        </w:rPr>
      </w:pPr>
    </w:p>
    <w:p>
      <w:pPr>
        <w:ind w:left="200" w:hanging="192"/>
        <w:spacing w:after="0"/>
        <w:tabs>
          <w:tab w:leader="none" w:pos="200" w:val="left"/>
        </w:tabs>
        <w:numPr>
          <w:ilvl w:val="0"/>
          <w:numId w:val="95"/>
        </w:numPr>
        <w:rPr>
          <w:rFonts w:ascii="Arial" w:cs="Arial" w:eastAsia="Arial" w:hAnsi="Arial"/>
          <w:sz w:val="16"/>
          <w:szCs w:val="16"/>
          <w:color w:val="0072CE"/>
        </w:rPr>
      </w:pPr>
      <w:r>
        <w:rPr>
          <w:rFonts w:ascii="Arial" w:cs="Arial" w:eastAsia="Arial" w:hAnsi="Arial"/>
          <w:sz w:val="16"/>
          <w:szCs w:val="16"/>
          <w:color w:val="3D3935"/>
        </w:rPr>
        <w:t>Cover all senior leaders</w:t>
      </w:r>
    </w:p>
    <w:p>
      <w:pPr>
        <w:spacing w:after="0" w:line="86" w:lineRule="exact"/>
        <w:rPr>
          <w:rFonts w:ascii="Arial" w:cs="Arial" w:eastAsia="Arial" w:hAnsi="Arial"/>
          <w:sz w:val="16"/>
          <w:szCs w:val="16"/>
          <w:color w:val="0072CE"/>
        </w:rPr>
      </w:pPr>
    </w:p>
    <w:p>
      <w:pPr>
        <w:ind w:left="200" w:hanging="192"/>
        <w:spacing w:after="0"/>
        <w:tabs>
          <w:tab w:leader="none" w:pos="200" w:val="left"/>
        </w:tabs>
        <w:numPr>
          <w:ilvl w:val="0"/>
          <w:numId w:val="95"/>
        </w:numPr>
        <w:rPr>
          <w:rFonts w:ascii="Arial" w:cs="Arial" w:eastAsia="Arial" w:hAnsi="Arial"/>
          <w:sz w:val="16"/>
          <w:szCs w:val="16"/>
          <w:color w:val="0072CE"/>
        </w:rPr>
      </w:pPr>
      <w:r>
        <w:rPr>
          <w:rFonts w:ascii="Arial" w:cs="Arial" w:eastAsia="Arial" w:hAnsi="Arial"/>
          <w:sz w:val="16"/>
          <w:szCs w:val="16"/>
          <w:color w:val="3D3935"/>
        </w:rPr>
        <w:t>Establish a multiple of each executive’s salary</w:t>
      </w:r>
    </w:p>
    <w:p>
      <w:pPr>
        <w:spacing w:after="0" w:line="86" w:lineRule="exact"/>
        <w:rPr>
          <w:rFonts w:ascii="Arial" w:cs="Arial" w:eastAsia="Arial" w:hAnsi="Arial"/>
          <w:sz w:val="16"/>
          <w:szCs w:val="16"/>
          <w:color w:val="0072CE"/>
        </w:rPr>
      </w:pPr>
    </w:p>
    <w:p>
      <w:pPr>
        <w:ind w:left="200" w:hanging="192"/>
        <w:spacing w:after="0"/>
        <w:tabs>
          <w:tab w:leader="none" w:pos="200" w:val="left"/>
        </w:tabs>
        <w:numPr>
          <w:ilvl w:val="0"/>
          <w:numId w:val="95"/>
        </w:numPr>
        <w:rPr>
          <w:rFonts w:ascii="Arial" w:cs="Arial" w:eastAsia="Arial" w:hAnsi="Arial"/>
          <w:sz w:val="16"/>
          <w:szCs w:val="16"/>
          <w:color w:val="0072CE"/>
        </w:rPr>
      </w:pPr>
      <w:r>
        <w:rPr>
          <w:rFonts w:ascii="Arial" w:cs="Arial" w:eastAsia="Arial" w:hAnsi="Arial"/>
          <w:sz w:val="16"/>
          <w:szCs w:val="16"/>
          <w:color w:val="3D3935"/>
        </w:rPr>
        <w:t>Set a five-year time frame to meet ownership requirements</w:t>
      </w:r>
    </w:p>
    <w:p>
      <w:pPr>
        <w:spacing w:after="0" w:line="86" w:lineRule="exact"/>
        <w:rPr>
          <w:rFonts w:ascii="Arial" w:cs="Arial" w:eastAsia="Arial" w:hAnsi="Arial"/>
          <w:sz w:val="16"/>
          <w:szCs w:val="16"/>
          <w:color w:val="0072CE"/>
        </w:rPr>
      </w:pPr>
    </w:p>
    <w:p>
      <w:pPr>
        <w:ind w:left="200" w:hanging="192"/>
        <w:spacing w:after="0"/>
        <w:tabs>
          <w:tab w:leader="none" w:pos="200" w:val="left"/>
        </w:tabs>
        <w:numPr>
          <w:ilvl w:val="0"/>
          <w:numId w:val="95"/>
        </w:numPr>
        <w:rPr>
          <w:rFonts w:ascii="Arial" w:cs="Arial" w:eastAsia="Arial" w:hAnsi="Arial"/>
          <w:sz w:val="16"/>
          <w:szCs w:val="16"/>
          <w:color w:val="0072CE"/>
        </w:rPr>
      </w:pPr>
      <w:r>
        <w:rPr>
          <w:rFonts w:ascii="Arial" w:cs="Arial" w:eastAsia="Arial" w:hAnsi="Arial"/>
          <w:sz w:val="16"/>
          <w:szCs w:val="16"/>
          <w:color w:val="3D3935"/>
        </w:rPr>
        <w:t>Require senior leaders to continually hold shares to maintain ownership requirements</w:t>
      </w:r>
    </w:p>
    <w:p>
      <w:pPr>
        <w:spacing w:after="0" w:line="86" w:lineRule="exact"/>
        <w:rPr>
          <w:rFonts w:ascii="Arial" w:cs="Arial" w:eastAsia="Arial" w:hAnsi="Arial"/>
          <w:sz w:val="16"/>
          <w:szCs w:val="16"/>
          <w:color w:val="0072CE"/>
        </w:rPr>
      </w:pPr>
    </w:p>
    <w:p>
      <w:pPr>
        <w:ind w:left="200" w:right="1500" w:hanging="192"/>
        <w:spacing w:after="0" w:line="316" w:lineRule="auto"/>
        <w:tabs>
          <w:tab w:leader="none" w:pos="200" w:val="left"/>
        </w:tabs>
        <w:numPr>
          <w:ilvl w:val="0"/>
          <w:numId w:val="95"/>
        </w:numPr>
        <w:rPr>
          <w:rFonts w:ascii="Arial" w:cs="Arial" w:eastAsia="Arial" w:hAnsi="Arial"/>
          <w:sz w:val="16"/>
          <w:szCs w:val="16"/>
          <w:color w:val="0072CE"/>
        </w:rPr>
      </w:pPr>
      <w:r>
        <w:rPr>
          <w:rFonts w:ascii="Arial" w:cs="Arial" w:eastAsia="Arial" w:hAnsi="Arial"/>
          <w:sz w:val="16"/>
          <w:szCs w:val="16"/>
          <w:color w:val="3D3935"/>
        </w:rPr>
        <w:t>Allow the opportunity to own either a required number of shares or the total dollar value of shares to meet ownership requirements</w:t>
      </w:r>
    </w:p>
    <w:p>
      <w:pPr>
        <w:spacing w:after="0" w:line="1" w:lineRule="exact"/>
        <w:rPr>
          <w:rFonts w:ascii="Arial" w:cs="Arial" w:eastAsia="Arial" w:hAnsi="Arial"/>
          <w:sz w:val="16"/>
          <w:szCs w:val="16"/>
          <w:color w:val="0072CE"/>
        </w:rPr>
      </w:pPr>
    </w:p>
    <w:p>
      <w:pPr>
        <w:ind w:left="200" w:hanging="192"/>
        <w:spacing w:after="0"/>
        <w:tabs>
          <w:tab w:leader="none" w:pos="200" w:val="left"/>
        </w:tabs>
        <w:numPr>
          <w:ilvl w:val="0"/>
          <w:numId w:val="95"/>
        </w:numPr>
        <w:rPr>
          <w:rFonts w:ascii="Arial" w:cs="Arial" w:eastAsia="Arial" w:hAnsi="Arial"/>
          <w:sz w:val="16"/>
          <w:szCs w:val="16"/>
          <w:color w:val="0072CE"/>
        </w:rPr>
      </w:pPr>
      <w:r>
        <w:rPr>
          <w:rFonts w:ascii="Arial" w:cs="Arial" w:eastAsia="Arial" w:hAnsi="Arial"/>
          <w:sz w:val="16"/>
          <w:szCs w:val="16"/>
          <w:color w:val="3D3935"/>
        </w:rPr>
        <w:t>Count only actual share holdings and unvested RSUs (i.e., excludes stock options and unvested PSUs)</w:t>
      </w:r>
    </w:p>
    <w:p>
      <w:pPr>
        <w:spacing w:after="0" w:line="86" w:lineRule="exact"/>
        <w:rPr>
          <w:rFonts w:ascii="Arial" w:cs="Arial" w:eastAsia="Arial" w:hAnsi="Arial"/>
          <w:sz w:val="16"/>
          <w:szCs w:val="16"/>
          <w:color w:val="0072CE"/>
        </w:rPr>
      </w:pPr>
    </w:p>
    <w:p>
      <w:pPr>
        <w:ind w:left="200" w:hanging="192"/>
        <w:spacing w:after="0"/>
        <w:tabs>
          <w:tab w:leader="none" w:pos="200" w:val="left"/>
        </w:tabs>
        <w:numPr>
          <w:ilvl w:val="0"/>
          <w:numId w:val="95"/>
        </w:numPr>
        <w:rPr>
          <w:rFonts w:ascii="Arial" w:cs="Arial" w:eastAsia="Arial" w:hAnsi="Arial"/>
          <w:sz w:val="16"/>
          <w:szCs w:val="16"/>
          <w:color w:val="0072CE"/>
        </w:rPr>
      </w:pPr>
      <w:r>
        <w:rPr>
          <w:rFonts w:ascii="Arial" w:cs="Arial" w:eastAsia="Arial" w:hAnsi="Arial"/>
          <w:sz w:val="16"/>
          <w:szCs w:val="16"/>
          <w:color w:val="3D3935"/>
        </w:rPr>
        <w:t>Include ongoing refreshment of stock ownership requirements after each five-year requirement is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6625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10375" cy="6625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77" w:lineRule="exact"/>
        <w:rPr>
          <w:sz w:val="20"/>
          <w:szCs w:val="20"/>
          <w:color w:val="auto"/>
        </w:rPr>
      </w:pPr>
    </w:p>
    <w:p>
      <w:pPr>
        <w:ind w:right="780"/>
        <w:spacing w:after="0" w:line="301" w:lineRule="auto"/>
        <w:rPr>
          <w:sz w:val="20"/>
          <w:szCs w:val="20"/>
          <w:color w:val="auto"/>
        </w:rPr>
      </w:pPr>
      <w:r>
        <w:rPr>
          <w:rFonts w:ascii="Arial" w:cs="Arial" w:eastAsia="Arial" w:hAnsi="Arial"/>
          <w:sz w:val="16"/>
          <w:szCs w:val="16"/>
          <w:color w:val="3D3935"/>
        </w:rPr>
        <w:t>The table below shows the stock ownership requirement by level in the Company. As of December 31, 2024, all NEOs who remain employed by the Company have met or are on track to meet stock ownership requirements by their respective deadlin 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0072CE"/>
        </w:rPr>
        <w:t>Stock Ownership Covers All Senior Leaders</w:t>
      </w:r>
    </w:p>
    <w:p>
      <w:pPr>
        <w:spacing w:after="0" w:line="308" w:lineRule="exact"/>
        <w:rPr>
          <w:sz w:val="20"/>
          <w:szCs w:val="20"/>
          <w:color w:val="auto"/>
        </w:rPr>
      </w:pPr>
    </w:p>
    <w:p>
      <w:pPr>
        <w:ind w:left="6360"/>
        <w:spacing w:after="0"/>
        <w:rPr>
          <w:sz w:val="20"/>
          <w:szCs w:val="20"/>
          <w:color w:val="auto"/>
        </w:rPr>
      </w:pPr>
      <w:r>
        <w:rPr>
          <w:rFonts w:ascii="Arial" w:cs="Arial" w:eastAsia="Arial" w:hAnsi="Arial"/>
          <w:sz w:val="43"/>
          <w:szCs w:val="43"/>
          <w:b w:val="1"/>
          <w:bCs w:val="1"/>
          <w:color w:val="0072CE"/>
        </w:rPr>
        <w:t>27.2 times</w:t>
      </w:r>
    </w:p>
    <w:p>
      <w:pPr>
        <w:spacing w:after="0" w:line="64" w:lineRule="exact"/>
        <w:rPr>
          <w:sz w:val="20"/>
          <w:szCs w:val="20"/>
          <w:color w:val="auto"/>
        </w:rPr>
      </w:pPr>
    </w:p>
    <w:p>
      <w:pPr>
        <w:jc w:val="center"/>
        <w:ind w:left="5740"/>
        <w:spacing w:after="0"/>
        <w:rPr>
          <w:sz w:val="20"/>
          <w:szCs w:val="20"/>
          <w:color w:val="auto"/>
        </w:rPr>
      </w:pPr>
      <w:r>
        <w:rPr>
          <w:rFonts w:ascii="Arial" w:cs="Arial" w:eastAsia="Arial" w:hAnsi="Arial"/>
          <w:sz w:val="16"/>
          <w:szCs w:val="16"/>
          <w:color w:val="0072D8"/>
        </w:rPr>
        <w:t>annual salary</w:t>
      </w:r>
    </w:p>
    <w:p>
      <w:pPr>
        <w:spacing w:after="0" w:line="124" w:lineRule="exact"/>
        <w:rPr>
          <w:sz w:val="20"/>
          <w:szCs w:val="20"/>
          <w:color w:val="auto"/>
        </w:rPr>
      </w:pPr>
    </w:p>
    <w:p>
      <w:pPr>
        <w:jc w:val="center"/>
        <w:ind w:left="7040" w:right="500"/>
        <w:spacing w:after="0" w:line="275" w:lineRule="auto"/>
        <w:rPr>
          <w:sz w:val="20"/>
          <w:szCs w:val="20"/>
          <w:color w:val="auto"/>
        </w:rPr>
      </w:pPr>
      <w:r>
        <w:rPr>
          <w:rFonts w:ascii="Arial" w:cs="Arial" w:eastAsia="Arial" w:hAnsi="Arial"/>
          <w:sz w:val="16"/>
          <w:szCs w:val="16"/>
          <w:color w:val="3D3935"/>
        </w:rPr>
        <w:t>The value of GM common stock and unvested RSUs held by GM’s Chair and CEO, Mary T. Barra,</w:t>
      </w:r>
    </w:p>
    <w:p>
      <w:pPr>
        <w:spacing w:after="0" w:line="1" w:lineRule="exact"/>
        <w:rPr>
          <w:sz w:val="20"/>
          <w:szCs w:val="20"/>
          <w:color w:val="auto"/>
        </w:rPr>
      </w:pPr>
    </w:p>
    <w:p>
      <w:pPr>
        <w:ind w:left="6660"/>
        <w:spacing w:after="0"/>
        <w:rPr>
          <w:sz w:val="20"/>
          <w:szCs w:val="20"/>
          <w:color w:val="auto"/>
        </w:rPr>
      </w:pPr>
      <w:r>
        <w:rPr>
          <w:rFonts w:ascii="Arial" w:cs="Arial" w:eastAsia="Arial" w:hAnsi="Arial"/>
          <w:sz w:val="16"/>
          <w:szCs w:val="16"/>
          <w:color w:val="3D3935"/>
        </w:rPr>
        <w:t>as of March 31, 2025</w:t>
      </w:r>
    </w:p>
    <w:p>
      <w:pPr>
        <w:spacing w:after="0" w:line="388"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Policy on Recoupment of Incentive Compensation</w:t>
      </w:r>
    </w:p>
    <w:p>
      <w:pPr>
        <w:spacing w:after="0" w:line="114"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3D3935"/>
        </w:rPr>
        <w:t xml:space="preserve">Under our Policy on Recoupment of Incentive Compensation (available on our website at </w:t>
      </w:r>
      <w:r>
        <w:rPr>
          <w:rFonts w:ascii="Arial" w:cs="Arial" w:eastAsia="Arial" w:hAnsi="Arial"/>
          <w:sz w:val="16"/>
          <w:szCs w:val="16"/>
          <w:u w:val="single" w:color="auto"/>
          <w:color w:val="0072CE"/>
        </w:rPr>
        <w:t>investor.gm.com/governanceandsustainability</w:t>
      </w:r>
      <w:r>
        <w:rPr>
          <w:rFonts w:ascii="Arial" w:cs="Arial" w:eastAsia="Arial" w:hAnsi="Arial"/>
          <w:sz w:val="16"/>
          <w:szCs w:val="16"/>
          <w:color w:val="0072CE"/>
        </w:rPr>
        <w:t xml:space="preserve"> </w:t>
      </w:r>
      <w:r>
        <w:rPr>
          <w:rFonts w:ascii="Arial" w:cs="Arial" w:eastAsia="Arial" w:hAnsi="Arial"/>
          <w:sz w:val="16"/>
          <w:szCs w:val="16"/>
          <w:color w:val="3D3935"/>
        </w:rPr>
        <w:t>), the Compensation Committee is empowered to recoup (“clawback”)</w:t>
      </w:r>
      <w:r>
        <w:rPr>
          <w:rFonts w:ascii="Arial" w:cs="Arial" w:eastAsia="Arial" w:hAnsi="Arial"/>
          <w:sz w:val="16"/>
          <w:szCs w:val="16"/>
          <w:color w:val="0072CE"/>
        </w:rPr>
        <w:t xml:space="preserve"> </w:t>
      </w:r>
      <w:r>
        <w:rPr>
          <w:rFonts w:ascii="Arial" w:cs="Arial" w:eastAsia="Arial" w:hAnsi="Arial"/>
          <w:sz w:val="16"/>
          <w:szCs w:val="16"/>
          <w:color w:val="3D3935"/>
        </w:rPr>
        <w:t>compensation paid to executive officers and other executives under its purview. In the event of employee misconduct that causes specified financial or reputational damage, a materially inaccurate performance calculation, or an accounting restatement, the Compensation Committee may seek to clawback paid incentive compensation. The Compensation Committee may also cancel outstanding equity-based awards granted to any covered employee if that employee engages in conduct detrimental to the Company. This policy was expanded in 2020 to cover additional executives and scenarios of misconduct beyond only an accounting restatement. The policy was further updated in 2023 to expand the definition of an accounting restatement to cover material non-compliance with any financial reporting requirement in accordance with securities laws and NYSE listing standards.</w:t>
      </w:r>
    </w:p>
    <w:p>
      <w:pPr>
        <w:spacing w:after="0" w:line="26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460" w:type="dxa"/>
            <w:vAlign w:val="bottom"/>
          </w:tcPr>
          <w:p>
            <w:pPr>
              <w:ind w:left="180"/>
              <w:spacing w:after="0"/>
              <w:rPr>
                <w:sz w:val="20"/>
                <w:szCs w:val="20"/>
                <w:color w:val="auto"/>
              </w:rPr>
            </w:pPr>
            <w:r>
              <w:rPr>
                <w:rFonts w:ascii="Arial" w:cs="Arial" w:eastAsia="Arial" w:hAnsi="Arial"/>
                <w:sz w:val="14"/>
                <w:szCs w:val="14"/>
                <w:b w:val="1"/>
                <w:bCs w:val="1"/>
                <w:color w:val="3D3935"/>
              </w:rPr>
              <w:t>Cancellation and Clawback Due</w:t>
            </w:r>
          </w:p>
        </w:tc>
        <w:tc>
          <w:tcPr>
            <w:tcW w:w="2280" w:type="dxa"/>
            <w:vAlign w:val="bottom"/>
          </w:tcPr>
          <w:p>
            <w:pPr>
              <w:spacing w:after="0"/>
              <w:rPr>
                <w:sz w:val="14"/>
                <w:szCs w:val="14"/>
                <w:color w:val="auto"/>
              </w:rPr>
            </w:pPr>
          </w:p>
        </w:tc>
      </w:tr>
      <w:tr>
        <w:trPr>
          <w:trHeight w:val="176"/>
        </w:trPr>
        <w:tc>
          <w:tcPr>
            <w:tcW w:w="17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460" w:type="dxa"/>
            <w:vAlign w:val="bottom"/>
          </w:tcPr>
          <w:p>
            <w:pPr>
              <w:ind w:left="180"/>
              <w:spacing w:after="0"/>
              <w:rPr>
                <w:sz w:val="20"/>
                <w:szCs w:val="20"/>
                <w:color w:val="auto"/>
              </w:rPr>
            </w:pPr>
            <w:r>
              <w:rPr>
                <w:rFonts w:ascii="Arial" w:cs="Arial" w:eastAsia="Arial" w:hAnsi="Arial"/>
                <w:sz w:val="14"/>
                <w:szCs w:val="14"/>
                <w:b w:val="1"/>
                <w:bCs w:val="1"/>
                <w:color w:val="3D3935"/>
              </w:rPr>
              <w:t>to Violation of Non-Compete</w:t>
            </w:r>
          </w:p>
        </w:tc>
        <w:tc>
          <w:tcPr>
            <w:tcW w:w="2280" w:type="dxa"/>
            <w:vAlign w:val="bottom"/>
          </w:tcPr>
          <w:p>
            <w:pPr>
              <w:ind w:left="120"/>
              <w:spacing w:after="0"/>
              <w:rPr>
                <w:sz w:val="20"/>
                <w:szCs w:val="20"/>
                <w:color w:val="auto"/>
              </w:rPr>
            </w:pPr>
            <w:r>
              <w:rPr>
                <w:rFonts w:ascii="Arial" w:cs="Arial" w:eastAsia="Arial" w:hAnsi="Arial"/>
                <w:sz w:val="14"/>
                <w:szCs w:val="14"/>
                <w:b w:val="1"/>
                <w:bCs w:val="1"/>
                <w:color w:val="3D3935"/>
              </w:rPr>
              <w:t>Cancellation of Unvested and</w:t>
            </w:r>
          </w:p>
        </w:tc>
      </w:tr>
      <w:tr>
        <w:trPr>
          <w:trHeight w:val="196"/>
        </w:trPr>
        <w:tc>
          <w:tcPr>
            <w:tcW w:w="1720" w:type="dxa"/>
            <w:vAlign w:val="bottom"/>
          </w:tcPr>
          <w:p>
            <w:pPr>
              <w:spacing w:after="0"/>
              <w:rPr>
                <w:sz w:val="17"/>
                <w:szCs w:val="17"/>
                <w:color w:val="auto"/>
              </w:rPr>
            </w:pPr>
          </w:p>
        </w:tc>
        <w:tc>
          <w:tcPr>
            <w:tcW w:w="2380" w:type="dxa"/>
            <w:vAlign w:val="bottom"/>
          </w:tcPr>
          <w:p>
            <w:pPr>
              <w:ind w:left="180"/>
              <w:spacing w:after="0"/>
              <w:rPr>
                <w:sz w:val="20"/>
                <w:szCs w:val="20"/>
                <w:color w:val="auto"/>
              </w:rPr>
            </w:pPr>
            <w:r>
              <w:rPr>
                <w:rFonts w:ascii="Arial" w:cs="Arial" w:eastAsia="Arial" w:hAnsi="Arial"/>
                <w:sz w:val="14"/>
                <w:szCs w:val="14"/>
                <w:b w:val="1"/>
                <w:bCs w:val="1"/>
                <w:color w:val="3D3935"/>
              </w:rPr>
              <w:t>Clawback Policy</w:t>
            </w:r>
          </w:p>
        </w:tc>
        <w:tc>
          <w:tcPr>
            <w:tcW w:w="2460" w:type="dxa"/>
            <w:vAlign w:val="bottom"/>
          </w:tcPr>
          <w:p>
            <w:pPr>
              <w:ind w:left="180"/>
              <w:spacing w:after="0"/>
              <w:rPr>
                <w:sz w:val="20"/>
                <w:szCs w:val="20"/>
                <w:color w:val="auto"/>
              </w:rPr>
            </w:pPr>
            <w:r>
              <w:rPr>
                <w:rFonts w:ascii="Arial" w:cs="Arial" w:eastAsia="Arial" w:hAnsi="Arial"/>
                <w:sz w:val="14"/>
                <w:szCs w:val="14"/>
                <w:b w:val="1"/>
                <w:bCs w:val="1"/>
                <w:color w:val="3D3935"/>
              </w:rPr>
              <w:t>and Non-Solicitation Terms</w:t>
            </w:r>
          </w:p>
        </w:tc>
        <w:tc>
          <w:tcPr>
            <w:tcW w:w="2280" w:type="dxa"/>
            <w:vAlign w:val="bottom"/>
          </w:tcPr>
          <w:p>
            <w:pPr>
              <w:ind w:left="120"/>
              <w:spacing w:after="0"/>
              <w:rPr>
                <w:sz w:val="20"/>
                <w:szCs w:val="20"/>
                <w:color w:val="auto"/>
              </w:rPr>
            </w:pPr>
            <w:r>
              <w:rPr>
                <w:rFonts w:ascii="Arial" w:cs="Arial" w:eastAsia="Arial" w:hAnsi="Arial"/>
                <w:sz w:val="14"/>
                <w:szCs w:val="14"/>
                <w:b w:val="1"/>
                <w:bCs w:val="1"/>
                <w:color w:val="3D3935"/>
              </w:rPr>
              <w:t>Outstanding Awards</w:t>
            </w:r>
          </w:p>
        </w:tc>
      </w:tr>
      <w:tr>
        <w:trPr>
          <w:trHeight w:val="312"/>
        </w:trPr>
        <w:tc>
          <w:tcPr>
            <w:tcW w:w="1720" w:type="dxa"/>
            <w:vAlign w:val="bottom"/>
          </w:tcPr>
          <w:p>
            <w:pPr>
              <w:spacing w:after="0"/>
              <w:rPr>
                <w:sz w:val="20"/>
                <w:szCs w:val="20"/>
                <w:color w:val="auto"/>
              </w:rPr>
            </w:pPr>
            <w:r>
              <w:rPr>
                <w:rFonts w:ascii="Arial" w:cs="Arial" w:eastAsia="Arial" w:hAnsi="Arial"/>
                <w:sz w:val="16"/>
                <w:szCs w:val="16"/>
                <w:b w:val="1"/>
                <w:bCs w:val="1"/>
                <w:color w:val="3D3935"/>
              </w:rPr>
              <w:t>Covered Population</w:t>
            </w:r>
          </w:p>
        </w:tc>
        <w:tc>
          <w:tcPr>
            <w:tcW w:w="2380" w:type="dxa"/>
            <w:vAlign w:val="bottom"/>
          </w:tcPr>
          <w:p>
            <w:pPr>
              <w:ind w:left="180"/>
              <w:spacing w:after="0"/>
              <w:rPr>
                <w:sz w:val="20"/>
                <w:szCs w:val="20"/>
                <w:color w:val="auto"/>
              </w:rPr>
            </w:pPr>
            <w:r>
              <w:rPr>
                <w:rFonts w:ascii="Arial" w:cs="Arial" w:eastAsia="Arial" w:hAnsi="Arial"/>
                <w:sz w:val="16"/>
                <w:szCs w:val="16"/>
                <w:color w:val="3D3935"/>
              </w:rPr>
              <w:t>Executive officers and other</w:t>
            </w:r>
          </w:p>
        </w:tc>
        <w:tc>
          <w:tcPr>
            <w:tcW w:w="2460" w:type="dxa"/>
            <w:vAlign w:val="bottom"/>
          </w:tcPr>
          <w:p>
            <w:pPr>
              <w:ind w:left="180"/>
              <w:spacing w:after="0"/>
              <w:rPr>
                <w:sz w:val="20"/>
                <w:szCs w:val="20"/>
                <w:color w:val="auto"/>
              </w:rPr>
            </w:pPr>
            <w:r>
              <w:rPr>
                <w:rFonts w:ascii="Arial" w:cs="Arial" w:eastAsia="Arial" w:hAnsi="Arial"/>
                <w:sz w:val="16"/>
                <w:szCs w:val="16"/>
                <w:color w:val="3D3935"/>
              </w:rPr>
              <w:t>Approximately</w:t>
            </w:r>
          </w:p>
        </w:tc>
        <w:tc>
          <w:tcPr>
            <w:tcW w:w="2280" w:type="dxa"/>
            <w:vAlign w:val="bottom"/>
          </w:tcPr>
          <w:p>
            <w:pPr>
              <w:ind w:left="120"/>
              <w:spacing w:after="0"/>
              <w:rPr>
                <w:sz w:val="20"/>
                <w:szCs w:val="20"/>
                <w:color w:val="auto"/>
              </w:rPr>
            </w:pPr>
            <w:r>
              <w:rPr>
                <w:rFonts w:ascii="Arial" w:cs="Arial" w:eastAsia="Arial" w:hAnsi="Arial"/>
                <w:sz w:val="16"/>
                <w:szCs w:val="16"/>
                <w:color w:val="3D3935"/>
              </w:rPr>
              <w:t>All employees that receive</w:t>
            </w:r>
          </w:p>
        </w:tc>
      </w:tr>
      <w:tr>
        <w:trPr>
          <w:trHeight w:val="215"/>
        </w:trPr>
        <w:tc>
          <w:tcPr>
            <w:tcW w:w="1720" w:type="dxa"/>
            <w:vAlign w:val="bottom"/>
          </w:tcPr>
          <w:p>
            <w:pPr>
              <w:spacing w:after="0"/>
              <w:rPr>
                <w:sz w:val="18"/>
                <w:szCs w:val="18"/>
                <w:color w:val="auto"/>
              </w:rPr>
            </w:pPr>
          </w:p>
        </w:tc>
        <w:tc>
          <w:tcPr>
            <w:tcW w:w="2380" w:type="dxa"/>
            <w:vAlign w:val="bottom"/>
          </w:tcPr>
          <w:p>
            <w:pPr>
              <w:ind w:left="180"/>
              <w:spacing w:after="0"/>
              <w:rPr>
                <w:sz w:val="20"/>
                <w:szCs w:val="20"/>
                <w:color w:val="auto"/>
              </w:rPr>
            </w:pPr>
            <w:r>
              <w:rPr>
                <w:rFonts w:ascii="Arial" w:cs="Arial" w:eastAsia="Arial" w:hAnsi="Arial"/>
                <w:sz w:val="16"/>
                <w:szCs w:val="16"/>
                <w:color w:val="3D3935"/>
              </w:rPr>
              <w:t>executives under the</w:t>
            </w:r>
          </w:p>
        </w:tc>
        <w:tc>
          <w:tcPr>
            <w:tcW w:w="2460" w:type="dxa"/>
            <w:vAlign w:val="bottom"/>
          </w:tcPr>
          <w:p>
            <w:pPr>
              <w:ind w:left="180"/>
              <w:spacing w:after="0"/>
              <w:rPr>
                <w:sz w:val="20"/>
                <w:szCs w:val="20"/>
                <w:color w:val="auto"/>
              </w:rPr>
            </w:pPr>
            <w:r>
              <w:rPr>
                <w:rFonts w:ascii="Arial" w:cs="Arial" w:eastAsia="Arial" w:hAnsi="Arial"/>
                <w:sz w:val="16"/>
                <w:szCs w:val="16"/>
                <w:color w:val="3D3935"/>
              </w:rPr>
              <w:t>250 senior leaders</w:t>
            </w:r>
          </w:p>
        </w:tc>
        <w:tc>
          <w:tcPr>
            <w:tcW w:w="2280" w:type="dxa"/>
            <w:vAlign w:val="bottom"/>
          </w:tcPr>
          <w:p>
            <w:pPr>
              <w:ind w:left="120"/>
              <w:spacing w:after="0"/>
              <w:rPr>
                <w:sz w:val="20"/>
                <w:szCs w:val="20"/>
                <w:color w:val="auto"/>
              </w:rPr>
            </w:pPr>
            <w:r>
              <w:rPr>
                <w:rFonts w:ascii="Arial" w:cs="Arial" w:eastAsia="Arial" w:hAnsi="Arial"/>
                <w:sz w:val="16"/>
                <w:szCs w:val="16"/>
                <w:color w:val="3D3935"/>
              </w:rPr>
              <w:t>awards through STIP or LTIP</w:t>
            </w:r>
          </w:p>
        </w:tc>
      </w:tr>
      <w:tr>
        <w:trPr>
          <w:trHeight w:val="216"/>
        </w:trPr>
        <w:tc>
          <w:tcPr>
            <w:tcW w:w="1720" w:type="dxa"/>
            <w:vAlign w:val="bottom"/>
          </w:tcPr>
          <w:p>
            <w:pPr>
              <w:spacing w:after="0"/>
              <w:rPr>
                <w:sz w:val="18"/>
                <w:szCs w:val="18"/>
                <w:color w:val="auto"/>
              </w:rPr>
            </w:pPr>
          </w:p>
        </w:tc>
        <w:tc>
          <w:tcPr>
            <w:tcW w:w="2380" w:type="dxa"/>
            <w:vAlign w:val="bottom"/>
          </w:tcPr>
          <w:p>
            <w:pPr>
              <w:ind w:left="180"/>
              <w:spacing w:after="0"/>
              <w:rPr>
                <w:sz w:val="20"/>
                <w:szCs w:val="20"/>
                <w:color w:val="auto"/>
              </w:rPr>
            </w:pPr>
            <w:r>
              <w:rPr>
                <w:rFonts w:ascii="Arial" w:cs="Arial" w:eastAsia="Arial" w:hAnsi="Arial"/>
                <w:sz w:val="16"/>
                <w:szCs w:val="16"/>
                <w:color w:val="3D3935"/>
              </w:rPr>
              <w:t>purview of the</w:t>
            </w:r>
          </w:p>
        </w:tc>
        <w:tc>
          <w:tcPr>
            <w:tcW w:w="24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380" w:type="dxa"/>
            <w:vAlign w:val="bottom"/>
          </w:tcPr>
          <w:p>
            <w:pPr>
              <w:ind w:left="180"/>
              <w:spacing w:after="0"/>
              <w:rPr>
                <w:sz w:val="20"/>
                <w:szCs w:val="20"/>
                <w:color w:val="auto"/>
              </w:rPr>
            </w:pPr>
            <w:r>
              <w:rPr>
                <w:rFonts w:ascii="Arial" w:cs="Arial" w:eastAsia="Arial" w:hAnsi="Arial"/>
                <w:sz w:val="16"/>
                <w:szCs w:val="16"/>
                <w:color w:val="3D3935"/>
              </w:rPr>
              <w:t>Compensation Committee</w:t>
            </w:r>
          </w:p>
        </w:tc>
        <w:tc>
          <w:tcPr>
            <w:tcW w:w="24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366"/>
        </w:trPr>
        <w:tc>
          <w:tcPr>
            <w:tcW w:w="1720" w:type="dxa"/>
            <w:vAlign w:val="bottom"/>
          </w:tcPr>
          <w:p>
            <w:pPr>
              <w:spacing w:after="0"/>
              <w:rPr>
                <w:sz w:val="20"/>
                <w:szCs w:val="20"/>
                <w:color w:val="auto"/>
              </w:rPr>
            </w:pPr>
            <w:r>
              <w:rPr>
                <w:rFonts w:ascii="Arial" w:cs="Arial" w:eastAsia="Arial" w:hAnsi="Arial"/>
                <w:sz w:val="16"/>
                <w:szCs w:val="16"/>
                <w:b w:val="1"/>
                <w:bCs w:val="1"/>
                <w:color w:val="3D3935"/>
              </w:rPr>
              <w:t>Event Applicable</w:t>
            </w:r>
          </w:p>
        </w:tc>
        <w:tc>
          <w:tcPr>
            <w:tcW w:w="2380" w:type="dxa"/>
            <w:vAlign w:val="bottom"/>
          </w:tcPr>
          <w:p>
            <w:pPr>
              <w:ind w:left="180"/>
              <w:spacing w:after="0"/>
              <w:rPr>
                <w:sz w:val="20"/>
                <w:szCs w:val="20"/>
                <w:color w:val="auto"/>
              </w:rPr>
            </w:pPr>
            <w:r>
              <w:rPr>
                <w:rFonts w:ascii="Arial" w:cs="Arial" w:eastAsia="Arial" w:hAnsi="Arial"/>
                <w:sz w:val="16"/>
                <w:szCs w:val="16"/>
                <w:color w:val="3D3935"/>
              </w:rPr>
              <w:t>Following employee</w:t>
            </w:r>
          </w:p>
        </w:tc>
        <w:tc>
          <w:tcPr>
            <w:tcW w:w="2460" w:type="dxa"/>
            <w:vAlign w:val="bottom"/>
          </w:tcPr>
          <w:p>
            <w:pPr>
              <w:ind w:left="180"/>
              <w:spacing w:after="0"/>
              <w:rPr>
                <w:sz w:val="20"/>
                <w:szCs w:val="20"/>
                <w:color w:val="auto"/>
              </w:rPr>
            </w:pPr>
            <w:r>
              <w:rPr>
                <w:rFonts w:ascii="Arial" w:cs="Arial" w:eastAsia="Arial" w:hAnsi="Arial"/>
                <w:sz w:val="16"/>
                <w:szCs w:val="16"/>
                <w:color w:val="3D3935"/>
              </w:rPr>
              <w:t>Employee violates</w:t>
            </w:r>
          </w:p>
        </w:tc>
        <w:tc>
          <w:tcPr>
            <w:tcW w:w="2280" w:type="dxa"/>
            <w:vAlign w:val="bottom"/>
          </w:tcPr>
          <w:p>
            <w:pPr>
              <w:ind w:left="120"/>
              <w:spacing w:after="0"/>
              <w:rPr>
                <w:sz w:val="20"/>
                <w:szCs w:val="20"/>
                <w:color w:val="auto"/>
              </w:rPr>
            </w:pPr>
            <w:r>
              <w:rPr>
                <w:rFonts w:ascii="Arial" w:cs="Arial" w:eastAsia="Arial" w:hAnsi="Arial"/>
                <w:sz w:val="16"/>
                <w:szCs w:val="16"/>
                <w:color w:val="3D3935"/>
                <w:w w:val="99"/>
              </w:rPr>
              <w:t>Employee engages in conduct</w:t>
            </w:r>
          </w:p>
        </w:tc>
      </w:tr>
      <w:tr>
        <w:trPr>
          <w:trHeight w:val="215"/>
        </w:trPr>
        <w:tc>
          <w:tcPr>
            <w:tcW w:w="1720" w:type="dxa"/>
            <w:vAlign w:val="bottom"/>
          </w:tcPr>
          <w:p>
            <w:pPr>
              <w:spacing w:after="0"/>
              <w:rPr>
                <w:sz w:val="18"/>
                <w:szCs w:val="18"/>
                <w:color w:val="auto"/>
              </w:rPr>
            </w:pPr>
          </w:p>
        </w:tc>
        <w:tc>
          <w:tcPr>
            <w:tcW w:w="2380" w:type="dxa"/>
            <w:vAlign w:val="bottom"/>
          </w:tcPr>
          <w:p>
            <w:pPr>
              <w:ind w:left="180"/>
              <w:spacing w:after="0"/>
              <w:rPr>
                <w:sz w:val="20"/>
                <w:szCs w:val="20"/>
                <w:color w:val="auto"/>
              </w:rPr>
            </w:pPr>
            <w:r>
              <w:rPr>
                <w:rFonts w:ascii="Arial" w:cs="Arial" w:eastAsia="Arial" w:hAnsi="Arial"/>
                <w:sz w:val="16"/>
                <w:szCs w:val="16"/>
                <w:color w:val="3D3935"/>
              </w:rPr>
              <w:t>misconduct that causes</w:t>
            </w:r>
          </w:p>
        </w:tc>
        <w:tc>
          <w:tcPr>
            <w:tcW w:w="2460" w:type="dxa"/>
            <w:vAlign w:val="bottom"/>
          </w:tcPr>
          <w:p>
            <w:pPr>
              <w:ind w:left="180"/>
              <w:spacing w:after="0"/>
              <w:rPr>
                <w:sz w:val="20"/>
                <w:szCs w:val="20"/>
                <w:color w:val="auto"/>
              </w:rPr>
            </w:pPr>
            <w:r>
              <w:rPr>
                <w:rFonts w:ascii="Arial" w:cs="Arial" w:eastAsia="Arial" w:hAnsi="Arial"/>
                <w:sz w:val="16"/>
                <w:szCs w:val="16"/>
                <w:color w:val="3D3935"/>
              </w:rPr>
              <w:t>non-compete or</w:t>
            </w:r>
          </w:p>
        </w:tc>
        <w:tc>
          <w:tcPr>
            <w:tcW w:w="2280" w:type="dxa"/>
            <w:vAlign w:val="bottom"/>
          </w:tcPr>
          <w:p>
            <w:pPr>
              <w:ind w:left="120"/>
              <w:spacing w:after="0"/>
              <w:rPr>
                <w:sz w:val="20"/>
                <w:szCs w:val="20"/>
                <w:color w:val="auto"/>
              </w:rPr>
            </w:pPr>
            <w:r>
              <w:rPr>
                <w:rFonts w:ascii="Arial" w:cs="Arial" w:eastAsia="Arial" w:hAnsi="Arial"/>
                <w:sz w:val="16"/>
                <w:szCs w:val="16"/>
                <w:color w:val="3D3935"/>
              </w:rPr>
              <w:t>deemed detrimental to</w:t>
            </w:r>
          </w:p>
        </w:tc>
      </w:tr>
      <w:tr>
        <w:trPr>
          <w:trHeight w:val="216"/>
        </w:trPr>
        <w:tc>
          <w:tcPr>
            <w:tcW w:w="1720" w:type="dxa"/>
            <w:vAlign w:val="bottom"/>
          </w:tcPr>
          <w:p>
            <w:pPr>
              <w:spacing w:after="0"/>
              <w:rPr>
                <w:sz w:val="18"/>
                <w:szCs w:val="18"/>
                <w:color w:val="auto"/>
              </w:rPr>
            </w:pPr>
          </w:p>
        </w:tc>
        <w:tc>
          <w:tcPr>
            <w:tcW w:w="2380" w:type="dxa"/>
            <w:vAlign w:val="bottom"/>
          </w:tcPr>
          <w:p>
            <w:pPr>
              <w:ind w:left="180"/>
              <w:spacing w:after="0"/>
              <w:rPr>
                <w:sz w:val="20"/>
                <w:szCs w:val="20"/>
                <w:color w:val="auto"/>
              </w:rPr>
            </w:pPr>
            <w:r>
              <w:rPr>
                <w:rFonts w:ascii="Arial" w:cs="Arial" w:eastAsia="Arial" w:hAnsi="Arial"/>
                <w:sz w:val="16"/>
                <w:szCs w:val="16"/>
                <w:color w:val="3D3935"/>
              </w:rPr>
              <w:t>specified financial or</w:t>
            </w:r>
          </w:p>
        </w:tc>
        <w:tc>
          <w:tcPr>
            <w:tcW w:w="2460" w:type="dxa"/>
            <w:vAlign w:val="bottom"/>
          </w:tcPr>
          <w:p>
            <w:pPr>
              <w:ind w:left="180"/>
              <w:spacing w:after="0"/>
              <w:rPr>
                <w:sz w:val="20"/>
                <w:szCs w:val="20"/>
                <w:color w:val="auto"/>
              </w:rPr>
            </w:pPr>
            <w:r>
              <w:rPr>
                <w:rFonts w:ascii="Arial" w:cs="Arial" w:eastAsia="Arial" w:hAnsi="Arial"/>
                <w:sz w:val="16"/>
                <w:szCs w:val="16"/>
                <w:color w:val="3D3935"/>
              </w:rPr>
              <w:t>non-solicitation terms</w:t>
            </w:r>
          </w:p>
        </w:tc>
        <w:tc>
          <w:tcPr>
            <w:tcW w:w="2280" w:type="dxa"/>
            <w:vAlign w:val="bottom"/>
          </w:tcPr>
          <w:p>
            <w:pPr>
              <w:ind w:left="120"/>
              <w:spacing w:after="0"/>
              <w:rPr>
                <w:sz w:val="20"/>
                <w:szCs w:val="20"/>
                <w:color w:val="auto"/>
              </w:rPr>
            </w:pPr>
            <w:r>
              <w:rPr>
                <w:rFonts w:ascii="Arial" w:cs="Arial" w:eastAsia="Arial" w:hAnsi="Arial"/>
                <w:sz w:val="16"/>
                <w:szCs w:val="16"/>
                <w:color w:val="3D3935"/>
              </w:rPr>
              <w:t>the Company</w:t>
            </w:r>
          </w:p>
        </w:tc>
      </w:tr>
      <w:tr>
        <w:trPr>
          <w:trHeight w:val="216"/>
        </w:trPr>
        <w:tc>
          <w:tcPr>
            <w:tcW w:w="1720" w:type="dxa"/>
            <w:vAlign w:val="bottom"/>
          </w:tcPr>
          <w:p>
            <w:pPr>
              <w:spacing w:after="0"/>
              <w:rPr>
                <w:sz w:val="18"/>
                <w:szCs w:val="18"/>
                <w:color w:val="auto"/>
              </w:rPr>
            </w:pPr>
          </w:p>
        </w:tc>
        <w:tc>
          <w:tcPr>
            <w:tcW w:w="2380" w:type="dxa"/>
            <w:vAlign w:val="bottom"/>
          </w:tcPr>
          <w:p>
            <w:pPr>
              <w:ind w:left="180"/>
              <w:spacing w:after="0"/>
              <w:rPr>
                <w:sz w:val="20"/>
                <w:szCs w:val="20"/>
                <w:color w:val="auto"/>
              </w:rPr>
            </w:pPr>
            <w:r>
              <w:rPr>
                <w:rFonts w:ascii="Arial" w:cs="Arial" w:eastAsia="Arial" w:hAnsi="Arial"/>
                <w:sz w:val="16"/>
                <w:szCs w:val="16"/>
                <w:color w:val="3D3935"/>
              </w:rPr>
              <w:t>reputational damage, a</w:t>
            </w:r>
          </w:p>
        </w:tc>
        <w:tc>
          <w:tcPr>
            <w:tcW w:w="24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380" w:type="dxa"/>
            <w:vAlign w:val="bottom"/>
          </w:tcPr>
          <w:p>
            <w:pPr>
              <w:ind w:left="180"/>
              <w:spacing w:after="0"/>
              <w:rPr>
                <w:sz w:val="20"/>
                <w:szCs w:val="20"/>
                <w:color w:val="auto"/>
              </w:rPr>
            </w:pPr>
            <w:r>
              <w:rPr>
                <w:rFonts w:ascii="Arial" w:cs="Arial" w:eastAsia="Arial" w:hAnsi="Arial"/>
                <w:sz w:val="16"/>
                <w:szCs w:val="16"/>
                <w:color w:val="3D3935"/>
              </w:rPr>
              <w:t>materially inaccurate</w:t>
            </w:r>
          </w:p>
        </w:tc>
        <w:tc>
          <w:tcPr>
            <w:tcW w:w="24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380" w:type="dxa"/>
            <w:vAlign w:val="bottom"/>
          </w:tcPr>
          <w:p>
            <w:pPr>
              <w:ind w:left="180"/>
              <w:spacing w:after="0"/>
              <w:rPr>
                <w:sz w:val="20"/>
                <w:szCs w:val="20"/>
                <w:color w:val="auto"/>
              </w:rPr>
            </w:pPr>
            <w:r>
              <w:rPr>
                <w:rFonts w:ascii="Arial" w:cs="Arial" w:eastAsia="Arial" w:hAnsi="Arial"/>
                <w:sz w:val="16"/>
                <w:szCs w:val="16"/>
                <w:color w:val="3D3935"/>
              </w:rPr>
              <w:t>performance calculation, or</w:t>
            </w:r>
          </w:p>
        </w:tc>
        <w:tc>
          <w:tcPr>
            <w:tcW w:w="2460" w:type="dxa"/>
            <w:vAlign w:val="bottom"/>
          </w:tcPr>
          <w:p>
            <w:pPr>
              <w:spacing w:after="0"/>
              <w:rPr>
                <w:sz w:val="18"/>
                <w:szCs w:val="18"/>
                <w:color w:val="auto"/>
              </w:rPr>
            </w:pPr>
          </w:p>
        </w:tc>
        <w:tc>
          <w:tcPr>
            <w:tcW w:w="2280" w:type="dxa"/>
            <w:vAlign w:val="bottom"/>
          </w:tcPr>
          <w:p>
            <w:pPr>
              <w:spacing w:after="0"/>
              <w:rPr>
                <w:sz w:val="18"/>
                <w:szCs w:val="18"/>
                <w:color w:val="auto"/>
              </w:rPr>
            </w:pPr>
          </w:p>
        </w:tc>
      </w:tr>
    </w:tbl>
    <w:p>
      <w:pPr>
        <w:sectPr>
          <w:pgSz w:w="11900" w:h="16838" w:orient="portrait"/>
          <w:cols w:equalWidth="0" w:num="1">
            <w:col w:w="9240"/>
          </w:cols>
          <w:pgMar w:left="1400" w:top="51" w:right="1259" w:bottom="0" w:gutter="0" w:footer="0" w:header="0"/>
        </w:sectPr>
      </w:pPr>
    </w:p>
    <w:bookmarkStart w:id="61" w:name="page62"/>
    <w:bookmarkEnd w:id="61"/>
    <w:p>
      <w:pPr>
        <w:ind w:left="1960"/>
        <w:spacing w:after="0"/>
        <w:rPr>
          <w:sz w:val="20"/>
          <w:szCs w:val="20"/>
          <w:color w:val="auto"/>
        </w:rPr>
      </w:pPr>
      <w:r>
        <w:rPr>
          <w:rFonts w:ascii="Arial" w:cs="Arial" w:eastAsia="Arial" w:hAnsi="Arial"/>
          <w:sz w:val="16"/>
          <w:szCs w:val="16"/>
          <w:color w:val="3D3935"/>
        </w:rPr>
        <w:t>an accounting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-52070</wp:posOffset>
            </wp:positionV>
            <wp:extent cx="6810375" cy="22307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10375" cy="2230755"/>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6"/>
          <w:szCs w:val="16"/>
          <w:color w:val="3D3935"/>
        </w:rPr>
        <w:t>as defined by the policy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20" w:type="dxa"/>
            <w:vAlign w:val="bottom"/>
            <w:tcBorders>
              <w:bottom w:val="single" w:sz="8" w:color="0072CE"/>
            </w:tcBorders>
          </w:tcPr>
          <w:p>
            <w:pPr>
              <w:ind w:left="60"/>
              <w:spacing w:after="0"/>
              <w:rPr>
                <w:sz w:val="20"/>
                <w:szCs w:val="20"/>
                <w:color w:val="auto"/>
              </w:rPr>
            </w:pPr>
            <w:r>
              <w:rPr>
                <w:rFonts w:ascii="Arial" w:cs="Arial" w:eastAsia="Arial" w:hAnsi="Arial"/>
                <w:sz w:val="16"/>
                <w:szCs w:val="16"/>
                <w:b w:val="1"/>
                <w:bCs w:val="1"/>
                <w:color w:val="3D3935"/>
              </w:rPr>
              <w:t>Awards Subject to</w:t>
            </w:r>
          </w:p>
        </w:tc>
        <w:tc>
          <w:tcPr>
            <w:tcW w:w="2300" w:type="dxa"/>
            <w:vAlign w:val="bottom"/>
            <w:tcBorders>
              <w:bottom w:val="single" w:sz="8" w:color="0072CE"/>
            </w:tcBorders>
          </w:tcPr>
          <w:p>
            <w:pPr>
              <w:ind w:left="240"/>
              <w:spacing w:after="0"/>
              <w:rPr>
                <w:sz w:val="20"/>
                <w:szCs w:val="20"/>
                <w:color w:val="auto"/>
              </w:rPr>
            </w:pPr>
            <w:r>
              <w:rPr>
                <w:rFonts w:ascii="Arial" w:cs="Arial" w:eastAsia="Arial" w:hAnsi="Arial"/>
                <w:sz w:val="16"/>
                <w:szCs w:val="16"/>
                <w:color w:val="3D3935"/>
              </w:rPr>
              <w:t>STIP, PSUs, RSUs, and</w:t>
            </w:r>
          </w:p>
        </w:tc>
        <w:tc>
          <w:tcPr>
            <w:tcW w:w="2160" w:type="dxa"/>
            <w:vAlign w:val="bottom"/>
            <w:tcBorders>
              <w:bottom w:val="single" w:sz="8" w:color="0072CE"/>
            </w:tcBorders>
          </w:tcPr>
          <w:p>
            <w:pPr>
              <w:ind w:left="320"/>
              <w:spacing w:after="0"/>
              <w:rPr>
                <w:sz w:val="20"/>
                <w:szCs w:val="20"/>
                <w:color w:val="auto"/>
              </w:rPr>
            </w:pPr>
            <w:r>
              <w:rPr>
                <w:rFonts w:ascii="Arial" w:cs="Arial" w:eastAsia="Arial" w:hAnsi="Arial"/>
                <w:sz w:val="16"/>
                <w:szCs w:val="16"/>
                <w:color w:val="3D3935"/>
              </w:rPr>
              <w:t>PSUs, RSUs, and</w:t>
            </w:r>
          </w:p>
        </w:tc>
        <w:tc>
          <w:tcPr>
            <w:tcW w:w="2900" w:type="dxa"/>
            <w:vAlign w:val="bottom"/>
            <w:tcBorders>
              <w:bottom w:val="single" w:sz="8" w:color="0072CE"/>
            </w:tcBorders>
          </w:tcPr>
          <w:p>
            <w:pPr>
              <w:ind w:left="560"/>
              <w:spacing w:after="0"/>
              <w:rPr>
                <w:sz w:val="20"/>
                <w:szCs w:val="20"/>
                <w:color w:val="auto"/>
              </w:rPr>
            </w:pPr>
            <w:r>
              <w:rPr>
                <w:rFonts w:ascii="Arial" w:cs="Arial" w:eastAsia="Arial" w:hAnsi="Arial"/>
                <w:sz w:val="16"/>
                <w:szCs w:val="16"/>
                <w:color w:val="3D3935"/>
              </w:rPr>
              <w:t>STIP, PSUs, RSUs, and</w:t>
            </w:r>
          </w:p>
        </w:tc>
      </w:tr>
      <w:tr>
        <w:trPr>
          <w:trHeight w:val="249"/>
        </w:trPr>
        <w:tc>
          <w:tcPr>
            <w:tcW w:w="1720" w:type="dxa"/>
            <w:vAlign w:val="bottom"/>
          </w:tcPr>
          <w:p>
            <w:pPr>
              <w:ind w:left="60"/>
              <w:spacing w:after="0"/>
              <w:rPr>
                <w:sz w:val="20"/>
                <w:szCs w:val="20"/>
                <w:color w:val="auto"/>
              </w:rPr>
            </w:pPr>
            <w:r>
              <w:rPr>
                <w:rFonts w:ascii="Arial" w:cs="Arial" w:eastAsia="Arial" w:hAnsi="Arial"/>
                <w:sz w:val="16"/>
                <w:szCs w:val="16"/>
                <w:b w:val="1"/>
                <w:bCs w:val="1"/>
                <w:color w:val="3D3935"/>
              </w:rPr>
              <w:t>Cancellation,</w:t>
            </w:r>
          </w:p>
        </w:tc>
        <w:tc>
          <w:tcPr>
            <w:tcW w:w="2300" w:type="dxa"/>
            <w:vAlign w:val="bottom"/>
          </w:tcPr>
          <w:p>
            <w:pPr>
              <w:ind w:left="240"/>
              <w:spacing w:after="0"/>
              <w:rPr>
                <w:sz w:val="20"/>
                <w:szCs w:val="20"/>
                <w:color w:val="auto"/>
              </w:rPr>
            </w:pPr>
            <w:r>
              <w:rPr>
                <w:rFonts w:ascii="Arial" w:cs="Arial" w:eastAsia="Arial" w:hAnsi="Arial"/>
                <w:sz w:val="16"/>
                <w:szCs w:val="16"/>
                <w:color w:val="3D3935"/>
              </w:rPr>
              <w:t>Stock Options</w:t>
            </w:r>
          </w:p>
        </w:tc>
        <w:tc>
          <w:tcPr>
            <w:tcW w:w="2160" w:type="dxa"/>
            <w:vAlign w:val="bottom"/>
          </w:tcPr>
          <w:p>
            <w:pPr>
              <w:ind w:left="320"/>
              <w:spacing w:after="0"/>
              <w:rPr>
                <w:sz w:val="20"/>
                <w:szCs w:val="20"/>
                <w:color w:val="auto"/>
              </w:rPr>
            </w:pPr>
            <w:r>
              <w:rPr>
                <w:rFonts w:ascii="Arial" w:cs="Arial" w:eastAsia="Arial" w:hAnsi="Arial"/>
                <w:sz w:val="16"/>
                <w:szCs w:val="16"/>
                <w:color w:val="3D3935"/>
              </w:rPr>
              <w:t>Stock Options</w:t>
            </w:r>
          </w:p>
        </w:tc>
        <w:tc>
          <w:tcPr>
            <w:tcW w:w="2900" w:type="dxa"/>
            <w:vAlign w:val="bottom"/>
          </w:tcPr>
          <w:p>
            <w:pPr>
              <w:ind w:left="560"/>
              <w:spacing w:after="0"/>
              <w:rPr>
                <w:sz w:val="20"/>
                <w:szCs w:val="20"/>
                <w:color w:val="auto"/>
              </w:rPr>
            </w:pPr>
            <w:r>
              <w:rPr>
                <w:rFonts w:ascii="Arial" w:cs="Arial" w:eastAsia="Arial" w:hAnsi="Arial"/>
                <w:sz w:val="16"/>
                <w:szCs w:val="16"/>
                <w:color w:val="3D3935"/>
              </w:rPr>
              <w:t>Stock Options</w:t>
            </w:r>
          </w:p>
        </w:tc>
      </w:tr>
      <w:tr>
        <w:trPr>
          <w:trHeight w:val="216"/>
        </w:trPr>
        <w:tc>
          <w:tcPr>
            <w:tcW w:w="1720" w:type="dxa"/>
            <w:vAlign w:val="bottom"/>
          </w:tcPr>
          <w:p>
            <w:pPr>
              <w:ind w:left="60"/>
              <w:spacing w:after="0"/>
              <w:rPr>
                <w:sz w:val="20"/>
                <w:szCs w:val="20"/>
                <w:color w:val="auto"/>
              </w:rPr>
            </w:pPr>
            <w:r>
              <w:rPr>
                <w:rFonts w:ascii="Arial" w:cs="Arial" w:eastAsia="Arial" w:hAnsi="Arial"/>
                <w:sz w:val="16"/>
                <w:szCs w:val="16"/>
                <w:b w:val="1"/>
                <w:bCs w:val="1"/>
                <w:color w:val="3D3935"/>
              </w:rPr>
              <w:t>Forfeiture, and/or</w:t>
            </w:r>
          </w:p>
        </w:tc>
        <w:tc>
          <w:tcPr>
            <w:tcW w:w="2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23"/>
        </w:trPr>
        <w:tc>
          <w:tcPr>
            <w:tcW w:w="1720" w:type="dxa"/>
            <w:vAlign w:val="bottom"/>
          </w:tcPr>
          <w:p>
            <w:pPr>
              <w:ind w:left="60"/>
              <w:spacing w:after="0"/>
              <w:rPr>
                <w:sz w:val="20"/>
                <w:szCs w:val="20"/>
                <w:color w:val="auto"/>
              </w:rPr>
            </w:pPr>
            <w:r>
              <w:rPr>
                <w:rFonts w:ascii="Arial" w:cs="Arial" w:eastAsia="Arial" w:hAnsi="Arial"/>
                <w:sz w:val="16"/>
                <w:szCs w:val="16"/>
                <w:b w:val="1"/>
                <w:bCs w:val="1"/>
                <w:color w:val="3D3935"/>
              </w:rPr>
              <w:t>Recoupment</w:t>
            </w:r>
          </w:p>
        </w:tc>
        <w:tc>
          <w:tcPr>
            <w:tcW w:w="23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305"/>
        </w:trPr>
        <w:tc>
          <w:tcPr>
            <w:tcW w:w="1720" w:type="dxa"/>
            <w:vAlign w:val="bottom"/>
            <w:tcBorders>
              <w:bottom w:val="single" w:sz="8" w:color="D9D9D6"/>
            </w:tcBorders>
          </w:tcPr>
          <w:p>
            <w:pPr>
              <w:spacing w:after="0"/>
              <w:rPr>
                <w:sz w:val="24"/>
                <w:szCs w:val="24"/>
                <w:color w:val="auto"/>
              </w:rPr>
            </w:pPr>
          </w:p>
        </w:tc>
        <w:tc>
          <w:tcPr>
            <w:tcW w:w="2300" w:type="dxa"/>
            <w:vAlign w:val="bottom"/>
            <w:tcBorders>
              <w:bottom w:val="single" w:sz="8" w:color="D9D9D6"/>
            </w:tcBorders>
          </w:tcPr>
          <w:p>
            <w:pPr>
              <w:spacing w:after="0"/>
              <w:rPr>
                <w:sz w:val="24"/>
                <w:szCs w:val="24"/>
                <w:color w:val="auto"/>
              </w:rPr>
            </w:pPr>
          </w:p>
        </w:tc>
        <w:tc>
          <w:tcPr>
            <w:tcW w:w="2160" w:type="dxa"/>
            <w:vAlign w:val="bottom"/>
            <w:tcBorders>
              <w:bottom w:val="single" w:sz="8" w:color="D9D9D6"/>
            </w:tcBorders>
          </w:tcPr>
          <w:p>
            <w:pPr>
              <w:spacing w:after="0"/>
              <w:rPr>
                <w:sz w:val="24"/>
                <w:szCs w:val="24"/>
                <w:color w:val="auto"/>
              </w:rPr>
            </w:pPr>
          </w:p>
        </w:tc>
        <w:tc>
          <w:tcPr>
            <w:tcW w:w="2900" w:type="dxa"/>
            <w:vAlign w:val="bottom"/>
            <w:tcBorders>
              <w:bottom w:val="single" w:sz="8" w:color="D9D9D6"/>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80" w:type="dxa"/>
            <w:vAlign w:val="bottom"/>
          </w:tcPr>
          <w:p>
            <w:pPr>
              <w:ind w:left="7000"/>
              <w:spacing w:after="0"/>
              <w:rPr>
                <w:sz w:val="20"/>
                <w:szCs w:val="20"/>
                <w:color w:val="auto"/>
              </w:rPr>
            </w:pPr>
            <w:r>
              <w:rPr>
                <w:rFonts w:ascii="Arial" w:cs="Arial" w:eastAsia="Arial" w:hAnsi="Arial"/>
                <w:sz w:val="14"/>
                <w:szCs w:val="14"/>
                <w:b w:val="1"/>
                <w:bCs w:val="1"/>
                <w:color w:val="0072CE"/>
              </w:rPr>
              <w:t>2025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3D3935"/>
              </w:rPr>
              <w:t>65</w:t>
            </w:r>
          </w:p>
        </w:tc>
      </w:tr>
      <w:tr>
        <w:trPr>
          <w:trHeight w:val="326"/>
        </w:trPr>
        <w:tc>
          <w:tcPr>
            <w:tcW w:w="8680" w:type="dxa"/>
            <w:vAlign w:val="bottom"/>
            <w:tcBorders>
              <w:bottom w:val="single" w:sz="8" w:color="D9D9D6"/>
            </w:tcBorders>
          </w:tcPr>
          <w:p>
            <w:pPr>
              <w:spacing w:after="0"/>
              <w:rPr>
                <w:sz w:val="24"/>
                <w:szCs w:val="24"/>
                <w:color w:val="auto"/>
              </w:rPr>
            </w:pPr>
          </w:p>
        </w:tc>
        <w:tc>
          <w:tcPr>
            <w:tcW w:w="400" w:type="dxa"/>
            <w:vAlign w:val="bottom"/>
            <w:tcBorders>
              <w:bottom w:val="single" w:sz="8" w:color="D9D9D6"/>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92075</wp:posOffset>
            </wp:positionV>
            <wp:extent cx="6810375" cy="82029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10375" cy="820293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Trading GM Securities</w:t>
      </w:r>
    </w:p>
    <w:p>
      <w:pPr>
        <w:spacing w:after="0" w:line="114"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3D3935"/>
        </w:rPr>
        <w:t>We maintain an Insider Trading Policy governing the purchase, sale, and/or other dispositions of our securities by our directors, officers, employees, certain of such persons’ family members, and GM contractors and consultants who have access to material nonpublic information concerning GM (collectively, “Insiders”), as well as by the Company, that we believe is reasonably designed to promote compliance with insider trading laws, rules and regulations, and the exchange listing standards applicable to us. Any sale or purchase of common stock by directors, executive officers, and all other senior leaders must be made during pre-established periods after receiving preclearance by a member of the GM legal staff or pursuant to a pre-approved and pre-established Rule 10b5-1 trading plan.</w:t>
      </w:r>
    </w:p>
    <w:p>
      <w:pPr>
        <w:spacing w:after="0" w:line="115" w:lineRule="exact"/>
        <w:rPr>
          <w:sz w:val="20"/>
          <w:szCs w:val="20"/>
          <w:color w:val="auto"/>
        </w:rPr>
      </w:pPr>
    </w:p>
    <w:p>
      <w:pPr>
        <w:ind w:right="700"/>
        <w:spacing w:after="0" w:line="301" w:lineRule="auto"/>
        <w:rPr>
          <w:sz w:val="20"/>
          <w:szCs w:val="20"/>
          <w:color w:val="auto"/>
        </w:rPr>
      </w:pPr>
      <w:r>
        <w:rPr>
          <w:rFonts w:ascii="Arial" w:cs="Arial" w:eastAsia="Arial" w:hAnsi="Arial"/>
          <w:sz w:val="16"/>
          <w:szCs w:val="16"/>
          <w:color w:val="3D3935"/>
        </w:rPr>
        <w:t xml:space="preserve">Trading in GM derivatives (i.e., puts or calls), engaging in short sales or otherwise engaging in hedging activities, and pledging of GM securities is prohibited for all Insiders. This policy is posted on our website at </w:t>
      </w:r>
      <w:r>
        <w:rPr>
          <w:rFonts w:ascii="Arial" w:cs="Arial" w:eastAsia="Arial" w:hAnsi="Arial"/>
          <w:sz w:val="16"/>
          <w:szCs w:val="16"/>
          <w:u w:val="single" w:color="auto"/>
          <w:color w:val="0072CE"/>
        </w:rPr>
        <w:t>investor.gm.com/governanceandsustainability.</w:t>
      </w:r>
    </w:p>
    <w:p>
      <w:pPr>
        <w:spacing w:after="0" w:line="67"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Policies and Practices Related to Timing of Equity Awards</w:t>
      </w:r>
    </w:p>
    <w:p>
      <w:pPr>
        <w:sectPr>
          <w:pgSz w:w="11900" w:h="16838" w:orient="portrait"/>
          <w:cols w:equalWidth="0" w:num="1">
            <w:col w:w="9080"/>
          </w:cols>
          <w:pgMar w:left="1400" w:top="38" w:right="1419" w:bottom="1440" w:gutter="0" w:footer="0" w:header="0"/>
        </w:sectPr>
      </w:pPr>
    </w:p>
    <w:p>
      <w:pPr>
        <w:spacing w:after="0" w:line="128" w:lineRule="exact"/>
        <w:rPr>
          <w:sz w:val="20"/>
          <w:szCs w:val="20"/>
          <w:color w:val="auto"/>
        </w:rPr>
      </w:pPr>
    </w:p>
    <w:p>
      <w:pPr>
        <w:spacing w:after="0" w:line="289" w:lineRule="auto"/>
        <w:rPr>
          <w:sz w:val="20"/>
          <w:szCs w:val="20"/>
          <w:color w:val="auto"/>
        </w:rPr>
      </w:pPr>
      <w:r>
        <w:rPr>
          <w:rFonts w:ascii="Arial" w:cs="Arial" w:eastAsia="Arial" w:hAnsi="Arial"/>
          <w:sz w:val="16"/>
          <w:szCs w:val="16"/>
          <w:color w:val="3D3935"/>
        </w:rPr>
        <w:t>The Committee does not take into account material non-public information when determining the timing or terms of equity awards, nor do we time disclosure of material non-public information for the purpose of affecting the value of executive compensation. During fiscal 2024, the Company did not grant stock options (or similar awards) to any NEO during any period beginning four business days before and ending one business day after the filing of any periodic report on Form 10-Q or Form 10-K, or the filing or furnishing of any current report on Form 8-K that disclosed material non-public information More broadly, the Company has not awarded stock options (or similar awards) since fiscal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color w:val="3D3935"/>
        </w:rPr>
        <w:t>.</w:t>
      </w:r>
    </w:p>
    <w:p>
      <w:pPr>
        <w:spacing w:after="0" w:line="382" w:lineRule="exact"/>
        <w:rPr>
          <w:sz w:val="20"/>
          <w:szCs w:val="20"/>
          <w:color w:val="auto"/>
        </w:rPr>
      </w:pPr>
    </w:p>
    <w:p>
      <w:pPr>
        <w:sectPr>
          <w:pgSz w:w="11900" w:h="16838" w:orient="portrait"/>
          <w:cols w:equalWidth="0" w:num="2">
            <w:col w:w="8900" w:space="140"/>
            <w:col w:w="40"/>
          </w:cols>
          <w:pgMar w:left="1400" w:top="38" w:right="1419" w:bottom="1440" w:gutter="0" w:footer="0" w:header="0"/>
          <w:type w:val="continuous"/>
        </w:sectPr>
      </w:pPr>
    </w:p>
    <w:p>
      <w:pPr>
        <w:spacing w:after="0"/>
        <w:rPr>
          <w:sz w:val="20"/>
          <w:szCs w:val="20"/>
          <w:color w:val="auto"/>
        </w:rPr>
      </w:pPr>
      <w:r>
        <w:rPr>
          <w:rFonts w:ascii="Arial" w:cs="Arial" w:eastAsia="Arial" w:hAnsi="Arial"/>
          <w:sz w:val="25"/>
          <w:szCs w:val="25"/>
          <w:b w:val="1"/>
          <w:bCs w:val="1"/>
          <w:color w:val="0072CE"/>
        </w:rPr>
        <w:t>Tax Considerations</w:t>
      </w:r>
    </w:p>
    <w:p>
      <w:pPr>
        <w:spacing w:after="0" w:line="128" w:lineRule="exact"/>
        <w:rPr>
          <w:sz w:val="20"/>
          <w:szCs w:val="20"/>
          <w:color w:val="auto"/>
        </w:rPr>
      </w:pPr>
    </w:p>
    <w:p>
      <w:pPr>
        <w:ind w:right="220"/>
        <w:spacing w:after="0" w:line="284" w:lineRule="auto"/>
        <w:rPr>
          <w:sz w:val="20"/>
          <w:szCs w:val="20"/>
          <w:color w:val="auto"/>
        </w:rPr>
      </w:pPr>
      <w:r>
        <w:rPr>
          <w:rFonts w:ascii="Arial" w:cs="Arial" w:eastAsia="Arial" w:hAnsi="Arial"/>
          <w:sz w:val="16"/>
          <w:szCs w:val="16"/>
          <w:color w:val="3D3935"/>
        </w:rPr>
        <w:t>The Tax Cuts and Jobs Act enacted on December 22, 2017, modified IRC Section 162(m) to, among other things, limit the federal tax deduction for annual individual compensation paid to $1 million for NEOs beginning with the 2018 tax year. Previously, compensation paid in excess of $1 million could be deducted if it was performance-based. The Tax Cuts and Jobs Act includes a transition relief rule in which these changes do not apply to compensation payable pursuant to a written binding contract in effect on November 2, 2017, and is not materially modified after that date. To the extent it is applicable to our existing arrangements, the Compensation Committee may avail itself of this rule. The Compensation Committee continues to closely align executive pay with performance, regardless of the performance-based exception being removed under IRC Section 162(m).</w:t>
      </w:r>
    </w:p>
    <w:p>
      <w:pPr>
        <w:spacing w:after="0" w:line="84"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Employment and Termination Agreements</w:t>
      </w:r>
    </w:p>
    <w:p>
      <w:pPr>
        <w:spacing w:after="0" w:line="114"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3D3935"/>
        </w:rPr>
        <w:t>The Company has no employment or pre-defined termination agreements with any of our 2024 NEOs. All NEOs participate in the General Motors LLC U.S. Executive Severance Program (the “Executive Severance Program”) filed as an exhibit to the Company’s 2024 Form 10-K.</w:t>
      </w:r>
    </w:p>
    <w:p>
      <w:pPr>
        <w:spacing w:after="0" w:line="53"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Mr. Abbott’s Departure</w:t>
      </w:r>
    </w:p>
    <w:p>
      <w:pPr>
        <w:spacing w:after="0" w:line="128"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3D3935"/>
        </w:rPr>
        <w:t>Mr. Abbott resigned from the Company, effective April 2, 2024. In accordance with the terms of his awards, he was not entitled to a 2024 STIP award, and he forfeited all equity awards that were granted to him throughout the duration of his employment as well as the second installment of his new hire cash payment. He was included as an NEO in this year’s CD&amp;A given the dollar amount of the LTIP award he was granted in February 2024, which was forfeited upon his resignation. Subsequent to his resignation, Mr. Abbott entered into an agreement with the Company to provide consulting services as an advisor to the Company. Compensation related to this agreement is included in the “All Other Compensation” column of the Summary Compensation Table.</w:t>
      </w:r>
    </w:p>
    <w:p>
      <w:pPr>
        <w:sectPr>
          <w:pgSz w:w="11900" w:h="16838" w:orient="portrait"/>
          <w:cols w:equalWidth="0" w:num="1">
            <w:col w:w="9080"/>
          </w:cols>
          <w:pgMar w:left="1400" w:top="38" w:right="1419" w:bottom="1440" w:gutter="0" w:footer="0" w:header="0"/>
          <w:type w:val="continuous"/>
        </w:sectPr>
      </w:pPr>
    </w:p>
    <w:bookmarkStart w:id="62" w:name="page63"/>
    <w:bookmarkEnd w:id="62"/>
    <w:p>
      <w:pPr>
        <w:ind w:left="60"/>
        <w:spacing w:after="0"/>
        <w:rPr>
          <w:sz w:val="20"/>
          <w:szCs w:val="20"/>
          <w:color w:val="auto"/>
        </w:rPr>
      </w:pPr>
      <w:r>
        <w:rPr>
          <w:rFonts w:ascii="Arial" w:cs="Arial" w:eastAsia="Arial" w:hAnsi="Arial"/>
          <w:sz w:val="14"/>
          <w:szCs w:val="14"/>
          <w:b w:val="1"/>
          <w:bCs w:val="1"/>
          <w:color w:val="3D3935"/>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6534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10375" cy="653415"/>
                    </a:xfrm>
                    <a:prstGeom prst="rect">
                      <a:avLst/>
                    </a:prstGeom>
                    <a:noFill/>
                  </pic:spPr>
                </pic:pic>
              </a:graphicData>
            </a:graphic>
          </wp:anchor>
        </w:drawing>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88677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Compensation Committee Report</w:t>
      </w:r>
    </w:p>
    <w:p>
      <w:pPr>
        <w:spacing w:after="0" w:line="127"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3D3935"/>
        </w:rPr>
        <w:t>The Compensation Committee has reviewed and discussed with management the Compensation Discussion and Analysis and, based on that review and discussion, has recommended to the Board of Directors that the Compensation Discussion and Analysis be included in this Proxy Statement and incorporated by reference into the Company’s Annual Report on Form 10-K for the year ended December 31, 2024, as filed with the U.S. Securities and Exchange Commission on January 28, 2025.</w:t>
      </w:r>
    </w:p>
    <w:p>
      <w:pPr>
        <w:spacing w:after="0" w:line="229"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3D3935"/>
        </w:rPr>
        <w:t>Compensation Committee</w:t>
      </w:r>
    </w:p>
    <w:p>
      <w:pPr>
        <w:spacing w:after="0" w:line="181" w:lineRule="exact"/>
        <w:rPr>
          <w:sz w:val="20"/>
          <w:szCs w:val="20"/>
          <w:color w:val="auto"/>
        </w:rPr>
      </w:pPr>
    </w:p>
    <w:p>
      <w:pPr>
        <w:ind w:left="2460"/>
        <w:spacing w:after="0"/>
        <w:tabs>
          <w:tab w:leader="none" w:pos="5140" w:val="left"/>
        </w:tabs>
        <w:rPr>
          <w:sz w:val="20"/>
          <w:szCs w:val="20"/>
          <w:color w:val="auto"/>
        </w:rPr>
      </w:pPr>
      <w:r>
        <w:rPr>
          <w:rFonts w:ascii="Arial" w:cs="Arial" w:eastAsia="Arial" w:hAnsi="Arial"/>
          <w:sz w:val="16"/>
          <w:szCs w:val="16"/>
          <w:color w:val="3D3935"/>
        </w:rPr>
        <w:t>Wesley G. Bush (Chair)</w:t>
      </w:r>
      <w:r>
        <w:rPr>
          <w:sz w:val="20"/>
          <w:szCs w:val="20"/>
          <w:color w:val="auto"/>
        </w:rPr>
        <w:tab/>
      </w:r>
      <w:r>
        <w:rPr>
          <w:rFonts w:ascii="Arial" w:cs="Arial" w:eastAsia="Arial" w:hAnsi="Arial"/>
          <w:sz w:val="16"/>
          <w:szCs w:val="16"/>
          <w:color w:val="3D3935"/>
        </w:rPr>
        <w:t>Joseph Jimenez</w:t>
      </w:r>
    </w:p>
    <w:p>
      <w:pPr>
        <w:spacing w:after="0" w:line="32" w:lineRule="exact"/>
        <w:rPr>
          <w:sz w:val="20"/>
          <w:szCs w:val="20"/>
          <w:color w:val="auto"/>
        </w:rPr>
      </w:pPr>
    </w:p>
    <w:p>
      <w:pPr>
        <w:ind w:left="2460"/>
        <w:spacing w:after="0"/>
        <w:tabs>
          <w:tab w:leader="none" w:pos="5140" w:val="left"/>
        </w:tabs>
        <w:rPr>
          <w:sz w:val="20"/>
          <w:szCs w:val="20"/>
          <w:color w:val="auto"/>
        </w:rPr>
      </w:pPr>
      <w:r>
        <w:rPr>
          <w:rFonts w:ascii="Arial" w:cs="Arial" w:eastAsia="Arial" w:hAnsi="Arial"/>
          <w:sz w:val="16"/>
          <w:szCs w:val="16"/>
          <w:color w:val="3D3935"/>
        </w:rPr>
        <w:t>Devin N. Wenig</w:t>
      </w:r>
      <w:r>
        <w:rPr>
          <w:sz w:val="20"/>
          <w:szCs w:val="20"/>
          <w:color w:val="auto"/>
        </w:rPr>
        <w:tab/>
      </w:r>
      <w:r>
        <w:rPr>
          <w:rFonts w:ascii="Arial" w:cs="Arial" w:eastAsia="Arial" w:hAnsi="Arial"/>
          <w:sz w:val="15"/>
          <w:szCs w:val="15"/>
          <w:color w:val="3D3935"/>
        </w:rPr>
        <w:t>Patricia F. Russo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3D3935"/>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8305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10375" cy="830580"/>
                    </a:xfrm>
                    <a:prstGeom prst="rect">
                      <a:avLst/>
                    </a:prstGeom>
                    <a:noFill/>
                  </pic:spPr>
                </pic:pic>
              </a:graphicData>
            </a:graphic>
          </wp:anchor>
        </w:drawing>
      </w:r>
    </w:p>
    <w:p>
      <w:pPr>
        <w:sectPr>
          <w:pgSz w:w="11900" w:h="16838" w:orient="portrait"/>
          <w:cols w:equalWidth="0" w:num="1">
            <w:col w:w="9240"/>
          </w:cols>
          <w:pgMar w:left="1400" w:top="616" w:right="1259" w:bottom="3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ectPr>
          <w:pgSz w:w="11900" w:h="16838" w:orient="portrait"/>
          <w:cols w:equalWidth="0" w:num="1">
            <w:col w:w="9240"/>
          </w:cols>
          <w:pgMar w:left="1400" w:top="616" w:right="1259" w:bottom="336" w:gutter="0" w:footer="0" w:header="0"/>
          <w:type w:val="continuous"/>
        </w:sectPr>
      </w:pPr>
    </w:p>
    <w:bookmarkStart w:id="63" w:name="page64"/>
    <w:bookmarkEnd w:id="63"/>
    <w:p>
      <w:pPr>
        <w:spacing w:after="0" w:line="94"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-227965</wp:posOffset>
            </wp:positionV>
            <wp:extent cx="6810375" cy="80257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10375" cy="8025765"/>
                    </a:xfrm>
                    <a:prstGeom prst="rect">
                      <a:avLst/>
                    </a:prstGeom>
                    <a:noFill/>
                  </pic:spPr>
                </pic:pic>
              </a:graphicData>
            </a:graphic>
          </wp:anchor>
        </w:drawing>
      </w:r>
    </w:p>
    <w:p>
      <w:pPr>
        <w:spacing w:after="0"/>
        <w:rPr>
          <w:sz w:val="20"/>
          <w:szCs w:val="20"/>
          <w:color w:val="auto"/>
        </w:rPr>
      </w:pPr>
      <w:r>
        <w:rPr>
          <w:rFonts w:ascii="Arial" w:cs="Arial" w:eastAsia="Arial" w:hAnsi="Arial"/>
          <w:sz w:val="29"/>
          <w:szCs w:val="29"/>
          <w:b w:val="1"/>
          <w:bCs w:val="1"/>
          <w:color w:val="3D3935"/>
        </w:rPr>
        <w:t>Summary Compensation Table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400" w:type="dxa"/>
            <w:vAlign w:val="bottom"/>
            <w:shd w:val="clear" w:color="auto" w:fill="F0F3F5"/>
          </w:tcPr>
          <w:p>
            <w:pPr>
              <w:spacing w:after="0"/>
              <w:rPr>
                <w:sz w:val="17"/>
                <w:szCs w:val="17"/>
                <w:color w:val="auto"/>
              </w:rPr>
            </w:pPr>
          </w:p>
        </w:tc>
        <w:tc>
          <w:tcPr>
            <w:tcW w:w="460" w:type="dxa"/>
            <w:vAlign w:val="bottom"/>
            <w:shd w:val="clear" w:color="auto" w:fill="F0F3F5"/>
          </w:tcPr>
          <w:p>
            <w:pPr>
              <w:spacing w:after="0"/>
              <w:rPr>
                <w:sz w:val="17"/>
                <w:szCs w:val="17"/>
                <w:color w:val="auto"/>
              </w:rPr>
            </w:pPr>
          </w:p>
        </w:tc>
        <w:tc>
          <w:tcPr>
            <w:tcW w:w="780" w:type="dxa"/>
            <w:vAlign w:val="bottom"/>
            <w:shd w:val="clear" w:color="auto" w:fill="F0F3F5"/>
          </w:tcPr>
          <w:p>
            <w:pPr>
              <w:spacing w:after="0"/>
              <w:rPr>
                <w:sz w:val="17"/>
                <w:szCs w:val="17"/>
                <w:color w:val="auto"/>
              </w:rPr>
            </w:pPr>
          </w:p>
        </w:tc>
        <w:tc>
          <w:tcPr>
            <w:tcW w:w="780" w:type="dxa"/>
            <w:vAlign w:val="bottom"/>
            <w:shd w:val="clear" w:color="auto" w:fill="F0F3F5"/>
          </w:tcPr>
          <w:p>
            <w:pPr>
              <w:spacing w:after="0"/>
              <w:rPr>
                <w:sz w:val="17"/>
                <w:szCs w:val="17"/>
                <w:color w:val="auto"/>
              </w:rPr>
            </w:pPr>
          </w:p>
        </w:tc>
        <w:tc>
          <w:tcPr>
            <w:tcW w:w="820" w:type="dxa"/>
            <w:vAlign w:val="bottom"/>
            <w:shd w:val="clear" w:color="auto" w:fill="F0F3F5"/>
          </w:tcPr>
          <w:p>
            <w:pPr>
              <w:spacing w:after="0"/>
              <w:rPr>
                <w:sz w:val="17"/>
                <w:szCs w:val="17"/>
                <w:color w:val="auto"/>
              </w:rPr>
            </w:pPr>
          </w:p>
        </w:tc>
        <w:tc>
          <w:tcPr>
            <w:tcW w:w="780" w:type="dxa"/>
            <w:vAlign w:val="bottom"/>
            <w:shd w:val="clear" w:color="auto" w:fill="F0F3F5"/>
          </w:tcPr>
          <w:p>
            <w:pPr>
              <w:spacing w:after="0"/>
              <w:rPr>
                <w:sz w:val="17"/>
                <w:szCs w:val="17"/>
                <w:color w:val="auto"/>
              </w:rPr>
            </w:pPr>
          </w:p>
        </w:tc>
        <w:tc>
          <w:tcPr>
            <w:tcW w:w="1120" w:type="dxa"/>
            <w:vAlign w:val="bottom"/>
            <w:shd w:val="clear" w:color="auto" w:fill="F0F3F5"/>
          </w:tcPr>
          <w:p>
            <w:pPr>
              <w:spacing w:after="0"/>
              <w:rPr>
                <w:sz w:val="17"/>
                <w:szCs w:val="17"/>
                <w:color w:val="auto"/>
              </w:rPr>
            </w:pPr>
          </w:p>
        </w:tc>
        <w:tc>
          <w:tcPr>
            <w:tcW w:w="1020" w:type="dxa"/>
            <w:vAlign w:val="bottom"/>
            <w:shd w:val="clear" w:color="auto" w:fill="F0F3F5"/>
          </w:tcPr>
          <w:p>
            <w:pPr>
              <w:jc w:val="right"/>
              <w:spacing w:after="0"/>
              <w:rPr>
                <w:sz w:val="20"/>
                <w:szCs w:val="20"/>
                <w:color w:val="auto"/>
              </w:rPr>
            </w:pPr>
            <w:r>
              <w:rPr>
                <w:rFonts w:ascii="Arial" w:cs="Arial" w:eastAsia="Arial" w:hAnsi="Arial"/>
                <w:sz w:val="13"/>
                <w:szCs w:val="13"/>
                <w:b w:val="1"/>
                <w:bCs w:val="1"/>
                <w:color w:val="3D3935"/>
              </w:rPr>
              <w:t>Change in</w:t>
            </w:r>
          </w:p>
        </w:tc>
        <w:tc>
          <w:tcPr>
            <w:tcW w:w="1120" w:type="dxa"/>
            <w:vAlign w:val="bottom"/>
            <w:shd w:val="clear" w:color="auto" w:fill="F0F3F5"/>
          </w:tcPr>
          <w:p>
            <w:pPr>
              <w:spacing w:after="0"/>
              <w:rPr>
                <w:sz w:val="17"/>
                <w:szCs w:val="17"/>
                <w:color w:val="auto"/>
              </w:rPr>
            </w:pPr>
          </w:p>
        </w:tc>
        <w:tc>
          <w:tcPr>
            <w:tcW w:w="800" w:type="dxa"/>
            <w:vAlign w:val="bottom"/>
            <w:shd w:val="clear" w:color="auto" w:fill="F0F3F5"/>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F0F3F5"/>
          </w:tcPr>
          <w:p>
            <w:pPr>
              <w:spacing w:after="0"/>
              <w:rPr>
                <w:sz w:val="14"/>
                <w:szCs w:val="14"/>
                <w:color w:val="auto"/>
              </w:rPr>
            </w:pPr>
          </w:p>
        </w:tc>
        <w:tc>
          <w:tcPr>
            <w:tcW w:w="460" w:type="dxa"/>
            <w:vAlign w:val="bottom"/>
            <w:shd w:val="clear" w:color="auto" w:fill="F0F3F5"/>
          </w:tcPr>
          <w:p>
            <w:pPr>
              <w:spacing w:after="0"/>
              <w:rPr>
                <w:sz w:val="14"/>
                <w:szCs w:val="14"/>
                <w:color w:val="auto"/>
              </w:rPr>
            </w:pPr>
          </w:p>
        </w:tc>
        <w:tc>
          <w:tcPr>
            <w:tcW w:w="780" w:type="dxa"/>
            <w:vAlign w:val="bottom"/>
            <w:shd w:val="clear" w:color="auto" w:fill="F0F3F5"/>
          </w:tcPr>
          <w:p>
            <w:pPr>
              <w:spacing w:after="0"/>
              <w:rPr>
                <w:sz w:val="14"/>
                <w:szCs w:val="14"/>
                <w:color w:val="auto"/>
              </w:rPr>
            </w:pPr>
          </w:p>
        </w:tc>
        <w:tc>
          <w:tcPr>
            <w:tcW w:w="780" w:type="dxa"/>
            <w:vAlign w:val="bottom"/>
            <w:shd w:val="clear" w:color="auto" w:fill="F0F3F5"/>
          </w:tcPr>
          <w:p>
            <w:pPr>
              <w:spacing w:after="0"/>
              <w:rPr>
                <w:sz w:val="14"/>
                <w:szCs w:val="14"/>
                <w:color w:val="auto"/>
              </w:rPr>
            </w:pPr>
          </w:p>
        </w:tc>
        <w:tc>
          <w:tcPr>
            <w:tcW w:w="820" w:type="dxa"/>
            <w:vAlign w:val="bottom"/>
            <w:shd w:val="clear" w:color="auto" w:fill="F0F3F5"/>
          </w:tcPr>
          <w:p>
            <w:pPr>
              <w:spacing w:after="0"/>
              <w:rPr>
                <w:sz w:val="14"/>
                <w:szCs w:val="14"/>
                <w:color w:val="auto"/>
              </w:rPr>
            </w:pPr>
          </w:p>
        </w:tc>
        <w:tc>
          <w:tcPr>
            <w:tcW w:w="780" w:type="dxa"/>
            <w:vAlign w:val="bottom"/>
            <w:shd w:val="clear" w:color="auto" w:fill="F0F3F5"/>
          </w:tcPr>
          <w:p>
            <w:pPr>
              <w:spacing w:after="0"/>
              <w:rPr>
                <w:sz w:val="14"/>
                <w:szCs w:val="14"/>
                <w:color w:val="auto"/>
              </w:rPr>
            </w:pPr>
          </w:p>
        </w:tc>
        <w:tc>
          <w:tcPr>
            <w:tcW w:w="1120" w:type="dxa"/>
            <w:vAlign w:val="bottom"/>
            <w:shd w:val="clear" w:color="auto" w:fill="F0F3F5"/>
          </w:tcPr>
          <w:p>
            <w:pPr>
              <w:spacing w:after="0"/>
              <w:rPr>
                <w:sz w:val="14"/>
                <w:szCs w:val="14"/>
                <w:color w:val="auto"/>
              </w:rPr>
            </w:pPr>
          </w:p>
        </w:tc>
        <w:tc>
          <w:tcPr>
            <w:tcW w:w="1020" w:type="dxa"/>
            <w:vAlign w:val="bottom"/>
            <w:shd w:val="clear" w:color="auto" w:fill="F0F3F5"/>
          </w:tcPr>
          <w:p>
            <w:pPr>
              <w:jc w:val="right"/>
              <w:spacing w:after="0"/>
              <w:rPr>
                <w:sz w:val="20"/>
                <w:szCs w:val="20"/>
                <w:color w:val="auto"/>
              </w:rPr>
            </w:pPr>
            <w:r>
              <w:rPr>
                <w:rFonts w:ascii="Arial" w:cs="Arial" w:eastAsia="Arial" w:hAnsi="Arial"/>
                <w:sz w:val="13"/>
                <w:szCs w:val="13"/>
                <w:b w:val="1"/>
                <w:bCs w:val="1"/>
                <w:color w:val="3D3935"/>
              </w:rPr>
              <w:t>Pension</w:t>
            </w:r>
          </w:p>
        </w:tc>
        <w:tc>
          <w:tcPr>
            <w:tcW w:w="1120" w:type="dxa"/>
            <w:vAlign w:val="bottom"/>
            <w:shd w:val="clear" w:color="auto" w:fill="F0F3F5"/>
          </w:tcPr>
          <w:p>
            <w:pPr>
              <w:spacing w:after="0"/>
              <w:rPr>
                <w:sz w:val="14"/>
                <w:szCs w:val="14"/>
                <w:color w:val="auto"/>
              </w:rPr>
            </w:pPr>
          </w:p>
        </w:tc>
        <w:tc>
          <w:tcPr>
            <w:tcW w:w="800" w:type="dxa"/>
            <w:vAlign w:val="bottom"/>
            <w:shd w:val="clear" w:color="auto" w:fill="F0F3F5"/>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F0F3F5"/>
          </w:tcPr>
          <w:p>
            <w:pPr>
              <w:spacing w:after="0"/>
              <w:rPr>
                <w:sz w:val="14"/>
                <w:szCs w:val="14"/>
                <w:color w:val="auto"/>
              </w:rPr>
            </w:pPr>
          </w:p>
        </w:tc>
        <w:tc>
          <w:tcPr>
            <w:tcW w:w="460" w:type="dxa"/>
            <w:vAlign w:val="bottom"/>
            <w:shd w:val="clear" w:color="auto" w:fill="F0F3F5"/>
          </w:tcPr>
          <w:p>
            <w:pPr>
              <w:spacing w:after="0"/>
              <w:rPr>
                <w:sz w:val="14"/>
                <w:szCs w:val="14"/>
                <w:color w:val="auto"/>
              </w:rPr>
            </w:pPr>
          </w:p>
        </w:tc>
        <w:tc>
          <w:tcPr>
            <w:tcW w:w="780" w:type="dxa"/>
            <w:vAlign w:val="bottom"/>
            <w:shd w:val="clear" w:color="auto" w:fill="F0F3F5"/>
          </w:tcPr>
          <w:p>
            <w:pPr>
              <w:spacing w:after="0"/>
              <w:rPr>
                <w:sz w:val="14"/>
                <w:szCs w:val="14"/>
                <w:color w:val="auto"/>
              </w:rPr>
            </w:pPr>
          </w:p>
        </w:tc>
        <w:tc>
          <w:tcPr>
            <w:tcW w:w="780" w:type="dxa"/>
            <w:vAlign w:val="bottom"/>
            <w:shd w:val="clear" w:color="auto" w:fill="F0F3F5"/>
          </w:tcPr>
          <w:p>
            <w:pPr>
              <w:spacing w:after="0"/>
              <w:rPr>
                <w:sz w:val="14"/>
                <w:szCs w:val="14"/>
                <w:color w:val="auto"/>
              </w:rPr>
            </w:pPr>
          </w:p>
        </w:tc>
        <w:tc>
          <w:tcPr>
            <w:tcW w:w="820" w:type="dxa"/>
            <w:vAlign w:val="bottom"/>
            <w:shd w:val="clear" w:color="auto" w:fill="F0F3F5"/>
          </w:tcPr>
          <w:p>
            <w:pPr>
              <w:spacing w:after="0"/>
              <w:rPr>
                <w:sz w:val="14"/>
                <w:szCs w:val="14"/>
                <w:color w:val="auto"/>
              </w:rPr>
            </w:pPr>
          </w:p>
        </w:tc>
        <w:tc>
          <w:tcPr>
            <w:tcW w:w="780" w:type="dxa"/>
            <w:vAlign w:val="bottom"/>
            <w:shd w:val="clear" w:color="auto" w:fill="F0F3F5"/>
          </w:tcPr>
          <w:p>
            <w:pPr>
              <w:spacing w:after="0"/>
              <w:rPr>
                <w:sz w:val="14"/>
                <w:szCs w:val="14"/>
                <w:color w:val="auto"/>
              </w:rPr>
            </w:pPr>
          </w:p>
        </w:tc>
        <w:tc>
          <w:tcPr>
            <w:tcW w:w="1120" w:type="dxa"/>
            <w:vAlign w:val="bottom"/>
            <w:shd w:val="clear" w:color="auto" w:fill="F0F3F5"/>
          </w:tcPr>
          <w:p>
            <w:pPr>
              <w:spacing w:after="0"/>
              <w:rPr>
                <w:sz w:val="14"/>
                <w:szCs w:val="14"/>
                <w:color w:val="auto"/>
              </w:rPr>
            </w:pPr>
          </w:p>
        </w:tc>
        <w:tc>
          <w:tcPr>
            <w:tcW w:w="1020" w:type="dxa"/>
            <w:vAlign w:val="bottom"/>
            <w:shd w:val="clear" w:color="auto" w:fill="F0F3F5"/>
          </w:tcPr>
          <w:p>
            <w:pPr>
              <w:jc w:val="right"/>
              <w:ind w:right="13"/>
              <w:spacing w:after="0"/>
              <w:rPr>
                <w:sz w:val="20"/>
                <w:szCs w:val="20"/>
                <w:color w:val="auto"/>
              </w:rPr>
            </w:pPr>
            <w:r>
              <w:rPr>
                <w:rFonts w:ascii="Arial" w:cs="Arial" w:eastAsia="Arial" w:hAnsi="Arial"/>
                <w:sz w:val="13"/>
                <w:szCs w:val="13"/>
                <w:b w:val="1"/>
                <w:bCs w:val="1"/>
                <w:color w:val="3D3935"/>
              </w:rPr>
              <w:t>Value and</w:t>
            </w:r>
          </w:p>
        </w:tc>
        <w:tc>
          <w:tcPr>
            <w:tcW w:w="1120" w:type="dxa"/>
            <w:vAlign w:val="bottom"/>
            <w:shd w:val="clear" w:color="auto" w:fill="F0F3F5"/>
          </w:tcPr>
          <w:p>
            <w:pPr>
              <w:spacing w:after="0"/>
              <w:rPr>
                <w:sz w:val="14"/>
                <w:szCs w:val="14"/>
                <w:color w:val="auto"/>
              </w:rPr>
            </w:pPr>
          </w:p>
        </w:tc>
        <w:tc>
          <w:tcPr>
            <w:tcW w:w="800" w:type="dxa"/>
            <w:vAlign w:val="bottom"/>
            <w:shd w:val="clear" w:color="auto" w:fill="F0F3F5"/>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F0F3F5"/>
          </w:tcPr>
          <w:p>
            <w:pPr>
              <w:spacing w:after="0"/>
              <w:rPr>
                <w:sz w:val="14"/>
                <w:szCs w:val="14"/>
                <w:color w:val="auto"/>
              </w:rPr>
            </w:pPr>
          </w:p>
        </w:tc>
        <w:tc>
          <w:tcPr>
            <w:tcW w:w="460" w:type="dxa"/>
            <w:vAlign w:val="bottom"/>
            <w:shd w:val="clear" w:color="auto" w:fill="F0F3F5"/>
          </w:tcPr>
          <w:p>
            <w:pPr>
              <w:spacing w:after="0"/>
              <w:rPr>
                <w:sz w:val="14"/>
                <w:szCs w:val="14"/>
                <w:color w:val="auto"/>
              </w:rPr>
            </w:pPr>
          </w:p>
        </w:tc>
        <w:tc>
          <w:tcPr>
            <w:tcW w:w="780" w:type="dxa"/>
            <w:vAlign w:val="bottom"/>
            <w:shd w:val="clear" w:color="auto" w:fill="F0F3F5"/>
          </w:tcPr>
          <w:p>
            <w:pPr>
              <w:spacing w:after="0"/>
              <w:rPr>
                <w:sz w:val="14"/>
                <w:szCs w:val="14"/>
                <w:color w:val="auto"/>
              </w:rPr>
            </w:pPr>
          </w:p>
        </w:tc>
        <w:tc>
          <w:tcPr>
            <w:tcW w:w="780" w:type="dxa"/>
            <w:vAlign w:val="bottom"/>
            <w:shd w:val="clear" w:color="auto" w:fill="F0F3F5"/>
          </w:tcPr>
          <w:p>
            <w:pPr>
              <w:spacing w:after="0"/>
              <w:rPr>
                <w:sz w:val="14"/>
                <w:szCs w:val="14"/>
                <w:color w:val="auto"/>
              </w:rPr>
            </w:pPr>
          </w:p>
        </w:tc>
        <w:tc>
          <w:tcPr>
            <w:tcW w:w="820" w:type="dxa"/>
            <w:vAlign w:val="bottom"/>
            <w:shd w:val="clear" w:color="auto" w:fill="F0F3F5"/>
          </w:tcPr>
          <w:p>
            <w:pPr>
              <w:spacing w:after="0"/>
              <w:rPr>
                <w:sz w:val="14"/>
                <w:szCs w:val="14"/>
                <w:color w:val="auto"/>
              </w:rPr>
            </w:pPr>
          </w:p>
        </w:tc>
        <w:tc>
          <w:tcPr>
            <w:tcW w:w="780" w:type="dxa"/>
            <w:vAlign w:val="bottom"/>
            <w:shd w:val="clear" w:color="auto" w:fill="F0F3F5"/>
          </w:tcPr>
          <w:p>
            <w:pPr>
              <w:spacing w:after="0"/>
              <w:rPr>
                <w:sz w:val="14"/>
                <w:szCs w:val="14"/>
                <w:color w:val="auto"/>
              </w:rPr>
            </w:pPr>
          </w:p>
        </w:tc>
        <w:tc>
          <w:tcPr>
            <w:tcW w:w="1120" w:type="dxa"/>
            <w:vAlign w:val="bottom"/>
            <w:shd w:val="clear" w:color="auto" w:fill="F0F3F5"/>
          </w:tcPr>
          <w:p>
            <w:pPr>
              <w:ind w:left="380"/>
              <w:spacing w:after="0"/>
              <w:rPr>
                <w:sz w:val="20"/>
                <w:szCs w:val="20"/>
                <w:color w:val="auto"/>
              </w:rPr>
            </w:pPr>
            <w:r>
              <w:rPr>
                <w:rFonts w:ascii="Arial" w:cs="Arial" w:eastAsia="Arial" w:hAnsi="Arial"/>
                <w:sz w:val="13"/>
                <w:szCs w:val="13"/>
                <w:b w:val="1"/>
                <w:bCs w:val="1"/>
                <w:color w:val="3D3935"/>
              </w:rPr>
              <w:t>Nonequity</w:t>
            </w:r>
          </w:p>
        </w:tc>
        <w:tc>
          <w:tcPr>
            <w:tcW w:w="1020" w:type="dxa"/>
            <w:vAlign w:val="bottom"/>
            <w:shd w:val="clear" w:color="auto" w:fill="F0F3F5"/>
          </w:tcPr>
          <w:p>
            <w:pPr>
              <w:jc w:val="right"/>
              <w:ind w:right="13"/>
              <w:spacing w:after="0"/>
              <w:rPr>
                <w:sz w:val="20"/>
                <w:szCs w:val="20"/>
                <w:color w:val="auto"/>
              </w:rPr>
            </w:pPr>
            <w:r>
              <w:rPr>
                <w:rFonts w:ascii="Arial" w:cs="Arial" w:eastAsia="Arial" w:hAnsi="Arial"/>
                <w:sz w:val="13"/>
                <w:szCs w:val="13"/>
                <w:b w:val="1"/>
                <w:bCs w:val="1"/>
                <w:color w:val="3D3935"/>
              </w:rPr>
              <w:t>NQ Deferred</w:t>
            </w:r>
          </w:p>
        </w:tc>
        <w:tc>
          <w:tcPr>
            <w:tcW w:w="1120" w:type="dxa"/>
            <w:vAlign w:val="bottom"/>
            <w:shd w:val="clear" w:color="auto" w:fill="F0F3F5"/>
          </w:tcPr>
          <w:p>
            <w:pPr>
              <w:spacing w:after="0"/>
              <w:rPr>
                <w:sz w:val="14"/>
                <w:szCs w:val="14"/>
                <w:color w:val="auto"/>
              </w:rPr>
            </w:pPr>
          </w:p>
        </w:tc>
        <w:tc>
          <w:tcPr>
            <w:tcW w:w="800" w:type="dxa"/>
            <w:vAlign w:val="bottom"/>
            <w:shd w:val="clear" w:color="auto" w:fill="F0F3F5"/>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F0F3F5"/>
          </w:tcPr>
          <w:p>
            <w:pPr>
              <w:ind w:left="60"/>
              <w:spacing w:after="0"/>
              <w:rPr>
                <w:sz w:val="20"/>
                <w:szCs w:val="20"/>
                <w:color w:val="auto"/>
              </w:rPr>
            </w:pPr>
            <w:r>
              <w:rPr>
                <w:rFonts w:ascii="Arial" w:cs="Arial" w:eastAsia="Arial" w:hAnsi="Arial"/>
                <w:sz w:val="13"/>
                <w:szCs w:val="13"/>
                <w:b w:val="1"/>
                <w:bCs w:val="1"/>
                <w:color w:val="3D3935"/>
              </w:rPr>
              <w:t>Name and</w:t>
            </w:r>
          </w:p>
        </w:tc>
        <w:tc>
          <w:tcPr>
            <w:tcW w:w="460" w:type="dxa"/>
            <w:vAlign w:val="bottom"/>
            <w:shd w:val="clear" w:color="auto" w:fill="F0F3F5"/>
          </w:tcPr>
          <w:p>
            <w:pPr>
              <w:spacing w:after="0"/>
              <w:rPr>
                <w:sz w:val="14"/>
                <w:szCs w:val="14"/>
                <w:color w:val="auto"/>
              </w:rPr>
            </w:pPr>
          </w:p>
        </w:tc>
        <w:tc>
          <w:tcPr>
            <w:tcW w:w="780" w:type="dxa"/>
            <w:vAlign w:val="bottom"/>
            <w:shd w:val="clear" w:color="auto" w:fill="F0F3F5"/>
          </w:tcPr>
          <w:p>
            <w:pPr>
              <w:spacing w:after="0"/>
              <w:rPr>
                <w:sz w:val="14"/>
                <w:szCs w:val="14"/>
                <w:color w:val="auto"/>
              </w:rPr>
            </w:pPr>
          </w:p>
        </w:tc>
        <w:tc>
          <w:tcPr>
            <w:tcW w:w="780" w:type="dxa"/>
            <w:vAlign w:val="bottom"/>
            <w:shd w:val="clear" w:color="auto" w:fill="F0F3F5"/>
          </w:tcPr>
          <w:p>
            <w:pPr>
              <w:spacing w:after="0"/>
              <w:rPr>
                <w:sz w:val="14"/>
                <w:szCs w:val="14"/>
                <w:color w:val="auto"/>
              </w:rPr>
            </w:pPr>
          </w:p>
        </w:tc>
        <w:tc>
          <w:tcPr>
            <w:tcW w:w="820" w:type="dxa"/>
            <w:vAlign w:val="bottom"/>
            <w:shd w:val="clear" w:color="auto" w:fill="F0F3F5"/>
          </w:tcPr>
          <w:p>
            <w:pPr>
              <w:jc w:val="right"/>
              <w:spacing w:after="0"/>
              <w:rPr>
                <w:sz w:val="20"/>
                <w:szCs w:val="20"/>
                <w:color w:val="auto"/>
              </w:rPr>
            </w:pPr>
            <w:r>
              <w:rPr>
                <w:rFonts w:ascii="Arial" w:cs="Arial" w:eastAsia="Arial" w:hAnsi="Arial"/>
                <w:sz w:val="13"/>
                <w:szCs w:val="13"/>
                <w:b w:val="1"/>
                <w:bCs w:val="1"/>
                <w:color w:val="3D3935"/>
              </w:rPr>
              <w:t>Stock</w:t>
            </w:r>
          </w:p>
        </w:tc>
        <w:tc>
          <w:tcPr>
            <w:tcW w:w="780" w:type="dxa"/>
            <w:vAlign w:val="bottom"/>
            <w:shd w:val="clear" w:color="auto" w:fill="F0F3F5"/>
          </w:tcPr>
          <w:p>
            <w:pPr>
              <w:jc w:val="right"/>
              <w:spacing w:after="0"/>
              <w:rPr>
                <w:sz w:val="20"/>
                <w:szCs w:val="20"/>
                <w:color w:val="auto"/>
              </w:rPr>
            </w:pPr>
            <w:r>
              <w:rPr>
                <w:rFonts w:ascii="Arial" w:cs="Arial" w:eastAsia="Arial" w:hAnsi="Arial"/>
                <w:sz w:val="13"/>
                <w:szCs w:val="13"/>
                <w:b w:val="1"/>
                <w:bCs w:val="1"/>
                <w:color w:val="3D3935"/>
              </w:rPr>
              <w:t>Option</w:t>
            </w:r>
          </w:p>
        </w:tc>
        <w:tc>
          <w:tcPr>
            <w:tcW w:w="1120" w:type="dxa"/>
            <w:vAlign w:val="bottom"/>
            <w:shd w:val="clear" w:color="auto" w:fill="F0F3F5"/>
          </w:tcPr>
          <w:p>
            <w:pPr>
              <w:ind w:left="140"/>
              <w:spacing w:after="0"/>
              <w:rPr>
                <w:sz w:val="20"/>
                <w:szCs w:val="20"/>
                <w:color w:val="auto"/>
              </w:rPr>
            </w:pPr>
            <w:r>
              <w:rPr>
                <w:rFonts w:ascii="Arial" w:cs="Arial" w:eastAsia="Arial" w:hAnsi="Arial"/>
                <w:sz w:val="13"/>
                <w:szCs w:val="13"/>
                <w:b w:val="1"/>
                <w:bCs w:val="1"/>
                <w:color w:val="3D3935"/>
              </w:rPr>
              <w:t>Incentive Plan</w:t>
            </w:r>
          </w:p>
        </w:tc>
        <w:tc>
          <w:tcPr>
            <w:tcW w:w="1020" w:type="dxa"/>
            <w:vAlign w:val="bottom"/>
            <w:shd w:val="clear" w:color="auto" w:fill="F0F3F5"/>
          </w:tcPr>
          <w:p>
            <w:pPr>
              <w:jc w:val="right"/>
              <w:spacing w:after="0"/>
              <w:rPr>
                <w:sz w:val="20"/>
                <w:szCs w:val="20"/>
                <w:color w:val="auto"/>
              </w:rPr>
            </w:pPr>
            <w:r>
              <w:rPr>
                <w:rFonts w:ascii="Arial" w:cs="Arial" w:eastAsia="Arial" w:hAnsi="Arial"/>
                <w:sz w:val="13"/>
                <w:szCs w:val="13"/>
                <w:b w:val="1"/>
                <w:bCs w:val="1"/>
                <w:color w:val="3D3935"/>
              </w:rPr>
              <w:t>Compensation</w:t>
            </w:r>
          </w:p>
        </w:tc>
        <w:tc>
          <w:tcPr>
            <w:tcW w:w="1120" w:type="dxa"/>
            <w:vAlign w:val="bottom"/>
            <w:shd w:val="clear" w:color="auto" w:fill="F0F3F5"/>
          </w:tcPr>
          <w:p>
            <w:pPr>
              <w:jc w:val="right"/>
              <w:ind w:right="13"/>
              <w:spacing w:after="0"/>
              <w:rPr>
                <w:sz w:val="20"/>
                <w:szCs w:val="20"/>
                <w:color w:val="auto"/>
              </w:rPr>
            </w:pPr>
            <w:r>
              <w:rPr>
                <w:rFonts w:ascii="Arial" w:cs="Arial" w:eastAsia="Arial" w:hAnsi="Arial"/>
                <w:sz w:val="13"/>
                <w:szCs w:val="13"/>
                <w:b w:val="1"/>
                <w:bCs w:val="1"/>
                <w:color w:val="3D3935"/>
              </w:rPr>
              <w:t>All Other</w:t>
            </w:r>
          </w:p>
        </w:tc>
        <w:tc>
          <w:tcPr>
            <w:tcW w:w="800" w:type="dxa"/>
            <w:vAlign w:val="bottom"/>
            <w:shd w:val="clear" w:color="auto" w:fill="F0F3F5"/>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F0F3F5"/>
          </w:tcPr>
          <w:p>
            <w:pPr>
              <w:ind w:left="60"/>
              <w:spacing w:after="0"/>
              <w:rPr>
                <w:sz w:val="20"/>
                <w:szCs w:val="20"/>
                <w:color w:val="auto"/>
              </w:rPr>
            </w:pPr>
            <w:r>
              <w:rPr>
                <w:rFonts w:ascii="Arial" w:cs="Arial" w:eastAsia="Arial" w:hAnsi="Arial"/>
                <w:sz w:val="13"/>
                <w:szCs w:val="13"/>
                <w:b w:val="1"/>
                <w:bCs w:val="1"/>
                <w:color w:val="3D3935"/>
              </w:rPr>
              <w:t>Principal</w:t>
            </w:r>
          </w:p>
        </w:tc>
        <w:tc>
          <w:tcPr>
            <w:tcW w:w="460" w:type="dxa"/>
            <w:vAlign w:val="bottom"/>
            <w:shd w:val="clear" w:color="auto" w:fill="F0F3F5"/>
          </w:tcPr>
          <w:p>
            <w:pPr>
              <w:spacing w:after="0"/>
              <w:rPr>
                <w:sz w:val="14"/>
                <w:szCs w:val="14"/>
                <w:color w:val="auto"/>
              </w:rPr>
            </w:pPr>
          </w:p>
        </w:tc>
        <w:tc>
          <w:tcPr>
            <w:tcW w:w="780" w:type="dxa"/>
            <w:vAlign w:val="bottom"/>
            <w:shd w:val="clear" w:color="auto" w:fill="F0F3F5"/>
          </w:tcPr>
          <w:p>
            <w:pPr>
              <w:jc w:val="right"/>
              <w:spacing w:after="0"/>
              <w:rPr>
                <w:sz w:val="20"/>
                <w:szCs w:val="20"/>
                <w:color w:val="auto"/>
              </w:rPr>
            </w:pPr>
            <w:r>
              <w:rPr>
                <w:rFonts w:ascii="Arial" w:cs="Arial" w:eastAsia="Arial" w:hAnsi="Arial"/>
                <w:sz w:val="13"/>
                <w:szCs w:val="13"/>
                <w:b w:val="1"/>
                <w:bCs w:val="1"/>
                <w:color w:val="3D3935"/>
              </w:rPr>
              <w:t>Salary</w:t>
            </w:r>
          </w:p>
        </w:tc>
        <w:tc>
          <w:tcPr>
            <w:tcW w:w="780" w:type="dxa"/>
            <w:vAlign w:val="bottom"/>
            <w:shd w:val="clear" w:color="auto" w:fill="F0F3F5"/>
          </w:tcPr>
          <w:p>
            <w:pPr>
              <w:jc w:val="right"/>
              <w:ind w:right="53"/>
              <w:spacing w:after="0" w:line="162" w:lineRule="exact"/>
              <w:rPr>
                <w:sz w:val="20"/>
                <w:szCs w:val="20"/>
                <w:color w:val="auto"/>
              </w:rPr>
            </w:pPr>
            <w:r>
              <w:rPr>
                <w:rFonts w:ascii="Arial" w:cs="Arial" w:eastAsia="Arial" w:hAnsi="Arial"/>
                <w:sz w:val="13"/>
                <w:szCs w:val="13"/>
                <w:b w:val="1"/>
                <w:bCs w:val="1"/>
                <w:color w:val="3D3935"/>
              </w:rPr>
              <w:t>Bonus</w:t>
            </w:r>
            <w:r>
              <w:rPr>
                <w:rFonts w:ascii="Arial" w:cs="Arial" w:eastAsia="Arial" w:hAnsi="Arial"/>
                <w:sz w:val="17"/>
                <w:szCs w:val="17"/>
                <w:b w:val="1"/>
                <w:bCs w:val="1"/>
                <w:color w:val="3D3935"/>
                <w:vertAlign w:val="superscript"/>
              </w:rPr>
              <w:t>(2)</w:t>
            </w:r>
          </w:p>
        </w:tc>
        <w:tc>
          <w:tcPr>
            <w:tcW w:w="820" w:type="dxa"/>
            <w:vAlign w:val="bottom"/>
            <w:shd w:val="clear" w:color="auto" w:fill="F0F3F5"/>
          </w:tcPr>
          <w:p>
            <w:pPr>
              <w:jc w:val="right"/>
              <w:spacing w:after="0" w:line="162" w:lineRule="exact"/>
              <w:rPr>
                <w:sz w:val="20"/>
                <w:szCs w:val="20"/>
                <w:color w:val="auto"/>
              </w:rPr>
            </w:pPr>
            <w:r>
              <w:rPr>
                <w:rFonts w:ascii="Arial" w:cs="Arial" w:eastAsia="Arial" w:hAnsi="Arial"/>
                <w:sz w:val="13"/>
                <w:szCs w:val="13"/>
                <w:b w:val="1"/>
                <w:bCs w:val="1"/>
                <w:color w:val="3D3935"/>
              </w:rPr>
              <w:t>Awards</w:t>
            </w:r>
            <w:r>
              <w:rPr>
                <w:rFonts w:ascii="Arial" w:cs="Arial" w:eastAsia="Arial" w:hAnsi="Arial"/>
                <w:sz w:val="17"/>
                <w:szCs w:val="17"/>
                <w:b w:val="1"/>
                <w:bCs w:val="1"/>
                <w:color w:val="3D3935"/>
                <w:vertAlign w:val="superscript"/>
              </w:rPr>
              <w:t>(3)</w:t>
            </w:r>
          </w:p>
        </w:tc>
        <w:tc>
          <w:tcPr>
            <w:tcW w:w="780" w:type="dxa"/>
            <w:vAlign w:val="bottom"/>
            <w:shd w:val="clear" w:color="auto" w:fill="F0F3F5"/>
          </w:tcPr>
          <w:p>
            <w:pPr>
              <w:jc w:val="right"/>
              <w:ind w:right="33"/>
              <w:spacing w:after="0" w:line="162" w:lineRule="exact"/>
              <w:rPr>
                <w:sz w:val="20"/>
                <w:szCs w:val="20"/>
                <w:color w:val="auto"/>
              </w:rPr>
            </w:pPr>
            <w:r>
              <w:rPr>
                <w:rFonts w:ascii="Arial" w:cs="Arial" w:eastAsia="Arial" w:hAnsi="Arial"/>
                <w:sz w:val="13"/>
                <w:szCs w:val="13"/>
                <w:b w:val="1"/>
                <w:bCs w:val="1"/>
                <w:color w:val="3D3935"/>
              </w:rPr>
              <w:t>Awards</w:t>
            </w:r>
            <w:r>
              <w:rPr>
                <w:rFonts w:ascii="Arial" w:cs="Arial" w:eastAsia="Arial" w:hAnsi="Arial"/>
                <w:sz w:val="17"/>
                <w:szCs w:val="17"/>
                <w:b w:val="1"/>
                <w:bCs w:val="1"/>
                <w:color w:val="3D3935"/>
                <w:vertAlign w:val="superscript"/>
              </w:rPr>
              <w:t>(4)</w:t>
            </w:r>
          </w:p>
        </w:tc>
        <w:tc>
          <w:tcPr>
            <w:tcW w:w="1120" w:type="dxa"/>
            <w:vAlign w:val="bottom"/>
            <w:shd w:val="clear" w:color="auto" w:fill="F0F3F5"/>
          </w:tcPr>
          <w:p>
            <w:pPr>
              <w:ind w:left="20"/>
              <w:spacing w:after="0" w:line="162" w:lineRule="exact"/>
              <w:rPr>
                <w:sz w:val="20"/>
                <w:szCs w:val="20"/>
                <w:color w:val="auto"/>
              </w:rPr>
            </w:pPr>
            <w:r>
              <w:rPr>
                <w:rFonts w:ascii="Arial" w:cs="Arial" w:eastAsia="Arial" w:hAnsi="Arial"/>
                <w:sz w:val="13"/>
                <w:szCs w:val="13"/>
                <w:b w:val="1"/>
                <w:bCs w:val="1"/>
                <w:color w:val="3D3935"/>
              </w:rPr>
              <w:t>Compensation</w:t>
            </w:r>
            <w:r>
              <w:rPr>
                <w:rFonts w:ascii="Arial" w:cs="Arial" w:eastAsia="Arial" w:hAnsi="Arial"/>
                <w:sz w:val="17"/>
                <w:szCs w:val="17"/>
                <w:b w:val="1"/>
                <w:bCs w:val="1"/>
                <w:color w:val="3D3935"/>
                <w:vertAlign w:val="superscript"/>
              </w:rPr>
              <w:t>(5)</w:t>
            </w:r>
          </w:p>
        </w:tc>
        <w:tc>
          <w:tcPr>
            <w:tcW w:w="1020" w:type="dxa"/>
            <w:vAlign w:val="bottom"/>
            <w:shd w:val="clear" w:color="auto" w:fill="F0F3F5"/>
          </w:tcPr>
          <w:p>
            <w:pPr>
              <w:jc w:val="right"/>
              <w:ind w:right="33"/>
              <w:spacing w:after="0" w:line="162" w:lineRule="exact"/>
              <w:rPr>
                <w:sz w:val="20"/>
                <w:szCs w:val="20"/>
                <w:color w:val="auto"/>
              </w:rPr>
            </w:pPr>
            <w:r>
              <w:rPr>
                <w:rFonts w:ascii="Arial" w:cs="Arial" w:eastAsia="Arial" w:hAnsi="Arial"/>
                <w:sz w:val="13"/>
                <w:szCs w:val="13"/>
                <w:b w:val="1"/>
                <w:bCs w:val="1"/>
                <w:color w:val="3D3935"/>
              </w:rPr>
              <w:t>Earnings</w:t>
            </w:r>
            <w:r>
              <w:rPr>
                <w:rFonts w:ascii="Arial" w:cs="Arial" w:eastAsia="Arial" w:hAnsi="Arial"/>
                <w:sz w:val="17"/>
                <w:szCs w:val="17"/>
                <w:b w:val="1"/>
                <w:bCs w:val="1"/>
                <w:color w:val="3D3935"/>
                <w:vertAlign w:val="superscript"/>
              </w:rPr>
              <w:t>(6)</w:t>
            </w:r>
          </w:p>
        </w:tc>
        <w:tc>
          <w:tcPr>
            <w:tcW w:w="1120" w:type="dxa"/>
            <w:vAlign w:val="bottom"/>
            <w:shd w:val="clear" w:color="auto" w:fill="F0F3F5"/>
          </w:tcPr>
          <w:p>
            <w:pPr>
              <w:jc w:val="right"/>
              <w:ind w:right="13"/>
              <w:spacing w:after="0" w:line="162" w:lineRule="exact"/>
              <w:rPr>
                <w:sz w:val="20"/>
                <w:szCs w:val="20"/>
                <w:color w:val="auto"/>
              </w:rPr>
            </w:pPr>
            <w:r>
              <w:rPr>
                <w:rFonts w:ascii="Arial" w:cs="Arial" w:eastAsia="Arial" w:hAnsi="Arial"/>
                <w:sz w:val="13"/>
                <w:szCs w:val="13"/>
                <w:b w:val="1"/>
                <w:bCs w:val="1"/>
                <w:color w:val="3D3935"/>
                <w:w w:val="97"/>
              </w:rPr>
              <w:t>Compensation</w:t>
            </w:r>
            <w:r>
              <w:rPr>
                <w:rFonts w:ascii="Arial" w:cs="Arial" w:eastAsia="Arial" w:hAnsi="Arial"/>
                <w:sz w:val="17"/>
                <w:szCs w:val="17"/>
                <w:b w:val="1"/>
                <w:bCs w:val="1"/>
                <w:color w:val="3D3935"/>
                <w:w w:val="97"/>
                <w:vertAlign w:val="superscript"/>
              </w:rPr>
              <w:t>(7)</w:t>
            </w:r>
          </w:p>
        </w:tc>
        <w:tc>
          <w:tcPr>
            <w:tcW w:w="800" w:type="dxa"/>
            <w:vAlign w:val="bottom"/>
            <w:shd w:val="clear" w:color="auto" w:fill="F0F3F5"/>
          </w:tcPr>
          <w:p>
            <w:pPr>
              <w:jc w:val="right"/>
              <w:spacing w:after="0"/>
              <w:rPr>
                <w:sz w:val="20"/>
                <w:szCs w:val="20"/>
                <w:color w:val="auto"/>
              </w:rPr>
            </w:pPr>
            <w:r>
              <w:rPr>
                <w:rFonts w:ascii="Arial" w:cs="Arial" w:eastAsia="Arial" w:hAnsi="Arial"/>
                <w:sz w:val="13"/>
                <w:szCs w:val="13"/>
                <w:b w:val="1"/>
                <w:bCs w:val="1"/>
                <w:color w:val="3D3935"/>
              </w:rPr>
              <w:t>Total</w:t>
            </w:r>
          </w:p>
        </w:tc>
        <w:tc>
          <w:tcPr>
            <w:tcW w:w="0" w:type="dxa"/>
            <w:vAlign w:val="bottom"/>
          </w:tcPr>
          <w:p>
            <w:pPr>
              <w:spacing w:after="0"/>
              <w:rPr>
                <w:sz w:val="1"/>
                <w:szCs w:val="1"/>
                <w:color w:val="auto"/>
              </w:rPr>
            </w:pPr>
          </w:p>
        </w:tc>
      </w:tr>
      <w:tr>
        <w:trPr>
          <w:trHeight w:val="190"/>
        </w:trPr>
        <w:tc>
          <w:tcPr>
            <w:tcW w:w="1400" w:type="dxa"/>
            <w:vAlign w:val="bottom"/>
            <w:tcBorders>
              <w:bottom w:val="single" w:sz="8" w:color="0072CE"/>
            </w:tcBorders>
            <w:shd w:val="clear" w:color="auto" w:fill="F0F3F5"/>
          </w:tcPr>
          <w:p>
            <w:pPr>
              <w:ind w:left="60"/>
              <w:spacing w:after="0" w:line="190" w:lineRule="exact"/>
              <w:rPr>
                <w:sz w:val="20"/>
                <w:szCs w:val="20"/>
                <w:color w:val="auto"/>
              </w:rPr>
            </w:pPr>
            <w:r>
              <w:rPr>
                <w:rFonts w:ascii="Arial" w:cs="Arial" w:eastAsia="Arial" w:hAnsi="Arial"/>
                <w:sz w:val="13"/>
                <w:szCs w:val="13"/>
                <w:b w:val="1"/>
                <w:bCs w:val="1"/>
                <w:color w:val="3D3935"/>
              </w:rPr>
              <w:t>Position</w:t>
            </w:r>
            <w:r>
              <w:rPr>
                <w:rFonts w:ascii="Arial" w:cs="Arial" w:eastAsia="Arial" w:hAnsi="Arial"/>
                <w:sz w:val="17"/>
                <w:szCs w:val="17"/>
                <w:b w:val="1"/>
                <w:bCs w:val="1"/>
                <w:color w:val="3D3935"/>
                <w:vertAlign w:val="superscript"/>
              </w:rPr>
              <w:t>(1)</w:t>
            </w:r>
          </w:p>
        </w:tc>
        <w:tc>
          <w:tcPr>
            <w:tcW w:w="460" w:type="dxa"/>
            <w:vAlign w:val="bottom"/>
            <w:tcBorders>
              <w:bottom w:val="single" w:sz="8" w:color="0072CE"/>
            </w:tcBorders>
            <w:shd w:val="clear" w:color="auto" w:fill="F0F3F5"/>
          </w:tcPr>
          <w:p>
            <w:pPr>
              <w:jc w:val="right"/>
              <w:spacing w:after="0"/>
              <w:rPr>
                <w:sz w:val="20"/>
                <w:szCs w:val="20"/>
                <w:color w:val="auto"/>
              </w:rPr>
            </w:pPr>
            <w:r>
              <w:rPr>
                <w:rFonts w:ascii="Arial" w:cs="Arial" w:eastAsia="Arial" w:hAnsi="Arial"/>
                <w:sz w:val="13"/>
                <w:szCs w:val="13"/>
                <w:b w:val="1"/>
                <w:bCs w:val="1"/>
                <w:color w:val="3D3935"/>
              </w:rPr>
              <w:t>Year</w:t>
            </w:r>
          </w:p>
        </w:tc>
        <w:tc>
          <w:tcPr>
            <w:tcW w:w="780" w:type="dxa"/>
            <w:vAlign w:val="bottom"/>
            <w:tcBorders>
              <w:bottom w:val="single" w:sz="8" w:color="0072CE"/>
            </w:tcBorders>
            <w:shd w:val="clear" w:color="auto" w:fill="F0F3F5"/>
          </w:tcPr>
          <w:p>
            <w:pPr>
              <w:jc w:val="right"/>
              <w:spacing w:after="0"/>
              <w:rPr>
                <w:sz w:val="20"/>
                <w:szCs w:val="20"/>
                <w:color w:val="auto"/>
              </w:rPr>
            </w:pPr>
            <w:r>
              <w:rPr>
                <w:rFonts w:ascii="Arial" w:cs="Arial" w:eastAsia="Arial" w:hAnsi="Arial"/>
                <w:sz w:val="13"/>
                <w:szCs w:val="13"/>
                <w:b w:val="1"/>
                <w:bCs w:val="1"/>
                <w:color w:val="3D3935"/>
              </w:rPr>
              <w:t>($)</w:t>
            </w:r>
          </w:p>
        </w:tc>
        <w:tc>
          <w:tcPr>
            <w:tcW w:w="780" w:type="dxa"/>
            <w:vAlign w:val="bottom"/>
            <w:tcBorders>
              <w:bottom w:val="single" w:sz="8" w:color="0072CE"/>
            </w:tcBorders>
            <w:shd w:val="clear" w:color="auto" w:fill="F0F3F5"/>
          </w:tcPr>
          <w:p>
            <w:pPr>
              <w:jc w:val="right"/>
              <w:ind w:right="53"/>
              <w:spacing w:after="0"/>
              <w:rPr>
                <w:sz w:val="20"/>
                <w:szCs w:val="20"/>
                <w:color w:val="auto"/>
              </w:rPr>
            </w:pPr>
            <w:r>
              <w:rPr>
                <w:rFonts w:ascii="Arial" w:cs="Arial" w:eastAsia="Arial" w:hAnsi="Arial"/>
                <w:sz w:val="13"/>
                <w:szCs w:val="13"/>
                <w:b w:val="1"/>
                <w:bCs w:val="1"/>
                <w:color w:val="3D3935"/>
              </w:rPr>
              <w:t>($)</w:t>
            </w:r>
          </w:p>
        </w:tc>
        <w:tc>
          <w:tcPr>
            <w:tcW w:w="820" w:type="dxa"/>
            <w:vAlign w:val="bottom"/>
            <w:tcBorders>
              <w:bottom w:val="single" w:sz="8" w:color="0072CE"/>
            </w:tcBorders>
            <w:shd w:val="clear" w:color="auto" w:fill="F0F3F5"/>
          </w:tcPr>
          <w:p>
            <w:pPr>
              <w:jc w:val="right"/>
              <w:ind w:right="13"/>
              <w:spacing w:after="0"/>
              <w:rPr>
                <w:sz w:val="20"/>
                <w:szCs w:val="20"/>
                <w:color w:val="auto"/>
              </w:rPr>
            </w:pPr>
            <w:r>
              <w:rPr>
                <w:rFonts w:ascii="Arial" w:cs="Arial" w:eastAsia="Arial" w:hAnsi="Arial"/>
                <w:sz w:val="13"/>
                <w:szCs w:val="13"/>
                <w:b w:val="1"/>
                <w:bCs w:val="1"/>
                <w:color w:val="3D3935"/>
              </w:rPr>
              <w:t>($)</w:t>
            </w:r>
          </w:p>
        </w:tc>
        <w:tc>
          <w:tcPr>
            <w:tcW w:w="780" w:type="dxa"/>
            <w:vAlign w:val="bottom"/>
            <w:tcBorders>
              <w:bottom w:val="single" w:sz="8" w:color="0072CE"/>
            </w:tcBorders>
            <w:shd w:val="clear" w:color="auto" w:fill="F0F3F5"/>
          </w:tcPr>
          <w:p>
            <w:pPr>
              <w:jc w:val="right"/>
              <w:ind w:right="33"/>
              <w:spacing w:after="0"/>
              <w:rPr>
                <w:sz w:val="20"/>
                <w:szCs w:val="20"/>
                <w:color w:val="auto"/>
              </w:rPr>
            </w:pPr>
            <w:r>
              <w:rPr>
                <w:rFonts w:ascii="Arial" w:cs="Arial" w:eastAsia="Arial" w:hAnsi="Arial"/>
                <w:sz w:val="13"/>
                <w:szCs w:val="13"/>
                <w:b w:val="1"/>
                <w:bCs w:val="1"/>
                <w:color w:val="3D3935"/>
              </w:rPr>
              <w:t>($)</w:t>
            </w:r>
          </w:p>
        </w:tc>
        <w:tc>
          <w:tcPr>
            <w:tcW w:w="1120" w:type="dxa"/>
            <w:vAlign w:val="bottom"/>
            <w:tcBorders>
              <w:bottom w:val="single" w:sz="8" w:color="0072CE"/>
            </w:tcBorders>
            <w:shd w:val="clear" w:color="auto" w:fill="F0F3F5"/>
          </w:tcPr>
          <w:p>
            <w:pPr>
              <w:jc w:val="right"/>
              <w:ind w:right="33"/>
              <w:spacing w:after="0"/>
              <w:rPr>
                <w:sz w:val="20"/>
                <w:szCs w:val="20"/>
                <w:color w:val="auto"/>
              </w:rPr>
            </w:pPr>
            <w:r>
              <w:rPr>
                <w:rFonts w:ascii="Arial" w:cs="Arial" w:eastAsia="Arial" w:hAnsi="Arial"/>
                <w:sz w:val="13"/>
                <w:szCs w:val="13"/>
                <w:b w:val="1"/>
                <w:bCs w:val="1"/>
                <w:color w:val="3D3935"/>
              </w:rPr>
              <w:t>($)</w:t>
            </w:r>
          </w:p>
        </w:tc>
        <w:tc>
          <w:tcPr>
            <w:tcW w:w="1020" w:type="dxa"/>
            <w:vAlign w:val="bottom"/>
            <w:tcBorders>
              <w:bottom w:val="single" w:sz="8" w:color="0072CE"/>
            </w:tcBorders>
            <w:shd w:val="clear" w:color="auto" w:fill="F0F3F5"/>
          </w:tcPr>
          <w:p>
            <w:pPr>
              <w:jc w:val="right"/>
              <w:ind w:right="33"/>
              <w:spacing w:after="0"/>
              <w:rPr>
                <w:sz w:val="20"/>
                <w:szCs w:val="20"/>
                <w:color w:val="auto"/>
              </w:rPr>
            </w:pPr>
            <w:r>
              <w:rPr>
                <w:rFonts w:ascii="Arial" w:cs="Arial" w:eastAsia="Arial" w:hAnsi="Arial"/>
                <w:sz w:val="13"/>
                <w:szCs w:val="13"/>
                <w:b w:val="1"/>
                <w:bCs w:val="1"/>
                <w:color w:val="3D3935"/>
              </w:rPr>
              <w:t>($)</w:t>
            </w:r>
          </w:p>
        </w:tc>
        <w:tc>
          <w:tcPr>
            <w:tcW w:w="1120" w:type="dxa"/>
            <w:vAlign w:val="bottom"/>
            <w:tcBorders>
              <w:bottom w:val="single" w:sz="8" w:color="0072CE"/>
            </w:tcBorders>
            <w:shd w:val="clear" w:color="auto" w:fill="F0F3F5"/>
          </w:tcPr>
          <w:p>
            <w:pPr>
              <w:jc w:val="right"/>
              <w:ind w:right="13"/>
              <w:spacing w:after="0"/>
              <w:rPr>
                <w:sz w:val="20"/>
                <w:szCs w:val="20"/>
                <w:color w:val="auto"/>
              </w:rPr>
            </w:pPr>
            <w:r>
              <w:rPr>
                <w:rFonts w:ascii="Arial" w:cs="Arial" w:eastAsia="Arial" w:hAnsi="Arial"/>
                <w:sz w:val="13"/>
                <w:szCs w:val="13"/>
                <w:b w:val="1"/>
                <w:bCs w:val="1"/>
                <w:color w:val="3D3935"/>
              </w:rPr>
              <w:t>($)</w:t>
            </w:r>
          </w:p>
        </w:tc>
        <w:tc>
          <w:tcPr>
            <w:tcW w:w="800" w:type="dxa"/>
            <w:vAlign w:val="bottom"/>
            <w:tcBorders>
              <w:bottom w:val="single" w:sz="8" w:color="0072CE"/>
            </w:tcBorders>
            <w:shd w:val="clear" w:color="auto" w:fill="F0F3F5"/>
          </w:tcPr>
          <w:p>
            <w:pPr>
              <w:jc w:val="right"/>
              <w:spacing w:after="0"/>
              <w:rPr>
                <w:sz w:val="20"/>
                <w:szCs w:val="20"/>
                <w:color w:val="auto"/>
              </w:rPr>
            </w:pPr>
            <w:r>
              <w:rPr>
                <w:rFonts w:ascii="Arial" w:cs="Arial" w:eastAsia="Arial" w:hAnsi="Arial"/>
                <w:sz w:val="13"/>
                <w:szCs w:val="13"/>
                <w:b w:val="1"/>
                <w:bCs w:val="1"/>
                <w:color w:val="3D3935"/>
              </w:rPr>
              <w:t>($)</w:t>
            </w:r>
          </w:p>
        </w:tc>
        <w:tc>
          <w:tcPr>
            <w:tcW w:w="0" w:type="dxa"/>
            <w:vAlign w:val="bottom"/>
          </w:tcPr>
          <w:p>
            <w:pPr>
              <w:spacing w:after="0"/>
              <w:rPr>
                <w:sz w:val="1"/>
                <w:szCs w:val="1"/>
                <w:color w:val="auto"/>
              </w:rPr>
            </w:pPr>
          </w:p>
        </w:tc>
      </w:tr>
      <w:tr>
        <w:trPr>
          <w:trHeight w:val="203"/>
        </w:trPr>
        <w:tc>
          <w:tcPr>
            <w:tcW w:w="1400" w:type="dxa"/>
            <w:vAlign w:val="bottom"/>
          </w:tcPr>
          <w:p>
            <w:pPr>
              <w:ind w:left="60"/>
              <w:spacing w:after="0"/>
              <w:rPr>
                <w:sz w:val="20"/>
                <w:szCs w:val="20"/>
                <w:color w:val="auto"/>
              </w:rPr>
            </w:pPr>
            <w:r>
              <w:rPr>
                <w:rFonts w:ascii="Arial" w:cs="Arial" w:eastAsia="Arial" w:hAnsi="Arial"/>
                <w:sz w:val="13"/>
                <w:szCs w:val="13"/>
                <w:b w:val="1"/>
                <w:bCs w:val="1"/>
                <w:color w:val="0072CE"/>
              </w:rPr>
              <w:t>Mary T. Barra</w:t>
            </w:r>
          </w:p>
        </w:tc>
        <w:tc>
          <w:tcPr>
            <w:tcW w:w="460" w:type="dxa"/>
            <w:vAlign w:val="bottom"/>
            <w:tcBorders>
              <w:bottom w:val="single" w:sz="8" w:color="D9D9D6"/>
            </w:tcBorders>
          </w:tcPr>
          <w:p>
            <w:pPr>
              <w:jc w:val="right"/>
              <w:ind w:right="33"/>
              <w:spacing w:after="0"/>
              <w:rPr>
                <w:sz w:val="20"/>
                <w:szCs w:val="20"/>
                <w:color w:val="auto"/>
              </w:rPr>
            </w:pPr>
            <w:r>
              <w:rPr>
                <w:rFonts w:ascii="Arial" w:cs="Arial" w:eastAsia="Arial" w:hAnsi="Arial"/>
                <w:sz w:val="13"/>
                <w:szCs w:val="13"/>
                <w:color w:val="3D3935"/>
              </w:rPr>
              <w:t>2024</w:t>
            </w:r>
          </w:p>
        </w:tc>
        <w:tc>
          <w:tcPr>
            <w:tcW w:w="780" w:type="dxa"/>
            <w:vAlign w:val="bottom"/>
            <w:tcBorders>
              <w:bottom w:val="single" w:sz="8" w:color="D9D9D6"/>
            </w:tcBorders>
          </w:tcPr>
          <w:p>
            <w:pPr>
              <w:jc w:val="right"/>
              <w:ind w:right="33"/>
              <w:spacing w:after="0"/>
              <w:rPr>
                <w:sz w:val="20"/>
                <w:szCs w:val="20"/>
                <w:color w:val="auto"/>
              </w:rPr>
            </w:pPr>
            <w:r>
              <w:rPr>
                <w:rFonts w:ascii="Arial" w:cs="Arial" w:eastAsia="Arial" w:hAnsi="Arial"/>
                <w:sz w:val="13"/>
                <w:szCs w:val="13"/>
                <w:color w:val="3D3935"/>
              </w:rPr>
              <w:t>2,100,000</w:t>
            </w:r>
          </w:p>
        </w:tc>
        <w:tc>
          <w:tcPr>
            <w:tcW w:w="780" w:type="dxa"/>
            <w:vAlign w:val="bottom"/>
            <w:tcBorders>
              <w:bottom w:val="single" w:sz="8" w:color="D9D9D6"/>
            </w:tcBorders>
          </w:tcPr>
          <w:p>
            <w:pPr>
              <w:ind w:left="600"/>
              <w:spacing w:after="0"/>
              <w:rPr>
                <w:sz w:val="20"/>
                <w:szCs w:val="20"/>
                <w:color w:val="auto"/>
              </w:rPr>
            </w:pPr>
            <w:r>
              <w:rPr>
                <w:rFonts w:ascii="Arial" w:cs="Arial" w:eastAsia="Arial" w:hAnsi="Arial"/>
                <w:sz w:val="13"/>
                <w:szCs w:val="13"/>
                <w:color w:val="3D3935"/>
              </w:rPr>
              <w:t>—</w:t>
            </w:r>
          </w:p>
        </w:tc>
        <w:tc>
          <w:tcPr>
            <w:tcW w:w="820" w:type="dxa"/>
            <w:vAlign w:val="bottom"/>
            <w:tcBorders>
              <w:bottom w:val="single" w:sz="8" w:color="D9D9D6"/>
            </w:tcBorders>
          </w:tcPr>
          <w:p>
            <w:pPr>
              <w:jc w:val="right"/>
              <w:ind w:right="33"/>
              <w:spacing w:after="0"/>
              <w:rPr>
                <w:sz w:val="20"/>
                <w:szCs w:val="20"/>
                <w:color w:val="auto"/>
              </w:rPr>
            </w:pPr>
            <w:r>
              <w:rPr>
                <w:rFonts w:ascii="Arial" w:cs="Arial" w:eastAsia="Arial" w:hAnsi="Arial"/>
                <w:sz w:val="13"/>
                <w:szCs w:val="13"/>
                <w:color w:val="3D3935"/>
              </w:rPr>
              <w:t>19,500,028</w:t>
            </w:r>
          </w:p>
        </w:tc>
        <w:tc>
          <w:tcPr>
            <w:tcW w:w="78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w:t>
            </w:r>
          </w:p>
        </w:tc>
        <w:tc>
          <w:tcPr>
            <w:tcW w:w="1120" w:type="dxa"/>
            <w:vAlign w:val="bottom"/>
            <w:tcBorders>
              <w:bottom w:val="single" w:sz="8" w:color="D9D9D6"/>
            </w:tcBorders>
          </w:tcPr>
          <w:p>
            <w:pPr>
              <w:ind w:left="380"/>
              <w:spacing w:after="0"/>
              <w:rPr>
                <w:sz w:val="20"/>
                <w:szCs w:val="20"/>
                <w:color w:val="auto"/>
              </w:rPr>
            </w:pPr>
            <w:r>
              <w:rPr>
                <w:rFonts w:ascii="Arial" w:cs="Arial" w:eastAsia="Arial" w:hAnsi="Arial"/>
                <w:sz w:val="13"/>
                <w:szCs w:val="13"/>
                <w:color w:val="3D3935"/>
              </w:rPr>
              <w:t>6,668,000</w:t>
            </w:r>
          </w:p>
        </w:tc>
        <w:tc>
          <w:tcPr>
            <w:tcW w:w="102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w:t>
            </w:r>
          </w:p>
        </w:tc>
        <w:tc>
          <w:tcPr>
            <w:tcW w:w="1120" w:type="dxa"/>
            <w:vAlign w:val="bottom"/>
            <w:tcBorders>
              <w:bottom w:val="single" w:sz="8" w:color="D9D9D6"/>
            </w:tcBorders>
          </w:tcPr>
          <w:p>
            <w:pPr>
              <w:jc w:val="right"/>
              <w:ind w:right="33"/>
              <w:spacing w:after="0"/>
              <w:rPr>
                <w:sz w:val="20"/>
                <w:szCs w:val="20"/>
                <w:color w:val="auto"/>
              </w:rPr>
            </w:pPr>
            <w:r>
              <w:rPr>
                <w:rFonts w:ascii="Arial" w:cs="Arial" w:eastAsia="Arial" w:hAnsi="Arial"/>
                <w:sz w:val="13"/>
                <w:szCs w:val="13"/>
                <w:color w:val="3D3935"/>
              </w:rPr>
              <w:t>1,228,609</w:t>
            </w:r>
          </w:p>
        </w:tc>
        <w:tc>
          <w:tcPr>
            <w:tcW w:w="800" w:type="dxa"/>
            <w:vAlign w:val="bottom"/>
            <w:tcBorders>
              <w:bottom w:val="single" w:sz="8" w:color="D9D9D6"/>
            </w:tcBorders>
          </w:tcPr>
          <w:p>
            <w:pPr>
              <w:jc w:val="right"/>
              <w:ind w:right="33"/>
              <w:spacing w:after="0"/>
              <w:rPr>
                <w:sz w:val="20"/>
                <w:szCs w:val="20"/>
                <w:color w:val="auto"/>
              </w:rPr>
            </w:pPr>
            <w:r>
              <w:rPr>
                <w:rFonts w:ascii="Arial" w:cs="Arial" w:eastAsia="Arial" w:hAnsi="Arial"/>
                <w:sz w:val="13"/>
                <w:szCs w:val="13"/>
                <w:color w:val="3D3935"/>
              </w:rPr>
              <w:t>29,496,637</w:t>
            </w:r>
          </w:p>
        </w:tc>
        <w:tc>
          <w:tcPr>
            <w:tcW w:w="0" w:type="dxa"/>
            <w:vAlign w:val="bottom"/>
          </w:tcPr>
          <w:p>
            <w:pPr>
              <w:spacing w:after="0"/>
              <w:rPr>
                <w:sz w:val="1"/>
                <w:szCs w:val="1"/>
                <w:color w:val="auto"/>
              </w:rPr>
            </w:pPr>
          </w:p>
        </w:tc>
      </w:tr>
      <w:tr>
        <w:trPr>
          <w:trHeight w:val="150"/>
        </w:trPr>
        <w:tc>
          <w:tcPr>
            <w:tcW w:w="1400" w:type="dxa"/>
            <w:vAlign w:val="bottom"/>
          </w:tcPr>
          <w:p>
            <w:pPr>
              <w:ind w:left="60"/>
              <w:spacing w:after="0"/>
              <w:rPr>
                <w:sz w:val="20"/>
                <w:szCs w:val="20"/>
                <w:color w:val="auto"/>
              </w:rPr>
            </w:pPr>
            <w:r>
              <w:rPr>
                <w:rFonts w:ascii="Arial" w:cs="Arial" w:eastAsia="Arial" w:hAnsi="Arial"/>
                <w:sz w:val="13"/>
                <w:szCs w:val="13"/>
                <w:color w:val="3D3935"/>
              </w:rPr>
              <w:t>Chair and Chief</w:t>
            </w:r>
          </w:p>
        </w:tc>
        <w:tc>
          <w:tcPr>
            <w:tcW w:w="460" w:type="dxa"/>
            <w:vAlign w:val="bottom"/>
            <w:vMerge w:val="restart"/>
          </w:tcPr>
          <w:p>
            <w:pPr>
              <w:jc w:val="right"/>
              <w:ind w:right="13"/>
              <w:spacing w:after="0"/>
              <w:rPr>
                <w:sz w:val="20"/>
                <w:szCs w:val="20"/>
                <w:color w:val="auto"/>
              </w:rPr>
            </w:pPr>
            <w:r>
              <w:rPr>
                <w:rFonts w:ascii="Arial" w:cs="Arial" w:eastAsia="Arial" w:hAnsi="Arial"/>
                <w:sz w:val="13"/>
                <w:szCs w:val="13"/>
                <w:color w:val="3D3935"/>
              </w:rPr>
              <w:t>2023</w:t>
            </w:r>
          </w:p>
        </w:tc>
        <w:tc>
          <w:tcPr>
            <w:tcW w:w="780" w:type="dxa"/>
            <w:vAlign w:val="bottom"/>
            <w:vMerge w:val="restart"/>
          </w:tcPr>
          <w:p>
            <w:pPr>
              <w:jc w:val="right"/>
              <w:ind w:right="33"/>
              <w:spacing w:after="0"/>
              <w:rPr>
                <w:sz w:val="20"/>
                <w:szCs w:val="20"/>
                <w:color w:val="auto"/>
              </w:rPr>
            </w:pPr>
            <w:r>
              <w:rPr>
                <w:rFonts w:ascii="Arial" w:cs="Arial" w:eastAsia="Arial" w:hAnsi="Arial"/>
                <w:sz w:val="13"/>
                <w:szCs w:val="13"/>
                <w:color w:val="3D3935"/>
              </w:rPr>
              <w:t>2,100,000</w:t>
            </w:r>
          </w:p>
        </w:tc>
        <w:tc>
          <w:tcPr>
            <w:tcW w:w="780" w:type="dxa"/>
            <w:vAlign w:val="bottom"/>
            <w:vMerge w:val="restart"/>
          </w:tcPr>
          <w:p>
            <w:pPr>
              <w:ind w:left="600"/>
              <w:spacing w:after="0"/>
              <w:rPr>
                <w:sz w:val="20"/>
                <w:szCs w:val="20"/>
                <w:color w:val="auto"/>
              </w:rPr>
            </w:pPr>
            <w:r>
              <w:rPr>
                <w:rFonts w:ascii="Arial" w:cs="Arial" w:eastAsia="Arial" w:hAnsi="Arial"/>
                <w:sz w:val="13"/>
                <w:szCs w:val="13"/>
                <w:color w:val="3D3935"/>
              </w:rPr>
              <w:t>—</w:t>
            </w:r>
          </w:p>
        </w:tc>
        <w:tc>
          <w:tcPr>
            <w:tcW w:w="820" w:type="dxa"/>
            <w:vAlign w:val="bottom"/>
            <w:vMerge w:val="restart"/>
          </w:tcPr>
          <w:p>
            <w:pPr>
              <w:jc w:val="right"/>
              <w:ind w:right="33"/>
              <w:spacing w:after="0"/>
              <w:rPr>
                <w:sz w:val="20"/>
                <w:szCs w:val="20"/>
                <w:color w:val="auto"/>
              </w:rPr>
            </w:pPr>
            <w:r>
              <w:rPr>
                <w:rFonts w:ascii="Arial" w:cs="Arial" w:eastAsia="Arial" w:hAnsi="Arial"/>
                <w:sz w:val="13"/>
                <w:szCs w:val="13"/>
                <w:color w:val="3D3935"/>
              </w:rPr>
              <w:t>14,625,000</w:t>
            </w:r>
          </w:p>
        </w:tc>
        <w:tc>
          <w:tcPr>
            <w:tcW w:w="780" w:type="dxa"/>
            <w:vAlign w:val="bottom"/>
            <w:vMerge w:val="restart"/>
          </w:tcPr>
          <w:p>
            <w:pPr>
              <w:jc w:val="right"/>
              <w:ind w:right="33"/>
              <w:spacing w:after="0"/>
              <w:rPr>
                <w:sz w:val="20"/>
                <w:szCs w:val="20"/>
                <w:color w:val="auto"/>
              </w:rPr>
            </w:pPr>
            <w:r>
              <w:rPr>
                <w:rFonts w:ascii="Arial" w:cs="Arial" w:eastAsia="Arial" w:hAnsi="Arial"/>
                <w:sz w:val="13"/>
                <w:szCs w:val="13"/>
                <w:color w:val="3D3935"/>
              </w:rPr>
              <w:t>4,875,013</w:t>
            </w:r>
          </w:p>
        </w:tc>
        <w:tc>
          <w:tcPr>
            <w:tcW w:w="1120" w:type="dxa"/>
            <w:vAlign w:val="bottom"/>
            <w:vMerge w:val="restart"/>
          </w:tcPr>
          <w:p>
            <w:pPr>
              <w:ind w:left="380"/>
              <w:spacing w:after="0"/>
              <w:rPr>
                <w:sz w:val="20"/>
                <w:szCs w:val="20"/>
                <w:color w:val="auto"/>
              </w:rPr>
            </w:pPr>
            <w:r>
              <w:rPr>
                <w:rFonts w:ascii="Arial" w:cs="Arial" w:eastAsia="Arial" w:hAnsi="Arial"/>
                <w:sz w:val="13"/>
                <w:szCs w:val="13"/>
                <w:color w:val="3D3935"/>
              </w:rPr>
              <w:t>5,250,000</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3D3935"/>
              </w:rPr>
              <w:t>—</w:t>
            </w:r>
          </w:p>
        </w:tc>
        <w:tc>
          <w:tcPr>
            <w:tcW w:w="1120" w:type="dxa"/>
            <w:vAlign w:val="bottom"/>
            <w:vMerge w:val="restart"/>
          </w:tcPr>
          <w:p>
            <w:pPr>
              <w:jc w:val="right"/>
              <w:ind w:right="33"/>
              <w:spacing w:after="0"/>
              <w:rPr>
                <w:sz w:val="20"/>
                <w:szCs w:val="20"/>
                <w:color w:val="auto"/>
              </w:rPr>
            </w:pPr>
            <w:r>
              <w:rPr>
                <w:rFonts w:ascii="Arial" w:cs="Arial" w:eastAsia="Arial" w:hAnsi="Arial"/>
                <w:sz w:val="13"/>
                <w:szCs w:val="13"/>
                <w:color w:val="3D3935"/>
              </w:rPr>
              <w:t>997,392</w:t>
            </w:r>
          </w:p>
        </w:tc>
        <w:tc>
          <w:tcPr>
            <w:tcW w:w="800" w:type="dxa"/>
            <w:vAlign w:val="bottom"/>
            <w:vMerge w:val="restart"/>
          </w:tcPr>
          <w:p>
            <w:pPr>
              <w:jc w:val="right"/>
              <w:ind w:right="33"/>
              <w:spacing w:after="0"/>
              <w:rPr>
                <w:sz w:val="20"/>
                <w:szCs w:val="20"/>
                <w:color w:val="auto"/>
              </w:rPr>
            </w:pPr>
            <w:r>
              <w:rPr>
                <w:rFonts w:ascii="Arial" w:cs="Arial" w:eastAsia="Arial" w:hAnsi="Arial"/>
                <w:sz w:val="13"/>
                <w:szCs w:val="13"/>
                <w:color w:val="3D3935"/>
              </w:rPr>
              <w:t>27,847,405</w:t>
            </w:r>
          </w:p>
        </w:tc>
        <w:tc>
          <w:tcPr>
            <w:tcW w:w="0" w:type="dxa"/>
            <w:vAlign w:val="bottom"/>
          </w:tcPr>
          <w:p>
            <w:pPr>
              <w:spacing w:after="0"/>
              <w:rPr>
                <w:sz w:val="1"/>
                <w:szCs w:val="1"/>
                <w:color w:val="auto"/>
              </w:rPr>
            </w:pPr>
          </w:p>
        </w:tc>
      </w:tr>
      <w:tr>
        <w:trPr>
          <w:trHeight w:val="65"/>
        </w:trPr>
        <w:tc>
          <w:tcPr>
            <w:tcW w:w="1400" w:type="dxa"/>
            <w:vAlign w:val="bottom"/>
            <w:vMerge w:val="restart"/>
          </w:tcPr>
          <w:p>
            <w:pPr>
              <w:ind w:left="60"/>
              <w:spacing w:after="0"/>
              <w:rPr>
                <w:sz w:val="20"/>
                <w:szCs w:val="20"/>
                <w:color w:val="auto"/>
              </w:rPr>
            </w:pPr>
            <w:r>
              <w:rPr>
                <w:rFonts w:ascii="Arial" w:cs="Arial" w:eastAsia="Arial" w:hAnsi="Arial"/>
                <w:sz w:val="13"/>
                <w:szCs w:val="13"/>
                <w:color w:val="3D3935"/>
              </w:rPr>
              <w:t>Executive Officer</w:t>
            </w:r>
          </w:p>
        </w:tc>
        <w:tc>
          <w:tcPr>
            <w:tcW w:w="460" w:type="dxa"/>
            <w:vAlign w:val="bottom"/>
            <w:tcBorders>
              <w:bottom w:val="single" w:sz="8" w:color="D9D9D6"/>
            </w:tcBorders>
            <w:vMerge w:val="continue"/>
          </w:tcPr>
          <w:p>
            <w:pPr>
              <w:spacing w:after="0"/>
              <w:rPr>
                <w:sz w:val="5"/>
                <w:szCs w:val="5"/>
                <w:color w:val="auto"/>
              </w:rPr>
            </w:pPr>
          </w:p>
        </w:tc>
        <w:tc>
          <w:tcPr>
            <w:tcW w:w="780" w:type="dxa"/>
            <w:vAlign w:val="bottom"/>
            <w:tcBorders>
              <w:bottom w:val="single" w:sz="8" w:color="D9D9D6"/>
            </w:tcBorders>
            <w:vMerge w:val="continue"/>
          </w:tcPr>
          <w:p>
            <w:pPr>
              <w:spacing w:after="0"/>
              <w:rPr>
                <w:sz w:val="5"/>
                <w:szCs w:val="5"/>
                <w:color w:val="auto"/>
              </w:rPr>
            </w:pPr>
          </w:p>
        </w:tc>
        <w:tc>
          <w:tcPr>
            <w:tcW w:w="780" w:type="dxa"/>
            <w:vAlign w:val="bottom"/>
            <w:tcBorders>
              <w:bottom w:val="single" w:sz="8" w:color="D9D9D6"/>
            </w:tcBorders>
            <w:vMerge w:val="continue"/>
          </w:tcPr>
          <w:p>
            <w:pPr>
              <w:spacing w:after="0"/>
              <w:rPr>
                <w:sz w:val="5"/>
                <w:szCs w:val="5"/>
                <w:color w:val="auto"/>
              </w:rPr>
            </w:pPr>
          </w:p>
        </w:tc>
        <w:tc>
          <w:tcPr>
            <w:tcW w:w="820" w:type="dxa"/>
            <w:vAlign w:val="bottom"/>
            <w:tcBorders>
              <w:bottom w:val="single" w:sz="8" w:color="D9D9D6"/>
            </w:tcBorders>
            <w:vMerge w:val="continue"/>
          </w:tcPr>
          <w:p>
            <w:pPr>
              <w:spacing w:after="0"/>
              <w:rPr>
                <w:sz w:val="5"/>
                <w:szCs w:val="5"/>
                <w:color w:val="auto"/>
              </w:rPr>
            </w:pPr>
          </w:p>
        </w:tc>
        <w:tc>
          <w:tcPr>
            <w:tcW w:w="780" w:type="dxa"/>
            <w:vAlign w:val="bottom"/>
            <w:tcBorders>
              <w:bottom w:val="single" w:sz="8" w:color="D9D9D6"/>
            </w:tcBorders>
            <w:vMerge w:val="continue"/>
          </w:tcPr>
          <w:p>
            <w:pPr>
              <w:spacing w:after="0"/>
              <w:rPr>
                <w:sz w:val="5"/>
                <w:szCs w:val="5"/>
                <w:color w:val="auto"/>
              </w:rPr>
            </w:pPr>
          </w:p>
        </w:tc>
        <w:tc>
          <w:tcPr>
            <w:tcW w:w="1120" w:type="dxa"/>
            <w:vAlign w:val="bottom"/>
            <w:tcBorders>
              <w:bottom w:val="single" w:sz="8" w:color="D9D9D6"/>
            </w:tcBorders>
            <w:vMerge w:val="continue"/>
          </w:tcPr>
          <w:p>
            <w:pPr>
              <w:spacing w:after="0"/>
              <w:rPr>
                <w:sz w:val="5"/>
                <w:szCs w:val="5"/>
                <w:color w:val="auto"/>
              </w:rPr>
            </w:pPr>
          </w:p>
        </w:tc>
        <w:tc>
          <w:tcPr>
            <w:tcW w:w="1020" w:type="dxa"/>
            <w:vAlign w:val="bottom"/>
            <w:tcBorders>
              <w:bottom w:val="single" w:sz="8" w:color="D9D9D6"/>
            </w:tcBorders>
            <w:vMerge w:val="continue"/>
          </w:tcPr>
          <w:p>
            <w:pPr>
              <w:spacing w:after="0"/>
              <w:rPr>
                <w:sz w:val="5"/>
                <w:szCs w:val="5"/>
                <w:color w:val="auto"/>
              </w:rPr>
            </w:pPr>
          </w:p>
        </w:tc>
        <w:tc>
          <w:tcPr>
            <w:tcW w:w="1120" w:type="dxa"/>
            <w:vAlign w:val="bottom"/>
            <w:tcBorders>
              <w:bottom w:val="single" w:sz="8" w:color="D9D9D6"/>
            </w:tcBorders>
            <w:vMerge w:val="continue"/>
          </w:tcPr>
          <w:p>
            <w:pPr>
              <w:spacing w:after="0"/>
              <w:rPr>
                <w:sz w:val="5"/>
                <w:szCs w:val="5"/>
                <w:color w:val="auto"/>
              </w:rPr>
            </w:pPr>
          </w:p>
        </w:tc>
        <w:tc>
          <w:tcPr>
            <w:tcW w:w="800" w:type="dxa"/>
            <w:vAlign w:val="bottom"/>
            <w:tcBorders>
              <w:bottom w:val="single" w:sz="8" w:color="D9D9D6"/>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1400" w:type="dxa"/>
            <w:vAlign w:val="bottom"/>
            <w:vMerge w:val="continue"/>
          </w:tcPr>
          <w:p>
            <w:pPr>
              <w:spacing w:after="0"/>
              <w:rPr>
                <w:sz w:val="9"/>
                <w:szCs w:val="9"/>
                <w:color w:val="auto"/>
              </w:rPr>
            </w:pPr>
          </w:p>
        </w:tc>
        <w:tc>
          <w:tcPr>
            <w:tcW w:w="460" w:type="dxa"/>
            <w:vAlign w:val="bottom"/>
            <w:vMerge w:val="restart"/>
          </w:tcPr>
          <w:p>
            <w:pPr>
              <w:jc w:val="right"/>
              <w:ind w:right="13"/>
              <w:spacing w:after="0"/>
              <w:rPr>
                <w:sz w:val="20"/>
                <w:szCs w:val="20"/>
                <w:color w:val="auto"/>
              </w:rPr>
            </w:pPr>
            <w:r>
              <w:rPr>
                <w:rFonts w:ascii="Arial" w:cs="Arial" w:eastAsia="Arial" w:hAnsi="Arial"/>
                <w:sz w:val="13"/>
                <w:szCs w:val="13"/>
                <w:color w:val="3D3935"/>
              </w:rPr>
              <w:t>2022</w:t>
            </w:r>
          </w:p>
        </w:tc>
        <w:tc>
          <w:tcPr>
            <w:tcW w:w="780" w:type="dxa"/>
            <w:vAlign w:val="bottom"/>
            <w:vMerge w:val="restart"/>
          </w:tcPr>
          <w:p>
            <w:pPr>
              <w:jc w:val="right"/>
              <w:ind w:right="33"/>
              <w:spacing w:after="0"/>
              <w:rPr>
                <w:sz w:val="20"/>
                <w:szCs w:val="20"/>
                <w:color w:val="auto"/>
              </w:rPr>
            </w:pPr>
            <w:r>
              <w:rPr>
                <w:rFonts w:ascii="Arial" w:cs="Arial" w:eastAsia="Arial" w:hAnsi="Arial"/>
                <w:sz w:val="13"/>
                <w:szCs w:val="13"/>
                <w:color w:val="3D3935"/>
              </w:rPr>
              <w:t>2,100,000</w:t>
            </w:r>
          </w:p>
        </w:tc>
        <w:tc>
          <w:tcPr>
            <w:tcW w:w="780" w:type="dxa"/>
            <w:vAlign w:val="bottom"/>
            <w:vMerge w:val="restart"/>
          </w:tcPr>
          <w:p>
            <w:pPr>
              <w:ind w:left="600"/>
              <w:spacing w:after="0"/>
              <w:rPr>
                <w:sz w:val="20"/>
                <w:szCs w:val="20"/>
                <w:color w:val="auto"/>
              </w:rPr>
            </w:pPr>
            <w:r>
              <w:rPr>
                <w:rFonts w:ascii="Arial" w:cs="Arial" w:eastAsia="Arial" w:hAnsi="Arial"/>
                <w:sz w:val="13"/>
                <w:szCs w:val="13"/>
                <w:color w:val="3D3935"/>
              </w:rPr>
              <w:t>—</w:t>
            </w:r>
          </w:p>
        </w:tc>
        <w:tc>
          <w:tcPr>
            <w:tcW w:w="820" w:type="dxa"/>
            <w:vAlign w:val="bottom"/>
            <w:vMerge w:val="restart"/>
          </w:tcPr>
          <w:p>
            <w:pPr>
              <w:jc w:val="right"/>
              <w:ind w:right="33"/>
              <w:spacing w:after="0"/>
              <w:rPr>
                <w:sz w:val="20"/>
                <w:szCs w:val="20"/>
                <w:color w:val="auto"/>
              </w:rPr>
            </w:pPr>
            <w:r>
              <w:rPr>
                <w:rFonts w:ascii="Arial" w:cs="Arial" w:eastAsia="Arial" w:hAnsi="Arial"/>
                <w:sz w:val="13"/>
                <w:szCs w:val="13"/>
                <w:color w:val="3D3935"/>
              </w:rPr>
              <w:t>14,625,000</w:t>
            </w:r>
          </w:p>
        </w:tc>
        <w:tc>
          <w:tcPr>
            <w:tcW w:w="780" w:type="dxa"/>
            <w:vAlign w:val="bottom"/>
            <w:vMerge w:val="restart"/>
          </w:tcPr>
          <w:p>
            <w:pPr>
              <w:jc w:val="right"/>
              <w:ind w:right="33"/>
              <w:spacing w:after="0"/>
              <w:rPr>
                <w:sz w:val="20"/>
                <w:szCs w:val="20"/>
                <w:color w:val="auto"/>
              </w:rPr>
            </w:pPr>
            <w:r>
              <w:rPr>
                <w:rFonts w:ascii="Arial" w:cs="Arial" w:eastAsia="Arial" w:hAnsi="Arial"/>
                <w:sz w:val="13"/>
                <w:szCs w:val="13"/>
                <w:color w:val="3D3935"/>
              </w:rPr>
              <w:t>4,875,010</w:t>
            </w:r>
          </w:p>
        </w:tc>
        <w:tc>
          <w:tcPr>
            <w:tcW w:w="1120" w:type="dxa"/>
            <w:vAlign w:val="bottom"/>
            <w:vMerge w:val="restart"/>
          </w:tcPr>
          <w:p>
            <w:pPr>
              <w:ind w:left="380"/>
              <w:spacing w:after="0"/>
              <w:rPr>
                <w:sz w:val="20"/>
                <w:szCs w:val="20"/>
                <w:color w:val="auto"/>
              </w:rPr>
            </w:pPr>
            <w:r>
              <w:rPr>
                <w:rFonts w:ascii="Arial" w:cs="Arial" w:eastAsia="Arial" w:hAnsi="Arial"/>
                <w:sz w:val="13"/>
                <w:szCs w:val="13"/>
                <w:color w:val="3D3935"/>
              </w:rPr>
              <w:t>6,258,000</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3D3935"/>
              </w:rPr>
              <w:t>—</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3D3935"/>
              </w:rPr>
              <w:t>1,121,560</w:t>
            </w:r>
          </w:p>
        </w:tc>
        <w:tc>
          <w:tcPr>
            <w:tcW w:w="800" w:type="dxa"/>
            <w:vAlign w:val="bottom"/>
            <w:vMerge w:val="restart"/>
          </w:tcPr>
          <w:p>
            <w:pPr>
              <w:jc w:val="right"/>
              <w:ind w:right="13"/>
              <w:spacing w:after="0"/>
              <w:rPr>
                <w:sz w:val="20"/>
                <w:szCs w:val="20"/>
                <w:color w:val="auto"/>
              </w:rPr>
            </w:pPr>
            <w:r>
              <w:rPr>
                <w:rFonts w:ascii="Arial" w:cs="Arial" w:eastAsia="Arial" w:hAnsi="Arial"/>
                <w:sz w:val="13"/>
                <w:szCs w:val="13"/>
                <w:color w:val="3D3935"/>
              </w:rPr>
              <w:t>28,979,570</w:t>
            </w:r>
          </w:p>
        </w:tc>
        <w:tc>
          <w:tcPr>
            <w:tcW w:w="0" w:type="dxa"/>
            <w:vAlign w:val="bottom"/>
          </w:tcPr>
          <w:p>
            <w:pPr>
              <w:spacing w:after="0"/>
              <w:rPr>
                <w:sz w:val="1"/>
                <w:szCs w:val="1"/>
                <w:color w:val="auto"/>
              </w:rPr>
            </w:pPr>
          </w:p>
        </w:tc>
      </w:tr>
      <w:tr>
        <w:trPr>
          <w:trHeight w:val="101"/>
        </w:trPr>
        <w:tc>
          <w:tcPr>
            <w:tcW w:w="1400" w:type="dxa"/>
            <w:vAlign w:val="bottom"/>
            <w:tcBorders>
              <w:bottom w:val="single" w:sz="8" w:color="D9D9D6"/>
            </w:tcBorders>
          </w:tcPr>
          <w:p>
            <w:pPr>
              <w:spacing w:after="0"/>
              <w:rPr>
                <w:sz w:val="8"/>
                <w:szCs w:val="8"/>
                <w:color w:val="auto"/>
              </w:rPr>
            </w:pPr>
          </w:p>
        </w:tc>
        <w:tc>
          <w:tcPr>
            <w:tcW w:w="460" w:type="dxa"/>
            <w:vAlign w:val="bottom"/>
            <w:tcBorders>
              <w:bottom w:val="single" w:sz="8" w:color="D9D9D6"/>
            </w:tcBorders>
            <w:vMerge w:val="continue"/>
          </w:tcPr>
          <w:p>
            <w:pPr>
              <w:spacing w:after="0"/>
              <w:rPr>
                <w:sz w:val="8"/>
                <w:szCs w:val="8"/>
                <w:color w:val="auto"/>
              </w:rPr>
            </w:pPr>
          </w:p>
        </w:tc>
        <w:tc>
          <w:tcPr>
            <w:tcW w:w="780" w:type="dxa"/>
            <w:vAlign w:val="bottom"/>
            <w:tcBorders>
              <w:bottom w:val="single" w:sz="8" w:color="D9D9D6"/>
            </w:tcBorders>
            <w:vMerge w:val="continue"/>
          </w:tcPr>
          <w:p>
            <w:pPr>
              <w:spacing w:after="0"/>
              <w:rPr>
                <w:sz w:val="8"/>
                <w:szCs w:val="8"/>
                <w:color w:val="auto"/>
              </w:rPr>
            </w:pPr>
          </w:p>
        </w:tc>
        <w:tc>
          <w:tcPr>
            <w:tcW w:w="780" w:type="dxa"/>
            <w:vAlign w:val="bottom"/>
            <w:tcBorders>
              <w:bottom w:val="single" w:sz="8" w:color="D9D9D6"/>
            </w:tcBorders>
            <w:vMerge w:val="continue"/>
          </w:tcPr>
          <w:p>
            <w:pPr>
              <w:spacing w:after="0"/>
              <w:rPr>
                <w:sz w:val="8"/>
                <w:szCs w:val="8"/>
                <w:color w:val="auto"/>
              </w:rPr>
            </w:pPr>
          </w:p>
        </w:tc>
        <w:tc>
          <w:tcPr>
            <w:tcW w:w="820" w:type="dxa"/>
            <w:vAlign w:val="bottom"/>
            <w:tcBorders>
              <w:bottom w:val="single" w:sz="8" w:color="D9D9D6"/>
            </w:tcBorders>
            <w:vMerge w:val="continue"/>
          </w:tcPr>
          <w:p>
            <w:pPr>
              <w:spacing w:after="0"/>
              <w:rPr>
                <w:sz w:val="8"/>
                <w:szCs w:val="8"/>
                <w:color w:val="auto"/>
              </w:rPr>
            </w:pPr>
          </w:p>
        </w:tc>
        <w:tc>
          <w:tcPr>
            <w:tcW w:w="780" w:type="dxa"/>
            <w:vAlign w:val="bottom"/>
            <w:tcBorders>
              <w:bottom w:val="single" w:sz="8" w:color="D9D9D6"/>
            </w:tcBorders>
            <w:vMerge w:val="continue"/>
          </w:tcPr>
          <w:p>
            <w:pPr>
              <w:spacing w:after="0"/>
              <w:rPr>
                <w:sz w:val="8"/>
                <w:szCs w:val="8"/>
                <w:color w:val="auto"/>
              </w:rPr>
            </w:pPr>
          </w:p>
        </w:tc>
        <w:tc>
          <w:tcPr>
            <w:tcW w:w="1120" w:type="dxa"/>
            <w:vAlign w:val="bottom"/>
            <w:tcBorders>
              <w:bottom w:val="single" w:sz="8" w:color="D9D9D6"/>
            </w:tcBorders>
            <w:vMerge w:val="continue"/>
          </w:tcPr>
          <w:p>
            <w:pPr>
              <w:spacing w:after="0"/>
              <w:rPr>
                <w:sz w:val="8"/>
                <w:szCs w:val="8"/>
                <w:color w:val="auto"/>
              </w:rPr>
            </w:pPr>
          </w:p>
        </w:tc>
        <w:tc>
          <w:tcPr>
            <w:tcW w:w="1020" w:type="dxa"/>
            <w:vAlign w:val="bottom"/>
            <w:tcBorders>
              <w:bottom w:val="single" w:sz="8" w:color="D9D9D6"/>
            </w:tcBorders>
            <w:vMerge w:val="continue"/>
          </w:tcPr>
          <w:p>
            <w:pPr>
              <w:spacing w:after="0"/>
              <w:rPr>
                <w:sz w:val="8"/>
                <w:szCs w:val="8"/>
                <w:color w:val="auto"/>
              </w:rPr>
            </w:pPr>
          </w:p>
        </w:tc>
        <w:tc>
          <w:tcPr>
            <w:tcW w:w="1120" w:type="dxa"/>
            <w:vAlign w:val="bottom"/>
            <w:tcBorders>
              <w:bottom w:val="single" w:sz="8" w:color="D9D9D6"/>
            </w:tcBorders>
            <w:vMerge w:val="continue"/>
          </w:tcPr>
          <w:p>
            <w:pPr>
              <w:spacing w:after="0"/>
              <w:rPr>
                <w:sz w:val="8"/>
                <w:szCs w:val="8"/>
                <w:color w:val="auto"/>
              </w:rPr>
            </w:pPr>
          </w:p>
        </w:tc>
        <w:tc>
          <w:tcPr>
            <w:tcW w:w="800" w:type="dxa"/>
            <w:vAlign w:val="bottom"/>
            <w:tcBorders>
              <w:bottom w:val="single" w:sz="8" w:color="D9D9D6"/>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400" w:type="dxa"/>
            <w:vAlign w:val="bottom"/>
          </w:tcPr>
          <w:p>
            <w:pPr>
              <w:ind w:left="60"/>
              <w:spacing w:after="0"/>
              <w:rPr>
                <w:sz w:val="20"/>
                <w:szCs w:val="20"/>
                <w:color w:val="auto"/>
              </w:rPr>
            </w:pPr>
            <w:r>
              <w:rPr>
                <w:rFonts w:ascii="Arial" w:cs="Arial" w:eastAsia="Arial" w:hAnsi="Arial"/>
                <w:sz w:val="13"/>
                <w:szCs w:val="13"/>
                <w:b w:val="1"/>
                <w:bCs w:val="1"/>
                <w:color w:val="0072CE"/>
              </w:rPr>
              <w:t>Paul A. Jacobson</w:t>
            </w:r>
          </w:p>
        </w:tc>
        <w:tc>
          <w:tcPr>
            <w:tcW w:w="460" w:type="dxa"/>
            <w:vAlign w:val="bottom"/>
            <w:tcBorders>
              <w:bottom w:val="single" w:sz="8" w:color="D9D9D6"/>
            </w:tcBorders>
          </w:tcPr>
          <w:p>
            <w:pPr>
              <w:jc w:val="right"/>
              <w:ind w:right="33"/>
              <w:spacing w:after="0"/>
              <w:rPr>
                <w:sz w:val="20"/>
                <w:szCs w:val="20"/>
                <w:color w:val="auto"/>
              </w:rPr>
            </w:pPr>
            <w:r>
              <w:rPr>
                <w:rFonts w:ascii="Arial" w:cs="Arial" w:eastAsia="Arial" w:hAnsi="Arial"/>
                <w:sz w:val="13"/>
                <w:szCs w:val="13"/>
                <w:color w:val="3D3935"/>
              </w:rPr>
              <w:t>2024</w:t>
            </w:r>
          </w:p>
        </w:tc>
        <w:tc>
          <w:tcPr>
            <w:tcW w:w="780" w:type="dxa"/>
            <w:vAlign w:val="bottom"/>
            <w:tcBorders>
              <w:bottom w:val="single" w:sz="8" w:color="D9D9D6"/>
            </w:tcBorders>
          </w:tcPr>
          <w:p>
            <w:pPr>
              <w:jc w:val="right"/>
              <w:ind w:right="33"/>
              <w:spacing w:after="0"/>
              <w:rPr>
                <w:sz w:val="20"/>
                <w:szCs w:val="20"/>
                <w:color w:val="auto"/>
              </w:rPr>
            </w:pPr>
            <w:r>
              <w:rPr>
                <w:rFonts w:ascii="Arial" w:cs="Arial" w:eastAsia="Arial" w:hAnsi="Arial"/>
                <w:sz w:val="13"/>
                <w:szCs w:val="13"/>
                <w:color w:val="3D3935"/>
              </w:rPr>
              <w:t>1,200,000</w:t>
            </w:r>
          </w:p>
        </w:tc>
        <w:tc>
          <w:tcPr>
            <w:tcW w:w="780" w:type="dxa"/>
            <w:vAlign w:val="bottom"/>
            <w:tcBorders>
              <w:bottom w:val="single" w:sz="8" w:color="D9D9D6"/>
            </w:tcBorders>
          </w:tcPr>
          <w:p>
            <w:pPr>
              <w:ind w:left="600"/>
              <w:spacing w:after="0"/>
              <w:rPr>
                <w:sz w:val="20"/>
                <w:szCs w:val="20"/>
                <w:color w:val="auto"/>
              </w:rPr>
            </w:pPr>
            <w:r>
              <w:rPr>
                <w:rFonts w:ascii="Arial" w:cs="Arial" w:eastAsia="Arial" w:hAnsi="Arial"/>
                <w:sz w:val="13"/>
                <w:szCs w:val="13"/>
                <w:color w:val="3D3935"/>
              </w:rPr>
              <w:t>—</w:t>
            </w:r>
          </w:p>
        </w:tc>
        <w:tc>
          <w:tcPr>
            <w:tcW w:w="820" w:type="dxa"/>
            <w:vAlign w:val="bottom"/>
            <w:tcBorders>
              <w:bottom w:val="single" w:sz="8" w:color="D9D9D6"/>
            </w:tcBorders>
          </w:tcPr>
          <w:p>
            <w:pPr>
              <w:ind w:left="100"/>
              <w:spacing w:after="0"/>
              <w:rPr>
                <w:sz w:val="20"/>
                <w:szCs w:val="20"/>
                <w:color w:val="auto"/>
              </w:rPr>
            </w:pPr>
            <w:r>
              <w:rPr>
                <w:rFonts w:ascii="Arial" w:cs="Arial" w:eastAsia="Arial" w:hAnsi="Arial"/>
                <w:sz w:val="13"/>
                <w:szCs w:val="13"/>
                <w:color w:val="3D3935"/>
              </w:rPr>
              <w:t>9,300,002</w:t>
            </w:r>
          </w:p>
        </w:tc>
        <w:tc>
          <w:tcPr>
            <w:tcW w:w="78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w:t>
            </w:r>
          </w:p>
        </w:tc>
        <w:tc>
          <w:tcPr>
            <w:tcW w:w="1120" w:type="dxa"/>
            <w:vAlign w:val="bottom"/>
            <w:tcBorders>
              <w:bottom w:val="single" w:sz="8" w:color="D9D9D6"/>
            </w:tcBorders>
          </w:tcPr>
          <w:p>
            <w:pPr>
              <w:ind w:left="400"/>
              <w:spacing w:after="0"/>
              <w:rPr>
                <w:sz w:val="20"/>
                <w:szCs w:val="20"/>
                <w:color w:val="auto"/>
              </w:rPr>
            </w:pPr>
            <w:r>
              <w:rPr>
                <w:rFonts w:ascii="Arial" w:cs="Arial" w:eastAsia="Arial" w:hAnsi="Arial"/>
                <w:sz w:val="13"/>
                <w:szCs w:val="13"/>
                <w:color w:val="3D3935"/>
              </w:rPr>
              <w:t>2,381,400</w:t>
            </w:r>
          </w:p>
        </w:tc>
        <w:tc>
          <w:tcPr>
            <w:tcW w:w="102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w:t>
            </w:r>
          </w:p>
        </w:tc>
        <w:tc>
          <w:tcPr>
            <w:tcW w:w="1120" w:type="dxa"/>
            <w:vAlign w:val="bottom"/>
            <w:tcBorders>
              <w:bottom w:val="single" w:sz="8" w:color="D9D9D6"/>
            </w:tcBorders>
          </w:tcPr>
          <w:p>
            <w:pPr>
              <w:jc w:val="right"/>
              <w:ind w:right="73"/>
              <w:spacing w:after="0"/>
              <w:rPr>
                <w:sz w:val="20"/>
                <w:szCs w:val="20"/>
                <w:color w:val="auto"/>
              </w:rPr>
            </w:pPr>
            <w:r>
              <w:rPr>
                <w:rFonts w:ascii="Arial" w:cs="Arial" w:eastAsia="Arial" w:hAnsi="Arial"/>
                <w:sz w:val="13"/>
                <w:szCs w:val="13"/>
                <w:color w:val="3D3935"/>
              </w:rPr>
              <w:t>232,005</w:t>
            </w:r>
          </w:p>
        </w:tc>
        <w:tc>
          <w:tcPr>
            <w:tcW w:w="80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13,113,407</w:t>
            </w:r>
          </w:p>
        </w:tc>
        <w:tc>
          <w:tcPr>
            <w:tcW w:w="0" w:type="dxa"/>
            <w:vAlign w:val="bottom"/>
          </w:tcPr>
          <w:p>
            <w:pPr>
              <w:spacing w:after="0"/>
              <w:rPr>
                <w:sz w:val="1"/>
                <w:szCs w:val="1"/>
                <w:color w:val="auto"/>
              </w:rPr>
            </w:pPr>
          </w:p>
        </w:tc>
      </w:tr>
      <w:tr>
        <w:trPr>
          <w:trHeight w:val="150"/>
        </w:trPr>
        <w:tc>
          <w:tcPr>
            <w:tcW w:w="1400" w:type="dxa"/>
            <w:vAlign w:val="bottom"/>
          </w:tcPr>
          <w:p>
            <w:pPr>
              <w:ind w:left="60"/>
              <w:spacing w:after="0"/>
              <w:rPr>
                <w:sz w:val="20"/>
                <w:szCs w:val="20"/>
                <w:color w:val="auto"/>
              </w:rPr>
            </w:pPr>
            <w:r>
              <w:rPr>
                <w:rFonts w:ascii="Arial" w:cs="Arial" w:eastAsia="Arial" w:hAnsi="Arial"/>
                <w:sz w:val="13"/>
                <w:szCs w:val="13"/>
                <w:color w:val="3D3935"/>
              </w:rPr>
              <w:t>Executive Vice</w:t>
            </w:r>
          </w:p>
        </w:tc>
        <w:tc>
          <w:tcPr>
            <w:tcW w:w="460" w:type="dxa"/>
            <w:vAlign w:val="bottom"/>
            <w:vMerge w:val="restart"/>
          </w:tcPr>
          <w:p>
            <w:pPr>
              <w:jc w:val="right"/>
              <w:ind w:right="13"/>
              <w:spacing w:after="0"/>
              <w:rPr>
                <w:sz w:val="20"/>
                <w:szCs w:val="20"/>
                <w:color w:val="auto"/>
              </w:rPr>
            </w:pPr>
            <w:r>
              <w:rPr>
                <w:rFonts w:ascii="Arial" w:cs="Arial" w:eastAsia="Arial" w:hAnsi="Arial"/>
                <w:sz w:val="13"/>
                <w:szCs w:val="13"/>
                <w:color w:val="3D3935"/>
              </w:rPr>
              <w:t>2023</w:t>
            </w:r>
          </w:p>
        </w:tc>
        <w:tc>
          <w:tcPr>
            <w:tcW w:w="780" w:type="dxa"/>
            <w:vAlign w:val="bottom"/>
            <w:vMerge w:val="restart"/>
          </w:tcPr>
          <w:p>
            <w:pPr>
              <w:jc w:val="right"/>
              <w:ind w:right="33"/>
              <w:spacing w:after="0"/>
              <w:rPr>
                <w:sz w:val="20"/>
                <w:szCs w:val="20"/>
                <w:color w:val="auto"/>
              </w:rPr>
            </w:pPr>
            <w:r>
              <w:rPr>
                <w:rFonts w:ascii="Arial" w:cs="Arial" w:eastAsia="Arial" w:hAnsi="Arial"/>
                <w:sz w:val="13"/>
                <w:szCs w:val="13"/>
                <w:color w:val="3D3935"/>
              </w:rPr>
              <w:t>1,000,000</w:t>
            </w:r>
          </w:p>
        </w:tc>
        <w:tc>
          <w:tcPr>
            <w:tcW w:w="780" w:type="dxa"/>
            <w:vAlign w:val="bottom"/>
            <w:vMerge w:val="restart"/>
          </w:tcPr>
          <w:p>
            <w:pPr>
              <w:ind w:left="600"/>
              <w:spacing w:after="0"/>
              <w:rPr>
                <w:sz w:val="20"/>
                <w:szCs w:val="20"/>
                <w:color w:val="auto"/>
              </w:rPr>
            </w:pPr>
            <w:r>
              <w:rPr>
                <w:rFonts w:ascii="Arial" w:cs="Arial" w:eastAsia="Arial" w:hAnsi="Arial"/>
                <w:sz w:val="13"/>
                <w:szCs w:val="13"/>
                <w:color w:val="3D3935"/>
              </w:rPr>
              <w:t>—</w:t>
            </w:r>
          </w:p>
        </w:tc>
        <w:tc>
          <w:tcPr>
            <w:tcW w:w="820" w:type="dxa"/>
            <w:vAlign w:val="bottom"/>
            <w:vMerge w:val="restart"/>
          </w:tcPr>
          <w:p>
            <w:pPr>
              <w:jc w:val="right"/>
              <w:ind w:right="13"/>
              <w:spacing w:after="0"/>
              <w:rPr>
                <w:sz w:val="20"/>
                <w:szCs w:val="20"/>
                <w:color w:val="auto"/>
              </w:rPr>
            </w:pPr>
            <w:r>
              <w:rPr>
                <w:rFonts w:ascii="Arial" w:cs="Arial" w:eastAsia="Arial" w:hAnsi="Arial"/>
                <w:sz w:val="13"/>
                <w:szCs w:val="13"/>
                <w:color w:val="3D3935"/>
              </w:rPr>
              <w:t>6,187,500</w:t>
            </w:r>
          </w:p>
        </w:tc>
        <w:tc>
          <w:tcPr>
            <w:tcW w:w="780" w:type="dxa"/>
            <w:vAlign w:val="bottom"/>
            <w:vMerge w:val="restart"/>
          </w:tcPr>
          <w:p>
            <w:pPr>
              <w:jc w:val="right"/>
              <w:ind w:right="73"/>
              <w:spacing w:after="0"/>
              <w:rPr>
                <w:sz w:val="20"/>
                <w:szCs w:val="20"/>
                <w:color w:val="auto"/>
              </w:rPr>
            </w:pPr>
            <w:r>
              <w:rPr>
                <w:rFonts w:ascii="Arial" w:cs="Arial" w:eastAsia="Arial" w:hAnsi="Arial"/>
                <w:sz w:val="13"/>
                <w:szCs w:val="13"/>
                <w:color w:val="3D3935"/>
              </w:rPr>
              <w:t>2,062,503</w:t>
            </w:r>
          </w:p>
        </w:tc>
        <w:tc>
          <w:tcPr>
            <w:tcW w:w="1120" w:type="dxa"/>
            <w:vAlign w:val="bottom"/>
            <w:vMerge w:val="restart"/>
          </w:tcPr>
          <w:p>
            <w:pPr>
              <w:jc w:val="right"/>
              <w:ind w:right="33"/>
              <w:spacing w:after="0"/>
              <w:rPr>
                <w:sz w:val="20"/>
                <w:szCs w:val="20"/>
                <w:color w:val="auto"/>
              </w:rPr>
            </w:pPr>
            <w:r>
              <w:rPr>
                <w:rFonts w:ascii="Arial" w:cs="Arial" w:eastAsia="Arial" w:hAnsi="Arial"/>
                <w:sz w:val="13"/>
                <w:szCs w:val="13"/>
                <w:color w:val="3D3935"/>
              </w:rPr>
              <w:t>1,687,500</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3D3935"/>
              </w:rPr>
              <w:t>—</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3D3935"/>
              </w:rPr>
              <w:t>186,421</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3D3935"/>
              </w:rPr>
              <w:t>11,123,924</w:t>
            </w:r>
          </w:p>
        </w:tc>
        <w:tc>
          <w:tcPr>
            <w:tcW w:w="0" w:type="dxa"/>
            <w:vAlign w:val="bottom"/>
          </w:tcPr>
          <w:p>
            <w:pPr>
              <w:spacing w:after="0"/>
              <w:rPr>
                <w:sz w:val="1"/>
                <w:szCs w:val="1"/>
                <w:color w:val="auto"/>
              </w:rPr>
            </w:pPr>
          </w:p>
        </w:tc>
      </w:tr>
      <w:tr>
        <w:trPr>
          <w:trHeight w:val="65"/>
        </w:trPr>
        <w:tc>
          <w:tcPr>
            <w:tcW w:w="1400" w:type="dxa"/>
            <w:vAlign w:val="bottom"/>
            <w:vMerge w:val="restart"/>
          </w:tcPr>
          <w:p>
            <w:pPr>
              <w:ind w:left="60"/>
              <w:spacing w:after="0"/>
              <w:rPr>
                <w:sz w:val="20"/>
                <w:szCs w:val="20"/>
                <w:color w:val="auto"/>
              </w:rPr>
            </w:pPr>
            <w:r>
              <w:rPr>
                <w:rFonts w:ascii="Arial" w:cs="Arial" w:eastAsia="Arial" w:hAnsi="Arial"/>
                <w:sz w:val="13"/>
                <w:szCs w:val="13"/>
                <w:color w:val="3D3935"/>
              </w:rPr>
              <w:t>President and Chief</w:t>
            </w:r>
          </w:p>
        </w:tc>
        <w:tc>
          <w:tcPr>
            <w:tcW w:w="460" w:type="dxa"/>
            <w:vAlign w:val="bottom"/>
            <w:tcBorders>
              <w:bottom w:val="single" w:sz="8" w:color="D9D9D6"/>
            </w:tcBorders>
            <w:vMerge w:val="continue"/>
          </w:tcPr>
          <w:p>
            <w:pPr>
              <w:spacing w:after="0"/>
              <w:rPr>
                <w:sz w:val="5"/>
                <w:szCs w:val="5"/>
                <w:color w:val="auto"/>
              </w:rPr>
            </w:pPr>
          </w:p>
        </w:tc>
        <w:tc>
          <w:tcPr>
            <w:tcW w:w="780" w:type="dxa"/>
            <w:vAlign w:val="bottom"/>
            <w:tcBorders>
              <w:bottom w:val="single" w:sz="8" w:color="D9D9D6"/>
            </w:tcBorders>
            <w:vMerge w:val="continue"/>
          </w:tcPr>
          <w:p>
            <w:pPr>
              <w:spacing w:after="0"/>
              <w:rPr>
                <w:sz w:val="5"/>
                <w:szCs w:val="5"/>
                <w:color w:val="auto"/>
              </w:rPr>
            </w:pPr>
          </w:p>
        </w:tc>
        <w:tc>
          <w:tcPr>
            <w:tcW w:w="780" w:type="dxa"/>
            <w:vAlign w:val="bottom"/>
            <w:tcBorders>
              <w:bottom w:val="single" w:sz="8" w:color="D9D9D6"/>
            </w:tcBorders>
            <w:vMerge w:val="continue"/>
          </w:tcPr>
          <w:p>
            <w:pPr>
              <w:spacing w:after="0"/>
              <w:rPr>
                <w:sz w:val="5"/>
                <w:szCs w:val="5"/>
                <w:color w:val="auto"/>
              </w:rPr>
            </w:pPr>
          </w:p>
        </w:tc>
        <w:tc>
          <w:tcPr>
            <w:tcW w:w="820" w:type="dxa"/>
            <w:vAlign w:val="bottom"/>
            <w:tcBorders>
              <w:bottom w:val="single" w:sz="8" w:color="D9D9D6"/>
            </w:tcBorders>
            <w:vMerge w:val="continue"/>
          </w:tcPr>
          <w:p>
            <w:pPr>
              <w:spacing w:after="0"/>
              <w:rPr>
                <w:sz w:val="5"/>
                <w:szCs w:val="5"/>
                <w:color w:val="auto"/>
              </w:rPr>
            </w:pPr>
          </w:p>
        </w:tc>
        <w:tc>
          <w:tcPr>
            <w:tcW w:w="780" w:type="dxa"/>
            <w:vAlign w:val="bottom"/>
            <w:tcBorders>
              <w:bottom w:val="single" w:sz="8" w:color="D9D9D6"/>
            </w:tcBorders>
            <w:vMerge w:val="continue"/>
          </w:tcPr>
          <w:p>
            <w:pPr>
              <w:spacing w:after="0"/>
              <w:rPr>
                <w:sz w:val="5"/>
                <w:szCs w:val="5"/>
                <w:color w:val="auto"/>
              </w:rPr>
            </w:pPr>
          </w:p>
        </w:tc>
        <w:tc>
          <w:tcPr>
            <w:tcW w:w="1120" w:type="dxa"/>
            <w:vAlign w:val="bottom"/>
            <w:tcBorders>
              <w:bottom w:val="single" w:sz="8" w:color="D9D9D6"/>
            </w:tcBorders>
            <w:vMerge w:val="continue"/>
          </w:tcPr>
          <w:p>
            <w:pPr>
              <w:spacing w:after="0"/>
              <w:rPr>
                <w:sz w:val="5"/>
                <w:szCs w:val="5"/>
                <w:color w:val="auto"/>
              </w:rPr>
            </w:pPr>
          </w:p>
        </w:tc>
        <w:tc>
          <w:tcPr>
            <w:tcW w:w="1020" w:type="dxa"/>
            <w:vAlign w:val="bottom"/>
            <w:tcBorders>
              <w:bottom w:val="single" w:sz="8" w:color="D9D9D6"/>
            </w:tcBorders>
            <w:vMerge w:val="continue"/>
          </w:tcPr>
          <w:p>
            <w:pPr>
              <w:spacing w:after="0"/>
              <w:rPr>
                <w:sz w:val="5"/>
                <w:szCs w:val="5"/>
                <w:color w:val="auto"/>
              </w:rPr>
            </w:pPr>
          </w:p>
        </w:tc>
        <w:tc>
          <w:tcPr>
            <w:tcW w:w="1120" w:type="dxa"/>
            <w:vAlign w:val="bottom"/>
            <w:tcBorders>
              <w:bottom w:val="single" w:sz="8" w:color="D9D9D6"/>
            </w:tcBorders>
            <w:vMerge w:val="continue"/>
          </w:tcPr>
          <w:p>
            <w:pPr>
              <w:spacing w:after="0"/>
              <w:rPr>
                <w:sz w:val="5"/>
                <w:szCs w:val="5"/>
                <w:color w:val="auto"/>
              </w:rPr>
            </w:pPr>
          </w:p>
        </w:tc>
        <w:tc>
          <w:tcPr>
            <w:tcW w:w="800" w:type="dxa"/>
            <w:vAlign w:val="bottom"/>
            <w:tcBorders>
              <w:bottom w:val="single" w:sz="8" w:color="D9D9D6"/>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400" w:type="dxa"/>
            <w:vAlign w:val="bottom"/>
            <w:vMerge w:val="continue"/>
          </w:tcPr>
          <w:p>
            <w:pPr>
              <w:spacing w:after="0"/>
              <w:rPr>
                <w:sz w:val="9"/>
                <w:szCs w:val="9"/>
                <w:color w:val="auto"/>
              </w:rPr>
            </w:pPr>
          </w:p>
        </w:tc>
        <w:tc>
          <w:tcPr>
            <w:tcW w:w="460" w:type="dxa"/>
            <w:vAlign w:val="bottom"/>
            <w:vMerge w:val="restart"/>
          </w:tcPr>
          <w:p>
            <w:pPr>
              <w:jc w:val="right"/>
              <w:ind w:right="13"/>
              <w:spacing w:after="0"/>
              <w:rPr>
                <w:sz w:val="20"/>
                <w:szCs w:val="20"/>
                <w:color w:val="auto"/>
              </w:rPr>
            </w:pPr>
            <w:r>
              <w:rPr>
                <w:rFonts w:ascii="Arial" w:cs="Arial" w:eastAsia="Arial" w:hAnsi="Arial"/>
                <w:sz w:val="13"/>
                <w:szCs w:val="13"/>
                <w:color w:val="3D3935"/>
              </w:rPr>
              <w:t>2022</w:t>
            </w:r>
          </w:p>
        </w:tc>
        <w:tc>
          <w:tcPr>
            <w:tcW w:w="780" w:type="dxa"/>
            <w:vAlign w:val="bottom"/>
            <w:vMerge w:val="restart"/>
          </w:tcPr>
          <w:p>
            <w:pPr>
              <w:jc w:val="right"/>
              <w:ind w:right="33"/>
              <w:spacing w:after="0"/>
              <w:rPr>
                <w:sz w:val="20"/>
                <w:szCs w:val="20"/>
                <w:color w:val="auto"/>
              </w:rPr>
            </w:pPr>
            <w:r>
              <w:rPr>
                <w:rFonts w:ascii="Arial" w:cs="Arial" w:eastAsia="Arial" w:hAnsi="Arial"/>
                <w:sz w:val="13"/>
                <w:szCs w:val="13"/>
                <w:color w:val="3D3935"/>
              </w:rPr>
              <w:t>1,000,000</w:t>
            </w:r>
          </w:p>
        </w:tc>
        <w:tc>
          <w:tcPr>
            <w:tcW w:w="780" w:type="dxa"/>
            <w:vAlign w:val="bottom"/>
            <w:vMerge w:val="restart"/>
          </w:tcPr>
          <w:p>
            <w:pPr>
              <w:ind w:left="600"/>
              <w:spacing w:after="0"/>
              <w:rPr>
                <w:sz w:val="20"/>
                <w:szCs w:val="20"/>
                <w:color w:val="auto"/>
              </w:rPr>
            </w:pPr>
            <w:r>
              <w:rPr>
                <w:rFonts w:ascii="Arial" w:cs="Arial" w:eastAsia="Arial" w:hAnsi="Arial"/>
                <w:sz w:val="13"/>
                <w:szCs w:val="13"/>
                <w:color w:val="3D3935"/>
              </w:rPr>
              <w:t>—</w:t>
            </w:r>
          </w:p>
        </w:tc>
        <w:tc>
          <w:tcPr>
            <w:tcW w:w="820" w:type="dxa"/>
            <w:vAlign w:val="bottom"/>
            <w:vMerge w:val="restart"/>
          </w:tcPr>
          <w:p>
            <w:pPr>
              <w:ind w:left="100"/>
              <w:spacing w:after="0"/>
              <w:rPr>
                <w:sz w:val="20"/>
                <w:szCs w:val="20"/>
                <w:color w:val="auto"/>
              </w:rPr>
            </w:pPr>
            <w:r>
              <w:rPr>
                <w:rFonts w:ascii="Arial" w:cs="Arial" w:eastAsia="Arial" w:hAnsi="Arial"/>
                <w:sz w:val="13"/>
                <w:szCs w:val="13"/>
                <w:color w:val="3D3935"/>
              </w:rPr>
              <w:t>5,362,500</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3D3935"/>
              </w:rPr>
              <w:t>1,787,513</w:t>
            </w:r>
          </w:p>
        </w:tc>
        <w:tc>
          <w:tcPr>
            <w:tcW w:w="1120" w:type="dxa"/>
            <w:vAlign w:val="bottom"/>
            <w:vMerge w:val="restart"/>
          </w:tcPr>
          <w:p>
            <w:pPr>
              <w:ind w:left="420"/>
              <w:spacing w:after="0"/>
              <w:rPr>
                <w:sz w:val="20"/>
                <w:szCs w:val="20"/>
                <w:color w:val="auto"/>
              </w:rPr>
            </w:pPr>
            <w:r>
              <w:rPr>
                <w:rFonts w:ascii="Arial" w:cs="Arial" w:eastAsia="Arial" w:hAnsi="Arial"/>
                <w:sz w:val="13"/>
                <w:szCs w:val="13"/>
                <w:color w:val="3D3935"/>
              </w:rPr>
              <w:t>1,862,500</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3D3935"/>
              </w:rPr>
              <w:t>—</w:t>
            </w:r>
          </w:p>
        </w:tc>
        <w:tc>
          <w:tcPr>
            <w:tcW w:w="1120" w:type="dxa"/>
            <w:vAlign w:val="bottom"/>
            <w:vMerge w:val="restart"/>
          </w:tcPr>
          <w:p>
            <w:pPr>
              <w:jc w:val="right"/>
              <w:ind w:right="53"/>
              <w:spacing w:after="0"/>
              <w:rPr>
                <w:sz w:val="20"/>
                <w:szCs w:val="20"/>
                <w:color w:val="auto"/>
              </w:rPr>
            </w:pPr>
            <w:r>
              <w:rPr>
                <w:rFonts w:ascii="Arial" w:cs="Arial" w:eastAsia="Arial" w:hAnsi="Arial"/>
                <w:sz w:val="13"/>
                <w:szCs w:val="13"/>
                <w:color w:val="3D3935"/>
              </w:rPr>
              <w:t>223,425</w:t>
            </w:r>
          </w:p>
        </w:tc>
        <w:tc>
          <w:tcPr>
            <w:tcW w:w="800" w:type="dxa"/>
            <w:vAlign w:val="bottom"/>
            <w:vMerge w:val="restart"/>
          </w:tcPr>
          <w:p>
            <w:pPr>
              <w:jc w:val="right"/>
              <w:ind w:right="13"/>
              <w:spacing w:after="0"/>
              <w:rPr>
                <w:sz w:val="20"/>
                <w:szCs w:val="20"/>
                <w:color w:val="auto"/>
              </w:rPr>
            </w:pPr>
            <w:r>
              <w:rPr>
                <w:rFonts w:ascii="Arial" w:cs="Arial" w:eastAsia="Arial" w:hAnsi="Arial"/>
                <w:sz w:val="13"/>
                <w:szCs w:val="13"/>
                <w:color w:val="3D3935"/>
              </w:rPr>
              <w:t>10,235,938</w:t>
            </w:r>
          </w:p>
        </w:tc>
        <w:tc>
          <w:tcPr>
            <w:tcW w:w="0" w:type="dxa"/>
            <w:vAlign w:val="bottom"/>
          </w:tcPr>
          <w:p>
            <w:pPr>
              <w:spacing w:after="0"/>
              <w:rPr>
                <w:sz w:val="1"/>
                <w:szCs w:val="1"/>
                <w:color w:val="auto"/>
              </w:rPr>
            </w:pPr>
          </w:p>
        </w:tc>
      </w:tr>
      <w:tr>
        <w:trPr>
          <w:trHeight w:val="95"/>
        </w:trPr>
        <w:tc>
          <w:tcPr>
            <w:tcW w:w="1400" w:type="dxa"/>
            <w:vAlign w:val="bottom"/>
            <w:vMerge w:val="restart"/>
          </w:tcPr>
          <w:p>
            <w:pPr>
              <w:ind w:left="60"/>
              <w:spacing w:after="0"/>
              <w:rPr>
                <w:sz w:val="20"/>
                <w:szCs w:val="20"/>
                <w:color w:val="auto"/>
              </w:rPr>
            </w:pPr>
            <w:r>
              <w:rPr>
                <w:rFonts w:ascii="Arial" w:cs="Arial" w:eastAsia="Arial" w:hAnsi="Arial"/>
                <w:sz w:val="13"/>
                <w:szCs w:val="13"/>
                <w:color w:val="3D3935"/>
              </w:rPr>
              <w:t>Financial Officer</w:t>
            </w:r>
          </w:p>
        </w:tc>
        <w:tc>
          <w:tcPr>
            <w:tcW w:w="4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4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1400" w:type="dxa"/>
            <w:vAlign w:val="bottom"/>
            <w:tcBorders>
              <w:bottom w:val="single" w:sz="8" w:color="D9D9D6"/>
            </w:tcBorders>
          </w:tcPr>
          <w:p>
            <w:pPr>
              <w:spacing w:after="0"/>
              <w:rPr>
                <w:sz w:val="2"/>
                <w:szCs w:val="2"/>
                <w:color w:val="auto"/>
              </w:rPr>
            </w:pPr>
          </w:p>
        </w:tc>
        <w:tc>
          <w:tcPr>
            <w:tcW w:w="460" w:type="dxa"/>
            <w:vAlign w:val="bottom"/>
            <w:tcBorders>
              <w:bottom w:val="single" w:sz="8" w:color="D9D9D6"/>
            </w:tcBorders>
          </w:tcPr>
          <w:p>
            <w:pPr>
              <w:spacing w:after="0"/>
              <w:rPr>
                <w:sz w:val="2"/>
                <w:szCs w:val="2"/>
                <w:color w:val="auto"/>
              </w:rPr>
            </w:pPr>
          </w:p>
        </w:tc>
        <w:tc>
          <w:tcPr>
            <w:tcW w:w="780" w:type="dxa"/>
            <w:vAlign w:val="bottom"/>
            <w:tcBorders>
              <w:bottom w:val="single" w:sz="8" w:color="D9D9D6"/>
            </w:tcBorders>
          </w:tcPr>
          <w:p>
            <w:pPr>
              <w:spacing w:after="0"/>
              <w:rPr>
                <w:sz w:val="2"/>
                <w:szCs w:val="2"/>
                <w:color w:val="auto"/>
              </w:rPr>
            </w:pPr>
          </w:p>
        </w:tc>
        <w:tc>
          <w:tcPr>
            <w:tcW w:w="780" w:type="dxa"/>
            <w:vAlign w:val="bottom"/>
            <w:tcBorders>
              <w:bottom w:val="single" w:sz="8" w:color="D9D9D6"/>
            </w:tcBorders>
          </w:tcPr>
          <w:p>
            <w:pPr>
              <w:spacing w:after="0"/>
              <w:rPr>
                <w:sz w:val="2"/>
                <w:szCs w:val="2"/>
                <w:color w:val="auto"/>
              </w:rPr>
            </w:pPr>
          </w:p>
        </w:tc>
        <w:tc>
          <w:tcPr>
            <w:tcW w:w="820" w:type="dxa"/>
            <w:vAlign w:val="bottom"/>
            <w:tcBorders>
              <w:bottom w:val="single" w:sz="8" w:color="D9D9D6"/>
            </w:tcBorders>
          </w:tcPr>
          <w:p>
            <w:pPr>
              <w:spacing w:after="0"/>
              <w:rPr>
                <w:sz w:val="2"/>
                <w:szCs w:val="2"/>
                <w:color w:val="auto"/>
              </w:rPr>
            </w:pPr>
          </w:p>
        </w:tc>
        <w:tc>
          <w:tcPr>
            <w:tcW w:w="780" w:type="dxa"/>
            <w:vAlign w:val="bottom"/>
            <w:tcBorders>
              <w:bottom w:val="single" w:sz="8" w:color="D9D9D6"/>
            </w:tcBorders>
          </w:tcPr>
          <w:p>
            <w:pPr>
              <w:spacing w:after="0"/>
              <w:rPr>
                <w:sz w:val="2"/>
                <w:szCs w:val="2"/>
                <w:color w:val="auto"/>
              </w:rPr>
            </w:pPr>
          </w:p>
        </w:tc>
        <w:tc>
          <w:tcPr>
            <w:tcW w:w="1120" w:type="dxa"/>
            <w:vAlign w:val="bottom"/>
            <w:tcBorders>
              <w:bottom w:val="single" w:sz="8" w:color="D9D9D6"/>
            </w:tcBorders>
          </w:tcPr>
          <w:p>
            <w:pPr>
              <w:spacing w:after="0"/>
              <w:rPr>
                <w:sz w:val="2"/>
                <w:szCs w:val="2"/>
                <w:color w:val="auto"/>
              </w:rPr>
            </w:pPr>
          </w:p>
        </w:tc>
        <w:tc>
          <w:tcPr>
            <w:tcW w:w="1020" w:type="dxa"/>
            <w:vAlign w:val="bottom"/>
            <w:tcBorders>
              <w:bottom w:val="single" w:sz="8" w:color="D9D9D6"/>
            </w:tcBorders>
          </w:tcPr>
          <w:p>
            <w:pPr>
              <w:spacing w:after="0"/>
              <w:rPr>
                <w:sz w:val="2"/>
                <w:szCs w:val="2"/>
                <w:color w:val="auto"/>
              </w:rPr>
            </w:pPr>
          </w:p>
        </w:tc>
        <w:tc>
          <w:tcPr>
            <w:tcW w:w="1120" w:type="dxa"/>
            <w:vAlign w:val="bottom"/>
            <w:tcBorders>
              <w:bottom w:val="single" w:sz="8" w:color="D9D9D6"/>
            </w:tcBorders>
          </w:tcPr>
          <w:p>
            <w:pPr>
              <w:spacing w:after="0"/>
              <w:rPr>
                <w:sz w:val="2"/>
                <w:szCs w:val="2"/>
                <w:color w:val="auto"/>
              </w:rPr>
            </w:pPr>
          </w:p>
        </w:tc>
        <w:tc>
          <w:tcPr>
            <w:tcW w:w="800" w:type="dxa"/>
            <w:vAlign w:val="bottom"/>
            <w:tcBorders>
              <w:bottom w:val="single" w:sz="8" w:color="D9D9D6"/>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400" w:type="dxa"/>
            <w:vAlign w:val="bottom"/>
          </w:tcPr>
          <w:p>
            <w:pPr>
              <w:ind w:left="60"/>
              <w:spacing w:after="0"/>
              <w:rPr>
                <w:sz w:val="20"/>
                <w:szCs w:val="20"/>
                <w:color w:val="auto"/>
              </w:rPr>
            </w:pPr>
            <w:r>
              <w:rPr>
                <w:rFonts w:ascii="Arial" w:cs="Arial" w:eastAsia="Arial" w:hAnsi="Arial"/>
                <w:sz w:val="13"/>
                <w:szCs w:val="13"/>
                <w:b w:val="1"/>
                <w:bCs w:val="1"/>
                <w:color w:val="0072CE"/>
              </w:rPr>
              <w:t>Mark L. Reuss</w:t>
            </w:r>
          </w:p>
        </w:tc>
        <w:tc>
          <w:tcPr>
            <w:tcW w:w="460" w:type="dxa"/>
            <w:vAlign w:val="bottom"/>
            <w:tcBorders>
              <w:bottom w:val="single" w:sz="8" w:color="D9D9D6"/>
            </w:tcBorders>
          </w:tcPr>
          <w:p>
            <w:pPr>
              <w:jc w:val="right"/>
              <w:ind w:right="33"/>
              <w:spacing w:after="0"/>
              <w:rPr>
                <w:sz w:val="20"/>
                <w:szCs w:val="20"/>
                <w:color w:val="auto"/>
              </w:rPr>
            </w:pPr>
            <w:r>
              <w:rPr>
                <w:rFonts w:ascii="Arial" w:cs="Arial" w:eastAsia="Arial" w:hAnsi="Arial"/>
                <w:sz w:val="13"/>
                <w:szCs w:val="13"/>
                <w:color w:val="3D3935"/>
              </w:rPr>
              <w:t>2024</w:t>
            </w:r>
          </w:p>
        </w:tc>
        <w:tc>
          <w:tcPr>
            <w:tcW w:w="780" w:type="dxa"/>
            <w:vAlign w:val="bottom"/>
            <w:tcBorders>
              <w:bottom w:val="single" w:sz="8" w:color="D9D9D6"/>
            </w:tcBorders>
          </w:tcPr>
          <w:p>
            <w:pPr>
              <w:jc w:val="right"/>
              <w:ind w:right="13"/>
              <w:spacing w:after="0"/>
              <w:rPr>
                <w:sz w:val="20"/>
                <w:szCs w:val="20"/>
                <w:color w:val="auto"/>
              </w:rPr>
            </w:pPr>
            <w:r>
              <w:rPr>
                <w:rFonts w:ascii="Arial" w:cs="Arial" w:eastAsia="Arial" w:hAnsi="Arial"/>
                <w:sz w:val="13"/>
                <w:szCs w:val="13"/>
                <w:color w:val="3D3935"/>
              </w:rPr>
              <w:t>1,350,000</w:t>
            </w:r>
          </w:p>
        </w:tc>
        <w:tc>
          <w:tcPr>
            <w:tcW w:w="780" w:type="dxa"/>
            <w:vAlign w:val="bottom"/>
            <w:tcBorders>
              <w:bottom w:val="single" w:sz="8" w:color="D9D9D6"/>
            </w:tcBorders>
          </w:tcPr>
          <w:p>
            <w:pPr>
              <w:ind w:left="600"/>
              <w:spacing w:after="0"/>
              <w:rPr>
                <w:sz w:val="20"/>
                <w:szCs w:val="20"/>
                <w:color w:val="auto"/>
              </w:rPr>
            </w:pPr>
            <w:r>
              <w:rPr>
                <w:rFonts w:ascii="Arial" w:cs="Arial" w:eastAsia="Arial" w:hAnsi="Arial"/>
                <w:sz w:val="13"/>
                <w:szCs w:val="13"/>
                <w:color w:val="3D3935"/>
              </w:rPr>
              <w:t>—</w:t>
            </w:r>
          </w:p>
        </w:tc>
        <w:tc>
          <w:tcPr>
            <w:tcW w:w="820" w:type="dxa"/>
            <w:vAlign w:val="bottom"/>
            <w:tcBorders>
              <w:bottom w:val="single" w:sz="8" w:color="D9D9D6"/>
            </w:tcBorders>
          </w:tcPr>
          <w:p>
            <w:pPr>
              <w:jc w:val="right"/>
              <w:ind w:right="13"/>
              <w:spacing w:after="0"/>
              <w:rPr>
                <w:sz w:val="20"/>
                <w:szCs w:val="20"/>
                <w:color w:val="auto"/>
              </w:rPr>
            </w:pPr>
            <w:r>
              <w:rPr>
                <w:rFonts w:ascii="Arial" w:cs="Arial" w:eastAsia="Arial" w:hAnsi="Arial"/>
                <w:sz w:val="13"/>
                <w:szCs w:val="13"/>
                <w:color w:val="3D3935"/>
              </w:rPr>
              <w:t>13,962,535</w:t>
            </w:r>
          </w:p>
        </w:tc>
        <w:tc>
          <w:tcPr>
            <w:tcW w:w="78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w:t>
            </w:r>
          </w:p>
        </w:tc>
        <w:tc>
          <w:tcPr>
            <w:tcW w:w="1120" w:type="dxa"/>
            <w:vAlign w:val="bottom"/>
            <w:tcBorders>
              <w:bottom w:val="single" w:sz="8" w:color="D9D9D6"/>
            </w:tcBorders>
          </w:tcPr>
          <w:p>
            <w:pPr>
              <w:jc w:val="right"/>
              <w:ind w:right="33"/>
              <w:spacing w:after="0"/>
              <w:rPr>
                <w:sz w:val="20"/>
                <w:szCs w:val="20"/>
                <w:color w:val="auto"/>
              </w:rPr>
            </w:pPr>
            <w:r>
              <w:rPr>
                <w:rFonts w:ascii="Arial" w:cs="Arial" w:eastAsia="Arial" w:hAnsi="Arial"/>
                <w:sz w:val="13"/>
                <w:szCs w:val="13"/>
                <w:color w:val="3D3935"/>
              </w:rPr>
              <w:t>2,679,100</w:t>
            </w:r>
          </w:p>
        </w:tc>
        <w:tc>
          <w:tcPr>
            <w:tcW w:w="102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w:t>
            </w:r>
          </w:p>
        </w:tc>
        <w:tc>
          <w:tcPr>
            <w:tcW w:w="1120" w:type="dxa"/>
            <w:vAlign w:val="bottom"/>
            <w:tcBorders>
              <w:bottom w:val="single" w:sz="8" w:color="D9D9D6"/>
            </w:tcBorders>
          </w:tcPr>
          <w:p>
            <w:pPr>
              <w:jc w:val="right"/>
              <w:ind w:right="53"/>
              <w:spacing w:after="0"/>
              <w:rPr>
                <w:sz w:val="20"/>
                <w:szCs w:val="20"/>
                <w:color w:val="auto"/>
              </w:rPr>
            </w:pPr>
            <w:r>
              <w:rPr>
                <w:rFonts w:ascii="Arial" w:cs="Arial" w:eastAsia="Arial" w:hAnsi="Arial"/>
                <w:sz w:val="13"/>
                <w:szCs w:val="13"/>
                <w:color w:val="3D3935"/>
              </w:rPr>
              <w:t>465,362</w:t>
            </w:r>
          </w:p>
        </w:tc>
        <w:tc>
          <w:tcPr>
            <w:tcW w:w="80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18,456,997</w:t>
            </w:r>
          </w:p>
        </w:tc>
        <w:tc>
          <w:tcPr>
            <w:tcW w:w="0" w:type="dxa"/>
            <w:vAlign w:val="bottom"/>
          </w:tcPr>
          <w:p>
            <w:pPr>
              <w:spacing w:after="0"/>
              <w:rPr>
                <w:sz w:val="1"/>
                <w:szCs w:val="1"/>
                <w:color w:val="auto"/>
              </w:rPr>
            </w:pPr>
          </w:p>
        </w:tc>
      </w:tr>
      <w:tr>
        <w:trPr>
          <w:trHeight w:val="150"/>
        </w:trPr>
        <w:tc>
          <w:tcPr>
            <w:tcW w:w="1400" w:type="dxa"/>
            <w:vAlign w:val="bottom"/>
          </w:tcPr>
          <w:p>
            <w:pPr>
              <w:ind w:left="60"/>
              <w:spacing w:after="0"/>
              <w:rPr>
                <w:sz w:val="20"/>
                <w:szCs w:val="20"/>
                <w:color w:val="auto"/>
              </w:rPr>
            </w:pPr>
            <w:r>
              <w:rPr>
                <w:rFonts w:ascii="Arial" w:cs="Arial" w:eastAsia="Arial" w:hAnsi="Arial"/>
                <w:sz w:val="13"/>
                <w:szCs w:val="13"/>
                <w:color w:val="3D3935"/>
              </w:rPr>
              <w:t>President</w:t>
            </w:r>
          </w:p>
        </w:tc>
        <w:tc>
          <w:tcPr>
            <w:tcW w:w="460" w:type="dxa"/>
            <w:vAlign w:val="bottom"/>
            <w:vMerge w:val="restart"/>
          </w:tcPr>
          <w:p>
            <w:pPr>
              <w:jc w:val="right"/>
              <w:ind w:right="13"/>
              <w:spacing w:after="0"/>
              <w:rPr>
                <w:sz w:val="20"/>
                <w:szCs w:val="20"/>
                <w:color w:val="auto"/>
              </w:rPr>
            </w:pPr>
            <w:r>
              <w:rPr>
                <w:rFonts w:ascii="Arial" w:cs="Arial" w:eastAsia="Arial" w:hAnsi="Arial"/>
                <w:sz w:val="13"/>
                <w:szCs w:val="13"/>
                <w:color w:val="3D3935"/>
              </w:rPr>
              <w:t>2023</w:t>
            </w:r>
          </w:p>
        </w:tc>
        <w:tc>
          <w:tcPr>
            <w:tcW w:w="780" w:type="dxa"/>
            <w:vAlign w:val="bottom"/>
            <w:vMerge w:val="restart"/>
          </w:tcPr>
          <w:p>
            <w:pPr>
              <w:jc w:val="right"/>
              <w:ind w:right="13"/>
              <w:spacing w:after="0"/>
              <w:rPr>
                <w:sz w:val="20"/>
                <w:szCs w:val="20"/>
                <w:color w:val="auto"/>
              </w:rPr>
            </w:pPr>
            <w:r>
              <w:rPr>
                <w:rFonts w:ascii="Arial" w:cs="Arial" w:eastAsia="Arial" w:hAnsi="Arial"/>
                <w:sz w:val="13"/>
                <w:szCs w:val="13"/>
                <w:color w:val="3D3935"/>
              </w:rPr>
              <w:t>1,350,000</w:t>
            </w:r>
          </w:p>
        </w:tc>
        <w:tc>
          <w:tcPr>
            <w:tcW w:w="780" w:type="dxa"/>
            <w:vAlign w:val="bottom"/>
            <w:vMerge w:val="restart"/>
          </w:tcPr>
          <w:p>
            <w:pPr>
              <w:ind w:left="600"/>
              <w:spacing w:after="0"/>
              <w:rPr>
                <w:sz w:val="20"/>
                <w:szCs w:val="20"/>
                <w:color w:val="auto"/>
              </w:rPr>
            </w:pPr>
            <w:r>
              <w:rPr>
                <w:rFonts w:ascii="Arial" w:cs="Arial" w:eastAsia="Arial" w:hAnsi="Arial"/>
                <w:sz w:val="13"/>
                <w:szCs w:val="13"/>
                <w:color w:val="3D3935"/>
              </w:rPr>
              <w:t>—</w:t>
            </w:r>
          </w:p>
        </w:tc>
        <w:tc>
          <w:tcPr>
            <w:tcW w:w="820" w:type="dxa"/>
            <w:vAlign w:val="bottom"/>
            <w:vMerge w:val="restart"/>
          </w:tcPr>
          <w:p>
            <w:pPr>
              <w:ind w:left="100"/>
              <w:spacing w:after="0"/>
              <w:rPr>
                <w:sz w:val="20"/>
                <w:szCs w:val="20"/>
                <w:color w:val="auto"/>
              </w:rPr>
            </w:pPr>
            <w:r>
              <w:rPr>
                <w:rFonts w:ascii="Arial" w:cs="Arial" w:eastAsia="Arial" w:hAnsi="Arial"/>
                <w:sz w:val="13"/>
                <w:szCs w:val="13"/>
                <w:color w:val="3D3935"/>
              </w:rPr>
              <w:t>10,471,875</w:t>
            </w:r>
          </w:p>
        </w:tc>
        <w:tc>
          <w:tcPr>
            <w:tcW w:w="780" w:type="dxa"/>
            <w:vAlign w:val="bottom"/>
            <w:vMerge w:val="restart"/>
          </w:tcPr>
          <w:p>
            <w:pPr>
              <w:jc w:val="right"/>
              <w:ind w:right="73"/>
              <w:spacing w:after="0"/>
              <w:rPr>
                <w:sz w:val="20"/>
                <w:szCs w:val="20"/>
                <w:color w:val="auto"/>
              </w:rPr>
            </w:pPr>
            <w:r>
              <w:rPr>
                <w:rFonts w:ascii="Arial" w:cs="Arial" w:eastAsia="Arial" w:hAnsi="Arial"/>
                <w:sz w:val="13"/>
                <w:szCs w:val="13"/>
                <w:color w:val="3D3935"/>
              </w:rPr>
              <w:t>3,490,634</w:t>
            </w:r>
          </w:p>
        </w:tc>
        <w:tc>
          <w:tcPr>
            <w:tcW w:w="1120" w:type="dxa"/>
            <w:vAlign w:val="bottom"/>
            <w:vMerge w:val="restart"/>
          </w:tcPr>
          <w:p>
            <w:pPr>
              <w:ind w:left="400"/>
              <w:spacing w:after="0"/>
              <w:rPr>
                <w:sz w:val="20"/>
                <w:szCs w:val="20"/>
                <w:color w:val="auto"/>
              </w:rPr>
            </w:pPr>
            <w:r>
              <w:rPr>
                <w:rFonts w:ascii="Arial" w:cs="Arial" w:eastAsia="Arial" w:hAnsi="Arial"/>
                <w:sz w:val="13"/>
                <w:szCs w:val="13"/>
                <w:color w:val="3D3935"/>
              </w:rPr>
              <w:t>2,109,400</w:t>
            </w:r>
          </w:p>
        </w:tc>
        <w:tc>
          <w:tcPr>
            <w:tcW w:w="1020" w:type="dxa"/>
            <w:vAlign w:val="bottom"/>
            <w:vMerge w:val="restart"/>
          </w:tcPr>
          <w:p>
            <w:pPr>
              <w:jc w:val="right"/>
              <w:ind w:right="33"/>
              <w:spacing w:after="0"/>
              <w:rPr>
                <w:sz w:val="20"/>
                <w:szCs w:val="20"/>
                <w:color w:val="auto"/>
              </w:rPr>
            </w:pPr>
            <w:r>
              <w:rPr>
                <w:rFonts w:ascii="Arial" w:cs="Arial" w:eastAsia="Arial" w:hAnsi="Arial"/>
                <w:sz w:val="13"/>
                <w:szCs w:val="13"/>
                <w:color w:val="3D3935"/>
              </w:rPr>
              <w:t>22,215</w:t>
            </w:r>
          </w:p>
        </w:tc>
        <w:tc>
          <w:tcPr>
            <w:tcW w:w="1120" w:type="dxa"/>
            <w:vAlign w:val="bottom"/>
            <w:vMerge w:val="restart"/>
          </w:tcPr>
          <w:p>
            <w:pPr>
              <w:jc w:val="right"/>
              <w:ind w:right="33"/>
              <w:spacing w:after="0"/>
              <w:rPr>
                <w:sz w:val="20"/>
                <w:szCs w:val="20"/>
                <w:color w:val="auto"/>
              </w:rPr>
            </w:pPr>
            <w:r>
              <w:rPr>
                <w:rFonts w:ascii="Arial" w:cs="Arial" w:eastAsia="Arial" w:hAnsi="Arial"/>
                <w:sz w:val="13"/>
                <w:szCs w:val="13"/>
                <w:color w:val="3D3935"/>
              </w:rPr>
              <w:t>522,168</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3D3935"/>
              </w:rPr>
              <w:t>17,966,292</w:t>
            </w:r>
          </w:p>
        </w:tc>
        <w:tc>
          <w:tcPr>
            <w:tcW w:w="0" w:type="dxa"/>
            <w:vAlign w:val="bottom"/>
          </w:tcPr>
          <w:p>
            <w:pPr>
              <w:spacing w:after="0"/>
              <w:rPr>
                <w:sz w:val="1"/>
                <w:szCs w:val="1"/>
                <w:color w:val="auto"/>
              </w:rPr>
            </w:pPr>
          </w:p>
        </w:tc>
      </w:tr>
      <w:tr>
        <w:trPr>
          <w:trHeight w:val="65"/>
        </w:trPr>
        <w:tc>
          <w:tcPr>
            <w:tcW w:w="1400" w:type="dxa"/>
            <w:vAlign w:val="bottom"/>
          </w:tcPr>
          <w:p>
            <w:pPr>
              <w:spacing w:after="0"/>
              <w:rPr>
                <w:sz w:val="5"/>
                <w:szCs w:val="5"/>
                <w:color w:val="auto"/>
              </w:rPr>
            </w:pPr>
          </w:p>
        </w:tc>
        <w:tc>
          <w:tcPr>
            <w:tcW w:w="460" w:type="dxa"/>
            <w:vAlign w:val="bottom"/>
            <w:tcBorders>
              <w:bottom w:val="single" w:sz="8" w:color="D9D9D6"/>
            </w:tcBorders>
            <w:vMerge w:val="continue"/>
          </w:tcPr>
          <w:p>
            <w:pPr>
              <w:spacing w:after="0"/>
              <w:rPr>
                <w:sz w:val="5"/>
                <w:szCs w:val="5"/>
                <w:color w:val="auto"/>
              </w:rPr>
            </w:pPr>
          </w:p>
        </w:tc>
        <w:tc>
          <w:tcPr>
            <w:tcW w:w="780" w:type="dxa"/>
            <w:vAlign w:val="bottom"/>
            <w:tcBorders>
              <w:bottom w:val="single" w:sz="8" w:color="D9D9D6"/>
            </w:tcBorders>
            <w:vMerge w:val="continue"/>
          </w:tcPr>
          <w:p>
            <w:pPr>
              <w:spacing w:after="0"/>
              <w:rPr>
                <w:sz w:val="5"/>
                <w:szCs w:val="5"/>
                <w:color w:val="auto"/>
              </w:rPr>
            </w:pPr>
          </w:p>
        </w:tc>
        <w:tc>
          <w:tcPr>
            <w:tcW w:w="780" w:type="dxa"/>
            <w:vAlign w:val="bottom"/>
            <w:tcBorders>
              <w:bottom w:val="single" w:sz="8" w:color="D9D9D6"/>
            </w:tcBorders>
            <w:vMerge w:val="continue"/>
          </w:tcPr>
          <w:p>
            <w:pPr>
              <w:spacing w:after="0"/>
              <w:rPr>
                <w:sz w:val="5"/>
                <w:szCs w:val="5"/>
                <w:color w:val="auto"/>
              </w:rPr>
            </w:pPr>
          </w:p>
        </w:tc>
        <w:tc>
          <w:tcPr>
            <w:tcW w:w="820" w:type="dxa"/>
            <w:vAlign w:val="bottom"/>
            <w:tcBorders>
              <w:bottom w:val="single" w:sz="8" w:color="D9D9D6"/>
            </w:tcBorders>
            <w:vMerge w:val="continue"/>
          </w:tcPr>
          <w:p>
            <w:pPr>
              <w:spacing w:after="0"/>
              <w:rPr>
                <w:sz w:val="5"/>
                <w:szCs w:val="5"/>
                <w:color w:val="auto"/>
              </w:rPr>
            </w:pPr>
          </w:p>
        </w:tc>
        <w:tc>
          <w:tcPr>
            <w:tcW w:w="780" w:type="dxa"/>
            <w:vAlign w:val="bottom"/>
            <w:tcBorders>
              <w:bottom w:val="single" w:sz="8" w:color="D9D9D6"/>
            </w:tcBorders>
            <w:vMerge w:val="continue"/>
          </w:tcPr>
          <w:p>
            <w:pPr>
              <w:spacing w:after="0"/>
              <w:rPr>
                <w:sz w:val="5"/>
                <w:szCs w:val="5"/>
                <w:color w:val="auto"/>
              </w:rPr>
            </w:pPr>
          </w:p>
        </w:tc>
        <w:tc>
          <w:tcPr>
            <w:tcW w:w="1120" w:type="dxa"/>
            <w:vAlign w:val="bottom"/>
            <w:tcBorders>
              <w:bottom w:val="single" w:sz="8" w:color="D9D9D6"/>
            </w:tcBorders>
            <w:vMerge w:val="continue"/>
          </w:tcPr>
          <w:p>
            <w:pPr>
              <w:spacing w:after="0"/>
              <w:rPr>
                <w:sz w:val="5"/>
                <w:szCs w:val="5"/>
                <w:color w:val="auto"/>
              </w:rPr>
            </w:pPr>
          </w:p>
        </w:tc>
        <w:tc>
          <w:tcPr>
            <w:tcW w:w="1020" w:type="dxa"/>
            <w:vAlign w:val="bottom"/>
            <w:tcBorders>
              <w:bottom w:val="single" w:sz="8" w:color="D9D9D6"/>
            </w:tcBorders>
            <w:vMerge w:val="continue"/>
          </w:tcPr>
          <w:p>
            <w:pPr>
              <w:spacing w:after="0"/>
              <w:rPr>
                <w:sz w:val="5"/>
                <w:szCs w:val="5"/>
                <w:color w:val="auto"/>
              </w:rPr>
            </w:pPr>
          </w:p>
        </w:tc>
        <w:tc>
          <w:tcPr>
            <w:tcW w:w="1120" w:type="dxa"/>
            <w:vAlign w:val="bottom"/>
            <w:tcBorders>
              <w:bottom w:val="single" w:sz="8" w:color="D9D9D6"/>
            </w:tcBorders>
            <w:vMerge w:val="continue"/>
          </w:tcPr>
          <w:p>
            <w:pPr>
              <w:spacing w:after="0"/>
              <w:rPr>
                <w:sz w:val="5"/>
                <w:szCs w:val="5"/>
                <w:color w:val="auto"/>
              </w:rPr>
            </w:pPr>
          </w:p>
        </w:tc>
        <w:tc>
          <w:tcPr>
            <w:tcW w:w="800" w:type="dxa"/>
            <w:vAlign w:val="bottom"/>
            <w:tcBorders>
              <w:bottom w:val="single" w:sz="8" w:color="D9D9D6"/>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400" w:type="dxa"/>
            <w:vAlign w:val="bottom"/>
            <w:tcBorders>
              <w:bottom w:val="single" w:sz="8" w:color="D9D9D6"/>
            </w:tcBorders>
          </w:tcPr>
          <w:p>
            <w:pPr>
              <w:spacing w:after="0"/>
              <w:rPr>
                <w:sz w:val="18"/>
                <w:szCs w:val="18"/>
                <w:color w:val="auto"/>
              </w:rPr>
            </w:pPr>
          </w:p>
        </w:tc>
        <w:tc>
          <w:tcPr>
            <w:tcW w:w="460" w:type="dxa"/>
            <w:vAlign w:val="bottom"/>
            <w:tcBorders>
              <w:bottom w:val="single" w:sz="8" w:color="D9D9D6"/>
            </w:tcBorders>
          </w:tcPr>
          <w:p>
            <w:pPr>
              <w:jc w:val="right"/>
              <w:ind w:right="13"/>
              <w:spacing w:after="0"/>
              <w:rPr>
                <w:sz w:val="20"/>
                <w:szCs w:val="20"/>
                <w:color w:val="auto"/>
              </w:rPr>
            </w:pPr>
            <w:r>
              <w:rPr>
                <w:rFonts w:ascii="Arial" w:cs="Arial" w:eastAsia="Arial" w:hAnsi="Arial"/>
                <w:sz w:val="13"/>
                <w:szCs w:val="13"/>
                <w:color w:val="3D3935"/>
              </w:rPr>
              <w:t>2022</w:t>
            </w:r>
          </w:p>
        </w:tc>
        <w:tc>
          <w:tcPr>
            <w:tcW w:w="780" w:type="dxa"/>
            <w:vAlign w:val="bottom"/>
            <w:tcBorders>
              <w:bottom w:val="single" w:sz="8" w:color="D9D9D6"/>
            </w:tcBorders>
          </w:tcPr>
          <w:p>
            <w:pPr>
              <w:jc w:val="right"/>
              <w:ind w:right="13"/>
              <w:spacing w:after="0"/>
              <w:rPr>
                <w:sz w:val="20"/>
                <w:szCs w:val="20"/>
                <w:color w:val="auto"/>
              </w:rPr>
            </w:pPr>
            <w:r>
              <w:rPr>
                <w:rFonts w:ascii="Arial" w:cs="Arial" w:eastAsia="Arial" w:hAnsi="Arial"/>
                <w:sz w:val="13"/>
                <w:szCs w:val="13"/>
                <w:color w:val="3D3935"/>
              </w:rPr>
              <w:t>1,350,000</w:t>
            </w:r>
          </w:p>
        </w:tc>
        <w:tc>
          <w:tcPr>
            <w:tcW w:w="780" w:type="dxa"/>
            <w:vAlign w:val="bottom"/>
            <w:tcBorders>
              <w:bottom w:val="single" w:sz="8" w:color="D9D9D6"/>
            </w:tcBorders>
          </w:tcPr>
          <w:p>
            <w:pPr>
              <w:ind w:left="600"/>
              <w:spacing w:after="0"/>
              <w:rPr>
                <w:sz w:val="20"/>
                <w:szCs w:val="20"/>
                <w:color w:val="auto"/>
              </w:rPr>
            </w:pPr>
            <w:r>
              <w:rPr>
                <w:rFonts w:ascii="Arial" w:cs="Arial" w:eastAsia="Arial" w:hAnsi="Arial"/>
                <w:sz w:val="13"/>
                <w:szCs w:val="13"/>
                <w:color w:val="3D3935"/>
              </w:rPr>
              <w:t>—</w:t>
            </w:r>
          </w:p>
        </w:tc>
        <w:tc>
          <w:tcPr>
            <w:tcW w:w="82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7,471,875</w:t>
            </w:r>
          </w:p>
        </w:tc>
        <w:tc>
          <w:tcPr>
            <w:tcW w:w="780" w:type="dxa"/>
            <w:vAlign w:val="bottom"/>
            <w:tcBorders>
              <w:bottom w:val="single" w:sz="8" w:color="D9D9D6"/>
            </w:tcBorders>
          </w:tcPr>
          <w:p>
            <w:pPr>
              <w:jc w:val="right"/>
              <w:ind w:right="73"/>
              <w:spacing w:after="0"/>
              <w:rPr>
                <w:sz w:val="20"/>
                <w:szCs w:val="20"/>
                <w:color w:val="auto"/>
              </w:rPr>
            </w:pPr>
            <w:r>
              <w:rPr>
                <w:rFonts w:ascii="Arial" w:cs="Arial" w:eastAsia="Arial" w:hAnsi="Arial"/>
                <w:sz w:val="13"/>
                <w:szCs w:val="13"/>
                <w:color w:val="3D3935"/>
              </w:rPr>
              <w:t>2,490,626</w:t>
            </w:r>
          </w:p>
        </w:tc>
        <w:tc>
          <w:tcPr>
            <w:tcW w:w="1120" w:type="dxa"/>
            <w:vAlign w:val="bottom"/>
            <w:tcBorders>
              <w:bottom w:val="single" w:sz="8" w:color="D9D9D6"/>
            </w:tcBorders>
          </w:tcPr>
          <w:p>
            <w:pPr>
              <w:ind w:left="380"/>
              <w:spacing w:after="0"/>
              <w:rPr>
                <w:sz w:val="20"/>
                <w:szCs w:val="20"/>
                <w:color w:val="auto"/>
              </w:rPr>
            </w:pPr>
            <w:r>
              <w:rPr>
                <w:rFonts w:ascii="Arial" w:cs="Arial" w:eastAsia="Arial" w:hAnsi="Arial"/>
                <w:sz w:val="13"/>
                <w:szCs w:val="13"/>
                <w:color w:val="3D3935"/>
              </w:rPr>
              <w:t>2,598,800</w:t>
            </w:r>
          </w:p>
        </w:tc>
        <w:tc>
          <w:tcPr>
            <w:tcW w:w="102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w:t>
            </w:r>
          </w:p>
        </w:tc>
        <w:tc>
          <w:tcPr>
            <w:tcW w:w="1120" w:type="dxa"/>
            <w:vAlign w:val="bottom"/>
            <w:tcBorders>
              <w:bottom w:val="single" w:sz="8" w:color="D9D9D6"/>
            </w:tcBorders>
          </w:tcPr>
          <w:p>
            <w:pPr>
              <w:jc w:val="right"/>
              <w:ind w:right="53"/>
              <w:spacing w:after="0"/>
              <w:rPr>
                <w:sz w:val="20"/>
                <w:szCs w:val="20"/>
                <w:color w:val="auto"/>
              </w:rPr>
            </w:pPr>
            <w:r>
              <w:rPr>
                <w:rFonts w:ascii="Arial" w:cs="Arial" w:eastAsia="Arial" w:hAnsi="Arial"/>
                <w:sz w:val="13"/>
                <w:szCs w:val="13"/>
                <w:color w:val="3D3935"/>
              </w:rPr>
              <w:t>438,250</w:t>
            </w:r>
          </w:p>
        </w:tc>
        <w:tc>
          <w:tcPr>
            <w:tcW w:w="80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14,349,551</w:t>
            </w:r>
          </w:p>
        </w:tc>
        <w:tc>
          <w:tcPr>
            <w:tcW w:w="0" w:type="dxa"/>
            <w:vAlign w:val="bottom"/>
          </w:tcPr>
          <w:p>
            <w:pPr>
              <w:spacing w:after="0"/>
              <w:rPr>
                <w:sz w:val="1"/>
                <w:szCs w:val="1"/>
                <w:color w:val="auto"/>
              </w:rPr>
            </w:pPr>
          </w:p>
        </w:tc>
      </w:tr>
      <w:tr>
        <w:trPr>
          <w:trHeight w:val="209"/>
        </w:trPr>
        <w:tc>
          <w:tcPr>
            <w:tcW w:w="1400" w:type="dxa"/>
            <w:vAlign w:val="bottom"/>
          </w:tcPr>
          <w:p>
            <w:pPr>
              <w:ind w:left="60"/>
              <w:spacing w:after="0"/>
              <w:rPr>
                <w:sz w:val="20"/>
                <w:szCs w:val="20"/>
                <w:color w:val="auto"/>
              </w:rPr>
            </w:pPr>
            <w:r>
              <w:rPr>
                <w:rFonts w:ascii="Arial" w:cs="Arial" w:eastAsia="Arial" w:hAnsi="Arial"/>
                <w:sz w:val="13"/>
                <w:szCs w:val="13"/>
                <w:b w:val="1"/>
                <w:bCs w:val="1"/>
                <w:color w:val="0072CE"/>
              </w:rPr>
              <w:t>Michael Abbott</w:t>
            </w:r>
          </w:p>
        </w:tc>
        <w:tc>
          <w:tcPr>
            <w:tcW w:w="460" w:type="dxa"/>
            <w:vAlign w:val="bottom"/>
            <w:tcBorders>
              <w:bottom w:val="single" w:sz="8" w:color="D9D9D6"/>
            </w:tcBorders>
          </w:tcPr>
          <w:p>
            <w:pPr>
              <w:jc w:val="right"/>
              <w:ind w:right="33"/>
              <w:spacing w:after="0"/>
              <w:rPr>
                <w:sz w:val="20"/>
                <w:szCs w:val="20"/>
                <w:color w:val="auto"/>
              </w:rPr>
            </w:pPr>
            <w:r>
              <w:rPr>
                <w:rFonts w:ascii="Arial" w:cs="Arial" w:eastAsia="Arial" w:hAnsi="Arial"/>
                <w:sz w:val="13"/>
                <w:szCs w:val="13"/>
                <w:color w:val="3D3935"/>
              </w:rPr>
              <w:t>2024</w:t>
            </w:r>
          </w:p>
        </w:tc>
        <w:tc>
          <w:tcPr>
            <w:tcW w:w="780" w:type="dxa"/>
            <w:vAlign w:val="bottom"/>
            <w:tcBorders>
              <w:bottom w:val="single" w:sz="8" w:color="D9D9D6"/>
            </w:tcBorders>
          </w:tcPr>
          <w:p>
            <w:pPr>
              <w:jc w:val="right"/>
              <w:ind w:right="13"/>
              <w:spacing w:after="0"/>
              <w:rPr>
                <w:sz w:val="20"/>
                <w:szCs w:val="20"/>
                <w:color w:val="auto"/>
              </w:rPr>
            </w:pPr>
            <w:r>
              <w:rPr>
                <w:rFonts w:ascii="Arial" w:cs="Arial" w:eastAsia="Arial" w:hAnsi="Arial"/>
                <w:sz w:val="13"/>
                <w:szCs w:val="13"/>
                <w:color w:val="3D3935"/>
              </w:rPr>
              <w:t>309,091</w:t>
            </w:r>
          </w:p>
        </w:tc>
        <w:tc>
          <w:tcPr>
            <w:tcW w:w="780" w:type="dxa"/>
            <w:vAlign w:val="bottom"/>
            <w:tcBorders>
              <w:bottom w:val="single" w:sz="8" w:color="D9D9D6"/>
            </w:tcBorders>
          </w:tcPr>
          <w:p>
            <w:pPr>
              <w:ind w:left="600"/>
              <w:spacing w:after="0"/>
              <w:rPr>
                <w:sz w:val="20"/>
                <w:szCs w:val="20"/>
                <w:color w:val="auto"/>
              </w:rPr>
            </w:pPr>
            <w:r>
              <w:rPr>
                <w:rFonts w:ascii="Arial" w:cs="Arial" w:eastAsia="Arial" w:hAnsi="Arial"/>
                <w:sz w:val="13"/>
                <w:szCs w:val="13"/>
                <w:color w:val="3D3935"/>
              </w:rPr>
              <w:t>—</w:t>
            </w:r>
          </w:p>
        </w:tc>
        <w:tc>
          <w:tcPr>
            <w:tcW w:w="820" w:type="dxa"/>
            <w:vAlign w:val="bottom"/>
            <w:tcBorders>
              <w:bottom w:val="single" w:sz="8" w:color="D9D9D6"/>
            </w:tcBorders>
          </w:tcPr>
          <w:p>
            <w:pPr>
              <w:ind w:left="100"/>
              <w:spacing w:after="0"/>
              <w:rPr>
                <w:sz w:val="20"/>
                <w:szCs w:val="20"/>
                <w:color w:val="auto"/>
              </w:rPr>
            </w:pPr>
            <w:r>
              <w:rPr>
                <w:rFonts w:ascii="Arial" w:cs="Arial" w:eastAsia="Arial" w:hAnsi="Arial"/>
                <w:sz w:val="13"/>
                <w:szCs w:val="13"/>
                <w:color w:val="3D3935"/>
              </w:rPr>
              <w:t>11,300,021</w:t>
            </w:r>
          </w:p>
        </w:tc>
        <w:tc>
          <w:tcPr>
            <w:tcW w:w="78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w:t>
            </w:r>
          </w:p>
        </w:tc>
        <w:tc>
          <w:tcPr>
            <w:tcW w:w="1120" w:type="dxa"/>
            <w:vAlign w:val="bottom"/>
            <w:tcBorders>
              <w:bottom w:val="single" w:sz="8" w:color="D9D9D6"/>
            </w:tcBorders>
          </w:tcPr>
          <w:p>
            <w:pPr>
              <w:ind w:left="960"/>
              <w:spacing w:after="0"/>
              <w:rPr>
                <w:sz w:val="20"/>
                <w:szCs w:val="20"/>
                <w:color w:val="auto"/>
              </w:rPr>
            </w:pPr>
            <w:r>
              <w:rPr>
                <w:rFonts w:ascii="Arial" w:cs="Arial" w:eastAsia="Arial" w:hAnsi="Arial"/>
                <w:sz w:val="13"/>
                <w:szCs w:val="13"/>
                <w:color w:val="3D3935"/>
              </w:rPr>
              <w:t>—</w:t>
            </w:r>
          </w:p>
        </w:tc>
        <w:tc>
          <w:tcPr>
            <w:tcW w:w="102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w:t>
            </w:r>
          </w:p>
        </w:tc>
        <w:tc>
          <w:tcPr>
            <w:tcW w:w="1120" w:type="dxa"/>
            <w:vAlign w:val="bottom"/>
            <w:tcBorders>
              <w:bottom w:val="single" w:sz="8" w:color="D9D9D6"/>
            </w:tcBorders>
          </w:tcPr>
          <w:p>
            <w:pPr>
              <w:jc w:val="right"/>
              <w:ind w:right="33"/>
              <w:spacing w:after="0"/>
              <w:rPr>
                <w:sz w:val="20"/>
                <w:szCs w:val="20"/>
                <w:color w:val="auto"/>
              </w:rPr>
            </w:pPr>
            <w:r>
              <w:rPr>
                <w:rFonts w:ascii="Arial" w:cs="Arial" w:eastAsia="Arial" w:hAnsi="Arial"/>
                <w:sz w:val="13"/>
                <w:szCs w:val="13"/>
                <w:color w:val="3D3935"/>
              </w:rPr>
              <w:t>441,700</w:t>
            </w:r>
          </w:p>
        </w:tc>
        <w:tc>
          <w:tcPr>
            <w:tcW w:w="80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12,050,812</w:t>
            </w:r>
          </w:p>
        </w:tc>
        <w:tc>
          <w:tcPr>
            <w:tcW w:w="0" w:type="dxa"/>
            <w:vAlign w:val="bottom"/>
          </w:tcPr>
          <w:p>
            <w:pPr>
              <w:spacing w:after="0"/>
              <w:rPr>
                <w:sz w:val="1"/>
                <w:szCs w:val="1"/>
                <w:color w:val="auto"/>
              </w:rPr>
            </w:pPr>
          </w:p>
        </w:tc>
      </w:tr>
      <w:tr>
        <w:trPr>
          <w:trHeight w:val="150"/>
        </w:trPr>
        <w:tc>
          <w:tcPr>
            <w:tcW w:w="1400" w:type="dxa"/>
            <w:vAlign w:val="bottom"/>
          </w:tcPr>
          <w:p>
            <w:pPr>
              <w:ind w:left="60"/>
              <w:spacing w:after="0"/>
              <w:rPr>
                <w:sz w:val="20"/>
                <w:szCs w:val="20"/>
                <w:color w:val="auto"/>
              </w:rPr>
            </w:pPr>
            <w:r>
              <w:rPr>
                <w:rFonts w:ascii="Arial" w:cs="Arial" w:eastAsia="Arial" w:hAnsi="Arial"/>
                <w:sz w:val="13"/>
                <w:szCs w:val="13"/>
                <w:color w:val="3D3935"/>
              </w:rPr>
              <w:t>Advisor, Former</w:t>
            </w:r>
          </w:p>
        </w:tc>
        <w:tc>
          <w:tcPr>
            <w:tcW w:w="460" w:type="dxa"/>
            <w:vAlign w:val="bottom"/>
            <w:vMerge w:val="restart"/>
          </w:tcPr>
          <w:p>
            <w:pPr>
              <w:jc w:val="right"/>
              <w:ind w:right="13"/>
              <w:spacing w:after="0"/>
              <w:rPr>
                <w:sz w:val="20"/>
                <w:szCs w:val="20"/>
                <w:color w:val="auto"/>
              </w:rPr>
            </w:pPr>
            <w:r>
              <w:rPr>
                <w:rFonts w:ascii="Arial" w:cs="Arial" w:eastAsia="Arial" w:hAnsi="Arial"/>
                <w:sz w:val="13"/>
                <w:szCs w:val="13"/>
                <w:color w:val="3D3935"/>
              </w:rPr>
              <w:t>2023</w:t>
            </w:r>
          </w:p>
        </w:tc>
        <w:tc>
          <w:tcPr>
            <w:tcW w:w="780" w:type="dxa"/>
            <w:vAlign w:val="bottom"/>
            <w:vMerge w:val="restart"/>
          </w:tcPr>
          <w:p>
            <w:pPr>
              <w:jc w:val="right"/>
              <w:ind w:right="33"/>
              <w:spacing w:after="0"/>
              <w:rPr>
                <w:sz w:val="20"/>
                <w:szCs w:val="20"/>
                <w:color w:val="auto"/>
              </w:rPr>
            </w:pPr>
            <w:r>
              <w:rPr>
                <w:rFonts w:ascii="Arial" w:cs="Arial" w:eastAsia="Arial" w:hAnsi="Arial"/>
                <w:sz w:val="13"/>
                <w:szCs w:val="13"/>
                <w:color w:val="3D3935"/>
              </w:rPr>
              <w:t>488,889</w:t>
            </w:r>
          </w:p>
        </w:tc>
        <w:tc>
          <w:tcPr>
            <w:tcW w:w="780" w:type="dxa"/>
            <w:vAlign w:val="bottom"/>
            <w:vMerge w:val="restart"/>
          </w:tcPr>
          <w:p>
            <w:pPr>
              <w:ind w:left="40"/>
              <w:spacing w:after="0"/>
              <w:rPr>
                <w:sz w:val="20"/>
                <w:szCs w:val="20"/>
                <w:color w:val="auto"/>
              </w:rPr>
            </w:pPr>
            <w:r>
              <w:rPr>
                <w:rFonts w:ascii="Arial" w:cs="Arial" w:eastAsia="Arial" w:hAnsi="Arial"/>
                <w:sz w:val="13"/>
                <w:szCs w:val="13"/>
                <w:color w:val="3D3935"/>
              </w:rPr>
              <w:t>1,500,000</w:t>
            </w:r>
          </w:p>
        </w:tc>
        <w:tc>
          <w:tcPr>
            <w:tcW w:w="820" w:type="dxa"/>
            <w:vAlign w:val="bottom"/>
            <w:vMerge w:val="restart"/>
          </w:tcPr>
          <w:p>
            <w:pPr>
              <w:jc w:val="right"/>
              <w:ind w:right="13"/>
              <w:spacing w:after="0"/>
              <w:rPr>
                <w:sz w:val="20"/>
                <w:szCs w:val="20"/>
                <w:color w:val="auto"/>
              </w:rPr>
            </w:pPr>
            <w:r>
              <w:rPr>
                <w:rFonts w:ascii="Arial" w:cs="Arial" w:eastAsia="Arial" w:hAnsi="Arial"/>
                <w:sz w:val="13"/>
                <w:szCs w:val="13"/>
                <w:color w:val="3D3935"/>
              </w:rPr>
              <w:t>17,000,001</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3D3935"/>
              </w:rPr>
              <w:t>—</w:t>
            </w:r>
          </w:p>
        </w:tc>
        <w:tc>
          <w:tcPr>
            <w:tcW w:w="1120" w:type="dxa"/>
            <w:vAlign w:val="bottom"/>
            <w:vMerge w:val="restart"/>
          </w:tcPr>
          <w:p>
            <w:pPr>
              <w:ind w:left="400"/>
              <w:spacing w:after="0"/>
              <w:rPr>
                <w:sz w:val="20"/>
                <w:szCs w:val="20"/>
                <w:color w:val="auto"/>
              </w:rPr>
            </w:pPr>
            <w:r>
              <w:rPr>
                <w:rFonts w:ascii="Arial" w:cs="Arial" w:eastAsia="Arial" w:hAnsi="Arial"/>
                <w:sz w:val="13"/>
                <w:szCs w:val="13"/>
                <w:color w:val="3D3935"/>
              </w:rPr>
              <w:t>1,350,000</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3D3935"/>
              </w:rPr>
              <w:t>—</w:t>
            </w:r>
          </w:p>
        </w:tc>
        <w:tc>
          <w:tcPr>
            <w:tcW w:w="1120" w:type="dxa"/>
            <w:vAlign w:val="bottom"/>
            <w:vMerge w:val="restart"/>
          </w:tcPr>
          <w:p>
            <w:pPr>
              <w:jc w:val="right"/>
              <w:ind w:right="13"/>
              <w:spacing w:after="0"/>
              <w:rPr>
                <w:sz w:val="20"/>
                <w:szCs w:val="20"/>
                <w:color w:val="auto"/>
              </w:rPr>
            </w:pPr>
            <w:r>
              <w:rPr>
                <w:rFonts w:ascii="Arial" w:cs="Arial" w:eastAsia="Arial" w:hAnsi="Arial"/>
                <w:sz w:val="13"/>
                <w:szCs w:val="13"/>
                <w:color w:val="3D3935"/>
              </w:rPr>
              <w:t>49,197</w:t>
            </w:r>
          </w:p>
        </w:tc>
        <w:tc>
          <w:tcPr>
            <w:tcW w:w="800" w:type="dxa"/>
            <w:vAlign w:val="bottom"/>
            <w:vMerge w:val="restart"/>
          </w:tcPr>
          <w:p>
            <w:pPr>
              <w:jc w:val="right"/>
              <w:ind w:right="33"/>
              <w:spacing w:after="0"/>
              <w:rPr>
                <w:sz w:val="20"/>
                <w:szCs w:val="20"/>
                <w:color w:val="auto"/>
              </w:rPr>
            </w:pPr>
            <w:r>
              <w:rPr>
                <w:rFonts w:ascii="Arial" w:cs="Arial" w:eastAsia="Arial" w:hAnsi="Arial"/>
                <w:sz w:val="13"/>
                <w:szCs w:val="13"/>
                <w:color w:val="3D3935"/>
              </w:rPr>
              <w:t>20,388,087</w:t>
            </w:r>
          </w:p>
        </w:tc>
        <w:tc>
          <w:tcPr>
            <w:tcW w:w="0" w:type="dxa"/>
            <w:vAlign w:val="bottom"/>
          </w:tcPr>
          <w:p>
            <w:pPr>
              <w:spacing w:after="0"/>
              <w:rPr>
                <w:sz w:val="1"/>
                <w:szCs w:val="1"/>
                <w:color w:val="auto"/>
              </w:rPr>
            </w:pPr>
          </w:p>
        </w:tc>
      </w:tr>
      <w:tr>
        <w:trPr>
          <w:trHeight w:val="54"/>
        </w:trPr>
        <w:tc>
          <w:tcPr>
            <w:tcW w:w="1400" w:type="dxa"/>
            <w:vAlign w:val="bottom"/>
            <w:vMerge w:val="restart"/>
          </w:tcPr>
          <w:p>
            <w:pPr>
              <w:ind w:left="60"/>
              <w:spacing w:after="0"/>
              <w:rPr>
                <w:sz w:val="20"/>
                <w:szCs w:val="20"/>
                <w:color w:val="auto"/>
              </w:rPr>
            </w:pPr>
            <w:r>
              <w:rPr>
                <w:rFonts w:ascii="Arial" w:cs="Arial" w:eastAsia="Arial" w:hAnsi="Arial"/>
                <w:sz w:val="13"/>
                <w:szCs w:val="13"/>
                <w:color w:val="3D3935"/>
              </w:rPr>
              <w:t>Executive Vice</w:t>
            </w:r>
          </w:p>
        </w:tc>
        <w:tc>
          <w:tcPr>
            <w:tcW w:w="46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40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400" w:type="dxa"/>
            <w:vAlign w:val="bottom"/>
            <w:tcBorders>
              <w:bottom w:val="single" w:sz="8" w:color="D9D9D6"/>
            </w:tcBorders>
          </w:tcPr>
          <w:p>
            <w:pPr>
              <w:ind w:left="60"/>
              <w:spacing w:after="0"/>
              <w:rPr>
                <w:sz w:val="20"/>
                <w:szCs w:val="20"/>
                <w:color w:val="auto"/>
              </w:rPr>
            </w:pPr>
            <w:r>
              <w:rPr>
                <w:rFonts w:ascii="Arial" w:cs="Arial" w:eastAsia="Arial" w:hAnsi="Arial"/>
                <w:sz w:val="13"/>
                <w:szCs w:val="13"/>
                <w:color w:val="3D3935"/>
              </w:rPr>
              <w:t>President, Software</w:t>
            </w:r>
          </w:p>
        </w:tc>
        <w:tc>
          <w:tcPr>
            <w:tcW w:w="460" w:type="dxa"/>
            <w:vAlign w:val="bottom"/>
            <w:tcBorders>
              <w:bottom w:val="single" w:sz="8" w:color="D9D9D6"/>
            </w:tcBorders>
          </w:tcPr>
          <w:p>
            <w:pPr>
              <w:spacing w:after="0"/>
              <w:rPr>
                <w:sz w:val="15"/>
                <w:szCs w:val="15"/>
                <w:color w:val="auto"/>
              </w:rPr>
            </w:pPr>
          </w:p>
        </w:tc>
        <w:tc>
          <w:tcPr>
            <w:tcW w:w="780" w:type="dxa"/>
            <w:vAlign w:val="bottom"/>
            <w:tcBorders>
              <w:bottom w:val="single" w:sz="8" w:color="D9D9D6"/>
            </w:tcBorders>
          </w:tcPr>
          <w:p>
            <w:pPr>
              <w:spacing w:after="0"/>
              <w:rPr>
                <w:sz w:val="15"/>
                <w:szCs w:val="15"/>
                <w:color w:val="auto"/>
              </w:rPr>
            </w:pPr>
          </w:p>
        </w:tc>
        <w:tc>
          <w:tcPr>
            <w:tcW w:w="780" w:type="dxa"/>
            <w:vAlign w:val="bottom"/>
            <w:tcBorders>
              <w:bottom w:val="single" w:sz="8" w:color="D9D9D6"/>
            </w:tcBorders>
          </w:tcPr>
          <w:p>
            <w:pPr>
              <w:spacing w:after="0"/>
              <w:rPr>
                <w:sz w:val="15"/>
                <w:szCs w:val="15"/>
                <w:color w:val="auto"/>
              </w:rPr>
            </w:pPr>
          </w:p>
        </w:tc>
        <w:tc>
          <w:tcPr>
            <w:tcW w:w="820" w:type="dxa"/>
            <w:vAlign w:val="bottom"/>
            <w:tcBorders>
              <w:bottom w:val="single" w:sz="8" w:color="D9D9D6"/>
            </w:tcBorders>
          </w:tcPr>
          <w:p>
            <w:pPr>
              <w:spacing w:after="0"/>
              <w:rPr>
                <w:sz w:val="15"/>
                <w:szCs w:val="15"/>
                <w:color w:val="auto"/>
              </w:rPr>
            </w:pPr>
          </w:p>
        </w:tc>
        <w:tc>
          <w:tcPr>
            <w:tcW w:w="780" w:type="dxa"/>
            <w:vAlign w:val="bottom"/>
            <w:tcBorders>
              <w:bottom w:val="single" w:sz="8" w:color="D9D9D6"/>
            </w:tcBorders>
          </w:tcPr>
          <w:p>
            <w:pPr>
              <w:spacing w:after="0"/>
              <w:rPr>
                <w:sz w:val="15"/>
                <w:szCs w:val="15"/>
                <w:color w:val="auto"/>
              </w:rPr>
            </w:pPr>
          </w:p>
        </w:tc>
        <w:tc>
          <w:tcPr>
            <w:tcW w:w="1120" w:type="dxa"/>
            <w:vAlign w:val="bottom"/>
            <w:tcBorders>
              <w:bottom w:val="single" w:sz="8" w:color="D9D9D6"/>
            </w:tcBorders>
          </w:tcPr>
          <w:p>
            <w:pPr>
              <w:spacing w:after="0"/>
              <w:rPr>
                <w:sz w:val="15"/>
                <w:szCs w:val="15"/>
                <w:color w:val="auto"/>
              </w:rPr>
            </w:pPr>
          </w:p>
        </w:tc>
        <w:tc>
          <w:tcPr>
            <w:tcW w:w="1020" w:type="dxa"/>
            <w:vAlign w:val="bottom"/>
            <w:tcBorders>
              <w:bottom w:val="single" w:sz="8" w:color="D9D9D6"/>
            </w:tcBorders>
          </w:tcPr>
          <w:p>
            <w:pPr>
              <w:spacing w:after="0"/>
              <w:rPr>
                <w:sz w:val="15"/>
                <w:szCs w:val="15"/>
                <w:color w:val="auto"/>
              </w:rPr>
            </w:pPr>
          </w:p>
        </w:tc>
        <w:tc>
          <w:tcPr>
            <w:tcW w:w="1120" w:type="dxa"/>
            <w:vAlign w:val="bottom"/>
            <w:tcBorders>
              <w:bottom w:val="single" w:sz="8" w:color="D9D9D6"/>
            </w:tcBorders>
          </w:tcPr>
          <w:p>
            <w:pPr>
              <w:spacing w:after="0"/>
              <w:rPr>
                <w:sz w:val="15"/>
                <w:szCs w:val="15"/>
                <w:color w:val="auto"/>
              </w:rPr>
            </w:pPr>
          </w:p>
        </w:tc>
        <w:tc>
          <w:tcPr>
            <w:tcW w:w="800" w:type="dxa"/>
            <w:vAlign w:val="bottom"/>
            <w:tcBorders>
              <w:bottom w:val="single" w:sz="8" w:color="D9D9D6"/>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400" w:type="dxa"/>
            <w:vAlign w:val="bottom"/>
          </w:tcPr>
          <w:p>
            <w:pPr>
              <w:ind w:left="60"/>
              <w:spacing w:after="0"/>
              <w:rPr>
                <w:sz w:val="20"/>
                <w:szCs w:val="20"/>
                <w:color w:val="auto"/>
              </w:rPr>
            </w:pPr>
            <w:r>
              <w:rPr>
                <w:rFonts w:ascii="Arial" w:cs="Arial" w:eastAsia="Arial" w:hAnsi="Arial"/>
                <w:sz w:val="13"/>
                <w:szCs w:val="13"/>
                <w:b w:val="1"/>
                <w:bCs w:val="1"/>
                <w:color w:val="0072CE"/>
              </w:rPr>
              <w:t>Craig B. Glidden</w:t>
            </w:r>
          </w:p>
        </w:tc>
        <w:tc>
          <w:tcPr>
            <w:tcW w:w="460" w:type="dxa"/>
            <w:vAlign w:val="bottom"/>
            <w:tcBorders>
              <w:bottom w:val="single" w:sz="8" w:color="D9D9D6"/>
            </w:tcBorders>
          </w:tcPr>
          <w:p>
            <w:pPr>
              <w:jc w:val="right"/>
              <w:ind w:right="33"/>
              <w:spacing w:after="0"/>
              <w:rPr>
                <w:sz w:val="20"/>
                <w:szCs w:val="20"/>
                <w:color w:val="auto"/>
              </w:rPr>
            </w:pPr>
            <w:r>
              <w:rPr>
                <w:rFonts w:ascii="Arial" w:cs="Arial" w:eastAsia="Arial" w:hAnsi="Arial"/>
                <w:sz w:val="13"/>
                <w:szCs w:val="13"/>
                <w:color w:val="3D3935"/>
              </w:rPr>
              <w:t>2024</w:t>
            </w:r>
          </w:p>
        </w:tc>
        <w:tc>
          <w:tcPr>
            <w:tcW w:w="78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1,100,000</w:t>
            </w:r>
          </w:p>
        </w:tc>
        <w:tc>
          <w:tcPr>
            <w:tcW w:w="780" w:type="dxa"/>
            <w:vAlign w:val="bottom"/>
            <w:tcBorders>
              <w:bottom w:val="single" w:sz="8" w:color="D9D9D6"/>
            </w:tcBorders>
          </w:tcPr>
          <w:p>
            <w:pPr>
              <w:ind w:left="600"/>
              <w:spacing w:after="0"/>
              <w:rPr>
                <w:sz w:val="20"/>
                <w:szCs w:val="20"/>
                <w:color w:val="auto"/>
              </w:rPr>
            </w:pPr>
            <w:r>
              <w:rPr>
                <w:rFonts w:ascii="Arial" w:cs="Arial" w:eastAsia="Arial" w:hAnsi="Arial"/>
                <w:sz w:val="13"/>
                <w:szCs w:val="13"/>
                <w:color w:val="3D3935"/>
              </w:rPr>
              <w:t>—</w:t>
            </w:r>
          </w:p>
        </w:tc>
        <w:tc>
          <w:tcPr>
            <w:tcW w:w="820" w:type="dxa"/>
            <w:vAlign w:val="bottom"/>
            <w:tcBorders>
              <w:bottom w:val="single" w:sz="8" w:color="D9D9D6"/>
            </w:tcBorders>
          </w:tcPr>
          <w:p>
            <w:pPr>
              <w:jc w:val="right"/>
              <w:ind w:right="13"/>
              <w:spacing w:after="0"/>
              <w:rPr>
                <w:sz w:val="20"/>
                <w:szCs w:val="20"/>
                <w:color w:val="auto"/>
              </w:rPr>
            </w:pPr>
            <w:r>
              <w:rPr>
                <w:rFonts w:ascii="Arial" w:cs="Arial" w:eastAsia="Arial" w:hAnsi="Arial"/>
                <w:sz w:val="13"/>
                <w:szCs w:val="13"/>
                <w:color w:val="3D3935"/>
              </w:rPr>
              <w:t>7,025,013</w:t>
            </w:r>
          </w:p>
        </w:tc>
        <w:tc>
          <w:tcPr>
            <w:tcW w:w="78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w:t>
            </w:r>
          </w:p>
        </w:tc>
        <w:tc>
          <w:tcPr>
            <w:tcW w:w="1120" w:type="dxa"/>
            <w:vAlign w:val="bottom"/>
            <w:tcBorders>
              <w:bottom w:val="single" w:sz="8" w:color="D9D9D6"/>
            </w:tcBorders>
          </w:tcPr>
          <w:p>
            <w:pPr>
              <w:ind w:left="400"/>
              <w:spacing w:after="0"/>
              <w:rPr>
                <w:sz w:val="20"/>
                <w:szCs w:val="20"/>
                <w:color w:val="auto"/>
              </w:rPr>
            </w:pPr>
            <w:r>
              <w:rPr>
                <w:rFonts w:ascii="Arial" w:cs="Arial" w:eastAsia="Arial" w:hAnsi="Arial"/>
                <w:sz w:val="13"/>
                <w:szCs w:val="13"/>
                <w:color w:val="3D3935"/>
              </w:rPr>
              <w:t>2,021,300</w:t>
            </w:r>
          </w:p>
        </w:tc>
        <w:tc>
          <w:tcPr>
            <w:tcW w:w="102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w:t>
            </w:r>
          </w:p>
        </w:tc>
        <w:tc>
          <w:tcPr>
            <w:tcW w:w="1120" w:type="dxa"/>
            <w:vAlign w:val="bottom"/>
            <w:tcBorders>
              <w:bottom w:val="single" w:sz="8" w:color="D9D9D6"/>
            </w:tcBorders>
          </w:tcPr>
          <w:p>
            <w:pPr>
              <w:jc w:val="right"/>
              <w:ind w:right="73"/>
              <w:spacing w:after="0"/>
              <w:rPr>
                <w:sz w:val="20"/>
                <w:szCs w:val="20"/>
                <w:color w:val="auto"/>
              </w:rPr>
            </w:pPr>
            <w:r>
              <w:rPr>
                <w:rFonts w:ascii="Arial" w:cs="Arial" w:eastAsia="Arial" w:hAnsi="Arial"/>
                <w:sz w:val="13"/>
                <w:szCs w:val="13"/>
                <w:color w:val="3D3935"/>
              </w:rPr>
              <w:t>286,080</w:t>
            </w:r>
          </w:p>
        </w:tc>
        <w:tc>
          <w:tcPr>
            <w:tcW w:w="800" w:type="dxa"/>
            <w:vAlign w:val="bottom"/>
            <w:tcBorders>
              <w:bottom w:val="single" w:sz="8" w:color="D9D9D6"/>
            </w:tcBorders>
          </w:tcPr>
          <w:p>
            <w:pPr>
              <w:jc w:val="right"/>
              <w:ind w:right="13"/>
              <w:spacing w:after="0"/>
              <w:rPr>
                <w:sz w:val="20"/>
                <w:szCs w:val="20"/>
                <w:color w:val="auto"/>
              </w:rPr>
            </w:pPr>
            <w:r>
              <w:rPr>
                <w:rFonts w:ascii="Arial" w:cs="Arial" w:eastAsia="Arial" w:hAnsi="Arial"/>
                <w:sz w:val="13"/>
                <w:szCs w:val="13"/>
                <w:color w:val="3D3935"/>
              </w:rPr>
              <w:t>10,432,393</w:t>
            </w:r>
          </w:p>
        </w:tc>
        <w:tc>
          <w:tcPr>
            <w:tcW w:w="0" w:type="dxa"/>
            <w:vAlign w:val="bottom"/>
          </w:tcPr>
          <w:p>
            <w:pPr>
              <w:spacing w:after="0"/>
              <w:rPr>
                <w:sz w:val="1"/>
                <w:szCs w:val="1"/>
                <w:color w:val="auto"/>
              </w:rPr>
            </w:pPr>
          </w:p>
        </w:tc>
      </w:tr>
      <w:tr>
        <w:trPr>
          <w:trHeight w:val="136"/>
        </w:trPr>
        <w:tc>
          <w:tcPr>
            <w:tcW w:w="1400" w:type="dxa"/>
            <w:vAlign w:val="bottom"/>
          </w:tcPr>
          <w:p>
            <w:pPr>
              <w:ind w:left="60"/>
              <w:spacing w:after="0" w:line="136" w:lineRule="exact"/>
              <w:rPr>
                <w:sz w:val="20"/>
                <w:szCs w:val="20"/>
                <w:color w:val="auto"/>
              </w:rPr>
            </w:pPr>
            <w:r>
              <w:rPr>
                <w:rFonts w:ascii="Arial" w:cs="Arial" w:eastAsia="Arial" w:hAnsi="Arial"/>
                <w:sz w:val="13"/>
                <w:szCs w:val="13"/>
                <w:color w:val="3D3935"/>
              </w:rPr>
              <w:t>Strategic Advisor</w:t>
            </w:r>
          </w:p>
        </w:tc>
        <w:tc>
          <w:tcPr>
            <w:tcW w:w="460" w:type="dxa"/>
            <w:vAlign w:val="bottom"/>
            <w:vMerge w:val="restart"/>
          </w:tcPr>
          <w:p>
            <w:pPr>
              <w:jc w:val="right"/>
              <w:ind w:right="13"/>
              <w:spacing w:after="0"/>
              <w:rPr>
                <w:sz w:val="20"/>
                <w:szCs w:val="20"/>
                <w:color w:val="auto"/>
              </w:rPr>
            </w:pPr>
            <w:r>
              <w:rPr>
                <w:rFonts w:ascii="Arial" w:cs="Arial" w:eastAsia="Arial" w:hAnsi="Arial"/>
                <w:sz w:val="13"/>
                <w:szCs w:val="13"/>
                <w:color w:val="3D3935"/>
              </w:rPr>
              <w:t>2023</w:t>
            </w:r>
          </w:p>
        </w:tc>
        <w:tc>
          <w:tcPr>
            <w:tcW w:w="780" w:type="dxa"/>
            <w:vAlign w:val="bottom"/>
            <w:vMerge w:val="restart"/>
          </w:tcPr>
          <w:p>
            <w:pPr>
              <w:jc w:val="right"/>
              <w:ind w:right="13"/>
              <w:spacing w:after="0"/>
              <w:rPr>
                <w:sz w:val="20"/>
                <w:szCs w:val="20"/>
                <w:color w:val="auto"/>
              </w:rPr>
            </w:pPr>
            <w:r>
              <w:rPr>
                <w:rFonts w:ascii="Arial" w:cs="Arial" w:eastAsia="Arial" w:hAnsi="Arial"/>
                <w:sz w:val="13"/>
                <w:szCs w:val="13"/>
                <w:color w:val="3D3935"/>
              </w:rPr>
              <w:t>893,750</w:t>
            </w:r>
          </w:p>
        </w:tc>
        <w:tc>
          <w:tcPr>
            <w:tcW w:w="780" w:type="dxa"/>
            <w:vAlign w:val="bottom"/>
            <w:vMerge w:val="restart"/>
          </w:tcPr>
          <w:p>
            <w:pPr>
              <w:ind w:left="600"/>
              <w:spacing w:after="0"/>
              <w:rPr>
                <w:sz w:val="20"/>
                <w:szCs w:val="20"/>
                <w:color w:val="auto"/>
              </w:rPr>
            </w:pPr>
            <w:r>
              <w:rPr>
                <w:rFonts w:ascii="Arial" w:cs="Arial" w:eastAsia="Arial" w:hAnsi="Arial"/>
                <w:sz w:val="13"/>
                <w:szCs w:val="13"/>
                <w:color w:val="3D3935"/>
              </w:rPr>
              <w:t>—</w:t>
            </w:r>
          </w:p>
        </w:tc>
        <w:tc>
          <w:tcPr>
            <w:tcW w:w="820" w:type="dxa"/>
            <w:vAlign w:val="bottom"/>
            <w:vMerge w:val="restart"/>
          </w:tcPr>
          <w:p>
            <w:pPr>
              <w:ind w:left="100"/>
              <w:spacing w:after="0"/>
              <w:rPr>
                <w:sz w:val="20"/>
                <w:szCs w:val="20"/>
                <w:color w:val="auto"/>
              </w:rPr>
            </w:pPr>
            <w:r>
              <w:rPr>
                <w:rFonts w:ascii="Arial" w:cs="Arial" w:eastAsia="Arial" w:hAnsi="Arial"/>
                <w:sz w:val="13"/>
                <w:szCs w:val="13"/>
                <w:color w:val="3D3935"/>
              </w:rPr>
              <w:t>6,898,406</w:t>
            </w:r>
          </w:p>
        </w:tc>
        <w:tc>
          <w:tcPr>
            <w:tcW w:w="780" w:type="dxa"/>
            <w:vAlign w:val="bottom"/>
            <w:vMerge w:val="restart"/>
          </w:tcPr>
          <w:p>
            <w:pPr>
              <w:jc w:val="right"/>
              <w:ind w:right="33"/>
              <w:spacing w:after="0"/>
              <w:rPr>
                <w:sz w:val="20"/>
                <w:szCs w:val="20"/>
                <w:color w:val="auto"/>
              </w:rPr>
            </w:pPr>
            <w:r>
              <w:rPr>
                <w:rFonts w:ascii="Arial" w:cs="Arial" w:eastAsia="Arial" w:hAnsi="Arial"/>
                <w:sz w:val="13"/>
                <w:szCs w:val="13"/>
                <w:color w:val="3D3935"/>
              </w:rPr>
              <w:t>1,632,807</w:t>
            </w:r>
          </w:p>
        </w:tc>
        <w:tc>
          <w:tcPr>
            <w:tcW w:w="1120" w:type="dxa"/>
            <w:vAlign w:val="bottom"/>
            <w:vMerge w:val="restart"/>
          </w:tcPr>
          <w:p>
            <w:pPr>
              <w:ind w:left="420"/>
              <w:spacing w:after="0"/>
              <w:rPr>
                <w:sz w:val="20"/>
                <w:szCs w:val="20"/>
                <w:color w:val="auto"/>
              </w:rPr>
            </w:pPr>
            <w:r>
              <w:rPr>
                <w:rFonts w:ascii="Arial" w:cs="Arial" w:eastAsia="Arial" w:hAnsi="Arial"/>
                <w:sz w:val="13"/>
                <w:szCs w:val="13"/>
                <w:color w:val="3D3935"/>
              </w:rPr>
              <w:t>1,856,300</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3D3935"/>
              </w:rPr>
              <w:t>—</w:t>
            </w:r>
          </w:p>
        </w:tc>
        <w:tc>
          <w:tcPr>
            <w:tcW w:w="1120" w:type="dxa"/>
            <w:vAlign w:val="bottom"/>
            <w:vMerge w:val="restart"/>
          </w:tcPr>
          <w:p>
            <w:pPr>
              <w:jc w:val="right"/>
              <w:ind w:right="13"/>
              <w:spacing w:after="0"/>
              <w:rPr>
                <w:sz w:val="20"/>
                <w:szCs w:val="20"/>
                <w:color w:val="auto"/>
              </w:rPr>
            </w:pPr>
            <w:r>
              <w:rPr>
                <w:rFonts w:ascii="Arial" w:cs="Arial" w:eastAsia="Arial" w:hAnsi="Arial"/>
                <w:sz w:val="13"/>
                <w:szCs w:val="13"/>
                <w:color w:val="3D3935"/>
              </w:rPr>
              <w:t>221,674</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3D3935"/>
              </w:rPr>
              <w:t>11,502,937</w:t>
            </w:r>
          </w:p>
        </w:tc>
        <w:tc>
          <w:tcPr>
            <w:tcW w:w="0" w:type="dxa"/>
            <w:vAlign w:val="bottom"/>
          </w:tcPr>
          <w:p>
            <w:pPr>
              <w:spacing w:after="0"/>
              <w:rPr>
                <w:sz w:val="1"/>
                <w:szCs w:val="1"/>
                <w:color w:val="auto"/>
              </w:rPr>
            </w:pPr>
          </w:p>
        </w:tc>
      </w:tr>
      <w:tr>
        <w:trPr>
          <w:trHeight w:val="68"/>
        </w:trPr>
        <w:tc>
          <w:tcPr>
            <w:tcW w:w="1400" w:type="dxa"/>
            <w:vAlign w:val="bottom"/>
            <w:vMerge w:val="restart"/>
          </w:tcPr>
          <w:p>
            <w:pPr>
              <w:ind w:left="60"/>
              <w:spacing w:after="0"/>
              <w:rPr>
                <w:sz w:val="20"/>
                <w:szCs w:val="20"/>
                <w:color w:val="auto"/>
              </w:rPr>
            </w:pPr>
            <w:r>
              <w:rPr>
                <w:rFonts w:ascii="Arial" w:cs="Arial" w:eastAsia="Arial" w:hAnsi="Arial"/>
                <w:sz w:val="13"/>
                <w:szCs w:val="13"/>
                <w:color w:val="3D3935"/>
              </w:rPr>
              <w:t>and Former</w:t>
            </w:r>
          </w:p>
        </w:tc>
        <w:tc>
          <w:tcPr>
            <w:tcW w:w="4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40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60"/>
              <w:spacing w:after="0"/>
              <w:rPr>
                <w:sz w:val="20"/>
                <w:szCs w:val="20"/>
                <w:color w:val="auto"/>
              </w:rPr>
            </w:pPr>
            <w:r>
              <w:rPr>
                <w:rFonts w:ascii="Arial" w:cs="Arial" w:eastAsia="Arial" w:hAnsi="Arial"/>
                <w:sz w:val="13"/>
                <w:szCs w:val="13"/>
                <w:color w:val="3D3935"/>
              </w:rPr>
              <w:t>Executive Vice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400" w:type="dxa"/>
            <w:vAlign w:val="bottom"/>
            <w:tcBorders>
              <w:bottom w:val="single" w:sz="8" w:color="D9D9D6"/>
            </w:tcBorders>
          </w:tcPr>
          <w:p>
            <w:pPr>
              <w:ind w:left="60"/>
              <w:spacing w:after="0"/>
              <w:rPr>
                <w:sz w:val="20"/>
                <w:szCs w:val="20"/>
                <w:color w:val="auto"/>
              </w:rPr>
            </w:pPr>
            <w:r>
              <w:rPr>
                <w:rFonts w:ascii="Arial" w:cs="Arial" w:eastAsia="Arial" w:hAnsi="Arial"/>
                <w:sz w:val="13"/>
                <w:szCs w:val="13"/>
                <w:color w:val="3D3935"/>
              </w:rPr>
              <w:t>President</w:t>
            </w:r>
          </w:p>
        </w:tc>
        <w:tc>
          <w:tcPr>
            <w:tcW w:w="460" w:type="dxa"/>
            <w:vAlign w:val="bottom"/>
            <w:tcBorders>
              <w:bottom w:val="single" w:sz="8" w:color="D9D9D6"/>
            </w:tcBorders>
          </w:tcPr>
          <w:p>
            <w:pPr>
              <w:spacing w:after="0"/>
              <w:rPr>
                <w:sz w:val="15"/>
                <w:szCs w:val="15"/>
                <w:color w:val="auto"/>
              </w:rPr>
            </w:pPr>
          </w:p>
        </w:tc>
        <w:tc>
          <w:tcPr>
            <w:tcW w:w="780" w:type="dxa"/>
            <w:vAlign w:val="bottom"/>
            <w:tcBorders>
              <w:bottom w:val="single" w:sz="8" w:color="D9D9D6"/>
            </w:tcBorders>
          </w:tcPr>
          <w:p>
            <w:pPr>
              <w:spacing w:after="0"/>
              <w:rPr>
                <w:sz w:val="15"/>
                <w:szCs w:val="15"/>
                <w:color w:val="auto"/>
              </w:rPr>
            </w:pPr>
          </w:p>
        </w:tc>
        <w:tc>
          <w:tcPr>
            <w:tcW w:w="780" w:type="dxa"/>
            <w:vAlign w:val="bottom"/>
            <w:tcBorders>
              <w:bottom w:val="single" w:sz="8" w:color="D9D9D6"/>
            </w:tcBorders>
          </w:tcPr>
          <w:p>
            <w:pPr>
              <w:spacing w:after="0"/>
              <w:rPr>
                <w:sz w:val="15"/>
                <w:szCs w:val="15"/>
                <w:color w:val="auto"/>
              </w:rPr>
            </w:pPr>
          </w:p>
        </w:tc>
        <w:tc>
          <w:tcPr>
            <w:tcW w:w="820" w:type="dxa"/>
            <w:vAlign w:val="bottom"/>
            <w:tcBorders>
              <w:bottom w:val="single" w:sz="8" w:color="D9D9D6"/>
            </w:tcBorders>
          </w:tcPr>
          <w:p>
            <w:pPr>
              <w:spacing w:after="0"/>
              <w:rPr>
                <w:sz w:val="15"/>
                <w:szCs w:val="15"/>
                <w:color w:val="auto"/>
              </w:rPr>
            </w:pPr>
          </w:p>
        </w:tc>
        <w:tc>
          <w:tcPr>
            <w:tcW w:w="780" w:type="dxa"/>
            <w:vAlign w:val="bottom"/>
            <w:tcBorders>
              <w:bottom w:val="single" w:sz="8" w:color="D9D9D6"/>
            </w:tcBorders>
          </w:tcPr>
          <w:p>
            <w:pPr>
              <w:spacing w:after="0"/>
              <w:rPr>
                <w:sz w:val="15"/>
                <w:szCs w:val="15"/>
                <w:color w:val="auto"/>
              </w:rPr>
            </w:pPr>
          </w:p>
        </w:tc>
        <w:tc>
          <w:tcPr>
            <w:tcW w:w="1120" w:type="dxa"/>
            <w:vAlign w:val="bottom"/>
            <w:tcBorders>
              <w:bottom w:val="single" w:sz="8" w:color="D9D9D6"/>
            </w:tcBorders>
          </w:tcPr>
          <w:p>
            <w:pPr>
              <w:spacing w:after="0"/>
              <w:rPr>
                <w:sz w:val="15"/>
                <w:szCs w:val="15"/>
                <w:color w:val="auto"/>
              </w:rPr>
            </w:pPr>
          </w:p>
        </w:tc>
        <w:tc>
          <w:tcPr>
            <w:tcW w:w="1020" w:type="dxa"/>
            <w:vAlign w:val="bottom"/>
            <w:tcBorders>
              <w:bottom w:val="single" w:sz="8" w:color="D9D9D6"/>
            </w:tcBorders>
          </w:tcPr>
          <w:p>
            <w:pPr>
              <w:spacing w:after="0"/>
              <w:rPr>
                <w:sz w:val="15"/>
                <w:szCs w:val="15"/>
                <w:color w:val="auto"/>
              </w:rPr>
            </w:pPr>
          </w:p>
        </w:tc>
        <w:tc>
          <w:tcPr>
            <w:tcW w:w="1120" w:type="dxa"/>
            <w:vAlign w:val="bottom"/>
            <w:tcBorders>
              <w:bottom w:val="single" w:sz="8" w:color="D9D9D6"/>
            </w:tcBorders>
          </w:tcPr>
          <w:p>
            <w:pPr>
              <w:spacing w:after="0"/>
              <w:rPr>
                <w:sz w:val="15"/>
                <w:szCs w:val="15"/>
                <w:color w:val="auto"/>
              </w:rPr>
            </w:pPr>
          </w:p>
        </w:tc>
        <w:tc>
          <w:tcPr>
            <w:tcW w:w="800" w:type="dxa"/>
            <w:vAlign w:val="bottom"/>
            <w:tcBorders>
              <w:bottom w:val="single" w:sz="8" w:color="D9D9D6"/>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400" w:type="dxa"/>
            <w:vAlign w:val="bottom"/>
          </w:tcPr>
          <w:p>
            <w:pPr>
              <w:ind w:left="60"/>
              <w:spacing w:after="0"/>
              <w:rPr>
                <w:sz w:val="20"/>
                <w:szCs w:val="20"/>
                <w:color w:val="auto"/>
              </w:rPr>
            </w:pPr>
            <w:r>
              <w:rPr>
                <w:rFonts w:ascii="Arial" w:cs="Arial" w:eastAsia="Arial" w:hAnsi="Arial"/>
                <w:sz w:val="13"/>
                <w:szCs w:val="13"/>
                <w:b w:val="1"/>
                <w:bCs w:val="1"/>
                <w:color w:val="0072CE"/>
              </w:rPr>
              <w:t>Rory V. Harvey</w:t>
            </w:r>
          </w:p>
        </w:tc>
        <w:tc>
          <w:tcPr>
            <w:tcW w:w="460" w:type="dxa"/>
            <w:vAlign w:val="bottom"/>
          </w:tcPr>
          <w:p>
            <w:pPr>
              <w:jc w:val="right"/>
              <w:ind w:right="33"/>
              <w:spacing w:after="0"/>
              <w:rPr>
                <w:sz w:val="20"/>
                <w:szCs w:val="20"/>
                <w:color w:val="auto"/>
              </w:rPr>
            </w:pPr>
            <w:r>
              <w:rPr>
                <w:rFonts w:ascii="Arial" w:cs="Arial" w:eastAsia="Arial" w:hAnsi="Arial"/>
                <w:sz w:val="13"/>
                <w:szCs w:val="13"/>
                <w:color w:val="3D3935"/>
              </w:rPr>
              <w:t>2024</w:t>
            </w:r>
          </w:p>
        </w:tc>
        <w:tc>
          <w:tcPr>
            <w:tcW w:w="780" w:type="dxa"/>
            <w:vAlign w:val="bottom"/>
          </w:tcPr>
          <w:p>
            <w:pPr>
              <w:jc w:val="right"/>
              <w:ind w:right="53"/>
              <w:spacing w:after="0"/>
              <w:rPr>
                <w:sz w:val="20"/>
                <w:szCs w:val="20"/>
                <w:color w:val="auto"/>
              </w:rPr>
            </w:pPr>
            <w:r>
              <w:rPr>
                <w:rFonts w:ascii="Arial" w:cs="Arial" w:eastAsia="Arial" w:hAnsi="Arial"/>
                <w:sz w:val="13"/>
                <w:szCs w:val="13"/>
                <w:color w:val="3D3935"/>
              </w:rPr>
              <w:t>850,000</w:t>
            </w:r>
          </w:p>
        </w:tc>
        <w:tc>
          <w:tcPr>
            <w:tcW w:w="780" w:type="dxa"/>
            <w:vAlign w:val="bottom"/>
          </w:tcPr>
          <w:p>
            <w:pPr>
              <w:ind w:left="600"/>
              <w:spacing w:after="0"/>
              <w:rPr>
                <w:sz w:val="20"/>
                <w:szCs w:val="20"/>
                <w:color w:val="auto"/>
              </w:rPr>
            </w:pPr>
            <w:r>
              <w:rPr>
                <w:rFonts w:ascii="Arial" w:cs="Arial" w:eastAsia="Arial" w:hAnsi="Arial"/>
                <w:sz w:val="13"/>
                <w:szCs w:val="13"/>
                <w:color w:val="3D3935"/>
              </w:rPr>
              <w:t>—</w:t>
            </w:r>
          </w:p>
        </w:tc>
        <w:tc>
          <w:tcPr>
            <w:tcW w:w="820" w:type="dxa"/>
            <w:vAlign w:val="bottom"/>
          </w:tcPr>
          <w:p>
            <w:pPr>
              <w:jc w:val="right"/>
              <w:spacing w:after="0"/>
              <w:rPr>
                <w:sz w:val="20"/>
                <w:szCs w:val="20"/>
                <w:color w:val="auto"/>
              </w:rPr>
            </w:pPr>
            <w:r>
              <w:rPr>
                <w:rFonts w:ascii="Arial" w:cs="Arial" w:eastAsia="Arial" w:hAnsi="Arial"/>
                <w:sz w:val="13"/>
                <w:szCs w:val="13"/>
                <w:color w:val="3D3935"/>
              </w:rPr>
              <w:t>7,087,519</w:t>
            </w:r>
          </w:p>
        </w:tc>
        <w:tc>
          <w:tcPr>
            <w:tcW w:w="780" w:type="dxa"/>
            <w:vAlign w:val="bottom"/>
          </w:tcPr>
          <w:p>
            <w:pPr>
              <w:jc w:val="right"/>
              <w:spacing w:after="0"/>
              <w:rPr>
                <w:sz w:val="20"/>
                <w:szCs w:val="20"/>
                <w:color w:val="auto"/>
              </w:rPr>
            </w:pPr>
            <w:r>
              <w:rPr>
                <w:rFonts w:ascii="Arial" w:cs="Arial" w:eastAsia="Arial" w:hAnsi="Arial"/>
                <w:sz w:val="13"/>
                <w:szCs w:val="13"/>
                <w:color w:val="3D3935"/>
              </w:rPr>
              <w:t>—</w:t>
            </w:r>
          </w:p>
        </w:tc>
        <w:tc>
          <w:tcPr>
            <w:tcW w:w="1120" w:type="dxa"/>
            <w:vAlign w:val="bottom"/>
          </w:tcPr>
          <w:p>
            <w:pPr>
              <w:ind w:left="480"/>
              <w:spacing w:after="0"/>
              <w:rPr>
                <w:sz w:val="20"/>
                <w:szCs w:val="20"/>
                <w:color w:val="auto"/>
              </w:rPr>
            </w:pPr>
            <w:r>
              <w:rPr>
                <w:rFonts w:ascii="Arial" w:cs="Arial" w:eastAsia="Arial" w:hAnsi="Arial"/>
                <w:sz w:val="13"/>
                <w:szCs w:val="13"/>
                <w:color w:val="3D3935"/>
              </w:rPr>
              <w:t>1,718,100</w:t>
            </w:r>
          </w:p>
        </w:tc>
        <w:tc>
          <w:tcPr>
            <w:tcW w:w="1020" w:type="dxa"/>
            <w:vAlign w:val="bottom"/>
          </w:tcPr>
          <w:p>
            <w:pPr>
              <w:jc w:val="right"/>
              <w:spacing w:after="0"/>
              <w:rPr>
                <w:sz w:val="20"/>
                <w:szCs w:val="20"/>
                <w:color w:val="auto"/>
              </w:rPr>
            </w:pPr>
            <w:r>
              <w:rPr>
                <w:rFonts w:ascii="Arial" w:cs="Arial" w:eastAsia="Arial" w:hAnsi="Arial"/>
                <w:sz w:val="13"/>
                <w:szCs w:val="13"/>
                <w:color w:val="3D3935"/>
              </w:rPr>
              <w:t>—</w:t>
            </w:r>
          </w:p>
        </w:tc>
        <w:tc>
          <w:tcPr>
            <w:tcW w:w="1120" w:type="dxa"/>
            <w:vAlign w:val="bottom"/>
          </w:tcPr>
          <w:p>
            <w:pPr>
              <w:jc w:val="right"/>
              <w:ind w:right="33"/>
              <w:spacing w:after="0"/>
              <w:rPr>
                <w:sz w:val="20"/>
                <w:szCs w:val="20"/>
                <w:color w:val="auto"/>
              </w:rPr>
            </w:pPr>
            <w:r>
              <w:rPr>
                <w:rFonts w:ascii="Arial" w:cs="Arial" w:eastAsia="Arial" w:hAnsi="Arial"/>
                <w:sz w:val="13"/>
                <w:szCs w:val="13"/>
                <w:color w:val="3D3935"/>
              </w:rPr>
              <w:t>153,808</w:t>
            </w:r>
          </w:p>
        </w:tc>
        <w:tc>
          <w:tcPr>
            <w:tcW w:w="800" w:type="dxa"/>
            <w:vAlign w:val="bottom"/>
          </w:tcPr>
          <w:p>
            <w:pPr>
              <w:jc w:val="right"/>
              <w:ind w:right="33"/>
              <w:spacing w:after="0"/>
              <w:rPr>
                <w:sz w:val="20"/>
                <w:szCs w:val="20"/>
                <w:color w:val="auto"/>
              </w:rPr>
            </w:pPr>
            <w:r>
              <w:rPr>
                <w:rFonts w:ascii="Arial" w:cs="Arial" w:eastAsia="Arial" w:hAnsi="Arial"/>
                <w:sz w:val="13"/>
                <w:szCs w:val="13"/>
                <w:color w:val="3D3935"/>
              </w:rPr>
              <w:t>9,809,427</w:t>
            </w:r>
          </w:p>
        </w:tc>
        <w:tc>
          <w:tcPr>
            <w:tcW w:w="0" w:type="dxa"/>
            <w:vAlign w:val="bottom"/>
          </w:tcPr>
          <w:p>
            <w:pPr>
              <w:spacing w:after="0"/>
              <w:rPr>
                <w:sz w:val="1"/>
                <w:szCs w:val="1"/>
                <w:color w:val="auto"/>
              </w:rPr>
            </w:pPr>
          </w:p>
        </w:tc>
      </w:tr>
      <w:tr>
        <w:trPr>
          <w:trHeight w:val="174"/>
        </w:trPr>
        <w:tc>
          <w:tcPr>
            <w:tcW w:w="1400" w:type="dxa"/>
            <w:vAlign w:val="bottom"/>
          </w:tcPr>
          <w:p>
            <w:pPr>
              <w:ind w:left="60"/>
              <w:spacing w:after="0"/>
              <w:rPr>
                <w:sz w:val="20"/>
                <w:szCs w:val="20"/>
                <w:color w:val="auto"/>
              </w:rPr>
            </w:pPr>
            <w:r>
              <w:rPr>
                <w:rFonts w:ascii="Arial" w:cs="Arial" w:eastAsia="Arial" w:hAnsi="Arial"/>
                <w:sz w:val="13"/>
                <w:szCs w:val="13"/>
                <w:color w:val="3D3935"/>
              </w:rPr>
              <w:t>Executive Vice</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3"/>
          <w:szCs w:val="13"/>
          <w:color w:val="3D3935"/>
        </w:rPr>
        <w:t>President and</w:t>
      </w:r>
    </w:p>
    <w:p>
      <w:pPr>
        <w:spacing w:after="0" w:line="13" w:lineRule="exact"/>
        <w:rPr>
          <w:sz w:val="20"/>
          <w:szCs w:val="20"/>
          <w:color w:val="auto"/>
        </w:rPr>
      </w:pPr>
    </w:p>
    <w:p>
      <w:pPr>
        <w:ind w:left="60"/>
        <w:spacing w:after="0"/>
        <w:rPr>
          <w:sz w:val="20"/>
          <w:szCs w:val="20"/>
          <w:color w:val="auto"/>
        </w:rPr>
      </w:pPr>
      <w:r>
        <w:rPr>
          <w:rFonts w:ascii="Arial" w:cs="Arial" w:eastAsia="Arial" w:hAnsi="Arial"/>
          <w:sz w:val="13"/>
          <w:szCs w:val="13"/>
          <w:color w:val="3D3935"/>
        </w:rPr>
        <w:t>President, Global</w:t>
      </w:r>
    </w:p>
    <w:p>
      <w:pPr>
        <w:spacing w:after="0" w:line="13" w:lineRule="exact"/>
        <w:rPr>
          <w:sz w:val="20"/>
          <w:szCs w:val="20"/>
          <w:color w:val="auto"/>
        </w:rPr>
      </w:pPr>
    </w:p>
    <w:p>
      <w:pPr>
        <w:ind w:left="60"/>
        <w:spacing w:after="0"/>
        <w:rPr>
          <w:sz w:val="20"/>
          <w:szCs w:val="20"/>
          <w:color w:val="auto"/>
        </w:rPr>
      </w:pPr>
      <w:r>
        <w:rPr>
          <w:rFonts w:ascii="Arial" w:cs="Arial" w:eastAsia="Arial" w:hAnsi="Arial"/>
          <w:sz w:val="13"/>
          <w:szCs w:val="13"/>
          <w:color w:val="3D3935"/>
        </w:rPr>
        <w:t>Markets</w:t>
      </w:r>
    </w:p>
    <w:p>
      <w:pPr>
        <w:spacing w:after="0" w:line="220" w:lineRule="exact"/>
        <w:rPr>
          <w:sz w:val="20"/>
          <w:szCs w:val="20"/>
          <w:color w:val="auto"/>
        </w:rPr>
      </w:pPr>
    </w:p>
    <w:p>
      <w:pPr>
        <w:ind w:left="200" w:right="440" w:hanging="192"/>
        <w:spacing w:after="0" w:line="231" w:lineRule="auto"/>
        <w:tabs>
          <w:tab w:leader="none" w:pos="200" w:val="left"/>
        </w:tabs>
        <w:numPr>
          <w:ilvl w:val="0"/>
          <w:numId w:val="96"/>
        </w:numPr>
        <w:rPr>
          <w:rFonts w:ascii="Arial" w:cs="Arial" w:eastAsia="Arial" w:hAnsi="Arial"/>
          <w:sz w:val="19"/>
          <w:szCs w:val="19"/>
          <w:color w:val="3D3935"/>
          <w:vertAlign w:val="superscript"/>
        </w:rPr>
      </w:pPr>
      <w:r>
        <w:rPr>
          <w:rFonts w:ascii="Arial" w:cs="Arial" w:eastAsia="Arial" w:hAnsi="Arial"/>
          <w:sz w:val="14"/>
          <w:szCs w:val="14"/>
          <w:color w:val="3D3935"/>
        </w:rPr>
        <w:t>Titles reflect position as of December 31, 2024. Mr. Harvey was not a NEO in 2023 or 2022. Mr. Abbott and Mr. Glidden were not NEOs in 2022.</w:t>
      </w:r>
    </w:p>
    <w:p>
      <w:pPr>
        <w:spacing w:after="0" w:line="39" w:lineRule="exact"/>
        <w:rPr>
          <w:rFonts w:ascii="Arial" w:cs="Arial" w:eastAsia="Arial" w:hAnsi="Arial"/>
          <w:sz w:val="19"/>
          <w:szCs w:val="19"/>
          <w:color w:val="3D3935"/>
          <w:vertAlign w:val="superscript"/>
        </w:rPr>
      </w:pPr>
    </w:p>
    <w:p>
      <w:pPr>
        <w:ind w:left="200" w:right="460" w:hanging="192"/>
        <w:spacing w:after="0" w:line="239" w:lineRule="auto"/>
        <w:tabs>
          <w:tab w:leader="none" w:pos="200" w:val="left"/>
        </w:tabs>
        <w:numPr>
          <w:ilvl w:val="0"/>
          <w:numId w:val="96"/>
        </w:numPr>
        <w:rPr>
          <w:rFonts w:ascii="Arial" w:cs="Arial" w:eastAsia="Arial" w:hAnsi="Arial"/>
          <w:sz w:val="19"/>
          <w:szCs w:val="19"/>
          <w:color w:val="3D3935"/>
          <w:vertAlign w:val="superscript"/>
        </w:rPr>
      </w:pPr>
      <w:r>
        <w:rPr>
          <w:rFonts w:ascii="Arial" w:cs="Arial" w:eastAsia="Arial" w:hAnsi="Arial"/>
          <w:sz w:val="14"/>
          <w:szCs w:val="14"/>
          <w:color w:val="3D3935"/>
        </w:rPr>
        <w:t>Reflects first installment of Mr. Abbott’s new hire cash payment. Upon his resignation (effective April 2, 2024), the second installment of the new hire cash payment was not paid.</w:t>
      </w:r>
    </w:p>
    <w:p>
      <w:pPr>
        <w:spacing w:after="0" w:line="40" w:lineRule="exact"/>
        <w:rPr>
          <w:rFonts w:ascii="Arial" w:cs="Arial" w:eastAsia="Arial" w:hAnsi="Arial"/>
          <w:sz w:val="19"/>
          <w:szCs w:val="19"/>
          <w:color w:val="3D3935"/>
          <w:vertAlign w:val="superscript"/>
        </w:rPr>
      </w:pPr>
    </w:p>
    <w:p>
      <w:pPr>
        <w:ind w:left="200" w:right="240" w:hanging="192"/>
        <w:spacing w:after="0" w:line="252" w:lineRule="auto"/>
        <w:tabs>
          <w:tab w:leader="none" w:pos="200" w:val="left"/>
        </w:tabs>
        <w:numPr>
          <w:ilvl w:val="0"/>
          <w:numId w:val="96"/>
        </w:numPr>
        <w:rPr>
          <w:rFonts w:ascii="Arial" w:cs="Arial" w:eastAsia="Arial" w:hAnsi="Arial"/>
          <w:sz w:val="19"/>
          <w:szCs w:val="19"/>
          <w:color w:val="3D3935"/>
          <w:vertAlign w:val="superscript"/>
        </w:rPr>
      </w:pPr>
      <w:r>
        <w:rPr>
          <w:rFonts w:ascii="Arial" w:cs="Arial" w:eastAsia="Arial" w:hAnsi="Arial"/>
          <w:sz w:val="14"/>
          <w:szCs w:val="14"/>
          <w:color w:val="3D3935"/>
        </w:rPr>
        <w:t>Stock Awards displays the grant date fair values of PSUs and RSUs issued under the LTIP, computed in accordance with Financial Accounting Standards Board (“FASB”) Accounting Standards Codification (“ASC”) Topic 718. PSUs will vest based on GM’s performance against EBIT-adjusted Margin, Relative TSR, and Cumulative AAOCF. The assumptions used for the Monte Carlo valuation of the Relative TSR portion of the PSUs are summarized below:</w:t>
      </w:r>
    </w:p>
    <w:p>
      <w:pPr>
        <w:spacing w:after="0" w:line="83" w:lineRule="exact"/>
        <w:rPr>
          <w:sz w:val="20"/>
          <w:szCs w:val="20"/>
          <w:color w:val="auto"/>
        </w:rPr>
      </w:pPr>
    </w:p>
    <w:tbl>
      <w:tblPr>
        <w:tblLayout w:type="fixed"/>
        <w:tblInd w:w="200" w:type="dxa"/>
        <w:tblCellMar>
          <w:top w:w="0" w:type="dxa"/>
          <w:left w:w="0" w:type="dxa"/>
          <w:bottom w:w="0" w:type="dxa"/>
          <w:right w:w="0" w:type="dxa"/>
        </w:tblCellMar>
      </w:tblPr>
      <w:tr>
        <w:trPr>
          <w:trHeight w:val="193"/>
        </w:trPr>
        <w:tc>
          <w:tcPr>
            <w:tcW w:w="2620" w:type="dxa"/>
            <w:vAlign w:val="bottom"/>
            <w:shd w:val="clear" w:color="auto" w:fill="F0F3F5"/>
          </w:tcPr>
          <w:p>
            <w:pPr>
              <w:spacing w:after="0"/>
              <w:rPr>
                <w:sz w:val="16"/>
                <w:szCs w:val="16"/>
                <w:color w:val="auto"/>
              </w:rPr>
            </w:pPr>
          </w:p>
        </w:tc>
        <w:tc>
          <w:tcPr>
            <w:tcW w:w="2580" w:type="dxa"/>
            <w:vAlign w:val="bottom"/>
            <w:shd w:val="clear" w:color="auto" w:fill="F0F3F5"/>
          </w:tcPr>
          <w:p>
            <w:pPr>
              <w:spacing w:after="0"/>
              <w:rPr>
                <w:sz w:val="16"/>
                <w:szCs w:val="16"/>
                <w:color w:val="auto"/>
              </w:rPr>
            </w:pPr>
          </w:p>
        </w:tc>
        <w:tc>
          <w:tcPr>
            <w:tcW w:w="800" w:type="dxa"/>
            <w:vAlign w:val="bottom"/>
            <w:shd w:val="clear" w:color="auto" w:fill="F0F3F5"/>
          </w:tcPr>
          <w:p>
            <w:pPr>
              <w:spacing w:after="0"/>
              <w:rPr>
                <w:sz w:val="16"/>
                <w:szCs w:val="16"/>
                <w:color w:val="auto"/>
              </w:rPr>
            </w:pPr>
          </w:p>
        </w:tc>
        <w:tc>
          <w:tcPr>
            <w:tcW w:w="1020" w:type="dxa"/>
            <w:vAlign w:val="bottom"/>
            <w:shd w:val="clear" w:color="auto" w:fill="F0F3F5"/>
          </w:tcPr>
          <w:p>
            <w:pPr>
              <w:spacing w:after="0"/>
              <w:rPr>
                <w:sz w:val="16"/>
                <w:szCs w:val="16"/>
                <w:color w:val="auto"/>
              </w:rPr>
            </w:pPr>
          </w:p>
        </w:tc>
        <w:tc>
          <w:tcPr>
            <w:tcW w:w="800" w:type="dxa"/>
            <w:vAlign w:val="bottom"/>
            <w:shd w:val="clear" w:color="auto" w:fill="F0F3F5"/>
          </w:tcPr>
          <w:p>
            <w:pPr>
              <w:spacing w:after="0"/>
              <w:rPr>
                <w:sz w:val="16"/>
                <w:szCs w:val="16"/>
                <w:color w:val="auto"/>
              </w:rPr>
            </w:pPr>
          </w:p>
        </w:tc>
        <w:tc>
          <w:tcPr>
            <w:tcW w:w="1040" w:type="dxa"/>
            <w:vAlign w:val="bottom"/>
            <w:shd w:val="clear" w:color="auto" w:fill="F0F3F5"/>
          </w:tcPr>
          <w:p>
            <w:pPr>
              <w:jc w:val="right"/>
              <w:spacing w:after="0"/>
              <w:rPr>
                <w:sz w:val="20"/>
                <w:szCs w:val="20"/>
                <w:color w:val="auto"/>
              </w:rPr>
            </w:pPr>
            <w:r>
              <w:rPr>
                <w:rFonts w:ascii="Arial" w:cs="Arial" w:eastAsia="Arial" w:hAnsi="Arial"/>
                <w:sz w:val="12"/>
                <w:szCs w:val="12"/>
                <w:b w:val="1"/>
                <w:bCs w:val="1"/>
                <w:color w:val="3D3935"/>
              </w:rPr>
              <w:t>Valuation Price</w:t>
            </w:r>
          </w:p>
        </w:tc>
      </w:tr>
      <w:tr>
        <w:trPr>
          <w:trHeight w:val="135"/>
        </w:trPr>
        <w:tc>
          <w:tcPr>
            <w:tcW w:w="2620" w:type="dxa"/>
            <w:vAlign w:val="bottom"/>
            <w:shd w:val="clear" w:color="auto" w:fill="F0F3F5"/>
          </w:tcPr>
          <w:p>
            <w:pPr>
              <w:spacing w:after="0"/>
              <w:rPr>
                <w:sz w:val="11"/>
                <w:szCs w:val="11"/>
                <w:color w:val="auto"/>
              </w:rPr>
            </w:pPr>
          </w:p>
        </w:tc>
        <w:tc>
          <w:tcPr>
            <w:tcW w:w="2580" w:type="dxa"/>
            <w:vAlign w:val="bottom"/>
            <w:shd w:val="clear" w:color="auto" w:fill="F0F3F5"/>
          </w:tcPr>
          <w:p>
            <w:pPr>
              <w:jc w:val="right"/>
              <w:ind w:right="100"/>
              <w:spacing w:after="0" w:line="135" w:lineRule="exact"/>
              <w:rPr>
                <w:sz w:val="20"/>
                <w:szCs w:val="20"/>
                <w:color w:val="auto"/>
              </w:rPr>
            </w:pPr>
            <w:r>
              <w:rPr>
                <w:rFonts w:ascii="Arial" w:cs="Arial" w:eastAsia="Arial" w:hAnsi="Arial"/>
                <w:sz w:val="12"/>
                <w:szCs w:val="12"/>
                <w:b w:val="1"/>
                <w:bCs w:val="1"/>
                <w:color w:val="3D3935"/>
              </w:rPr>
              <w:t>Stock</w:t>
            </w:r>
          </w:p>
        </w:tc>
        <w:tc>
          <w:tcPr>
            <w:tcW w:w="800" w:type="dxa"/>
            <w:vAlign w:val="bottom"/>
            <w:shd w:val="clear" w:color="auto" w:fill="F0F3F5"/>
          </w:tcPr>
          <w:p>
            <w:pPr>
              <w:jc w:val="right"/>
              <w:ind w:right="80"/>
              <w:spacing w:after="0" w:line="135" w:lineRule="exact"/>
              <w:rPr>
                <w:sz w:val="20"/>
                <w:szCs w:val="20"/>
                <w:color w:val="auto"/>
              </w:rPr>
            </w:pPr>
            <w:r>
              <w:rPr>
                <w:rFonts w:ascii="Arial" w:cs="Arial" w:eastAsia="Arial" w:hAnsi="Arial"/>
                <w:sz w:val="12"/>
                <w:szCs w:val="12"/>
                <w:b w:val="1"/>
                <w:bCs w:val="1"/>
                <w:color w:val="3D3935"/>
              </w:rPr>
              <w:t>Implied</w:t>
            </w:r>
          </w:p>
        </w:tc>
        <w:tc>
          <w:tcPr>
            <w:tcW w:w="1020" w:type="dxa"/>
            <w:vAlign w:val="bottom"/>
            <w:shd w:val="clear" w:color="auto" w:fill="F0F3F5"/>
          </w:tcPr>
          <w:p>
            <w:pPr>
              <w:jc w:val="right"/>
              <w:ind w:right="80"/>
              <w:spacing w:after="0" w:line="135" w:lineRule="exact"/>
              <w:rPr>
                <w:sz w:val="20"/>
                <w:szCs w:val="20"/>
                <w:color w:val="auto"/>
              </w:rPr>
            </w:pPr>
            <w:r>
              <w:rPr>
                <w:rFonts w:ascii="Arial" w:cs="Arial" w:eastAsia="Arial" w:hAnsi="Arial"/>
                <w:sz w:val="12"/>
                <w:szCs w:val="12"/>
                <w:b w:val="1"/>
                <w:bCs w:val="1"/>
                <w:color w:val="3D3935"/>
              </w:rPr>
              <w:t>Risk-Free</w:t>
            </w:r>
          </w:p>
        </w:tc>
        <w:tc>
          <w:tcPr>
            <w:tcW w:w="800" w:type="dxa"/>
            <w:vAlign w:val="bottom"/>
            <w:shd w:val="clear" w:color="auto" w:fill="F0F3F5"/>
          </w:tcPr>
          <w:p>
            <w:pPr>
              <w:jc w:val="right"/>
              <w:ind w:right="100"/>
              <w:spacing w:after="0" w:line="135" w:lineRule="exact"/>
              <w:rPr>
                <w:sz w:val="20"/>
                <w:szCs w:val="20"/>
                <w:color w:val="auto"/>
              </w:rPr>
            </w:pPr>
            <w:r>
              <w:rPr>
                <w:rFonts w:ascii="Arial" w:cs="Arial" w:eastAsia="Arial" w:hAnsi="Arial"/>
                <w:sz w:val="12"/>
                <w:szCs w:val="12"/>
                <w:b w:val="1"/>
                <w:bCs w:val="1"/>
                <w:color w:val="3D3935"/>
              </w:rPr>
              <w:t>Valuation</w:t>
            </w:r>
          </w:p>
        </w:tc>
        <w:tc>
          <w:tcPr>
            <w:tcW w:w="1040" w:type="dxa"/>
            <w:vAlign w:val="bottom"/>
            <w:shd w:val="clear" w:color="auto" w:fill="F0F3F5"/>
          </w:tcPr>
          <w:p>
            <w:pPr>
              <w:jc w:val="right"/>
              <w:spacing w:after="0" w:line="135" w:lineRule="exact"/>
              <w:rPr>
                <w:sz w:val="20"/>
                <w:szCs w:val="20"/>
                <w:color w:val="auto"/>
              </w:rPr>
            </w:pPr>
            <w:r>
              <w:rPr>
                <w:rFonts w:ascii="Arial" w:cs="Arial" w:eastAsia="Arial" w:hAnsi="Arial"/>
                <w:sz w:val="12"/>
                <w:szCs w:val="12"/>
                <w:b w:val="1"/>
                <w:bCs w:val="1"/>
                <w:color w:val="3D3935"/>
              </w:rPr>
              <w:t>as a Percent</w:t>
            </w:r>
          </w:p>
        </w:tc>
      </w:tr>
      <w:tr>
        <w:trPr>
          <w:trHeight w:val="166"/>
        </w:trPr>
        <w:tc>
          <w:tcPr>
            <w:tcW w:w="2620" w:type="dxa"/>
            <w:vAlign w:val="bottom"/>
            <w:tcBorders>
              <w:bottom w:val="single" w:sz="8" w:color="0072CE"/>
            </w:tcBorders>
            <w:shd w:val="clear" w:color="auto" w:fill="F0F3F5"/>
          </w:tcPr>
          <w:p>
            <w:pPr>
              <w:ind w:left="40"/>
              <w:spacing w:after="0"/>
              <w:rPr>
                <w:sz w:val="20"/>
                <w:szCs w:val="20"/>
                <w:color w:val="auto"/>
              </w:rPr>
            </w:pPr>
            <w:r>
              <w:rPr>
                <w:rFonts w:ascii="Arial" w:cs="Arial" w:eastAsia="Arial" w:hAnsi="Arial"/>
                <w:sz w:val="12"/>
                <w:szCs w:val="12"/>
                <w:b w:val="1"/>
                <w:bCs w:val="1"/>
                <w:color w:val="3D3935"/>
              </w:rPr>
              <w:t>Grant Date</w:t>
            </w:r>
          </w:p>
        </w:tc>
        <w:tc>
          <w:tcPr>
            <w:tcW w:w="2580" w:type="dxa"/>
            <w:vAlign w:val="bottom"/>
            <w:tcBorders>
              <w:bottom w:val="single" w:sz="8" w:color="0072CE"/>
            </w:tcBorders>
            <w:shd w:val="clear" w:color="auto" w:fill="F0F3F5"/>
          </w:tcPr>
          <w:p>
            <w:pPr>
              <w:jc w:val="right"/>
              <w:ind w:right="120"/>
              <w:spacing w:after="0"/>
              <w:rPr>
                <w:sz w:val="20"/>
                <w:szCs w:val="20"/>
                <w:color w:val="auto"/>
              </w:rPr>
            </w:pPr>
            <w:r>
              <w:rPr>
                <w:rFonts w:ascii="Arial" w:cs="Arial" w:eastAsia="Arial" w:hAnsi="Arial"/>
                <w:sz w:val="12"/>
                <w:szCs w:val="12"/>
                <w:b w:val="1"/>
                <w:bCs w:val="1"/>
                <w:color w:val="3D3935"/>
              </w:rPr>
              <w:t>Price</w:t>
            </w:r>
          </w:p>
        </w:tc>
        <w:tc>
          <w:tcPr>
            <w:tcW w:w="800" w:type="dxa"/>
            <w:vAlign w:val="bottom"/>
            <w:tcBorders>
              <w:bottom w:val="single" w:sz="8" w:color="0072CE"/>
            </w:tcBorders>
            <w:shd w:val="clear" w:color="auto" w:fill="F0F3F5"/>
          </w:tcPr>
          <w:p>
            <w:pPr>
              <w:jc w:val="right"/>
              <w:ind w:right="120"/>
              <w:spacing w:after="0"/>
              <w:rPr>
                <w:sz w:val="20"/>
                <w:szCs w:val="20"/>
                <w:color w:val="auto"/>
              </w:rPr>
            </w:pPr>
            <w:r>
              <w:rPr>
                <w:rFonts w:ascii="Arial" w:cs="Arial" w:eastAsia="Arial" w:hAnsi="Arial"/>
                <w:sz w:val="12"/>
                <w:szCs w:val="12"/>
                <w:b w:val="1"/>
                <w:bCs w:val="1"/>
                <w:color w:val="3D3935"/>
              </w:rPr>
              <w:t>Volatility</w:t>
            </w:r>
          </w:p>
        </w:tc>
        <w:tc>
          <w:tcPr>
            <w:tcW w:w="1020" w:type="dxa"/>
            <w:vAlign w:val="bottom"/>
            <w:tcBorders>
              <w:bottom w:val="single" w:sz="8" w:color="0072CE"/>
            </w:tcBorders>
            <w:shd w:val="clear" w:color="auto" w:fill="F0F3F5"/>
          </w:tcPr>
          <w:p>
            <w:pPr>
              <w:jc w:val="right"/>
              <w:ind w:right="100"/>
              <w:spacing w:after="0"/>
              <w:rPr>
                <w:sz w:val="20"/>
                <w:szCs w:val="20"/>
                <w:color w:val="auto"/>
              </w:rPr>
            </w:pPr>
            <w:r>
              <w:rPr>
                <w:rFonts w:ascii="Arial" w:cs="Arial" w:eastAsia="Arial" w:hAnsi="Arial"/>
                <w:sz w:val="12"/>
                <w:szCs w:val="12"/>
                <w:b w:val="1"/>
                <w:bCs w:val="1"/>
                <w:color w:val="3D3935"/>
              </w:rPr>
              <w:t>Interest Rate</w:t>
            </w:r>
          </w:p>
        </w:tc>
        <w:tc>
          <w:tcPr>
            <w:tcW w:w="800" w:type="dxa"/>
            <w:vAlign w:val="bottom"/>
            <w:tcBorders>
              <w:bottom w:val="single" w:sz="8" w:color="0072CE"/>
            </w:tcBorders>
            <w:shd w:val="clear" w:color="auto" w:fill="F0F3F5"/>
          </w:tcPr>
          <w:p>
            <w:pPr>
              <w:jc w:val="right"/>
              <w:ind w:right="80"/>
              <w:spacing w:after="0"/>
              <w:rPr>
                <w:sz w:val="20"/>
                <w:szCs w:val="20"/>
                <w:color w:val="auto"/>
              </w:rPr>
            </w:pPr>
            <w:r>
              <w:rPr>
                <w:rFonts w:ascii="Arial" w:cs="Arial" w:eastAsia="Arial" w:hAnsi="Arial"/>
                <w:sz w:val="12"/>
                <w:szCs w:val="12"/>
                <w:b w:val="1"/>
                <w:bCs w:val="1"/>
                <w:color w:val="3D3935"/>
              </w:rPr>
              <w:t>Price</w:t>
            </w:r>
          </w:p>
        </w:tc>
        <w:tc>
          <w:tcPr>
            <w:tcW w:w="1040" w:type="dxa"/>
            <w:vAlign w:val="bottom"/>
            <w:tcBorders>
              <w:bottom w:val="single" w:sz="8" w:color="0072CE"/>
            </w:tcBorders>
            <w:shd w:val="clear" w:color="auto" w:fill="F0F3F5"/>
          </w:tcPr>
          <w:p>
            <w:pPr>
              <w:jc w:val="right"/>
              <w:spacing w:after="0"/>
              <w:rPr>
                <w:sz w:val="20"/>
                <w:szCs w:val="20"/>
                <w:color w:val="auto"/>
              </w:rPr>
            </w:pPr>
            <w:r>
              <w:rPr>
                <w:rFonts w:ascii="Arial" w:cs="Arial" w:eastAsia="Arial" w:hAnsi="Arial"/>
                <w:sz w:val="12"/>
                <w:szCs w:val="12"/>
                <w:b w:val="1"/>
                <w:bCs w:val="1"/>
                <w:color w:val="3D3935"/>
              </w:rPr>
              <w:t>of Target</w:t>
            </w:r>
          </w:p>
        </w:tc>
      </w:tr>
      <w:tr>
        <w:trPr>
          <w:trHeight w:val="188"/>
        </w:trPr>
        <w:tc>
          <w:tcPr>
            <w:tcW w:w="2620" w:type="dxa"/>
            <w:vAlign w:val="bottom"/>
          </w:tcPr>
          <w:p>
            <w:pPr>
              <w:ind w:left="40"/>
              <w:spacing w:after="0"/>
              <w:rPr>
                <w:sz w:val="20"/>
                <w:szCs w:val="20"/>
                <w:color w:val="auto"/>
              </w:rPr>
            </w:pPr>
            <w:r>
              <w:rPr>
                <w:rFonts w:ascii="Arial" w:cs="Arial" w:eastAsia="Arial" w:hAnsi="Arial"/>
                <w:sz w:val="13"/>
                <w:szCs w:val="13"/>
                <w:color w:val="3D3935"/>
              </w:rPr>
              <w:t>2/6/2024</w:t>
            </w:r>
          </w:p>
        </w:tc>
        <w:tc>
          <w:tcPr>
            <w:tcW w:w="2580" w:type="dxa"/>
            <w:vAlign w:val="bottom"/>
          </w:tcPr>
          <w:p>
            <w:pPr>
              <w:jc w:val="right"/>
              <w:ind w:right="140"/>
              <w:spacing w:after="0"/>
              <w:rPr>
                <w:sz w:val="20"/>
                <w:szCs w:val="20"/>
                <w:color w:val="auto"/>
              </w:rPr>
            </w:pPr>
            <w:r>
              <w:rPr>
                <w:rFonts w:ascii="Arial" w:cs="Arial" w:eastAsia="Arial" w:hAnsi="Arial"/>
                <w:sz w:val="13"/>
                <w:szCs w:val="13"/>
                <w:color w:val="3D3935"/>
              </w:rPr>
              <w:t>$38.03</w:t>
            </w:r>
          </w:p>
        </w:tc>
        <w:tc>
          <w:tcPr>
            <w:tcW w:w="800" w:type="dxa"/>
            <w:vAlign w:val="bottom"/>
          </w:tcPr>
          <w:p>
            <w:pPr>
              <w:jc w:val="right"/>
              <w:ind w:right="80"/>
              <w:spacing w:after="0"/>
              <w:rPr>
                <w:sz w:val="20"/>
                <w:szCs w:val="20"/>
                <w:color w:val="auto"/>
              </w:rPr>
            </w:pPr>
            <w:r>
              <w:rPr>
                <w:rFonts w:ascii="Arial" w:cs="Arial" w:eastAsia="Arial" w:hAnsi="Arial"/>
                <w:sz w:val="13"/>
                <w:szCs w:val="13"/>
                <w:color w:val="3D3935"/>
              </w:rPr>
              <w:t>31%</w:t>
            </w:r>
          </w:p>
        </w:tc>
        <w:tc>
          <w:tcPr>
            <w:tcW w:w="1020" w:type="dxa"/>
            <w:vAlign w:val="bottom"/>
          </w:tcPr>
          <w:p>
            <w:pPr>
              <w:jc w:val="right"/>
              <w:ind w:right="80"/>
              <w:spacing w:after="0"/>
              <w:rPr>
                <w:sz w:val="20"/>
                <w:szCs w:val="20"/>
                <w:color w:val="auto"/>
              </w:rPr>
            </w:pPr>
            <w:r>
              <w:rPr>
                <w:rFonts w:ascii="Arial" w:cs="Arial" w:eastAsia="Arial" w:hAnsi="Arial"/>
                <w:sz w:val="13"/>
                <w:szCs w:val="13"/>
                <w:color w:val="3D3935"/>
              </w:rPr>
              <w:t>4.16%</w:t>
            </w:r>
          </w:p>
        </w:tc>
        <w:tc>
          <w:tcPr>
            <w:tcW w:w="800" w:type="dxa"/>
            <w:vAlign w:val="bottom"/>
          </w:tcPr>
          <w:p>
            <w:pPr>
              <w:jc w:val="right"/>
              <w:ind w:right="100"/>
              <w:spacing w:after="0"/>
              <w:rPr>
                <w:sz w:val="20"/>
                <w:szCs w:val="20"/>
                <w:color w:val="auto"/>
              </w:rPr>
            </w:pPr>
            <w:r>
              <w:rPr>
                <w:rFonts w:ascii="Arial" w:cs="Arial" w:eastAsia="Arial" w:hAnsi="Arial"/>
                <w:sz w:val="13"/>
                <w:szCs w:val="13"/>
                <w:color w:val="3D3935"/>
              </w:rPr>
              <w:t>$54.61</w:t>
            </w:r>
          </w:p>
        </w:tc>
        <w:tc>
          <w:tcPr>
            <w:tcW w:w="1040" w:type="dxa"/>
            <w:vAlign w:val="bottom"/>
          </w:tcPr>
          <w:p>
            <w:pPr>
              <w:jc w:val="right"/>
              <w:spacing w:after="0"/>
              <w:rPr>
                <w:sz w:val="20"/>
                <w:szCs w:val="20"/>
                <w:color w:val="auto"/>
              </w:rPr>
            </w:pPr>
            <w:r>
              <w:rPr>
                <w:rFonts w:ascii="Arial" w:cs="Arial" w:eastAsia="Arial" w:hAnsi="Arial"/>
                <w:sz w:val="13"/>
                <w:szCs w:val="13"/>
                <w:color w:val="3D3935"/>
              </w:rPr>
              <w:t>143.6%</w:t>
            </w:r>
          </w:p>
        </w:tc>
      </w:tr>
      <w:tr>
        <w:trPr>
          <w:trHeight w:val="28"/>
        </w:trPr>
        <w:tc>
          <w:tcPr>
            <w:tcW w:w="2620" w:type="dxa"/>
            <w:vAlign w:val="bottom"/>
            <w:tcBorders>
              <w:bottom w:val="single" w:sz="8" w:color="0072CE"/>
            </w:tcBorders>
          </w:tcPr>
          <w:p>
            <w:pPr>
              <w:spacing w:after="0"/>
              <w:rPr>
                <w:sz w:val="2"/>
                <w:szCs w:val="2"/>
                <w:color w:val="auto"/>
              </w:rPr>
            </w:pPr>
          </w:p>
        </w:tc>
        <w:tc>
          <w:tcPr>
            <w:tcW w:w="2580" w:type="dxa"/>
            <w:vAlign w:val="bottom"/>
            <w:tcBorders>
              <w:bottom w:val="single" w:sz="8" w:color="0072CE"/>
            </w:tcBorders>
          </w:tcPr>
          <w:p>
            <w:pPr>
              <w:spacing w:after="0"/>
              <w:rPr>
                <w:sz w:val="2"/>
                <w:szCs w:val="2"/>
                <w:color w:val="auto"/>
              </w:rPr>
            </w:pPr>
          </w:p>
        </w:tc>
        <w:tc>
          <w:tcPr>
            <w:tcW w:w="800" w:type="dxa"/>
            <w:vAlign w:val="bottom"/>
            <w:tcBorders>
              <w:bottom w:val="single" w:sz="8" w:color="0072CE"/>
            </w:tcBorders>
          </w:tcPr>
          <w:p>
            <w:pPr>
              <w:spacing w:after="0"/>
              <w:rPr>
                <w:sz w:val="2"/>
                <w:szCs w:val="2"/>
                <w:color w:val="auto"/>
              </w:rPr>
            </w:pPr>
          </w:p>
        </w:tc>
        <w:tc>
          <w:tcPr>
            <w:tcW w:w="1020" w:type="dxa"/>
            <w:vAlign w:val="bottom"/>
            <w:tcBorders>
              <w:bottom w:val="single" w:sz="8" w:color="0072CE"/>
            </w:tcBorders>
          </w:tcPr>
          <w:p>
            <w:pPr>
              <w:spacing w:after="0"/>
              <w:rPr>
                <w:sz w:val="2"/>
                <w:szCs w:val="2"/>
                <w:color w:val="auto"/>
              </w:rPr>
            </w:pPr>
          </w:p>
        </w:tc>
        <w:tc>
          <w:tcPr>
            <w:tcW w:w="800" w:type="dxa"/>
            <w:vAlign w:val="bottom"/>
            <w:tcBorders>
              <w:bottom w:val="single" w:sz="8" w:color="0072CE"/>
            </w:tcBorders>
          </w:tcPr>
          <w:p>
            <w:pPr>
              <w:spacing w:after="0"/>
              <w:rPr>
                <w:sz w:val="2"/>
                <w:szCs w:val="2"/>
                <w:color w:val="auto"/>
              </w:rPr>
            </w:pPr>
          </w:p>
        </w:tc>
        <w:tc>
          <w:tcPr>
            <w:tcW w:w="1040" w:type="dxa"/>
            <w:vAlign w:val="bottom"/>
            <w:tcBorders>
              <w:bottom w:val="single" w:sz="8" w:color="0072CE"/>
            </w:tcBorders>
          </w:tcPr>
          <w:p>
            <w:pPr>
              <w:spacing w:after="0"/>
              <w:rPr>
                <w:sz w:val="2"/>
                <w:szCs w:val="2"/>
                <w:color w:val="auto"/>
              </w:rPr>
            </w:pPr>
          </w:p>
        </w:tc>
      </w:tr>
    </w:tbl>
    <w:p>
      <w:pPr>
        <w:spacing w:after="0" w:line="126" w:lineRule="exact"/>
        <w:rPr>
          <w:sz w:val="20"/>
          <w:szCs w:val="20"/>
          <w:color w:val="auto"/>
        </w:rPr>
      </w:pPr>
    </w:p>
    <w:p>
      <w:pPr>
        <w:ind w:left="200" w:right="320"/>
        <w:spacing w:after="0" w:line="296" w:lineRule="auto"/>
        <w:rPr>
          <w:sz w:val="20"/>
          <w:szCs w:val="20"/>
          <w:color w:val="auto"/>
        </w:rPr>
      </w:pPr>
      <w:r>
        <w:rPr>
          <w:rFonts w:ascii="Arial" w:cs="Arial" w:eastAsia="Arial" w:hAnsi="Arial"/>
          <w:sz w:val="14"/>
          <w:szCs w:val="14"/>
          <w:color w:val="3D3935"/>
        </w:rPr>
        <w:t>There is no dividend yield, as dividends are assumed to be reinvested for the TSR calculation. The maximum award for PSUs for the 2024–2026 performance period is 200% of PSUs granted. If the maximum level of performance is achieved, the grant date fair values for the 2024 PSUs would be $29,250,000 (Ms. Barra), $13,950,000 (Mr. Jacobson), $20,943,750 (Mr. Reuss), $10,537,500 (Mr. Glidden), and $10,631,250 (Mr. Harvey). Upon his resignation, Mr. Abbott forfeited all outstanding equity awards.</w:t>
      </w:r>
    </w:p>
    <w:p>
      <w:pPr>
        <w:spacing w:after="0" w:line="29" w:lineRule="exact"/>
        <w:rPr>
          <w:sz w:val="20"/>
          <w:szCs w:val="20"/>
          <w:color w:val="auto"/>
        </w:rPr>
      </w:pPr>
    </w:p>
    <w:p>
      <w:pPr>
        <w:ind w:left="200" w:right="460" w:hanging="192"/>
        <w:spacing w:after="0" w:line="231" w:lineRule="auto"/>
        <w:tabs>
          <w:tab w:leader="none" w:pos="200" w:val="left"/>
        </w:tabs>
        <w:numPr>
          <w:ilvl w:val="0"/>
          <w:numId w:val="97"/>
        </w:numPr>
        <w:rPr>
          <w:rFonts w:ascii="Arial" w:cs="Arial" w:eastAsia="Arial" w:hAnsi="Arial"/>
          <w:sz w:val="19"/>
          <w:szCs w:val="19"/>
          <w:color w:val="3D3935"/>
          <w:vertAlign w:val="superscript"/>
        </w:rPr>
      </w:pPr>
      <w:r>
        <w:rPr>
          <w:rFonts w:ascii="Arial" w:cs="Arial" w:eastAsia="Arial" w:hAnsi="Arial"/>
          <w:sz w:val="14"/>
          <w:szCs w:val="14"/>
          <w:color w:val="3D3935"/>
        </w:rPr>
        <w:t>Option Awards displays the grant date fair value of stock options issued under the LTIP, computed in accordance with FASB ASC Topic 718 using a Black-Scholes valuation. No stock options were granted to NEOs in 2024.</w:t>
      </w:r>
    </w:p>
    <w:p>
      <w:pPr>
        <w:spacing w:after="0" w:line="39" w:lineRule="exact"/>
        <w:rPr>
          <w:rFonts w:ascii="Arial" w:cs="Arial" w:eastAsia="Arial" w:hAnsi="Arial"/>
          <w:sz w:val="19"/>
          <w:szCs w:val="19"/>
          <w:color w:val="3D3935"/>
          <w:vertAlign w:val="superscript"/>
        </w:rPr>
      </w:pPr>
    </w:p>
    <w:p>
      <w:pPr>
        <w:ind w:left="200" w:right="300" w:hanging="192"/>
        <w:spacing w:after="0" w:line="249" w:lineRule="auto"/>
        <w:tabs>
          <w:tab w:leader="none" w:pos="200" w:val="left"/>
        </w:tabs>
        <w:numPr>
          <w:ilvl w:val="0"/>
          <w:numId w:val="97"/>
        </w:numPr>
        <w:rPr>
          <w:rFonts w:ascii="Arial" w:cs="Arial" w:eastAsia="Arial" w:hAnsi="Arial"/>
          <w:sz w:val="19"/>
          <w:szCs w:val="19"/>
          <w:color w:val="3D3935"/>
          <w:vertAlign w:val="superscript"/>
        </w:rPr>
      </w:pPr>
      <w:r>
        <w:rPr>
          <w:rFonts w:ascii="Arial" w:cs="Arial" w:eastAsia="Arial" w:hAnsi="Arial"/>
          <w:sz w:val="14"/>
          <w:szCs w:val="14"/>
          <w:color w:val="3D3935"/>
        </w:rPr>
        <w:t>All NEOs were eligible for a payment under the STIP for 2024 performance based on the Company’s achievement of annual performance goals, which can be modified for individual performance results. Individual performance decisions for each NEO are determined by the Compensation Committee; results are discussed beginning on page 57.</w:t>
      </w:r>
    </w:p>
    <w:p>
      <w:pPr>
        <w:spacing w:after="0" w:line="33" w:lineRule="exact"/>
        <w:rPr>
          <w:rFonts w:ascii="Arial" w:cs="Arial" w:eastAsia="Arial" w:hAnsi="Arial"/>
          <w:sz w:val="19"/>
          <w:szCs w:val="19"/>
          <w:color w:val="3D3935"/>
          <w:vertAlign w:val="superscript"/>
        </w:rPr>
      </w:pPr>
    </w:p>
    <w:p>
      <w:pPr>
        <w:ind w:left="200" w:right="460" w:hanging="192"/>
        <w:spacing w:after="0" w:line="239" w:lineRule="auto"/>
        <w:tabs>
          <w:tab w:leader="none" w:pos="200" w:val="left"/>
        </w:tabs>
        <w:numPr>
          <w:ilvl w:val="0"/>
          <w:numId w:val="97"/>
        </w:numPr>
        <w:rPr>
          <w:rFonts w:ascii="Arial" w:cs="Arial" w:eastAsia="Arial" w:hAnsi="Arial"/>
          <w:sz w:val="19"/>
          <w:szCs w:val="19"/>
          <w:color w:val="3D3935"/>
          <w:vertAlign w:val="superscript"/>
        </w:rPr>
      </w:pPr>
      <w:r>
        <w:rPr>
          <w:rFonts w:ascii="Arial" w:cs="Arial" w:eastAsia="Arial" w:hAnsi="Arial"/>
          <w:sz w:val="14"/>
          <w:szCs w:val="14"/>
          <w:color w:val="3D3935"/>
        </w:rPr>
        <w:t>These amounts represent the actuarial change in the present value of the NEO’s accrued benefit for 2024 attributed to year-over-year variances in applicable discount rates, lump sum interest rates, mortality rates, and employer contributions to tax-qualified and non-tax-</w:t>
      </w:r>
    </w:p>
    <w:p>
      <w:pPr>
        <w:spacing w:after="0" w:line="200" w:lineRule="exact"/>
        <w:rPr>
          <w:sz w:val="20"/>
          <w:szCs w:val="20"/>
          <w:color w:val="auto"/>
        </w:rPr>
      </w:pPr>
    </w:p>
    <w:p>
      <w:pPr>
        <w:spacing w:after="0" w:line="25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24079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10375" cy="2407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82" w:lineRule="exact"/>
        <w:rPr>
          <w:sz w:val="20"/>
          <w:szCs w:val="20"/>
          <w:color w:val="auto"/>
        </w:rPr>
      </w:pPr>
    </w:p>
    <w:p>
      <w:pPr>
        <w:ind w:left="200" w:right="280"/>
        <w:spacing w:after="0" w:line="279" w:lineRule="auto"/>
        <w:rPr>
          <w:sz w:val="20"/>
          <w:szCs w:val="20"/>
          <w:color w:val="auto"/>
        </w:rPr>
      </w:pPr>
      <w:r>
        <w:rPr>
          <w:rFonts w:ascii="Arial" w:cs="Arial" w:eastAsia="Arial" w:hAnsi="Arial"/>
          <w:sz w:val="14"/>
          <w:szCs w:val="14"/>
          <w:color w:val="3D3935"/>
        </w:rPr>
        <w:t>qualified plans, as described in “Pension Benefits” on page 73. The Company does not credit interest at above-market rates to any deferred retirement accounts, and no interest amounts are included in these totals. In 2024, the actuarial present value decreased in the amount of $132,696 (Ms. Barra), $41,336 (Mr. Reuss), and $75,427 (Mr. Harvey). Messrs. Jacobson, Abbott, Glidden, and Harvey are not eligible to participate in the GM Salaried Retirement Plan (“SRP”) and GM Executive Retirement Plan (“DB ERP”) based on their respective dates of service. Mr. Harvey participates in the Vauxhall Motors Pension Plan (“UK VML Plan”), but is not eligible to participate in the SRP or DB ERP.</w:t>
      </w:r>
    </w:p>
    <w:p>
      <w:pPr>
        <w:spacing w:after="0" w:line="170" w:lineRule="exact"/>
        <w:rPr>
          <w:sz w:val="20"/>
          <w:szCs w:val="20"/>
          <w:color w:val="auto"/>
        </w:rPr>
      </w:pPr>
    </w:p>
    <w:p>
      <w:pPr>
        <w:ind w:left="200" w:hanging="192"/>
        <w:spacing w:after="0"/>
        <w:tabs>
          <w:tab w:leader="none" w:pos="200" w:val="left"/>
        </w:tabs>
        <w:numPr>
          <w:ilvl w:val="0"/>
          <w:numId w:val="98"/>
        </w:numPr>
        <w:rPr>
          <w:rFonts w:ascii="Arial" w:cs="Arial" w:eastAsia="Arial" w:hAnsi="Arial"/>
          <w:sz w:val="19"/>
          <w:szCs w:val="19"/>
          <w:color w:val="3D3935"/>
          <w:vertAlign w:val="superscript"/>
        </w:rPr>
      </w:pPr>
      <w:r>
        <w:rPr>
          <w:rFonts w:ascii="Arial" w:cs="Arial" w:eastAsia="Arial" w:hAnsi="Arial"/>
          <w:sz w:val="14"/>
          <w:szCs w:val="14"/>
          <w:color w:val="3D3935"/>
        </w:rPr>
        <w:t>The amounts included as All Other Compensation are described in the table below.</w:t>
      </w:r>
    </w:p>
    <w:p>
      <w:pPr>
        <w:spacing w:after="0" w:line="65"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All Other Compensation</w:t>
      </w:r>
    </w:p>
    <w:p>
      <w:pPr>
        <w:spacing w:after="0" w:line="200"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3D3935"/>
        </w:rPr>
        <w:t>P.A.</w:t>
      </w:r>
    </w:p>
    <w:p>
      <w:pPr>
        <w:spacing w:after="0" w:line="29" w:lineRule="exact"/>
        <w:rPr>
          <w:sz w:val="20"/>
          <w:szCs w:val="20"/>
          <w:color w:val="auto"/>
        </w:rPr>
      </w:pPr>
    </w:p>
    <w:p>
      <w:pPr>
        <w:ind w:left="3500"/>
        <w:spacing w:after="0"/>
        <w:tabs>
          <w:tab w:leader="none" w:pos="4500" w:val="left"/>
          <w:tab w:leader="none" w:pos="5380" w:val="left"/>
          <w:tab w:leader="none" w:pos="6400" w:val="left"/>
          <w:tab w:leader="none" w:pos="7200" w:val="left"/>
        </w:tabs>
        <w:rPr>
          <w:sz w:val="20"/>
          <w:szCs w:val="20"/>
          <w:color w:val="auto"/>
        </w:rPr>
      </w:pPr>
      <w:r>
        <w:rPr>
          <w:rFonts w:ascii="Arial" w:cs="Arial" w:eastAsia="Arial" w:hAnsi="Arial"/>
          <w:sz w:val="14"/>
          <w:szCs w:val="14"/>
          <w:b w:val="1"/>
          <w:bCs w:val="1"/>
          <w:color w:val="3D3935"/>
        </w:rPr>
        <w:t>M.T. Barra</w:t>
      </w:r>
      <w:r>
        <w:rPr>
          <w:sz w:val="20"/>
          <w:szCs w:val="20"/>
          <w:color w:val="auto"/>
        </w:rPr>
        <w:tab/>
      </w:r>
      <w:r>
        <w:rPr>
          <w:rFonts w:ascii="Arial" w:cs="Arial" w:eastAsia="Arial" w:hAnsi="Arial"/>
          <w:sz w:val="14"/>
          <w:szCs w:val="14"/>
          <w:b w:val="1"/>
          <w:bCs w:val="1"/>
          <w:color w:val="3D3935"/>
        </w:rPr>
        <w:t>Jacobson</w:t>
        <w:tab/>
        <w:t>M.L. Reuss</w:t>
      </w:r>
      <w:r>
        <w:rPr>
          <w:sz w:val="20"/>
          <w:szCs w:val="20"/>
          <w:color w:val="auto"/>
        </w:rPr>
        <w:tab/>
      </w:r>
      <w:r>
        <w:rPr>
          <w:rFonts w:ascii="Arial" w:cs="Arial" w:eastAsia="Arial" w:hAnsi="Arial"/>
          <w:sz w:val="14"/>
          <w:szCs w:val="14"/>
          <w:b w:val="1"/>
          <w:bCs w:val="1"/>
          <w:color w:val="3D3935"/>
        </w:rPr>
        <w:t>M. Abbott</w:t>
        <w:tab/>
        <w:t>C.B. Glidden  R.V. Harvey</w:t>
      </w:r>
    </w:p>
    <w:p>
      <w:pPr>
        <w:spacing w:after="0" w:line="15" w:lineRule="exact"/>
        <w:rPr>
          <w:sz w:val="20"/>
          <w:szCs w:val="20"/>
          <w:color w:val="auto"/>
        </w:rPr>
      </w:pPr>
    </w:p>
    <w:p>
      <w:pPr>
        <w:ind w:left="4000"/>
        <w:spacing w:after="0"/>
        <w:tabs>
          <w:tab w:leader="none" w:pos="4940" w:val="left"/>
          <w:tab w:leader="none" w:pos="5900" w:val="left"/>
          <w:tab w:leader="none" w:pos="6860" w:val="left"/>
          <w:tab w:leader="none" w:pos="7820" w:val="left"/>
          <w:tab w:leader="none" w:pos="8780" w:val="left"/>
        </w:tabs>
        <w:rPr>
          <w:sz w:val="20"/>
          <w:szCs w:val="20"/>
          <w:color w:val="auto"/>
        </w:rPr>
      </w:pPr>
      <w:r>
        <w:rPr>
          <w:rFonts w:ascii="Arial" w:cs="Arial" w:eastAsia="Arial" w:hAnsi="Arial"/>
          <w:sz w:val="14"/>
          <w:szCs w:val="14"/>
          <w:b w:val="1"/>
          <w:bCs w:val="1"/>
          <w:color w:val="3D3935"/>
        </w:rPr>
        <w:t>($)</w:t>
      </w:r>
      <w:r>
        <w:rPr>
          <w:sz w:val="20"/>
          <w:szCs w:val="20"/>
          <w:color w:val="auto"/>
        </w:rPr>
        <w:tab/>
      </w:r>
      <w:r>
        <w:rPr>
          <w:rFonts w:ascii="Arial" w:cs="Arial" w:eastAsia="Arial" w:hAnsi="Arial"/>
          <w:sz w:val="14"/>
          <w:szCs w:val="14"/>
          <w:b w:val="1"/>
          <w:bCs w:val="1"/>
          <w:color w:val="3D3935"/>
        </w:rPr>
        <w:t>($)</w:t>
      </w:r>
      <w:r>
        <w:rPr>
          <w:sz w:val="20"/>
          <w:szCs w:val="20"/>
          <w:color w:val="auto"/>
        </w:rPr>
        <w:tab/>
      </w:r>
      <w:r>
        <w:rPr>
          <w:rFonts w:ascii="Arial" w:cs="Arial" w:eastAsia="Arial" w:hAnsi="Arial"/>
          <w:sz w:val="14"/>
          <w:szCs w:val="14"/>
          <w:b w:val="1"/>
          <w:bCs w:val="1"/>
          <w:color w:val="3D3935"/>
        </w:rPr>
        <w:t>($)</w:t>
      </w:r>
      <w:r>
        <w:rPr>
          <w:sz w:val="20"/>
          <w:szCs w:val="20"/>
          <w:color w:val="auto"/>
        </w:rPr>
        <w:tab/>
      </w:r>
      <w:r>
        <w:rPr>
          <w:rFonts w:ascii="Arial" w:cs="Arial" w:eastAsia="Arial" w:hAnsi="Arial"/>
          <w:sz w:val="14"/>
          <w:szCs w:val="14"/>
          <w:b w:val="1"/>
          <w:bCs w:val="1"/>
          <w:color w:val="3D3935"/>
        </w:rPr>
        <w:t>($)</w:t>
      </w:r>
      <w:r>
        <w:rPr>
          <w:sz w:val="20"/>
          <w:szCs w:val="20"/>
          <w:color w:val="auto"/>
        </w:rPr>
        <w:tab/>
      </w:r>
      <w:r>
        <w:rPr>
          <w:rFonts w:ascii="Arial" w:cs="Arial" w:eastAsia="Arial" w:hAnsi="Arial"/>
          <w:sz w:val="14"/>
          <w:szCs w:val="14"/>
          <w:b w:val="1"/>
          <w:bCs w:val="1"/>
          <w:color w:val="3D3935"/>
        </w:rPr>
        <w:t>($)</w:t>
      </w:r>
      <w:r>
        <w:rPr>
          <w:sz w:val="20"/>
          <w:szCs w:val="20"/>
          <w:color w:val="auto"/>
        </w:rPr>
        <w:tab/>
      </w:r>
      <w:r>
        <w:rPr>
          <w:rFonts w:ascii="Arial" w:cs="Arial" w:eastAsia="Arial" w:hAnsi="Arial"/>
          <w:sz w:val="14"/>
          <w:szCs w:val="14"/>
          <w:b w:val="1"/>
          <w:bCs w:val="1"/>
          <w:color w:val="3D3935"/>
        </w:rPr>
        <w:t>($)</w:t>
      </w:r>
    </w:p>
    <w:p>
      <w:pPr>
        <w:sectPr>
          <w:pgSz w:w="11900" w:h="16933" w:orient="portrait"/>
          <w:cols w:equalWidth="0" w:num="1">
            <w:col w:w="9240"/>
          </w:cols>
          <w:pgMar w:left="1400" w:top="40" w:right="1259" w:bottom="0" w:gutter="0" w:footer="0" w:header="0"/>
        </w:sectPr>
      </w:pPr>
    </w:p>
    <w:p>
      <w:pPr>
        <w:spacing w:after="0" w:line="53" w:lineRule="exact"/>
        <w:rPr>
          <w:sz w:val="20"/>
          <w:szCs w:val="20"/>
          <w:color w:val="auto"/>
        </w:rPr>
      </w:pPr>
    </w:p>
    <w:p>
      <w:pPr>
        <w:ind w:left="60"/>
        <w:spacing w:after="0"/>
        <w:tabs>
          <w:tab w:leader="none" w:pos="3540" w:val="left"/>
          <w:tab w:leader="none" w:pos="4600" w:val="left"/>
          <w:tab w:leader="none" w:pos="5500" w:val="left"/>
          <w:tab w:leader="none" w:pos="6520" w:val="left"/>
          <w:tab w:leader="none" w:pos="7500" w:val="left"/>
          <w:tab w:leader="none" w:pos="8440" w:val="left"/>
        </w:tabs>
        <w:rPr>
          <w:sz w:val="20"/>
          <w:szCs w:val="20"/>
          <w:color w:val="auto"/>
        </w:rPr>
      </w:pPr>
      <w:r>
        <w:rPr>
          <w:rFonts w:ascii="Arial" w:cs="Arial" w:eastAsia="Arial" w:hAnsi="Arial"/>
          <w:sz w:val="16"/>
          <w:szCs w:val="16"/>
          <w:color w:val="3D3935"/>
        </w:rPr>
        <w:t xml:space="preserve">Perquisites and Other Personal Benefits </w:t>
      </w:r>
      <w:r>
        <w:rPr>
          <w:rFonts w:ascii="Arial" w:cs="Arial" w:eastAsia="Arial" w:hAnsi="Arial"/>
          <w:sz w:val="21"/>
          <w:szCs w:val="21"/>
          <w:color w:val="3D3935"/>
          <w:vertAlign w:val="superscript"/>
        </w:rPr>
        <w:t>(1)</w:t>
      </w:r>
      <w:r>
        <w:rPr>
          <w:sz w:val="20"/>
          <w:szCs w:val="20"/>
          <w:color w:val="auto"/>
        </w:rPr>
        <w:tab/>
      </w:r>
      <w:r>
        <w:rPr>
          <w:rFonts w:ascii="Arial" w:cs="Arial" w:eastAsia="Arial" w:hAnsi="Arial"/>
          <w:sz w:val="16"/>
          <w:szCs w:val="16"/>
          <w:color w:val="3D3935"/>
        </w:rPr>
        <w:t>637,555</w:t>
      </w:r>
      <w:r>
        <w:rPr>
          <w:sz w:val="20"/>
          <w:szCs w:val="20"/>
          <w:color w:val="auto"/>
        </w:rPr>
        <w:tab/>
      </w:r>
      <w:r>
        <w:rPr>
          <w:rFonts w:ascii="Arial" w:cs="Arial" w:eastAsia="Arial" w:hAnsi="Arial"/>
          <w:sz w:val="16"/>
          <w:szCs w:val="16"/>
          <w:color w:val="3D3935"/>
        </w:rPr>
        <w:t>38,576</w:t>
      </w:r>
      <w:r>
        <w:rPr>
          <w:sz w:val="20"/>
          <w:szCs w:val="20"/>
          <w:color w:val="auto"/>
        </w:rPr>
        <w:tab/>
      </w:r>
      <w:r>
        <w:rPr>
          <w:rFonts w:ascii="Arial" w:cs="Arial" w:eastAsia="Arial" w:hAnsi="Arial"/>
          <w:sz w:val="16"/>
          <w:szCs w:val="16"/>
          <w:color w:val="3D3935"/>
        </w:rPr>
        <w:t>161,489</w:t>
      </w:r>
      <w:r>
        <w:rPr>
          <w:sz w:val="20"/>
          <w:szCs w:val="20"/>
          <w:color w:val="auto"/>
        </w:rPr>
        <w:tab/>
      </w:r>
      <w:r>
        <w:rPr>
          <w:rFonts w:ascii="Arial" w:cs="Arial" w:eastAsia="Arial" w:hAnsi="Arial"/>
          <w:sz w:val="16"/>
          <w:szCs w:val="16"/>
          <w:color w:val="3D3935"/>
        </w:rPr>
        <w:t>30,188</w:t>
      </w:r>
      <w:r>
        <w:rPr>
          <w:sz w:val="20"/>
          <w:szCs w:val="20"/>
          <w:color w:val="auto"/>
        </w:rPr>
        <w:tab/>
      </w:r>
      <w:r>
        <w:rPr>
          <w:rFonts w:ascii="Arial" w:cs="Arial" w:eastAsia="Arial" w:hAnsi="Arial"/>
          <w:sz w:val="16"/>
          <w:szCs w:val="16"/>
          <w:color w:val="3D3935"/>
        </w:rPr>
        <w:t>72,241</w:t>
      </w:r>
      <w:r>
        <w:rPr>
          <w:sz w:val="20"/>
          <w:szCs w:val="20"/>
          <w:color w:val="auto"/>
        </w:rPr>
        <w:tab/>
      </w:r>
      <w:r>
        <w:rPr>
          <w:rFonts w:ascii="Arial" w:cs="Arial" w:eastAsia="Arial" w:hAnsi="Arial"/>
          <w:sz w:val="16"/>
          <w:szCs w:val="16"/>
          <w:color w:val="3D3935"/>
        </w:rPr>
        <w:t>12,860</w:t>
      </w:r>
    </w:p>
    <w:p>
      <w:pPr>
        <w:sectPr>
          <w:pgSz w:w="11900" w:h="16933" w:orient="portrait"/>
          <w:cols w:equalWidth="0" w:num="1">
            <w:col w:w="9240"/>
          </w:cols>
          <w:pgMar w:left="1400" w:top="40" w:right="1259" w:bottom="0" w:gutter="0" w:footer="0" w:header="0"/>
          <w:type w:val="continuous"/>
        </w:sectPr>
      </w:pPr>
    </w:p>
    <w:bookmarkStart w:id="64" w:name="page65"/>
    <w:bookmarkEnd w:id="64"/>
    <w:tbl>
      <w:tblPr>
        <w:tblLayout w:type="fixed"/>
        <w:tblInd w:w="0" w:type="dxa"/>
        <w:tblCellMar>
          <w:top w:w="0" w:type="dxa"/>
          <w:left w:w="0" w:type="dxa"/>
          <w:bottom w:w="0" w:type="dxa"/>
          <w:right w:w="0" w:type="dxa"/>
        </w:tblCellMar>
      </w:tblPr>
      <w:tr>
        <w:trPr>
          <w:trHeight w:val="313"/>
        </w:trPr>
        <w:tc>
          <w:tcPr>
            <w:tcW w:w="3300" w:type="dxa"/>
            <w:vAlign w:val="bottom"/>
            <w:shd w:val="clear" w:color="auto" w:fill="F0F3F5"/>
          </w:tcPr>
          <w:p>
            <w:pPr>
              <w:ind w:left="60"/>
              <w:spacing w:after="0"/>
              <w:rPr>
                <w:sz w:val="20"/>
                <w:szCs w:val="20"/>
                <w:color w:val="auto"/>
              </w:rPr>
            </w:pPr>
            <w:r>
              <w:rPr>
                <w:rFonts w:ascii="Arial" w:cs="Arial" w:eastAsia="Arial" w:hAnsi="Arial"/>
                <w:sz w:val="16"/>
                <w:szCs w:val="16"/>
                <w:color w:val="3D3935"/>
              </w:rPr>
              <w:t xml:space="preserve">Employer Contributions to Savings Plans </w:t>
            </w:r>
            <w:r>
              <w:rPr>
                <w:rFonts w:ascii="Arial" w:cs="Arial" w:eastAsia="Arial" w:hAnsi="Arial"/>
                <w:sz w:val="21"/>
                <w:szCs w:val="21"/>
                <w:color w:val="3D3935"/>
                <w:vertAlign w:val="superscript"/>
              </w:rPr>
              <w:t>(2)</w:t>
            </w:r>
          </w:p>
        </w:tc>
        <w:tc>
          <w:tcPr>
            <w:tcW w:w="1080" w:type="dxa"/>
            <w:vAlign w:val="bottom"/>
            <w:shd w:val="clear" w:color="auto" w:fill="F0F3F5"/>
          </w:tcPr>
          <w:p>
            <w:pPr>
              <w:jc w:val="right"/>
              <w:ind w:right="179"/>
              <w:spacing w:after="0"/>
              <w:rPr>
                <w:sz w:val="20"/>
                <w:szCs w:val="20"/>
                <w:color w:val="auto"/>
              </w:rPr>
            </w:pPr>
            <w:r>
              <w:rPr>
                <w:rFonts w:ascii="Arial" w:cs="Arial" w:eastAsia="Arial" w:hAnsi="Arial"/>
                <w:sz w:val="16"/>
                <w:szCs w:val="16"/>
                <w:color w:val="3D3935"/>
              </w:rPr>
              <w:t>567,000</w:t>
            </w:r>
          </w:p>
        </w:tc>
        <w:tc>
          <w:tcPr>
            <w:tcW w:w="960" w:type="dxa"/>
            <w:vAlign w:val="bottom"/>
            <w:shd w:val="clear" w:color="auto" w:fill="F0F3F5"/>
          </w:tcPr>
          <w:p>
            <w:pPr>
              <w:jc w:val="right"/>
              <w:ind w:right="139"/>
              <w:spacing w:after="0"/>
              <w:rPr>
                <w:sz w:val="20"/>
                <w:szCs w:val="20"/>
                <w:color w:val="auto"/>
              </w:rPr>
            </w:pPr>
            <w:r>
              <w:rPr>
                <w:rFonts w:ascii="Arial" w:cs="Arial" w:eastAsia="Arial" w:hAnsi="Arial"/>
                <w:sz w:val="16"/>
                <w:szCs w:val="16"/>
                <w:color w:val="3D3935"/>
              </w:rPr>
              <w:t>187,500</w:t>
            </w:r>
          </w:p>
        </w:tc>
        <w:tc>
          <w:tcPr>
            <w:tcW w:w="940" w:type="dxa"/>
            <w:vAlign w:val="bottom"/>
            <w:shd w:val="clear" w:color="auto" w:fill="F0F3F5"/>
          </w:tcPr>
          <w:p>
            <w:pPr>
              <w:jc w:val="right"/>
              <w:ind w:right="159"/>
              <w:spacing w:after="0"/>
              <w:rPr>
                <w:sz w:val="20"/>
                <w:szCs w:val="20"/>
                <w:color w:val="auto"/>
              </w:rPr>
            </w:pPr>
            <w:r>
              <w:rPr>
                <w:rFonts w:ascii="Arial" w:cs="Arial" w:eastAsia="Arial" w:hAnsi="Arial"/>
                <w:sz w:val="16"/>
                <w:szCs w:val="16"/>
                <w:color w:val="3D3935"/>
              </w:rPr>
              <w:t>288,564</w:t>
            </w:r>
          </w:p>
        </w:tc>
        <w:tc>
          <w:tcPr>
            <w:tcW w:w="940" w:type="dxa"/>
            <w:vAlign w:val="bottom"/>
            <w:shd w:val="clear" w:color="auto" w:fill="F0F3F5"/>
          </w:tcPr>
          <w:p>
            <w:pPr>
              <w:jc w:val="right"/>
              <w:ind w:right="79"/>
              <w:spacing w:after="0"/>
              <w:rPr>
                <w:sz w:val="20"/>
                <w:szCs w:val="20"/>
                <w:color w:val="auto"/>
              </w:rPr>
            </w:pPr>
            <w:r>
              <w:rPr>
                <w:rFonts w:ascii="Arial" w:cs="Arial" w:eastAsia="Arial" w:hAnsi="Arial"/>
                <w:sz w:val="16"/>
                <w:szCs w:val="16"/>
                <w:color w:val="3D3935"/>
              </w:rPr>
              <w:t>79,818</w:t>
            </w:r>
          </w:p>
        </w:tc>
        <w:tc>
          <w:tcPr>
            <w:tcW w:w="1000" w:type="dxa"/>
            <w:vAlign w:val="bottom"/>
            <w:shd w:val="clear" w:color="auto" w:fill="F0F3F5"/>
          </w:tcPr>
          <w:p>
            <w:pPr>
              <w:jc w:val="right"/>
              <w:ind w:right="99"/>
              <w:spacing w:after="0"/>
              <w:rPr>
                <w:sz w:val="20"/>
                <w:szCs w:val="20"/>
                <w:color w:val="auto"/>
              </w:rPr>
            </w:pPr>
            <w:r>
              <w:rPr>
                <w:rFonts w:ascii="Arial" w:cs="Arial" w:eastAsia="Arial" w:hAnsi="Arial"/>
                <w:sz w:val="16"/>
                <w:szCs w:val="16"/>
                <w:color w:val="3D3935"/>
              </w:rPr>
              <w:t>186,127</w:t>
            </w:r>
          </w:p>
        </w:tc>
        <w:tc>
          <w:tcPr>
            <w:tcW w:w="820" w:type="dxa"/>
            <w:vAlign w:val="bottom"/>
            <w:shd w:val="clear" w:color="auto" w:fill="F0F3F5"/>
          </w:tcPr>
          <w:p>
            <w:pPr>
              <w:jc w:val="right"/>
              <w:spacing w:after="0"/>
              <w:rPr>
                <w:sz w:val="20"/>
                <w:szCs w:val="20"/>
                <w:color w:val="auto"/>
              </w:rPr>
            </w:pPr>
            <w:r>
              <w:rPr>
                <w:rFonts w:ascii="Arial" w:cs="Arial" w:eastAsia="Arial" w:hAnsi="Arial"/>
                <w:sz w:val="16"/>
                <w:szCs w:val="16"/>
                <w:color w:val="3D3935"/>
              </w:rPr>
              <w:t>135,628</w:t>
            </w:r>
          </w:p>
        </w:tc>
      </w:tr>
      <w:tr>
        <w:trPr>
          <w:trHeight w:val="281"/>
        </w:trPr>
        <w:tc>
          <w:tcPr>
            <w:tcW w:w="3300" w:type="dxa"/>
            <w:vAlign w:val="bottom"/>
            <w:tcBorders>
              <w:bottom w:val="single" w:sz="8" w:color="0072CE"/>
            </w:tcBorders>
            <w:shd w:val="clear" w:color="auto" w:fill="F0F3F5"/>
          </w:tcPr>
          <w:p>
            <w:pPr>
              <w:ind w:left="60"/>
              <w:spacing w:after="0"/>
              <w:rPr>
                <w:sz w:val="20"/>
                <w:szCs w:val="20"/>
                <w:color w:val="auto"/>
              </w:rPr>
            </w:pPr>
            <w:r>
              <w:rPr>
                <w:rFonts w:ascii="Arial" w:cs="Arial" w:eastAsia="Arial" w:hAnsi="Arial"/>
                <w:sz w:val="16"/>
                <w:szCs w:val="16"/>
                <w:color w:val="3D3935"/>
              </w:rPr>
              <w:t xml:space="preserve">Life and Other Insurance Benefits </w:t>
            </w:r>
            <w:r>
              <w:rPr>
                <w:rFonts w:ascii="Arial" w:cs="Arial" w:eastAsia="Arial" w:hAnsi="Arial"/>
                <w:sz w:val="21"/>
                <w:szCs w:val="21"/>
                <w:color w:val="3D3935"/>
                <w:vertAlign w:val="superscript"/>
              </w:rPr>
              <w:t>(3)</w:t>
            </w:r>
          </w:p>
        </w:tc>
        <w:tc>
          <w:tcPr>
            <w:tcW w:w="1080" w:type="dxa"/>
            <w:vAlign w:val="bottom"/>
            <w:tcBorders>
              <w:bottom w:val="single" w:sz="8" w:color="0072CE"/>
            </w:tcBorders>
            <w:shd w:val="clear" w:color="auto" w:fill="F0F3F5"/>
          </w:tcPr>
          <w:p>
            <w:pPr>
              <w:jc w:val="right"/>
              <w:ind w:right="179"/>
              <w:spacing w:after="0"/>
              <w:rPr>
                <w:sz w:val="20"/>
                <w:szCs w:val="20"/>
                <w:color w:val="auto"/>
              </w:rPr>
            </w:pPr>
            <w:r>
              <w:rPr>
                <w:rFonts w:ascii="Arial" w:cs="Arial" w:eastAsia="Arial" w:hAnsi="Arial"/>
                <w:sz w:val="16"/>
                <w:szCs w:val="16"/>
                <w:color w:val="3D3935"/>
              </w:rPr>
              <w:t>24,054</w:t>
            </w:r>
          </w:p>
        </w:tc>
        <w:tc>
          <w:tcPr>
            <w:tcW w:w="960" w:type="dxa"/>
            <w:vAlign w:val="bottom"/>
            <w:tcBorders>
              <w:bottom w:val="single" w:sz="8" w:color="0072CE"/>
            </w:tcBorders>
            <w:shd w:val="clear" w:color="auto" w:fill="F0F3F5"/>
          </w:tcPr>
          <w:p>
            <w:pPr>
              <w:jc w:val="right"/>
              <w:ind w:right="139"/>
              <w:spacing w:after="0"/>
              <w:rPr>
                <w:sz w:val="20"/>
                <w:szCs w:val="20"/>
                <w:color w:val="auto"/>
              </w:rPr>
            </w:pPr>
            <w:r>
              <w:rPr>
                <w:rFonts w:ascii="Arial" w:cs="Arial" w:eastAsia="Arial" w:hAnsi="Arial"/>
                <w:sz w:val="16"/>
                <w:szCs w:val="16"/>
                <w:color w:val="3D3935"/>
              </w:rPr>
              <w:t>5,929</w:t>
            </w:r>
          </w:p>
        </w:tc>
        <w:tc>
          <w:tcPr>
            <w:tcW w:w="940" w:type="dxa"/>
            <w:vAlign w:val="bottom"/>
            <w:tcBorders>
              <w:bottom w:val="single" w:sz="8" w:color="0072CE"/>
            </w:tcBorders>
            <w:shd w:val="clear" w:color="auto" w:fill="F0F3F5"/>
          </w:tcPr>
          <w:p>
            <w:pPr>
              <w:jc w:val="right"/>
              <w:ind w:right="99"/>
              <w:spacing w:after="0"/>
              <w:rPr>
                <w:sz w:val="20"/>
                <w:szCs w:val="20"/>
                <w:color w:val="auto"/>
              </w:rPr>
            </w:pPr>
            <w:r>
              <w:rPr>
                <w:rFonts w:ascii="Arial" w:cs="Arial" w:eastAsia="Arial" w:hAnsi="Arial"/>
                <w:sz w:val="16"/>
                <w:szCs w:val="16"/>
                <w:color w:val="3D3935"/>
              </w:rPr>
              <w:t>15,309</w:t>
            </w:r>
          </w:p>
        </w:tc>
        <w:tc>
          <w:tcPr>
            <w:tcW w:w="940" w:type="dxa"/>
            <w:vAlign w:val="bottom"/>
            <w:tcBorders>
              <w:bottom w:val="single" w:sz="8" w:color="0072CE"/>
            </w:tcBorders>
            <w:shd w:val="clear" w:color="auto" w:fill="F0F3F5"/>
          </w:tcPr>
          <w:p>
            <w:pPr>
              <w:jc w:val="right"/>
              <w:ind w:right="79"/>
              <w:spacing w:after="0"/>
              <w:rPr>
                <w:sz w:val="20"/>
                <w:szCs w:val="20"/>
                <w:color w:val="auto"/>
              </w:rPr>
            </w:pPr>
            <w:r>
              <w:rPr>
                <w:rFonts w:ascii="Arial" w:cs="Arial" w:eastAsia="Arial" w:hAnsi="Arial"/>
                <w:sz w:val="16"/>
                <w:szCs w:val="16"/>
                <w:color w:val="3D3935"/>
              </w:rPr>
              <w:t>1,694</w:t>
            </w:r>
          </w:p>
        </w:tc>
        <w:tc>
          <w:tcPr>
            <w:tcW w:w="1000" w:type="dxa"/>
            <w:vAlign w:val="bottom"/>
            <w:tcBorders>
              <w:bottom w:val="single" w:sz="8" w:color="0072CE"/>
            </w:tcBorders>
            <w:shd w:val="clear" w:color="auto" w:fill="F0F3F5"/>
          </w:tcPr>
          <w:p>
            <w:pPr>
              <w:jc w:val="right"/>
              <w:ind w:right="99"/>
              <w:spacing w:after="0"/>
              <w:rPr>
                <w:sz w:val="20"/>
                <w:szCs w:val="20"/>
                <w:color w:val="auto"/>
              </w:rPr>
            </w:pPr>
            <w:r>
              <w:rPr>
                <w:rFonts w:ascii="Arial" w:cs="Arial" w:eastAsia="Arial" w:hAnsi="Arial"/>
                <w:sz w:val="16"/>
                <w:szCs w:val="16"/>
                <w:color w:val="3D3935"/>
              </w:rPr>
              <w:t>27,712</w:t>
            </w:r>
          </w:p>
        </w:tc>
        <w:tc>
          <w:tcPr>
            <w:tcW w:w="820" w:type="dxa"/>
            <w:vAlign w:val="bottom"/>
            <w:tcBorders>
              <w:bottom w:val="single" w:sz="8" w:color="0072CE"/>
            </w:tcBorders>
            <w:shd w:val="clear" w:color="auto" w:fill="F0F3F5"/>
          </w:tcPr>
          <w:p>
            <w:pPr>
              <w:jc w:val="right"/>
              <w:ind w:right="19"/>
              <w:spacing w:after="0"/>
              <w:rPr>
                <w:sz w:val="20"/>
                <w:szCs w:val="20"/>
                <w:color w:val="auto"/>
              </w:rPr>
            </w:pPr>
            <w:r>
              <w:rPr>
                <w:rFonts w:ascii="Arial" w:cs="Arial" w:eastAsia="Arial" w:hAnsi="Arial"/>
                <w:sz w:val="16"/>
                <w:szCs w:val="16"/>
                <w:color w:val="3D3935"/>
              </w:rPr>
              <w:t>5,320</w:t>
            </w:r>
          </w:p>
        </w:tc>
      </w:tr>
      <w:tr>
        <w:trPr>
          <w:trHeight w:val="250"/>
        </w:trPr>
        <w:tc>
          <w:tcPr>
            <w:tcW w:w="330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 xml:space="preserve">Other </w:t>
            </w:r>
            <w:r>
              <w:rPr>
                <w:rFonts w:ascii="Arial" w:cs="Arial" w:eastAsia="Arial" w:hAnsi="Arial"/>
                <w:sz w:val="21"/>
                <w:szCs w:val="21"/>
                <w:color w:val="3D3935"/>
                <w:vertAlign w:val="superscript"/>
              </w:rPr>
              <w:t>(4)</w:t>
            </w:r>
          </w:p>
        </w:tc>
        <w:tc>
          <w:tcPr>
            <w:tcW w:w="1080" w:type="dxa"/>
            <w:vAlign w:val="bottom"/>
            <w:tcBorders>
              <w:bottom w:val="single" w:sz="8" w:color="D9D9D6"/>
            </w:tcBorders>
          </w:tcPr>
          <w:p>
            <w:pPr>
              <w:jc w:val="right"/>
              <w:ind w:right="59"/>
              <w:spacing w:after="0"/>
              <w:rPr>
                <w:sz w:val="20"/>
                <w:szCs w:val="20"/>
                <w:color w:val="auto"/>
              </w:rPr>
            </w:pPr>
            <w:r>
              <w:rPr>
                <w:rFonts w:ascii="Arial" w:cs="Arial" w:eastAsia="Arial" w:hAnsi="Arial"/>
                <w:sz w:val="16"/>
                <w:szCs w:val="16"/>
                <w:color w:val="3D3935"/>
              </w:rPr>
              <w:t>—</w:t>
            </w:r>
          </w:p>
        </w:tc>
        <w:tc>
          <w:tcPr>
            <w:tcW w:w="960" w:type="dxa"/>
            <w:vAlign w:val="bottom"/>
            <w:tcBorders>
              <w:bottom w:val="single" w:sz="8" w:color="D9D9D6"/>
            </w:tcBorders>
          </w:tcPr>
          <w:p>
            <w:pPr>
              <w:jc w:val="right"/>
              <w:ind w:right="59"/>
              <w:spacing w:after="0"/>
              <w:rPr>
                <w:sz w:val="20"/>
                <w:szCs w:val="20"/>
                <w:color w:val="auto"/>
              </w:rPr>
            </w:pPr>
            <w:r>
              <w:rPr>
                <w:rFonts w:ascii="Arial" w:cs="Arial" w:eastAsia="Arial" w:hAnsi="Arial"/>
                <w:sz w:val="16"/>
                <w:szCs w:val="16"/>
                <w:color w:val="3D3935"/>
              </w:rPr>
              <w:t>—</w:t>
            </w:r>
          </w:p>
        </w:tc>
        <w:tc>
          <w:tcPr>
            <w:tcW w:w="940" w:type="dxa"/>
            <w:vAlign w:val="bottom"/>
            <w:tcBorders>
              <w:bottom w:val="single" w:sz="8" w:color="D9D9D6"/>
            </w:tcBorders>
          </w:tcPr>
          <w:p>
            <w:pPr>
              <w:jc w:val="right"/>
              <w:ind w:right="39"/>
              <w:spacing w:after="0"/>
              <w:rPr>
                <w:sz w:val="20"/>
                <w:szCs w:val="20"/>
                <w:color w:val="auto"/>
              </w:rPr>
            </w:pPr>
            <w:r>
              <w:rPr>
                <w:rFonts w:ascii="Arial" w:cs="Arial" w:eastAsia="Arial" w:hAnsi="Arial"/>
                <w:sz w:val="16"/>
                <w:szCs w:val="16"/>
                <w:color w:val="3D3935"/>
              </w:rPr>
              <w:t>—</w:t>
            </w:r>
          </w:p>
        </w:tc>
        <w:tc>
          <w:tcPr>
            <w:tcW w:w="940" w:type="dxa"/>
            <w:vAlign w:val="bottom"/>
            <w:tcBorders>
              <w:bottom w:val="single" w:sz="8" w:color="D9D9D6"/>
            </w:tcBorders>
          </w:tcPr>
          <w:p>
            <w:pPr>
              <w:jc w:val="right"/>
              <w:ind w:right="159"/>
              <w:spacing w:after="0"/>
              <w:rPr>
                <w:sz w:val="20"/>
                <w:szCs w:val="20"/>
                <w:color w:val="auto"/>
              </w:rPr>
            </w:pPr>
            <w:r>
              <w:rPr>
                <w:rFonts w:ascii="Arial" w:cs="Arial" w:eastAsia="Arial" w:hAnsi="Arial"/>
                <w:sz w:val="16"/>
                <w:szCs w:val="16"/>
                <w:color w:val="3D3935"/>
              </w:rPr>
              <w:t>330,000</w:t>
            </w:r>
          </w:p>
        </w:tc>
        <w:tc>
          <w:tcPr>
            <w:tcW w:w="1000" w:type="dxa"/>
            <w:vAlign w:val="bottom"/>
            <w:tcBorders>
              <w:bottom w:val="single" w:sz="8" w:color="D9D9D6"/>
            </w:tcBorders>
          </w:tcPr>
          <w:p>
            <w:pPr>
              <w:jc w:val="right"/>
              <w:ind w:right="59"/>
              <w:spacing w:after="0"/>
              <w:rPr>
                <w:sz w:val="20"/>
                <w:szCs w:val="20"/>
                <w:color w:val="auto"/>
              </w:rPr>
            </w:pPr>
            <w:r>
              <w:rPr>
                <w:rFonts w:ascii="Arial" w:cs="Arial" w:eastAsia="Arial" w:hAnsi="Arial"/>
                <w:sz w:val="16"/>
                <w:szCs w:val="16"/>
                <w:color w:val="3D3935"/>
              </w:rPr>
              <w:t>—</w:t>
            </w:r>
          </w:p>
        </w:tc>
        <w:tc>
          <w:tcPr>
            <w:tcW w:w="820" w:type="dxa"/>
            <w:vAlign w:val="bottom"/>
            <w:tcBorders>
              <w:bottom w:val="single" w:sz="8" w:color="D9D9D6"/>
            </w:tcBorders>
          </w:tcPr>
          <w:p>
            <w:pPr>
              <w:spacing w:after="0"/>
              <w:rPr>
                <w:sz w:val="21"/>
                <w:szCs w:val="21"/>
                <w:color w:val="auto"/>
              </w:rPr>
            </w:pPr>
          </w:p>
        </w:tc>
      </w:tr>
      <w:tr>
        <w:trPr>
          <w:trHeight w:val="216"/>
        </w:trPr>
        <w:tc>
          <w:tcPr>
            <w:tcW w:w="3300" w:type="dxa"/>
            <w:vAlign w:val="bottom"/>
          </w:tcPr>
          <w:p>
            <w:pPr>
              <w:ind w:left="60"/>
              <w:spacing w:after="0"/>
              <w:rPr>
                <w:sz w:val="20"/>
                <w:szCs w:val="20"/>
                <w:color w:val="auto"/>
              </w:rPr>
            </w:pPr>
            <w:r>
              <w:rPr>
                <w:rFonts w:ascii="Arial" w:cs="Arial" w:eastAsia="Arial" w:hAnsi="Arial"/>
                <w:sz w:val="16"/>
                <w:szCs w:val="16"/>
                <w:b w:val="1"/>
                <w:bCs w:val="1"/>
                <w:color w:val="3D3935"/>
              </w:rPr>
              <w:t>TOTAL</w:t>
            </w:r>
          </w:p>
        </w:tc>
        <w:tc>
          <w:tcPr>
            <w:tcW w:w="1080" w:type="dxa"/>
            <w:vAlign w:val="bottom"/>
          </w:tcPr>
          <w:p>
            <w:pPr>
              <w:jc w:val="right"/>
              <w:ind w:right="139"/>
              <w:spacing w:after="0"/>
              <w:rPr>
                <w:sz w:val="20"/>
                <w:szCs w:val="20"/>
                <w:color w:val="auto"/>
              </w:rPr>
            </w:pPr>
            <w:r>
              <w:rPr>
                <w:rFonts w:ascii="Arial" w:cs="Arial" w:eastAsia="Arial" w:hAnsi="Arial"/>
                <w:sz w:val="16"/>
                <w:szCs w:val="16"/>
                <w:color w:val="3D3935"/>
              </w:rPr>
              <w:t>1,228,609</w:t>
            </w:r>
          </w:p>
        </w:tc>
        <w:tc>
          <w:tcPr>
            <w:tcW w:w="960" w:type="dxa"/>
            <w:vAlign w:val="bottom"/>
          </w:tcPr>
          <w:p>
            <w:pPr>
              <w:jc w:val="right"/>
              <w:ind w:right="179"/>
              <w:spacing w:after="0"/>
              <w:rPr>
                <w:sz w:val="20"/>
                <w:szCs w:val="20"/>
                <w:color w:val="auto"/>
              </w:rPr>
            </w:pPr>
            <w:r>
              <w:rPr>
                <w:rFonts w:ascii="Arial" w:cs="Arial" w:eastAsia="Arial" w:hAnsi="Arial"/>
                <w:sz w:val="16"/>
                <w:szCs w:val="16"/>
                <w:color w:val="3D3935"/>
              </w:rPr>
              <w:t>232,005</w:t>
            </w:r>
          </w:p>
        </w:tc>
        <w:tc>
          <w:tcPr>
            <w:tcW w:w="940" w:type="dxa"/>
            <w:vAlign w:val="bottom"/>
          </w:tcPr>
          <w:p>
            <w:pPr>
              <w:jc w:val="right"/>
              <w:ind w:right="159"/>
              <w:spacing w:after="0"/>
              <w:rPr>
                <w:sz w:val="20"/>
                <w:szCs w:val="20"/>
                <w:color w:val="auto"/>
              </w:rPr>
            </w:pPr>
            <w:r>
              <w:rPr>
                <w:rFonts w:ascii="Arial" w:cs="Arial" w:eastAsia="Arial" w:hAnsi="Arial"/>
                <w:sz w:val="16"/>
                <w:szCs w:val="16"/>
                <w:color w:val="3D3935"/>
              </w:rPr>
              <w:t>465,362</w:t>
            </w:r>
          </w:p>
        </w:tc>
        <w:tc>
          <w:tcPr>
            <w:tcW w:w="940" w:type="dxa"/>
            <w:vAlign w:val="bottom"/>
          </w:tcPr>
          <w:p>
            <w:pPr>
              <w:jc w:val="right"/>
              <w:ind w:right="99"/>
              <w:spacing w:after="0"/>
              <w:rPr>
                <w:sz w:val="20"/>
                <w:szCs w:val="20"/>
                <w:color w:val="auto"/>
              </w:rPr>
            </w:pPr>
            <w:r>
              <w:rPr>
                <w:rFonts w:ascii="Arial" w:cs="Arial" w:eastAsia="Arial" w:hAnsi="Arial"/>
                <w:sz w:val="16"/>
                <w:szCs w:val="16"/>
                <w:color w:val="3D3935"/>
              </w:rPr>
              <w:t>441,700</w:t>
            </w:r>
          </w:p>
        </w:tc>
        <w:tc>
          <w:tcPr>
            <w:tcW w:w="1000" w:type="dxa"/>
            <w:vAlign w:val="bottom"/>
          </w:tcPr>
          <w:p>
            <w:pPr>
              <w:jc w:val="right"/>
              <w:ind w:right="179"/>
              <w:spacing w:after="0"/>
              <w:rPr>
                <w:sz w:val="20"/>
                <w:szCs w:val="20"/>
                <w:color w:val="auto"/>
              </w:rPr>
            </w:pPr>
            <w:r>
              <w:rPr>
                <w:rFonts w:ascii="Arial" w:cs="Arial" w:eastAsia="Arial" w:hAnsi="Arial"/>
                <w:sz w:val="16"/>
                <w:szCs w:val="16"/>
                <w:color w:val="3D3935"/>
              </w:rPr>
              <w:t>286,080</w:t>
            </w:r>
          </w:p>
        </w:tc>
        <w:tc>
          <w:tcPr>
            <w:tcW w:w="820" w:type="dxa"/>
            <w:vAlign w:val="bottom"/>
          </w:tcPr>
          <w:p>
            <w:pPr>
              <w:jc w:val="right"/>
              <w:spacing w:after="0"/>
              <w:rPr>
                <w:sz w:val="20"/>
                <w:szCs w:val="20"/>
                <w:color w:val="auto"/>
              </w:rPr>
            </w:pPr>
            <w:r>
              <w:rPr>
                <w:rFonts w:ascii="Arial" w:cs="Arial" w:eastAsia="Arial" w:hAnsi="Arial"/>
                <w:sz w:val="16"/>
                <w:szCs w:val="16"/>
                <w:color w:val="3D3935"/>
              </w:rPr>
              <w:t>153,808</w:t>
            </w:r>
          </w:p>
        </w:tc>
      </w:tr>
      <w:tr>
        <w:trPr>
          <w:trHeight w:val="34"/>
        </w:trPr>
        <w:tc>
          <w:tcPr>
            <w:tcW w:w="3300" w:type="dxa"/>
            <w:vAlign w:val="bottom"/>
            <w:tcBorders>
              <w:bottom w:val="single" w:sz="8" w:color="D9D9D6"/>
            </w:tcBorders>
          </w:tcPr>
          <w:p>
            <w:pPr>
              <w:spacing w:after="0"/>
              <w:rPr>
                <w:sz w:val="2"/>
                <w:szCs w:val="2"/>
                <w:color w:val="auto"/>
              </w:rPr>
            </w:pPr>
          </w:p>
        </w:tc>
        <w:tc>
          <w:tcPr>
            <w:tcW w:w="1080" w:type="dxa"/>
            <w:vAlign w:val="bottom"/>
            <w:tcBorders>
              <w:bottom w:val="single" w:sz="8" w:color="D9D9D6"/>
            </w:tcBorders>
          </w:tcPr>
          <w:p>
            <w:pPr>
              <w:spacing w:after="0"/>
              <w:rPr>
                <w:sz w:val="2"/>
                <w:szCs w:val="2"/>
                <w:color w:val="auto"/>
              </w:rPr>
            </w:pPr>
          </w:p>
        </w:tc>
        <w:tc>
          <w:tcPr>
            <w:tcW w:w="960" w:type="dxa"/>
            <w:vAlign w:val="bottom"/>
            <w:tcBorders>
              <w:bottom w:val="single" w:sz="8" w:color="D9D9D6"/>
            </w:tcBorders>
          </w:tcPr>
          <w:p>
            <w:pPr>
              <w:spacing w:after="0"/>
              <w:rPr>
                <w:sz w:val="2"/>
                <w:szCs w:val="2"/>
                <w:color w:val="auto"/>
              </w:rPr>
            </w:pPr>
          </w:p>
        </w:tc>
        <w:tc>
          <w:tcPr>
            <w:tcW w:w="940" w:type="dxa"/>
            <w:vAlign w:val="bottom"/>
            <w:tcBorders>
              <w:bottom w:val="single" w:sz="8" w:color="D9D9D6"/>
            </w:tcBorders>
          </w:tcPr>
          <w:p>
            <w:pPr>
              <w:spacing w:after="0"/>
              <w:rPr>
                <w:sz w:val="2"/>
                <w:szCs w:val="2"/>
                <w:color w:val="auto"/>
              </w:rPr>
            </w:pPr>
          </w:p>
        </w:tc>
        <w:tc>
          <w:tcPr>
            <w:tcW w:w="940" w:type="dxa"/>
            <w:vAlign w:val="bottom"/>
            <w:tcBorders>
              <w:bottom w:val="single" w:sz="8" w:color="D9D9D6"/>
            </w:tcBorders>
          </w:tcPr>
          <w:p>
            <w:pPr>
              <w:spacing w:after="0"/>
              <w:rPr>
                <w:sz w:val="2"/>
                <w:szCs w:val="2"/>
                <w:color w:val="auto"/>
              </w:rPr>
            </w:pPr>
          </w:p>
        </w:tc>
        <w:tc>
          <w:tcPr>
            <w:tcW w:w="1000" w:type="dxa"/>
            <w:vAlign w:val="bottom"/>
            <w:tcBorders>
              <w:bottom w:val="single" w:sz="8" w:color="D9D9D6"/>
            </w:tcBorders>
          </w:tcPr>
          <w:p>
            <w:pPr>
              <w:spacing w:after="0"/>
              <w:rPr>
                <w:sz w:val="2"/>
                <w:szCs w:val="2"/>
                <w:color w:val="auto"/>
              </w:rPr>
            </w:pPr>
          </w:p>
        </w:tc>
        <w:tc>
          <w:tcPr>
            <w:tcW w:w="820" w:type="dxa"/>
            <w:vAlign w:val="bottom"/>
            <w:tcBorders>
              <w:bottom w:val="single" w:sz="8" w:color="D9D9D6"/>
            </w:tcBorders>
          </w:tcPr>
          <w:p>
            <w:pPr>
              <w:spacing w:after="0"/>
              <w:rPr>
                <w:sz w:val="2"/>
                <w:szCs w:val="2"/>
                <w:color w:val="auto"/>
              </w:rPr>
            </w:pPr>
          </w:p>
        </w:tc>
      </w:tr>
    </w:tbl>
    <w:p>
      <w:pPr>
        <w:spacing w:after="0" w:line="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64484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10375" cy="6448425"/>
                    </a:xfrm>
                    <a:prstGeom prst="rect">
                      <a:avLst/>
                    </a:prstGeom>
                    <a:noFill/>
                  </pic:spPr>
                </pic:pic>
              </a:graphicData>
            </a:graphic>
          </wp:anchor>
        </w:drawing>
      </w:r>
    </w:p>
    <w:p>
      <w:pPr>
        <w:ind w:left="200" w:hanging="192"/>
        <w:spacing w:after="0"/>
        <w:tabs>
          <w:tab w:leader="none" w:pos="200" w:val="left"/>
        </w:tabs>
        <w:numPr>
          <w:ilvl w:val="0"/>
          <w:numId w:val="99"/>
        </w:numPr>
        <w:rPr>
          <w:rFonts w:ascii="Arial" w:cs="Arial" w:eastAsia="Arial" w:hAnsi="Arial"/>
          <w:sz w:val="19"/>
          <w:szCs w:val="19"/>
          <w:color w:val="3D3935"/>
          <w:vertAlign w:val="superscript"/>
        </w:rPr>
      </w:pPr>
      <w:r>
        <w:rPr>
          <w:rFonts w:ascii="Arial" w:cs="Arial" w:eastAsia="Arial" w:hAnsi="Arial"/>
          <w:sz w:val="14"/>
          <w:szCs w:val="14"/>
          <w:color w:val="3D3935"/>
        </w:rPr>
        <w:t>The amounts included as Perquisites and Other Personal Benefits are described in the table below.</w:t>
      </w:r>
    </w:p>
    <w:p>
      <w:pPr>
        <w:spacing w:after="0" w:line="57" w:lineRule="exact"/>
        <w:rPr>
          <w:rFonts w:ascii="Arial" w:cs="Arial" w:eastAsia="Arial" w:hAnsi="Arial"/>
          <w:sz w:val="19"/>
          <w:szCs w:val="19"/>
          <w:color w:val="3D3935"/>
          <w:vertAlign w:val="superscript"/>
        </w:rPr>
      </w:pPr>
    </w:p>
    <w:p>
      <w:pPr>
        <w:ind w:left="200" w:hanging="192"/>
        <w:spacing w:after="0" w:line="204" w:lineRule="auto"/>
        <w:tabs>
          <w:tab w:leader="none" w:pos="200" w:val="left"/>
        </w:tabs>
        <w:numPr>
          <w:ilvl w:val="0"/>
          <w:numId w:val="99"/>
        </w:numPr>
        <w:rPr>
          <w:rFonts w:ascii="Arial" w:cs="Arial" w:eastAsia="Arial" w:hAnsi="Arial"/>
          <w:sz w:val="19"/>
          <w:szCs w:val="19"/>
          <w:color w:val="3D3935"/>
          <w:vertAlign w:val="superscript"/>
        </w:rPr>
      </w:pPr>
      <w:r>
        <w:rPr>
          <w:rFonts w:ascii="Arial" w:cs="Arial" w:eastAsia="Arial" w:hAnsi="Arial"/>
          <w:sz w:val="14"/>
          <w:szCs w:val="14"/>
          <w:color w:val="3D3935"/>
        </w:rPr>
        <w:t>Includes employer contributions to tax-qualified and non-tax-qualified savings and retirement plans during 2024.</w:t>
      </w:r>
    </w:p>
    <w:p>
      <w:pPr>
        <w:spacing w:after="0" w:line="43" w:lineRule="exact"/>
        <w:rPr>
          <w:rFonts w:ascii="Arial" w:cs="Arial" w:eastAsia="Arial" w:hAnsi="Arial"/>
          <w:sz w:val="19"/>
          <w:szCs w:val="19"/>
          <w:color w:val="3D3935"/>
          <w:vertAlign w:val="superscript"/>
        </w:rPr>
      </w:pPr>
    </w:p>
    <w:p>
      <w:pPr>
        <w:ind w:left="200" w:right="240" w:hanging="192"/>
        <w:spacing w:after="0" w:line="246" w:lineRule="auto"/>
        <w:tabs>
          <w:tab w:leader="none" w:pos="200" w:val="left"/>
        </w:tabs>
        <w:numPr>
          <w:ilvl w:val="0"/>
          <w:numId w:val="99"/>
        </w:numPr>
        <w:rPr>
          <w:rFonts w:ascii="Arial" w:cs="Arial" w:eastAsia="Arial" w:hAnsi="Arial"/>
          <w:sz w:val="19"/>
          <w:szCs w:val="19"/>
          <w:color w:val="3D3935"/>
          <w:vertAlign w:val="superscript"/>
        </w:rPr>
      </w:pPr>
      <w:r>
        <w:rPr>
          <w:rFonts w:ascii="Arial" w:cs="Arial" w:eastAsia="Arial" w:hAnsi="Arial"/>
          <w:sz w:val="14"/>
          <w:szCs w:val="14"/>
          <w:color w:val="3D3935"/>
        </w:rPr>
        <w:t>Includes premiums paid by the Company for Group Variable Universal Life insurance for executives. For Ms. Barra, the amount also includes premiums paid by the Company for providing personal accident insurance for members of the Board. NEOs are responsible for any ordinary income taxes resulting from the cost of Company-paid premiums.</w:t>
      </w:r>
    </w:p>
    <w:p>
      <w:pPr>
        <w:spacing w:after="0" w:line="7" w:lineRule="exact"/>
        <w:rPr>
          <w:rFonts w:ascii="Arial" w:cs="Arial" w:eastAsia="Arial" w:hAnsi="Arial"/>
          <w:sz w:val="19"/>
          <w:szCs w:val="19"/>
          <w:color w:val="3D3935"/>
          <w:vertAlign w:val="superscript"/>
        </w:rPr>
      </w:pPr>
    </w:p>
    <w:p>
      <w:pPr>
        <w:ind w:left="200" w:hanging="192"/>
        <w:spacing w:after="0"/>
        <w:tabs>
          <w:tab w:leader="none" w:pos="200" w:val="left"/>
        </w:tabs>
        <w:numPr>
          <w:ilvl w:val="0"/>
          <w:numId w:val="99"/>
        </w:numPr>
        <w:rPr>
          <w:rFonts w:ascii="Arial" w:cs="Arial" w:eastAsia="Arial" w:hAnsi="Arial"/>
          <w:sz w:val="19"/>
          <w:szCs w:val="19"/>
          <w:color w:val="3D3935"/>
          <w:vertAlign w:val="superscript"/>
        </w:rPr>
      </w:pPr>
      <w:r>
        <w:rPr>
          <w:rFonts w:ascii="Arial" w:cs="Arial" w:eastAsia="Arial" w:hAnsi="Arial"/>
          <w:sz w:val="14"/>
          <w:szCs w:val="14"/>
          <w:color w:val="3D3935"/>
        </w:rPr>
        <w:t>Reflects payments made to Mr. Abbott for consulting services provided to the Company after his resignation.</w:t>
      </w:r>
    </w:p>
    <w:p>
      <w:pPr>
        <w:spacing w:after="0" w:line="65"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Perquisites and Other Personal Benefits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540" w:type="dxa"/>
            <w:vAlign w:val="bottom"/>
            <w:shd w:val="clear" w:color="auto" w:fill="F0F3F5"/>
          </w:tcPr>
          <w:p>
            <w:pPr>
              <w:spacing w:after="0"/>
              <w:rPr>
                <w:sz w:val="19"/>
                <w:szCs w:val="19"/>
                <w:color w:val="auto"/>
              </w:rPr>
            </w:pPr>
          </w:p>
        </w:tc>
        <w:tc>
          <w:tcPr>
            <w:tcW w:w="1120" w:type="dxa"/>
            <w:vAlign w:val="bottom"/>
            <w:shd w:val="clear" w:color="auto" w:fill="F0F3F5"/>
          </w:tcPr>
          <w:p>
            <w:pPr>
              <w:jc w:val="right"/>
              <w:ind w:right="21"/>
              <w:spacing w:after="0"/>
              <w:rPr>
                <w:sz w:val="20"/>
                <w:szCs w:val="20"/>
                <w:color w:val="auto"/>
              </w:rPr>
            </w:pPr>
            <w:r>
              <w:rPr>
                <w:rFonts w:ascii="Arial" w:cs="Arial" w:eastAsia="Arial" w:hAnsi="Arial"/>
                <w:sz w:val="14"/>
                <w:szCs w:val="14"/>
                <w:b w:val="1"/>
                <w:bCs w:val="1"/>
                <w:color w:val="3D3935"/>
              </w:rPr>
              <w:t>M.T. Barra</w:t>
            </w:r>
          </w:p>
        </w:tc>
        <w:tc>
          <w:tcPr>
            <w:tcW w:w="1220" w:type="dxa"/>
            <w:vAlign w:val="bottom"/>
            <w:shd w:val="clear" w:color="auto" w:fill="F0F3F5"/>
          </w:tcPr>
          <w:p>
            <w:pPr>
              <w:jc w:val="right"/>
              <w:ind w:right="121"/>
              <w:spacing w:after="0"/>
              <w:rPr>
                <w:sz w:val="20"/>
                <w:szCs w:val="20"/>
                <w:color w:val="auto"/>
              </w:rPr>
            </w:pPr>
            <w:r>
              <w:rPr>
                <w:rFonts w:ascii="Arial" w:cs="Arial" w:eastAsia="Arial" w:hAnsi="Arial"/>
                <w:sz w:val="14"/>
                <w:szCs w:val="14"/>
                <w:b w:val="1"/>
                <w:bCs w:val="1"/>
                <w:color w:val="3D3935"/>
              </w:rPr>
              <w:t>P.A. Jacobson</w:t>
            </w:r>
          </w:p>
        </w:tc>
        <w:tc>
          <w:tcPr>
            <w:tcW w:w="1120" w:type="dxa"/>
            <w:vAlign w:val="bottom"/>
            <w:shd w:val="clear" w:color="auto" w:fill="F0F3F5"/>
          </w:tcPr>
          <w:p>
            <w:pPr>
              <w:jc w:val="right"/>
              <w:ind w:right="121"/>
              <w:spacing w:after="0"/>
              <w:rPr>
                <w:sz w:val="20"/>
                <w:szCs w:val="20"/>
                <w:color w:val="auto"/>
              </w:rPr>
            </w:pPr>
            <w:r>
              <w:rPr>
                <w:rFonts w:ascii="Arial" w:cs="Arial" w:eastAsia="Arial" w:hAnsi="Arial"/>
                <w:sz w:val="14"/>
                <w:szCs w:val="14"/>
                <w:b w:val="1"/>
                <w:bCs w:val="1"/>
                <w:color w:val="3D3935"/>
              </w:rPr>
              <w:t>M.L. Reuss</w:t>
            </w:r>
          </w:p>
        </w:tc>
        <w:tc>
          <w:tcPr>
            <w:tcW w:w="1000" w:type="dxa"/>
            <w:vAlign w:val="bottom"/>
            <w:shd w:val="clear" w:color="auto" w:fill="F0F3F5"/>
          </w:tcPr>
          <w:p>
            <w:pPr>
              <w:ind w:left="200"/>
              <w:spacing w:after="0"/>
              <w:rPr>
                <w:sz w:val="20"/>
                <w:szCs w:val="20"/>
                <w:color w:val="auto"/>
              </w:rPr>
            </w:pPr>
            <w:r>
              <w:rPr>
                <w:rFonts w:ascii="Arial" w:cs="Arial" w:eastAsia="Arial" w:hAnsi="Arial"/>
                <w:sz w:val="14"/>
                <w:szCs w:val="14"/>
                <w:b w:val="1"/>
                <w:bCs w:val="1"/>
                <w:color w:val="3D3935"/>
              </w:rPr>
              <w:t>M. Abbott</w:t>
            </w:r>
          </w:p>
        </w:tc>
        <w:tc>
          <w:tcPr>
            <w:tcW w:w="1120" w:type="dxa"/>
            <w:vAlign w:val="bottom"/>
            <w:shd w:val="clear" w:color="auto" w:fill="F0F3F5"/>
          </w:tcPr>
          <w:p>
            <w:pPr>
              <w:jc w:val="right"/>
              <w:ind w:right="61"/>
              <w:spacing w:after="0"/>
              <w:rPr>
                <w:sz w:val="20"/>
                <w:szCs w:val="20"/>
                <w:color w:val="auto"/>
              </w:rPr>
            </w:pPr>
            <w:r>
              <w:rPr>
                <w:rFonts w:ascii="Arial" w:cs="Arial" w:eastAsia="Arial" w:hAnsi="Arial"/>
                <w:sz w:val="14"/>
                <w:szCs w:val="14"/>
                <w:b w:val="1"/>
                <w:bCs w:val="1"/>
                <w:color w:val="3D3935"/>
              </w:rPr>
              <w:t>C.B. Glidden</w:t>
            </w:r>
          </w:p>
        </w:tc>
        <w:tc>
          <w:tcPr>
            <w:tcW w:w="960" w:type="dxa"/>
            <w:vAlign w:val="bottom"/>
            <w:shd w:val="clear" w:color="auto" w:fill="F0F3F5"/>
          </w:tcPr>
          <w:p>
            <w:pPr>
              <w:jc w:val="right"/>
              <w:spacing w:after="0"/>
              <w:rPr>
                <w:sz w:val="20"/>
                <w:szCs w:val="20"/>
                <w:color w:val="auto"/>
              </w:rPr>
            </w:pPr>
            <w:r>
              <w:rPr>
                <w:rFonts w:ascii="Arial" w:cs="Arial" w:eastAsia="Arial" w:hAnsi="Arial"/>
                <w:sz w:val="14"/>
                <w:szCs w:val="14"/>
                <w:b w:val="1"/>
                <w:bCs w:val="1"/>
                <w:color w:val="3D3935"/>
              </w:rPr>
              <w:t>R.V. Harvey</w:t>
            </w:r>
          </w:p>
        </w:tc>
      </w:tr>
      <w:tr>
        <w:trPr>
          <w:trHeight w:val="197"/>
        </w:trPr>
        <w:tc>
          <w:tcPr>
            <w:tcW w:w="2540" w:type="dxa"/>
            <w:vAlign w:val="bottom"/>
            <w:tcBorders>
              <w:bottom w:val="single" w:sz="8" w:color="0072CE"/>
            </w:tcBorders>
            <w:shd w:val="clear" w:color="auto" w:fill="F0F3F5"/>
          </w:tcPr>
          <w:p>
            <w:pPr>
              <w:spacing w:after="0"/>
              <w:rPr>
                <w:sz w:val="17"/>
                <w:szCs w:val="17"/>
                <w:color w:val="auto"/>
              </w:rPr>
            </w:pPr>
          </w:p>
        </w:tc>
        <w:tc>
          <w:tcPr>
            <w:tcW w:w="1120" w:type="dxa"/>
            <w:vAlign w:val="bottom"/>
            <w:tcBorders>
              <w:bottom w:val="single" w:sz="8" w:color="0072CE"/>
            </w:tcBorders>
            <w:shd w:val="clear" w:color="auto" w:fill="F0F3F5"/>
          </w:tcPr>
          <w:p>
            <w:pPr>
              <w:jc w:val="right"/>
              <w:ind w:right="41"/>
              <w:spacing w:after="0"/>
              <w:rPr>
                <w:sz w:val="20"/>
                <w:szCs w:val="20"/>
                <w:color w:val="auto"/>
              </w:rPr>
            </w:pPr>
            <w:r>
              <w:rPr>
                <w:rFonts w:ascii="Arial" w:cs="Arial" w:eastAsia="Arial" w:hAnsi="Arial"/>
                <w:sz w:val="14"/>
                <w:szCs w:val="14"/>
                <w:b w:val="1"/>
                <w:bCs w:val="1"/>
                <w:color w:val="3D3935"/>
              </w:rPr>
              <w:t>($)</w:t>
            </w:r>
          </w:p>
        </w:tc>
        <w:tc>
          <w:tcPr>
            <w:tcW w:w="1220" w:type="dxa"/>
            <w:vAlign w:val="bottom"/>
            <w:tcBorders>
              <w:bottom w:val="single" w:sz="8" w:color="0072CE"/>
            </w:tcBorders>
            <w:shd w:val="clear" w:color="auto" w:fill="F0F3F5"/>
          </w:tcPr>
          <w:p>
            <w:pPr>
              <w:jc w:val="right"/>
              <w:ind w:right="161"/>
              <w:spacing w:after="0"/>
              <w:rPr>
                <w:sz w:val="20"/>
                <w:szCs w:val="20"/>
                <w:color w:val="auto"/>
              </w:rPr>
            </w:pPr>
            <w:r>
              <w:rPr>
                <w:rFonts w:ascii="Arial" w:cs="Arial" w:eastAsia="Arial" w:hAnsi="Arial"/>
                <w:sz w:val="14"/>
                <w:szCs w:val="14"/>
                <w:b w:val="1"/>
                <w:bCs w:val="1"/>
                <w:color w:val="3D3935"/>
              </w:rPr>
              <w:t>($)</w:t>
            </w:r>
          </w:p>
        </w:tc>
        <w:tc>
          <w:tcPr>
            <w:tcW w:w="1120" w:type="dxa"/>
            <w:vAlign w:val="bottom"/>
            <w:tcBorders>
              <w:bottom w:val="single" w:sz="8" w:color="0072CE"/>
            </w:tcBorders>
            <w:shd w:val="clear" w:color="auto" w:fill="F0F3F5"/>
          </w:tcPr>
          <w:p>
            <w:pPr>
              <w:jc w:val="right"/>
              <w:ind w:right="181"/>
              <w:spacing w:after="0"/>
              <w:rPr>
                <w:sz w:val="20"/>
                <w:szCs w:val="20"/>
                <w:color w:val="auto"/>
              </w:rPr>
            </w:pPr>
            <w:r>
              <w:rPr>
                <w:rFonts w:ascii="Arial" w:cs="Arial" w:eastAsia="Arial" w:hAnsi="Arial"/>
                <w:sz w:val="14"/>
                <w:szCs w:val="14"/>
                <w:b w:val="1"/>
                <w:bCs w:val="1"/>
                <w:color w:val="3D3935"/>
              </w:rPr>
              <w:t>($)</w:t>
            </w:r>
          </w:p>
        </w:tc>
        <w:tc>
          <w:tcPr>
            <w:tcW w:w="1000" w:type="dxa"/>
            <w:vAlign w:val="bottom"/>
            <w:tcBorders>
              <w:bottom w:val="single" w:sz="8" w:color="0072CE"/>
            </w:tcBorders>
            <w:shd w:val="clear" w:color="auto" w:fill="F0F3F5"/>
          </w:tcPr>
          <w:p>
            <w:pPr>
              <w:ind w:left="660"/>
              <w:spacing w:after="0"/>
              <w:rPr>
                <w:sz w:val="20"/>
                <w:szCs w:val="20"/>
                <w:color w:val="auto"/>
              </w:rPr>
            </w:pPr>
            <w:r>
              <w:rPr>
                <w:rFonts w:ascii="Arial" w:cs="Arial" w:eastAsia="Arial" w:hAnsi="Arial"/>
                <w:sz w:val="14"/>
                <w:szCs w:val="14"/>
                <w:b w:val="1"/>
                <w:bCs w:val="1"/>
                <w:color w:val="3D3935"/>
              </w:rPr>
              <w:t>($)</w:t>
            </w:r>
          </w:p>
        </w:tc>
        <w:tc>
          <w:tcPr>
            <w:tcW w:w="1120" w:type="dxa"/>
            <w:vAlign w:val="bottom"/>
            <w:tcBorders>
              <w:bottom w:val="single" w:sz="8" w:color="0072CE"/>
            </w:tcBorders>
            <w:shd w:val="clear" w:color="auto" w:fill="F0F3F5"/>
          </w:tcPr>
          <w:p>
            <w:pPr>
              <w:jc w:val="right"/>
              <w:ind w:right="121"/>
              <w:spacing w:after="0"/>
              <w:rPr>
                <w:sz w:val="20"/>
                <w:szCs w:val="20"/>
                <w:color w:val="auto"/>
              </w:rPr>
            </w:pPr>
            <w:r>
              <w:rPr>
                <w:rFonts w:ascii="Arial" w:cs="Arial" w:eastAsia="Arial" w:hAnsi="Arial"/>
                <w:sz w:val="14"/>
                <w:szCs w:val="14"/>
                <w:b w:val="1"/>
                <w:bCs w:val="1"/>
                <w:color w:val="3D3935"/>
              </w:rPr>
              <w:t>($)</w:t>
            </w:r>
          </w:p>
        </w:tc>
        <w:tc>
          <w:tcPr>
            <w:tcW w:w="960" w:type="dxa"/>
            <w:vAlign w:val="bottom"/>
            <w:tcBorders>
              <w:bottom w:val="single" w:sz="8" w:color="0072CE"/>
            </w:tcBorders>
            <w:shd w:val="clear" w:color="auto" w:fill="F0F3F5"/>
          </w:tcPr>
          <w:p>
            <w:pPr>
              <w:jc w:val="right"/>
              <w:spacing w:after="0"/>
              <w:rPr>
                <w:sz w:val="20"/>
                <w:szCs w:val="20"/>
                <w:color w:val="auto"/>
              </w:rPr>
            </w:pPr>
            <w:r>
              <w:rPr>
                <w:rFonts w:ascii="Arial" w:cs="Arial" w:eastAsia="Arial" w:hAnsi="Arial"/>
                <w:sz w:val="14"/>
                <w:szCs w:val="14"/>
                <w:b w:val="1"/>
                <w:bCs w:val="1"/>
                <w:color w:val="3D3935"/>
              </w:rPr>
              <w:t>($)</w:t>
            </w:r>
          </w:p>
        </w:tc>
      </w:tr>
      <w:tr>
        <w:trPr>
          <w:trHeight w:val="251"/>
        </w:trPr>
        <w:tc>
          <w:tcPr>
            <w:tcW w:w="254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 xml:space="preserve">Personal Travel </w:t>
            </w:r>
            <w:r>
              <w:rPr>
                <w:rFonts w:ascii="Arial" w:cs="Arial" w:eastAsia="Arial" w:hAnsi="Arial"/>
                <w:sz w:val="21"/>
                <w:szCs w:val="21"/>
                <w:color w:val="3D3935"/>
                <w:vertAlign w:val="superscript"/>
              </w:rPr>
              <w:t>(1)</w:t>
            </w:r>
          </w:p>
        </w:tc>
        <w:tc>
          <w:tcPr>
            <w:tcW w:w="1120" w:type="dxa"/>
            <w:vAlign w:val="bottom"/>
            <w:tcBorders>
              <w:bottom w:val="single" w:sz="8" w:color="D9D9D6"/>
            </w:tcBorders>
          </w:tcPr>
          <w:p>
            <w:pPr>
              <w:jc w:val="right"/>
              <w:ind w:right="81"/>
              <w:spacing w:after="0"/>
              <w:rPr>
                <w:sz w:val="20"/>
                <w:szCs w:val="20"/>
                <w:color w:val="auto"/>
              </w:rPr>
            </w:pPr>
            <w:r>
              <w:rPr>
                <w:rFonts w:ascii="Arial" w:cs="Arial" w:eastAsia="Arial" w:hAnsi="Arial"/>
                <w:sz w:val="16"/>
                <w:szCs w:val="16"/>
                <w:color w:val="3D3935"/>
              </w:rPr>
              <w:t>562,093</w:t>
            </w:r>
          </w:p>
        </w:tc>
        <w:tc>
          <w:tcPr>
            <w:tcW w:w="1220" w:type="dxa"/>
            <w:vAlign w:val="bottom"/>
            <w:tcBorders>
              <w:bottom w:val="single" w:sz="8" w:color="D9D9D6"/>
            </w:tcBorders>
          </w:tcPr>
          <w:p>
            <w:pPr>
              <w:jc w:val="right"/>
              <w:ind w:right="101"/>
              <w:spacing w:after="0"/>
              <w:rPr>
                <w:sz w:val="20"/>
                <w:szCs w:val="20"/>
                <w:color w:val="auto"/>
              </w:rPr>
            </w:pPr>
            <w:r>
              <w:rPr>
                <w:rFonts w:ascii="Arial" w:cs="Arial" w:eastAsia="Arial" w:hAnsi="Arial"/>
                <w:sz w:val="16"/>
                <w:szCs w:val="16"/>
                <w:color w:val="3D3935"/>
              </w:rPr>
              <w:t>—</w:t>
            </w:r>
          </w:p>
        </w:tc>
        <w:tc>
          <w:tcPr>
            <w:tcW w:w="1120" w:type="dxa"/>
            <w:vAlign w:val="bottom"/>
            <w:tcBorders>
              <w:bottom w:val="single" w:sz="8" w:color="D9D9D6"/>
            </w:tcBorders>
          </w:tcPr>
          <w:p>
            <w:pPr>
              <w:jc w:val="right"/>
              <w:ind w:right="221"/>
              <w:spacing w:after="0"/>
              <w:rPr>
                <w:sz w:val="20"/>
                <w:szCs w:val="20"/>
                <w:color w:val="auto"/>
              </w:rPr>
            </w:pPr>
            <w:r>
              <w:rPr>
                <w:rFonts w:ascii="Arial" w:cs="Arial" w:eastAsia="Arial" w:hAnsi="Arial"/>
                <w:sz w:val="16"/>
                <w:szCs w:val="16"/>
                <w:color w:val="3D3935"/>
              </w:rPr>
              <w:t>84,978</w:t>
            </w:r>
          </w:p>
        </w:tc>
        <w:tc>
          <w:tcPr>
            <w:tcW w:w="1000" w:type="dxa"/>
            <w:vAlign w:val="bottom"/>
            <w:tcBorders>
              <w:bottom w:val="single" w:sz="8" w:color="D9D9D6"/>
            </w:tcBorders>
          </w:tcPr>
          <w:p>
            <w:pPr>
              <w:ind w:left="740"/>
              <w:spacing w:after="0"/>
              <w:rPr>
                <w:sz w:val="20"/>
                <w:szCs w:val="20"/>
                <w:color w:val="auto"/>
              </w:rPr>
            </w:pPr>
            <w:r>
              <w:rPr>
                <w:rFonts w:ascii="Arial" w:cs="Arial" w:eastAsia="Arial" w:hAnsi="Arial"/>
                <w:sz w:val="16"/>
                <w:szCs w:val="16"/>
                <w:color w:val="3D3935"/>
              </w:rPr>
              <w:t>—</w:t>
            </w:r>
          </w:p>
        </w:tc>
        <w:tc>
          <w:tcPr>
            <w:tcW w:w="1120" w:type="dxa"/>
            <w:vAlign w:val="bottom"/>
            <w:tcBorders>
              <w:bottom w:val="single" w:sz="8" w:color="D9D9D6"/>
            </w:tcBorders>
          </w:tcPr>
          <w:p>
            <w:pPr>
              <w:jc w:val="right"/>
              <w:ind w:right="161"/>
              <w:spacing w:after="0"/>
              <w:rPr>
                <w:sz w:val="20"/>
                <w:szCs w:val="20"/>
                <w:color w:val="auto"/>
              </w:rPr>
            </w:pPr>
            <w:r>
              <w:rPr>
                <w:rFonts w:ascii="Arial" w:cs="Arial" w:eastAsia="Arial" w:hAnsi="Arial"/>
                <w:sz w:val="16"/>
                <w:szCs w:val="16"/>
                <w:color w:val="3D3935"/>
              </w:rPr>
              <w:t>25,705</w:t>
            </w:r>
          </w:p>
        </w:tc>
        <w:tc>
          <w:tcPr>
            <w:tcW w:w="960" w:type="dxa"/>
            <w:vAlign w:val="bottom"/>
            <w:tcBorders>
              <w:bottom w:val="single" w:sz="8" w:color="D9D9D6"/>
            </w:tcBorders>
          </w:tcPr>
          <w:p>
            <w:pPr>
              <w:ind w:left="800"/>
              <w:spacing w:after="0"/>
              <w:rPr>
                <w:sz w:val="20"/>
                <w:szCs w:val="20"/>
                <w:color w:val="auto"/>
              </w:rPr>
            </w:pPr>
            <w:r>
              <w:rPr>
                <w:rFonts w:ascii="Arial" w:cs="Arial" w:eastAsia="Arial" w:hAnsi="Arial"/>
                <w:sz w:val="16"/>
                <w:szCs w:val="16"/>
                <w:color w:val="3D3935"/>
                <w:w w:val="87"/>
              </w:rPr>
              <w:t>—</w:t>
            </w:r>
          </w:p>
        </w:tc>
      </w:tr>
      <w:tr>
        <w:trPr>
          <w:trHeight w:val="250"/>
        </w:trPr>
        <w:tc>
          <w:tcPr>
            <w:tcW w:w="254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 xml:space="preserve">Security </w:t>
            </w:r>
            <w:r>
              <w:rPr>
                <w:rFonts w:ascii="Arial" w:cs="Arial" w:eastAsia="Arial" w:hAnsi="Arial"/>
                <w:sz w:val="21"/>
                <w:szCs w:val="21"/>
                <w:color w:val="3D3935"/>
                <w:vertAlign w:val="superscript"/>
              </w:rPr>
              <w:t>(2)</w:t>
            </w:r>
          </w:p>
        </w:tc>
        <w:tc>
          <w:tcPr>
            <w:tcW w:w="1120" w:type="dxa"/>
            <w:vAlign w:val="bottom"/>
            <w:tcBorders>
              <w:bottom w:val="single" w:sz="8" w:color="D9D9D6"/>
            </w:tcBorders>
          </w:tcPr>
          <w:p>
            <w:pPr>
              <w:jc w:val="right"/>
              <w:ind w:right="41"/>
              <w:spacing w:after="0"/>
              <w:rPr>
                <w:sz w:val="20"/>
                <w:szCs w:val="20"/>
                <w:color w:val="auto"/>
              </w:rPr>
            </w:pPr>
            <w:r>
              <w:rPr>
                <w:rFonts w:ascii="Arial" w:cs="Arial" w:eastAsia="Arial" w:hAnsi="Arial"/>
                <w:sz w:val="16"/>
                <w:szCs w:val="16"/>
                <w:color w:val="3D3935"/>
              </w:rPr>
              <w:t>39,210</w:t>
            </w:r>
          </w:p>
        </w:tc>
        <w:tc>
          <w:tcPr>
            <w:tcW w:w="1220" w:type="dxa"/>
            <w:vAlign w:val="bottom"/>
            <w:tcBorders>
              <w:bottom w:val="single" w:sz="8" w:color="D9D9D6"/>
            </w:tcBorders>
          </w:tcPr>
          <w:p>
            <w:pPr>
              <w:jc w:val="right"/>
              <w:ind w:right="101"/>
              <w:spacing w:after="0"/>
              <w:rPr>
                <w:sz w:val="20"/>
                <w:szCs w:val="20"/>
                <w:color w:val="auto"/>
              </w:rPr>
            </w:pPr>
            <w:r>
              <w:rPr>
                <w:rFonts w:ascii="Arial" w:cs="Arial" w:eastAsia="Arial" w:hAnsi="Arial"/>
                <w:sz w:val="16"/>
                <w:szCs w:val="16"/>
                <w:color w:val="3D3935"/>
              </w:rPr>
              <w:t>—</w:t>
            </w:r>
          </w:p>
        </w:tc>
        <w:tc>
          <w:tcPr>
            <w:tcW w:w="1120" w:type="dxa"/>
            <w:vAlign w:val="bottom"/>
            <w:tcBorders>
              <w:bottom w:val="single" w:sz="8" w:color="D9D9D6"/>
            </w:tcBorders>
          </w:tcPr>
          <w:p>
            <w:pPr>
              <w:ind w:left="360"/>
              <w:spacing w:after="0"/>
              <w:rPr>
                <w:sz w:val="20"/>
                <w:szCs w:val="20"/>
                <w:color w:val="auto"/>
              </w:rPr>
            </w:pPr>
            <w:r>
              <w:rPr>
                <w:rFonts w:ascii="Arial" w:cs="Arial" w:eastAsia="Arial" w:hAnsi="Arial"/>
                <w:sz w:val="16"/>
                <w:szCs w:val="16"/>
                <w:color w:val="3D3935"/>
              </w:rPr>
              <w:t>35,106</w:t>
            </w:r>
          </w:p>
        </w:tc>
        <w:tc>
          <w:tcPr>
            <w:tcW w:w="1000" w:type="dxa"/>
            <w:vAlign w:val="bottom"/>
            <w:tcBorders>
              <w:bottom w:val="single" w:sz="8" w:color="D9D9D6"/>
            </w:tcBorders>
          </w:tcPr>
          <w:p>
            <w:pPr>
              <w:ind w:left="740"/>
              <w:spacing w:after="0"/>
              <w:rPr>
                <w:sz w:val="20"/>
                <w:szCs w:val="20"/>
                <w:color w:val="auto"/>
              </w:rPr>
            </w:pPr>
            <w:r>
              <w:rPr>
                <w:rFonts w:ascii="Arial" w:cs="Arial" w:eastAsia="Arial" w:hAnsi="Arial"/>
                <w:sz w:val="16"/>
                <w:szCs w:val="16"/>
                <w:color w:val="3D3935"/>
              </w:rPr>
              <w:t>—</w:t>
            </w:r>
          </w:p>
        </w:tc>
        <w:tc>
          <w:tcPr>
            <w:tcW w:w="1120" w:type="dxa"/>
            <w:vAlign w:val="bottom"/>
            <w:tcBorders>
              <w:bottom w:val="single" w:sz="8" w:color="D9D9D6"/>
            </w:tcBorders>
          </w:tcPr>
          <w:p>
            <w:pPr>
              <w:jc w:val="right"/>
              <w:ind w:right="61"/>
              <w:spacing w:after="0"/>
              <w:rPr>
                <w:sz w:val="20"/>
                <w:szCs w:val="20"/>
                <w:color w:val="auto"/>
              </w:rPr>
            </w:pPr>
            <w:r>
              <w:rPr>
                <w:rFonts w:ascii="Arial" w:cs="Arial" w:eastAsia="Arial" w:hAnsi="Arial"/>
                <w:sz w:val="16"/>
                <w:szCs w:val="16"/>
                <w:color w:val="3D3935"/>
              </w:rPr>
              <w:t>—</w:t>
            </w:r>
          </w:p>
        </w:tc>
        <w:tc>
          <w:tcPr>
            <w:tcW w:w="960" w:type="dxa"/>
            <w:vAlign w:val="bottom"/>
            <w:tcBorders>
              <w:bottom w:val="single" w:sz="8" w:color="D9D9D6"/>
            </w:tcBorders>
          </w:tcPr>
          <w:p>
            <w:pPr>
              <w:ind w:left="800"/>
              <w:spacing w:after="0"/>
              <w:rPr>
                <w:sz w:val="20"/>
                <w:szCs w:val="20"/>
                <w:color w:val="auto"/>
              </w:rPr>
            </w:pPr>
            <w:r>
              <w:rPr>
                <w:rFonts w:ascii="Arial" w:cs="Arial" w:eastAsia="Arial" w:hAnsi="Arial"/>
                <w:sz w:val="16"/>
                <w:szCs w:val="16"/>
                <w:color w:val="3D3935"/>
                <w:w w:val="87"/>
              </w:rPr>
              <w:t>—</w:t>
            </w:r>
          </w:p>
        </w:tc>
      </w:tr>
      <w:tr>
        <w:trPr>
          <w:trHeight w:val="250"/>
        </w:trPr>
        <w:tc>
          <w:tcPr>
            <w:tcW w:w="254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 xml:space="preserve">Company Vehicle Programs </w:t>
            </w:r>
            <w:r>
              <w:rPr>
                <w:rFonts w:ascii="Arial" w:cs="Arial" w:eastAsia="Arial" w:hAnsi="Arial"/>
                <w:sz w:val="21"/>
                <w:szCs w:val="21"/>
                <w:color w:val="3D3935"/>
                <w:vertAlign w:val="superscript"/>
              </w:rPr>
              <w:t>(3)</w:t>
            </w:r>
          </w:p>
        </w:tc>
        <w:tc>
          <w:tcPr>
            <w:tcW w:w="1120" w:type="dxa"/>
            <w:vAlign w:val="bottom"/>
            <w:tcBorders>
              <w:bottom w:val="single" w:sz="8" w:color="D9D9D6"/>
            </w:tcBorders>
          </w:tcPr>
          <w:p>
            <w:pPr>
              <w:jc w:val="right"/>
              <w:ind w:right="41"/>
              <w:spacing w:after="0"/>
              <w:rPr>
                <w:sz w:val="20"/>
                <w:szCs w:val="20"/>
                <w:color w:val="auto"/>
              </w:rPr>
            </w:pPr>
            <w:r>
              <w:rPr>
                <w:rFonts w:ascii="Arial" w:cs="Arial" w:eastAsia="Arial" w:hAnsi="Arial"/>
                <w:sz w:val="16"/>
                <w:szCs w:val="16"/>
                <w:color w:val="3D3935"/>
              </w:rPr>
              <w:t>21,229</w:t>
            </w:r>
          </w:p>
        </w:tc>
        <w:tc>
          <w:tcPr>
            <w:tcW w:w="1220" w:type="dxa"/>
            <w:vAlign w:val="bottom"/>
            <w:tcBorders>
              <w:bottom w:val="single" w:sz="8" w:color="D9D9D6"/>
            </w:tcBorders>
          </w:tcPr>
          <w:p>
            <w:pPr>
              <w:jc w:val="right"/>
              <w:ind w:right="201"/>
              <w:spacing w:after="0"/>
              <w:rPr>
                <w:sz w:val="20"/>
                <w:szCs w:val="20"/>
                <w:color w:val="auto"/>
              </w:rPr>
            </w:pPr>
            <w:r>
              <w:rPr>
                <w:rFonts w:ascii="Arial" w:cs="Arial" w:eastAsia="Arial" w:hAnsi="Arial"/>
                <w:sz w:val="16"/>
                <w:szCs w:val="16"/>
                <w:color w:val="3D3935"/>
              </w:rPr>
              <w:t>32,708</w:t>
            </w:r>
          </w:p>
        </w:tc>
        <w:tc>
          <w:tcPr>
            <w:tcW w:w="1120" w:type="dxa"/>
            <w:vAlign w:val="bottom"/>
            <w:tcBorders>
              <w:bottom w:val="single" w:sz="8" w:color="D9D9D6"/>
            </w:tcBorders>
          </w:tcPr>
          <w:p>
            <w:pPr>
              <w:jc w:val="right"/>
              <w:ind w:right="241"/>
              <w:spacing w:after="0"/>
              <w:rPr>
                <w:sz w:val="20"/>
                <w:szCs w:val="20"/>
                <w:color w:val="auto"/>
              </w:rPr>
            </w:pPr>
            <w:r>
              <w:rPr>
                <w:rFonts w:ascii="Arial" w:cs="Arial" w:eastAsia="Arial" w:hAnsi="Arial"/>
                <w:sz w:val="16"/>
                <w:szCs w:val="16"/>
                <w:color w:val="3D3935"/>
              </w:rPr>
              <w:t>25,845</w:t>
            </w:r>
          </w:p>
        </w:tc>
        <w:tc>
          <w:tcPr>
            <w:tcW w:w="1000" w:type="dxa"/>
            <w:vAlign w:val="bottom"/>
            <w:tcBorders>
              <w:bottom w:val="single" w:sz="8" w:color="D9D9D6"/>
            </w:tcBorders>
          </w:tcPr>
          <w:p>
            <w:pPr>
              <w:ind w:left="320"/>
              <w:spacing w:after="0"/>
              <w:rPr>
                <w:sz w:val="20"/>
                <w:szCs w:val="20"/>
                <w:color w:val="auto"/>
              </w:rPr>
            </w:pPr>
            <w:r>
              <w:rPr>
                <w:rFonts w:ascii="Arial" w:cs="Arial" w:eastAsia="Arial" w:hAnsi="Arial"/>
                <w:sz w:val="16"/>
                <w:szCs w:val="16"/>
                <w:color w:val="3D3935"/>
              </w:rPr>
              <w:t>30,188</w:t>
            </w:r>
          </w:p>
        </w:tc>
        <w:tc>
          <w:tcPr>
            <w:tcW w:w="1120" w:type="dxa"/>
            <w:vAlign w:val="bottom"/>
            <w:tcBorders>
              <w:bottom w:val="single" w:sz="8" w:color="D9D9D6"/>
            </w:tcBorders>
          </w:tcPr>
          <w:p>
            <w:pPr>
              <w:jc w:val="right"/>
              <w:ind w:right="161"/>
              <w:spacing w:after="0"/>
              <w:rPr>
                <w:sz w:val="20"/>
                <w:szCs w:val="20"/>
                <w:color w:val="auto"/>
              </w:rPr>
            </w:pPr>
            <w:r>
              <w:rPr>
                <w:rFonts w:ascii="Arial" w:cs="Arial" w:eastAsia="Arial" w:hAnsi="Arial"/>
                <w:sz w:val="16"/>
                <w:szCs w:val="16"/>
                <w:color w:val="3D3935"/>
              </w:rPr>
              <w:t>30,999</w:t>
            </w:r>
          </w:p>
        </w:tc>
        <w:tc>
          <w:tcPr>
            <w:tcW w:w="960" w:type="dxa"/>
            <w:vAlign w:val="bottom"/>
            <w:tcBorders>
              <w:bottom w:val="single" w:sz="8" w:color="D9D9D6"/>
            </w:tcBorders>
          </w:tcPr>
          <w:p>
            <w:pPr>
              <w:ind w:left="800"/>
              <w:spacing w:after="0"/>
              <w:rPr>
                <w:sz w:val="20"/>
                <w:szCs w:val="20"/>
                <w:color w:val="auto"/>
              </w:rPr>
            </w:pPr>
            <w:r>
              <w:rPr>
                <w:rFonts w:ascii="Arial" w:cs="Arial" w:eastAsia="Arial" w:hAnsi="Arial"/>
                <w:sz w:val="16"/>
                <w:szCs w:val="16"/>
                <w:color w:val="3D3935"/>
                <w:w w:val="87"/>
              </w:rPr>
              <w:t>—</w:t>
            </w:r>
          </w:p>
        </w:tc>
      </w:tr>
      <w:tr>
        <w:trPr>
          <w:trHeight w:val="250"/>
        </w:trPr>
        <w:tc>
          <w:tcPr>
            <w:tcW w:w="254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 xml:space="preserve">Executive Physical </w:t>
            </w:r>
            <w:r>
              <w:rPr>
                <w:rFonts w:ascii="Arial" w:cs="Arial" w:eastAsia="Arial" w:hAnsi="Arial"/>
                <w:sz w:val="21"/>
                <w:szCs w:val="21"/>
                <w:color w:val="3D3935"/>
                <w:vertAlign w:val="superscript"/>
              </w:rPr>
              <w:t>(4)</w:t>
            </w:r>
          </w:p>
        </w:tc>
        <w:tc>
          <w:tcPr>
            <w:tcW w:w="1120" w:type="dxa"/>
            <w:vAlign w:val="bottom"/>
            <w:tcBorders>
              <w:bottom w:val="single" w:sz="8" w:color="D9D9D6"/>
            </w:tcBorders>
          </w:tcPr>
          <w:p>
            <w:pPr>
              <w:jc w:val="right"/>
              <w:ind w:right="61"/>
              <w:spacing w:after="0"/>
              <w:rPr>
                <w:sz w:val="20"/>
                <w:szCs w:val="20"/>
                <w:color w:val="auto"/>
              </w:rPr>
            </w:pPr>
            <w:r>
              <w:rPr>
                <w:rFonts w:ascii="Arial" w:cs="Arial" w:eastAsia="Arial" w:hAnsi="Arial"/>
                <w:sz w:val="16"/>
                <w:szCs w:val="16"/>
                <w:color w:val="3D3935"/>
              </w:rPr>
              <w:t>4,663</w:t>
            </w:r>
          </w:p>
        </w:tc>
        <w:tc>
          <w:tcPr>
            <w:tcW w:w="1220" w:type="dxa"/>
            <w:vAlign w:val="bottom"/>
            <w:tcBorders>
              <w:bottom w:val="single" w:sz="8" w:color="D9D9D6"/>
            </w:tcBorders>
          </w:tcPr>
          <w:p>
            <w:pPr>
              <w:jc w:val="right"/>
              <w:ind w:right="181"/>
              <w:spacing w:after="0"/>
              <w:rPr>
                <w:sz w:val="20"/>
                <w:szCs w:val="20"/>
                <w:color w:val="auto"/>
              </w:rPr>
            </w:pPr>
            <w:r>
              <w:rPr>
                <w:rFonts w:ascii="Arial" w:cs="Arial" w:eastAsia="Arial" w:hAnsi="Arial"/>
                <w:sz w:val="16"/>
                <w:szCs w:val="16"/>
                <w:color w:val="3D3935"/>
              </w:rPr>
              <w:t>5,868</w:t>
            </w:r>
          </w:p>
        </w:tc>
        <w:tc>
          <w:tcPr>
            <w:tcW w:w="1120" w:type="dxa"/>
            <w:vAlign w:val="bottom"/>
            <w:tcBorders>
              <w:bottom w:val="single" w:sz="8" w:color="D9D9D6"/>
            </w:tcBorders>
          </w:tcPr>
          <w:p>
            <w:pPr>
              <w:jc w:val="right"/>
              <w:ind w:right="221"/>
              <w:spacing w:after="0"/>
              <w:rPr>
                <w:sz w:val="20"/>
                <w:szCs w:val="20"/>
                <w:color w:val="auto"/>
              </w:rPr>
            </w:pPr>
            <w:r>
              <w:rPr>
                <w:rFonts w:ascii="Arial" w:cs="Arial" w:eastAsia="Arial" w:hAnsi="Arial"/>
                <w:sz w:val="16"/>
                <w:szCs w:val="16"/>
                <w:color w:val="3D3935"/>
              </w:rPr>
              <w:t>5,200</w:t>
            </w:r>
          </w:p>
        </w:tc>
        <w:tc>
          <w:tcPr>
            <w:tcW w:w="1000" w:type="dxa"/>
            <w:vAlign w:val="bottom"/>
            <w:tcBorders>
              <w:bottom w:val="single" w:sz="8" w:color="D9D9D6"/>
            </w:tcBorders>
          </w:tcPr>
          <w:p>
            <w:pPr>
              <w:ind w:left="740"/>
              <w:spacing w:after="0"/>
              <w:rPr>
                <w:sz w:val="20"/>
                <w:szCs w:val="20"/>
                <w:color w:val="auto"/>
              </w:rPr>
            </w:pPr>
            <w:r>
              <w:rPr>
                <w:rFonts w:ascii="Arial" w:cs="Arial" w:eastAsia="Arial" w:hAnsi="Arial"/>
                <w:sz w:val="16"/>
                <w:szCs w:val="16"/>
                <w:color w:val="3D3935"/>
              </w:rPr>
              <w:t>—</w:t>
            </w:r>
          </w:p>
        </w:tc>
        <w:tc>
          <w:tcPr>
            <w:tcW w:w="1120" w:type="dxa"/>
            <w:vAlign w:val="bottom"/>
            <w:tcBorders>
              <w:bottom w:val="single" w:sz="8" w:color="D9D9D6"/>
            </w:tcBorders>
          </w:tcPr>
          <w:p>
            <w:pPr>
              <w:jc w:val="right"/>
              <w:ind w:right="101"/>
              <w:spacing w:after="0"/>
              <w:rPr>
                <w:sz w:val="20"/>
                <w:szCs w:val="20"/>
                <w:color w:val="auto"/>
              </w:rPr>
            </w:pPr>
            <w:r>
              <w:rPr>
                <w:rFonts w:ascii="Arial" w:cs="Arial" w:eastAsia="Arial" w:hAnsi="Arial"/>
                <w:sz w:val="16"/>
                <w:szCs w:val="16"/>
                <w:color w:val="3D3935"/>
              </w:rPr>
              <w:t>5,177</w:t>
            </w:r>
          </w:p>
        </w:tc>
        <w:tc>
          <w:tcPr>
            <w:tcW w:w="960" w:type="dxa"/>
            <w:vAlign w:val="bottom"/>
            <w:tcBorders>
              <w:bottom w:val="single" w:sz="8" w:color="D9D9D6"/>
            </w:tcBorders>
          </w:tcPr>
          <w:p>
            <w:pPr>
              <w:ind w:left="440"/>
              <w:spacing w:after="0"/>
              <w:rPr>
                <w:sz w:val="20"/>
                <w:szCs w:val="20"/>
                <w:color w:val="auto"/>
              </w:rPr>
            </w:pPr>
            <w:r>
              <w:rPr>
                <w:rFonts w:ascii="Arial" w:cs="Arial" w:eastAsia="Arial" w:hAnsi="Arial"/>
                <w:sz w:val="16"/>
                <w:szCs w:val="16"/>
                <w:color w:val="3D3935"/>
              </w:rPr>
              <w:t>2,500</w:t>
            </w:r>
          </w:p>
        </w:tc>
      </w:tr>
      <w:tr>
        <w:trPr>
          <w:trHeight w:val="250"/>
        </w:trPr>
        <w:tc>
          <w:tcPr>
            <w:tcW w:w="254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Financial Counseling</w:t>
            </w:r>
            <w:r>
              <w:rPr>
                <w:rFonts w:ascii="Arial" w:cs="Arial" w:eastAsia="Arial" w:hAnsi="Arial"/>
                <w:sz w:val="21"/>
                <w:szCs w:val="21"/>
                <w:color w:val="3D3935"/>
                <w:vertAlign w:val="superscript"/>
              </w:rPr>
              <w:t>(5)</w:t>
            </w:r>
          </w:p>
        </w:tc>
        <w:tc>
          <w:tcPr>
            <w:tcW w:w="1120" w:type="dxa"/>
            <w:vAlign w:val="bottom"/>
            <w:tcBorders>
              <w:bottom w:val="single" w:sz="8" w:color="D9D9D6"/>
            </w:tcBorders>
          </w:tcPr>
          <w:p>
            <w:pPr>
              <w:jc w:val="right"/>
              <w:ind w:right="41"/>
              <w:spacing w:after="0"/>
              <w:rPr>
                <w:sz w:val="20"/>
                <w:szCs w:val="20"/>
                <w:color w:val="auto"/>
              </w:rPr>
            </w:pPr>
            <w:r>
              <w:rPr>
                <w:rFonts w:ascii="Arial" w:cs="Arial" w:eastAsia="Arial" w:hAnsi="Arial"/>
                <w:sz w:val="16"/>
                <w:szCs w:val="16"/>
                <w:color w:val="3D3935"/>
              </w:rPr>
              <w:t>10,360</w:t>
            </w:r>
          </w:p>
        </w:tc>
        <w:tc>
          <w:tcPr>
            <w:tcW w:w="1220" w:type="dxa"/>
            <w:vAlign w:val="bottom"/>
            <w:tcBorders>
              <w:bottom w:val="single" w:sz="8" w:color="D9D9D6"/>
            </w:tcBorders>
          </w:tcPr>
          <w:p>
            <w:pPr>
              <w:jc w:val="right"/>
              <w:ind w:right="101"/>
              <w:spacing w:after="0"/>
              <w:rPr>
                <w:sz w:val="20"/>
                <w:szCs w:val="20"/>
                <w:color w:val="auto"/>
              </w:rPr>
            </w:pPr>
            <w:r>
              <w:rPr>
                <w:rFonts w:ascii="Arial" w:cs="Arial" w:eastAsia="Arial" w:hAnsi="Arial"/>
                <w:sz w:val="16"/>
                <w:szCs w:val="16"/>
                <w:color w:val="3D3935"/>
              </w:rPr>
              <w:t>—</w:t>
            </w:r>
          </w:p>
        </w:tc>
        <w:tc>
          <w:tcPr>
            <w:tcW w:w="1120" w:type="dxa"/>
            <w:vAlign w:val="bottom"/>
            <w:tcBorders>
              <w:bottom w:val="single" w:sz="8" w:color="D9D9D6"/>
            </w:tcBorders>
          </w:tcPr>
          <w:p>
            <w:pPr>
              <w:ind w:left="340"/>
              <w:spacing w:after="0"/>
              <w:rPr>
                <w:sz w:val="20"/>
                <w:szCs w:val="20"/>
                <w:color w:val="auto"/>
              </w:rPr>
            </w:pPr>
            <w:r>
              <w:rPr>
                <w:rFonts w:ascii="Arial" w:cs="Arial" w:eastAsia="Arial" w:hAnsi="Arial"/>
                <w:sz w:val="16"/>
                <w:szCs w:val="16"/>
                <w:color w:val="3D3935"/>
              </w:rPr>
              <w:t>10,360</w:t>
            </w:r>
          </w:p>
        </w:tc>
        <w:tc>
          <w:tcPr>
            <w:tcW w:w="1000" w:type="dxa"/>
            <w:vAlign w:val="bottom"/>
            <w:tcBorders>
              <w:bottom w:val="single" w:sz="8" w:color="D9D9D6"/>
            </w:tcBorders>
          </w:tcPr>
          <w:p>
            <w:pPr>
              <w:ind w:left="740"/>
              <w:spacing w:after="0"/>
              <w:rPr>
                <w:sz w:val="20"/>
                <w:szCs w:val="20"/>
                <w:color w:val="auto"/>
              </w:rPr>
            </w:pPr>
            <w:r>
              <w:rPr>
                <w:rFonts w:ascii="Arial" w:cs="Arial" w:eastAsia="Arial" w:hAnsi="Arial"/>
                <w:sz w:val="16"/>
                <w:szCs w:val="16"/>
                <w:color w:val="3D3935"/>
              </w:rPr>
              <w:t>—</w:t>
            </w:r>
          </w:p>
        </w:tc>
        <w:tc>
          <w:tcPr>
            <w:tcW w:w="1120" w:type="dxa"/>
            <w:vAlign w:val="bottom"/>
            <w:tcBorders>
              <w:bottom w:val="single" w:sz="8" w:color="D9D9D6"/>
            </w:tcBorders>
          </w:tcPr>
          <w:p>
            <w:pPr>
              <w:jc w:val="right"/>
              <w:ind w:right="141"/>
              <w:spacing w:after="0"/>
              <w:rPr>
                <w:sz w:val="20"/>
                <w:szCs w:val="20"/>
                <w:color w:val="auto"/>
              </w:rPr>
            </w:pPr>
            <w:r>
              <w:rPr>
                <w:rFonts w:ascii="Arial" w:cs="Arial" w:eastAsia="Arial" w:hAnsi="Arial"/>
                <w:sz w:val="16"/>
                <w:szCs w:val="16"/>
                <w:color w:val="3D3935"/>
              </w:rPr>
              <w:t>10,360</w:t>
            </w:r>
          </w:p>
        </w:tc>
        <w:tc>
          <w:tcPr>
            <w:tcW w:w="960" w:type="dxa"/>
            <w:vAlign w:val="bottom"/>
            <w:tcBorders>
              <w:bottom w:val="single" w:sz="8" w:color="D9D9D6"/>
            </w:tcBorders>
          </w:tcPr>
          <w:p>
            <w:pPr>
              <w:ind w:left="380"/>
              <w:spacing w:after="0"/>
              <w:rPr>
                <w:sz w:val="20"/>
                <w:szCs w:val="20"/>
                <w:color w:val="auto"/>
              </w:rPr>
            </w:pPr>
            <w:r>
              <w:rPr>
                <w:rFonts w:ascii="Arial" w:cs="Arial" w:eastAsia="Arial" w:hAnsi="Arial"/>
                <w:sz w:val="16"/>
                <w:szCs w:val="16"/>
                <w:color w:val="3D3935"/>
              </w:rPr>
              <w:t>10,360</w:t>
            </w:r>
          </w:p>
        </w:tc>
      </w:tr>
      <w:tr>
        <w:trPr>
          <w:trHeight w:val="250"/>
        </w:trPr>
        <w:tc>
          <w:tcPr>
            <w:tcW w:w="254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 xml:space="preserve">Other </w:t>
            </w:r>
            <w:r>
              <w:rPr>
                <w:rFonts w:ascii="Arial" w:cs="Arial" w:eastAsia="Arial" w:hAnsi="Arial"/>
                <w:sz w:val="21"/>
                <w:szCs w:val="21"/>
                <w:color w:val="3D3935"/>
                <w:vertAlign w:val="superscript"/>
              </w:rPr>
              <w:t>(6)</w:t>
            </w:r>
          </w:p>
        </w:tc>
        <w:tc>
          <w:tcPr>
            <w:tcW w:w="112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1220" w:type="dxa"/>
            <w:vAlign w:val="bottom"/>
            <w:tcBorders>
              <w:bottom w:val="single" w:sz="8" w:color="D9D9D6"/>
            </w:tcBorders>
          </w:tcPr>
          <w:p>
            <w:pPr>
              <w:jc w:val="right"/>
              <w:ind w:right="101"/>
              <w:spacing w:after="0"/>
              <w:rPr>
                <w:sz w:val="20"/>
                <w:szCs w:val="20"/>
                <w:color w:val="auto"/>
              </w:rPr>
            </w:pPr>
            <w:r>
              <w:rPr>
                <w:rFonts w:ascii="Arial" w:cs="Arial" w:eastAsia="Arial" w:hAnsi="Arial"/>
                <w:sz w:val="16"/>
                <w:szCs w:val="16"/>
                <w:color w:val="3D3935"/>
              </w:rPr>
              <w:t>—</w:t>
            </w:r>
          </w:p>
        </w:tc>
        <w:tc>
          <w:tcPr>
            <w:tcW w:w="1120" w:type="dxa"/>
            <w:vAlign w:val="bottom"/>
            <w:tcBorders>
              <w:bottom w:val="single" w:sz="8" w:color="D9D9D6"/>
            </w:tcBorders>
          </w:tcPr>
          <w:p>
            <w:pPr>
              <w:jc w:val="right"/>
              <w:ind w:right="121"/>
              <w:spacing w:after="0"/>
              <w:rPr>
                <w:sz w:val="20"/>
                <w:szCs w:val="20"/>
                <w:color w:val="auto"/>
              </w:rPr>
            </w:pPr>
            <w:r>
              <w:rPr>
                <w:rFonts w:ascii="Arial" w:cs="Arial" w:eastAsia="Arial" w:hAnsi="Arial"/>
                <w:sz w:val="16"/>
                <w:szCs w:val="16"/>
                <w:color w:val="3D3935"/>
              </w:rPr>
              <w:t>—</w:t>
            </w:r>
          </w:p>
        </w:tc>
        <w:tc>
          <w:tcPr>
            <w:tcW w:w="1000" w:type="dxa"/>
            <w:vAlign w:val="bottom"/>
            <w:tcBorders>
              <w:bottom w:val="single" w:sz="8" w:color="D9D9D6"/>
            </w:tcBorders>
          </w:tcPr>
          <w:p>
            <w:pPr>
              <w:ind w:left="740"/>
              <w:spacing w:after="0"/>
              <w:rPr>
                <w:sz w:val="20"/>
                <w:szCs w:val="20"/>
                <w:color w:val="auto"/>
              </w:rPr>
            </w:pPr>
            <w:r>
              <w:rPr>
                <w:rFonts w:ascii="Arial" w:cs="Arial" w:eastAsia="Arial" w:hAnsi="Arial"/>
                <w:sz w:val="16"/>
                <w:szCs w:val="16"/>
                <w:color w:val="3D3935"/>
              </w:rPr>
              <w:t>—</w:t>
            </w:r>
          </w:p>
        </w:tc>
        <w:tc>
          <w:tcPr>
            <w:tcW w:w="1120" w:type="dxa"/>
            <w:vAlign w:val="bottom"/>
            <w:tcBorders>
              <w:bottom w:val="single" w:sz="8" w:color="D9D9D6"/>
            </w:tcBorders>
          </w:tcPr>
          <w:p>
            <w:pPr>
              <w:jc w:val="right"/>
              <w:ind w:right="61"/>
              <w:spacing w:after="0"/>
              <w:rPr>
                <w:sz w:val="20"/>
                <w:szCs w:val="20"/>
                <w:color w:val="auto"/>
              </w:rPr>
            </w:pPr>
            <w:r>
              <w:rPr>
                <w:rFonts w:ascii="Arial" w:cs="Arial" w:eastAsia="Arial" w:hAnsi="Arial"/>
                <w:sz w:val="16"/>
                <w:szCs w:val="16"/>
                <w:color w:val="3D3935"/>
              </w:rPr>
              <w:t>—</w:t>
            </w:r>
          </w:p>
        </w:tc>
        <w:tc>
          <w:tcPr>
            <w:tcW w:w="960" w:type="dxa"/>
            <w:vAlign w:val="bottom"/>
            <w:tcBorders>
              <w:bottom w:val="single" w:sz="8" w:color="D9D9D6"/>
            </w:tcBorders>
          </w:tcPr>
          <w:p>
            <w:pPr>
              <w:ind w:left="800"/>
              <w:spacing w:after="0"/>
              <w:rPr>
                <w:sz w:val="20"/>
                <w:szCs w:val="20"/>
                <w:color w:val="auto"/>
              </w:rPr>
            </w:pPr>
            <w:r>
              <w:rPr>
                <w:rFonts w:ascii="Arial" w:cs="Arial" w:eastAsia="Arial" w:hAnsi="Arial"/>
                <w:sz w:val="16"/>
                <w:szCs w:val="16"/>
                <w:color w:val="3D3935"/>
                <w:w w:val="87"/>
              </w:rPr>
              <w:t>—</w:t>
            </w:r>
          </w:p>
        </w:tc>
      </w:tr>
      <w:tr>
        <w:trPr>
          <w:trHeight w:val="246"/>
        </w:trPr>
        <w:tc>
          <w:tcPr>
            <w:tcW w:w="2540" w:type="dxa"/>
            <w:vAlign w:val="bottom"/>
            <w:tcBorders>
              <w:bottom w:val="single" w:sz="8" w:color="0072CE"/>
            </w:tcBorders>
          </w:tcPr>
          <w:p>
            <w:pPr>
              <w:ind w:left="60"/>
              <w:spacing w:after="0"/>
              <w:rPr>
                <w:sz w:val="20"/>
                <w:szCs w:val="20"/>
                <w:color w:val="auto"/>
              </w:rPr>
            </w:pPr>
            <w:r>
              <w:rPr>
                <w:rFonts w:ascii="Arial" w:cs="Arial" w:eastAsia="Arial" w:hAnsi="Arial"/>
                <w:sz w:val="16"/>
                <w:szCs w:val="16"/>
                <w:b w:val="1"/>
                <w:bCs w:val="1"/>
                <w:color w:val="3D3935"/>
              </w:rPr>
              <w:t>TOTAL</w:t>
            </w:r>
          </w:p>
        </w:tc>
        <w:tc>
          <w:tcPr>
            <w:tcW w:w="1120" w:type="dxa"/>
            <w:vAlign w:val="bottom"/>
            <w:tcBorders>
              <w:bottom w:val="single" w:sz="8" w:color="0072CE"/>
            </w:tcBorders>
          </w:tcPr>
          <w:p>
            <w:pPr>
              <w:jc w:val="right"/>
              <w:ind w:right="61"/>
              <w:spacing w:after="0"/>
              <w:rPr>
                <w:sz w:val="20"/>
                <w:szCs w:val="20"/>
                <w:color w:val="auto"/>
              </w:rPr>
            </w:pPr>
            <w:r>
              <w:rPr>
                <w:rFonts w:ascii="Arial" w:cs="Arial" w:eastAsia="Arial" w:hAnsi="Arial"/>
                <w:sz w:val="16"/>
                <w:szCs w:val="16"/>
                <w:color w:val="3D3935"/>
              </w:rPr>
              <w:t>637,555</w:t>
            </w:r>
          </w:p>
        </w:tc>
        <w:tc>
          <w:tcPr>
            <w:tcW w:w="1220" w:type="dxa"/>
            <w:vAlign w:val="bottom"/>
            <w:tcBorders>
              <w:bottom w:val="single" w:sz="8" w:color="0072CE"/>
            </w:tcBorders>
          </w:tcPr>
          <w:p>
            <w:pPr>
              <w:jc w:val="right"/>
              <w:ind w:right="181"/>
              <w:spacing w:after="0"/>
              <w:rPr>
                <w:sz w:val="20"/>
                <w:szCs w:val="20"/>
                <w:color w:val="auto"/>
              </w:rPr>
            </w:pPr>
            <w:r>
              <w:rPr>
                <w:rFonts w:ascii="Arial" w:cs="Arial" w:eastAsia="Arial" w:hAnsi="Arial"/>
                <w:sz w:val="16"/>
                <w:szCs w:val="16"/>
                <w:color w:val="3D3935"/>
              </w:rPr>
              <w:t>38,576</w:t>
            </w:r>
          </w:p>
        </w:tc>
        <w:tc>
          <w:tcPr>
            <w:tcW w:w="1120" w:type="dxa"/>
            <w:vAlign w:val="bottom"/>
            <w:tcBorders>
              <w:bottom w:val="single" w:sz="8" w:color="0072CE"/>
            </w:tcBorders>
          </w:tcPr>
          <w:p>
            <w:pPr>
              <w:jc w:val="right"/>
              <w:ind w:right="161"/>
              <w:spacing w:after="0"/>
              <w:rPr>
                <w:sz w:val="20"/>
                <w:szCs w:val="20"/>
                <w:color w:val="auto"/>
              </w:rPr>
            </w:pPr>
            <w:r>
              <w:rPr>
                <w:rFonts w:ascii="Arial" w:cs="Arial" w:eastAsia="Arial" w:hAnsi="Arial"/>
                <w:sz w:val="16"/>
                <w:szCs w:val="16"/>
                <w:color w:val="3D3935"/>
              </w:rPr>
              <w:t>161,489</w:t>
            </w:r>
          </w:p>
        </w:tc>
        <w:tc>
          <w:tcPr>
            <w:tcW w:w="1000" w:type="dxa"/>
            <w:vAlign w:val="bottom"/>
            <w:tcBorders>
              <w:bottom w:val="single" w:sz="8" w:color="0072CE"/>
            </w:tcBorders>
          </w:tcPr>
          <w:p>
            <w:pPr>
              <w:ind w:left="320"/>
              <w:spacing w:after="0"/>
              <w:rPr>
                <w:sz w:val="20"/>
                <w:szCs w:val="20"/>
                <w:color w:val="auto"/>
              </w:rPr>
            </w:pPr>
            <w:r>
              <w:rPr>
                <w:rFonts w:ascii="Arial" w:cs="Arial" w:eastAsia="Arial" w:hAnsi="Arial"/>
                <w:sz w:val="16"/>
                <w:szCs w:val="16"/>
                <w:color w:val="3D3935"/>
              </w:rPr>
              <w:t>30,188</w:t>
            </w:r>
          </w:p>
        </w:tc>
        <w:tc>
          <w:tcPr>
            <w:tcW w:w="1120" w:type="dxa"/>
            <w:vAlign w:val="bottom"/>
            <w:tcBorders>
              <w:bottom w:val="single" w:sz="8" w:color="0072CE"/>
            </w:tcBorders>
          </w:tcPr>
          <w:p>
            <w:pPr>
              <w:jc w:val="right"/>
              <w:ind w:right="121"/>
              <w:spacing w:after="0"/>
              <w:rPr>
                <w:sz w:val="20"/>
                <w:szCs w:val="20"/>
                <w:color w:val="auto"/>
              </w:rPr>
            </w:pPr>
            <w:r>
              <w:rPr>
                <w:rFonts w:ascii="Arial" w:cs="Arial" w:eastAsia="Arial" w:hAnsi="Arial"/>
                <w:sz w:val="16"/>
                <w:szCs w:val="16"/>
                <w:color w:val="3D3935"/>
              </w:rPr>
              <w:t>72,241</w:t>
            </w:r>
          </w:p>
        </w:tc>
        <w:tc>
          <w:tcPr>
            <w:tcW w:w="960" w:type="dxa"/>
            <w:vAlign w:val="bottom"/>
            <w:tcBorders>
              <w:bottom w:val="single" w:sz="8" w:color="0072CE"/>
            </w:tcBorders>
          </w:tcPr>
          <w:p>
            <w:pPr>
              <w:ind w:left="380"/>
              <w:spacing w:after="0"/>
              <w:rPr>
                <w:sz w:val="20"/>
                <w:szCs w:val="20"/>
                <w:color w:val="auto"/>
              </w:rPr>
            </w:pPr>
            <w:r>
              <w:rPr>
                <w:rFonts w:ascii="Arial" w:cs="Arial" w:eastAsia="Arial" w:hAnsi="Arial"/>
                <w:sz w:val="16"/>
                <w:szCs w:val="16"/>
                <w:color w:val="3D3935"/>
              </w:rPr>
              <w:t>12,860</w:t>
            </w:r>
          </w:p>
        </w:tc>
      </w:tr>
    </w:tbl>
    <w:p>
      <w:pPr>
        <w:spacing w:after="0" w:line="150" w:lineRule="exact"/>
        <w:rPr>
          <w:sz w:val="20"/>
          <w:szCs w:val="20"/>
          <w:color w:val="auto"/>
        </w:rPr>
      </w:pPr>
    </w:p>
    <w:p>
      <w:pPr>
        <w:ind w:left="200" w:right="200" w:hanging="199"/>
        <w:spacing w:after="0" w:line="239" w:lineRule="auto"/>
        <w:tabs>
          <w:tab w:leader="none" w:pos="180" w:val="left"/>
        </w:tabs>
        <w:rPr>
          <w:sz w:val="20"/>
          <w:szCs w:val="20"/>
          <w:color w:val="auto"/>
        </w:rPr>
      </w:pPr>
      <w:r>
        <w:rPr>
          <w:rFonts w:ascii="Arial" w:cs="Arial" w:eastAsia="Arial" w:hAnsi="Arial"/>
          <w:sz w:val="19"/>
          <w:szCs w:val="19"/>
          <w:color w:val="3D3935"/>
          <w:vertAlign w:val="superscript"/>
        </w:rPr>
        <w:t>(1)</w:t>
      </w:r>
      <w:r>
        <w:rPr>
          <w:sz w:val="20"/>
          <w:szCs w:val="20"/>
          <w:color w:val="auto"/>
        </w:rPr>
        <w:tab/>
      </w:r>
      <w:r>
        <w:rPr>
          <w:rFonts w:ascii="Arial" w:cs="Arial" w:eastAsia="Arial" w:hAnsi="Arial"/>
          <w:sz w:val="14"/>
          <w:szCs w:val="14"/>
          <w:color w:val="3D3935"/>
        </w:rPr>
        <w:t>Personal travel, pursuant to Company policy as discussed on page 60, includes incremental costs (fuel, flight crew expenses, landing fees, ground transportation fees, and other miscellaneous variable expenses) associated with aircraft use.</w:t>
      </w:r>
    </w:p>
    <w:p>
      <w:pPr>
        <w:spacing w:after="0" w:line="43" w:lineRule="exact"/>
        <w:rPr>
          <w:sz w:val="20"/>
          <w:szCs w:val="20"/>
          <w:color w:val="auto"/>
        </w:rPr>
      </w:pPr>
    </w:p>
    <w:p>
      <w:pPr>
        <w:ind w:left="200" w:right="200" w:hanging="192"/>
        <w:spacing w:after="0" w:line="252" w:lineRule="auto"/>
        <w:tabs>
          <w:tab w:leader="none" w:pos="200" w:val="left"/>
        </w:tabs>
        <w:numPr>
          <w:ilvl w:val="0"/>
          <w:numId w:val="100"/>
        </w:numPr>
        <w:rPr>
          <w:rFonts w:ascii="Arial" w:cs="Arial" w:eastAsia="Arial" w:hAnsi="Arial"/>
          <w:sz w:val="19"/>
          <w:szCs w:val="19"/>
          <w:color w:val="3D3935"/>
          <w:vertAlign w:val="superscript"/>
        </w:rPr>
      </w:pPr>
      <w:r>
        <w:rPr>
          <w:rFonts w:ascii="Arial" w:cs="Arial" w:eastAsia="Arial" w:hAnsi="Arial"/>
          <w:sz w:val="14"/>
          <w:szCs w:val="14"/>
          <w:color w:val="3D3935"/>
        </w:rPr>
        <w:t>Includes the incremental cost of providing security services and residential security system monitoring for Ms. Barra and Mr. Reuss as recommended by an independent third-party security consultant or our security team. For security personnel employed by the Company, the cost is the actual incremental cost of expenses incurred by the security personnel. Total salary, wages, and benefits are not allocated as the Company already incurs these costs for business purposes.</w:t>
      </w:r>
    </w:p>
    <w:p>
      <w:pPr>
        <w:spacing w:after="0" w:line="32" w:lineRule="exact"/>
        <w:rPr>
          <w:rFonts w:ascii="Arial" w:cs="Arial" w:eastAsia="Arial" w:hAnsi="Arial"/>
          <w:sz w:val="19"/>
          <w:szCs w:val="19"/>
          <w:color w:val="3D3935"/>
          <w:vertAlign w:val="superscript"/>
        </w:rPr>
      </w:pPr>
    </w:p>
    <w:p>
      <w:pPr>
        <w:ind w:left="200" w:right="220" w:hanging="192"/>
        <w:spacing w:after="0" w:line="259" w:lineRule="auto"/>
        <w:tabs>
          <w:tab w:leader="none" w:pos="200" w:val="left"/>
        </w:tabs>
        <w:numPr>
          <w:ilvl w:val="0"/>
          <w:numId w:val="100"/>
        </w:numPr>
        <w:rPr>
          <w:rFonts w:ascii="Arial" w:cs="Arial" w:eastAsia="Arial" w:hAnsi="Arial"/>
          <w:sz w:val="19"/>
          <w:szCs w:val="19"/>
          <w:color w:val="3D3935"/>
          <w:vertAlign w:val="superscript"/>
        </w:rPr>
      </w:pPr>
      <w:r>
        <w:rPr>
          <w:rFonts w:ascii="Arial" w:cs="Arial" w:eastAsia="Arial" w:hAnsi="Arial"/>
          <w:sz w:val="14"/>
          <w:szCs w:val="14"/>
          <w:color w:val="3D3935"/>
        </w:rPr>
        <w:t>Includes the cost of providing cars, drivers, and the estimated annual lease value of Company vehicles, inclusive of fuel and insurance, driven by NEOs. The annual lease value is included because it is more reflective of the value of the Company vehicle perquisite than of the Company’s incremental costs, which are generally significantly lower because the Company manufactures and ordinarily disposes of Company vehicles for a profit, resulting in minimal incremental costs, if any. Taxes related to imputed income are the responsibility of each participant.</w:t>
      </w:r>
    </w:p>
    <w:p>
      <w:pPr>
        <w:ind w:left="200" w:hanging="192"/>
        <w:spacing w:after="0"/>
        <w:tabs>
          <w:tab w:leader="none" w:pos="200" w:val="left"/>
        </w:tabs>
        <w:numPr>
          <w:ilvl w:val="0"/>
          <w:numId w:val="100"/>
        </w:numPr>
        <w:rPr>
          <w:rFonts w:ascii="Arial" w:cs="Arial" w:eastAsia="Arial" w:hAnsi="Arial"/>
          <w:sz w:val="19"/>
          <w:szCs w:val="19"/>
          <w:color w:val="3D3935"/>
          <w:vertAlign w:val="superscript"/>
        </w:rPr>
      </w:pPr>
      <w:r>
        <w:rPr>
          <w:rFonts w:ascii="Arial" w:cs="Arial" w:eastAsia="Arial" w:hAnsi="Arial"/>
          <w:sz w:val="14"/>
          <w:szCs w:val="14"/>
          <w:color w:val="3D3935"/>
        </w:rPr>
        <w:t>Reflects costs associated with executive physicals with an approved provider as discussed on page 60 .</w:t>
      </w:r>
    </w:p>
    <w:p>
      <w:pPr>
        <w:spacing w:after="0" w:line="43" w:lineRule="exact"/>
        <w:rPr>
          <w:rFonts w:ascii="Arial" w:cs="Arial" w:eastAsia="Arial" w:hAnsi="Arial"/>
          <w:sz w:val="19"/>
          <w:szCs w:val="19"/>
          <w:color w:val="3D3935"/>
          <w:vertAlign w:val="superscript"/>
        </w:rPr>
      </w:pPr>
    </w:p>
    <w:p>
      <w:pPr>
        <w:ind w:left="200" w:hanging="192"/>
        <w:spacing w:after="0" w:line="204" w:lineRule="auto"/>
        <w:tabs>
          <w:tab w:leader="none" w:pos="200" w:val="left"/>
        </w:tabs>
        <w:numPr>
          <w:ilvl w:val="0"/>
          <w:numId w:val="100"/>
        </w:numPr>
        <w:rPr>
          <w:rFonts w:ascii="Arial" w:cs="Arial" w:eastAsia="Arial" w:hAnsi="Arial"/>
          <w:sz w:val="19"/>
          <w:szCs w:val="19"/>
          <w:color w:val="3D3935"/>
          <w:vertAlign w:val="superscript"/>
        </w:rPr>
      </w:pPr>
      <w:r>
        <w:rPr>
          <w:rFonts w:ascii="Arial" w:cs="Arial" w:eastAsia="Arial" w:hAnsi="Arial"/>
          <w:sz w:val="14"/>
          <w:szCs w:val="14"/>
          <w:color w:val="3D3935"/>
        </w:rPr>
        <w:t>Reflects costs associated with financial counseling and estate planning services with an approved provider.</w:t>
      </w:r>
    </w:p>
    <w:p>
      <w:pPr>
        <w:spacing w:after="0" w:line="57" w:lineRule="exact"/>
        <w:rPr>
          <w:rFonts w:ascii="Arial" w:cs="Arial" w:eastAsia="Arial" w:hAnsi="Arial"/>
          <w:sz w:val="19"/>
          <w:szCs w:val="19"/>
          <w:color w:val="3D3935"/>
          <w:vertAlign w:val="superscript"/>
        </w:rPr>
      </w:pPr>
    </w:p>
    <w:p>
      <w:pPr>
        <w:ind w:left="200" w:right="120" w:hanging="192"/>
        <w:spacing w:after="0" w:line="250" w:lineRule="auto"/>
        <w:tabs>
          <w:tab w:leader="none" w:pos="200" w:val="left"/>
        </w:tabs>
        <w:numPr>
          <w:ilvl w:val="0"/>
          <w:numId w:val="100"/>
        </w:numPr>
        <w:rPr>
          <w:rFonts w:ascii="Arial" w:cs="Arial" w:eastAsia="Arial" w:hAnsi="Arial"/>
          <w:sz w:val="19"/>
          <w:szCs w:val="19"/>
          <w:color w:val="3D3935"/>
          <w:vertAlign w:val="superscript"/>
        </w:rPr>
      </w:pPr>
      <w:r>
        <w:rPr>
          <w:rFonts w:ascii="Arial" w:cs="Arial" w:eastAsia="Arial" w:hAnsi="Arial"/>
          <w:sz w:val="14"/>
          <w:szCs w:val="14"/>
          <w:color w:val="3D3935"/>
        </w:rPr>
        <w:t>Occasionally, unused tickets from sponsorship agreements are made available for personal use. Tickets are included in sponsorship agreements and typically result in no incremental costs to the Company. In 2024, there were no incremental costs associated with the personal use of tickets to GM-sponsored events. Occasionally, limited souvenirs may be included as part of a sponsorship agreement and no incremental costs are incurred by the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3D3935"/>
              </w:rPr>
              <w:t>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39852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10375" cy="3985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Grants of Plan-Based Awards</w:t>
      </w:r>
    </w:p>
    <w:p>
      <w:pPr>
        <w:spacing w:after="0" w:line="267"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3D3935"/>
        </w:rPr>
        <w:t>STIP awards for the 2024 performance year were made under the terms of the General Motors Company 2017 Short-Term Incentive Plan. Equity awards granted to each NEO were made under the terms of the General Motors Company 2020 Long-Term Incentive Plan. PSUs vest and deliver at the end of the performance period and can be earned at a level between 0 and 200 percent of target. PSUs are based on the achievement of performance conditions relating to Cumulative AAOCF, Relative TSR, and EBIT-adjusted Margin over a three-year performance period from January 1, 2024, to December 31, 2026. RSUs vest ratably over a three-year period.</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126"/>
        </w:trPr>
        <w:tc>
          <w:tcPr>
            <w:tcW w:w="8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jc w:val="right"/>
              <w:ind w:right="26"/>
              <w:spacing w:after="0"/>
              <w:rPr>
                <w:sz w:val="20"/>
                <w:szCs w:val="20"/>
                <w:color w:val="auto"/>
              </w:rPr>
            </w:pPr>
            <w:r>
              <w:rPr>
                <w:rFonts w:ascii="Arial" w:cs="Arial" w:eastAsia="Arial" w:hAnsi="Arial"/>
                <w:sz w:val="11"/>
                <w:szCs w:val="11"/>
                <w:b w:val="1"/>
                <w:bCs w:val="1"/>
                <w:color w:val="3D3935"/>
              </w:rPr>
              <w:t>All Other</w:t>
            </w:r>
          </w:p>
        </w:tc>
        <w:tc>
          <w:tcPr>
            <w:tcW w:w="680" w:type="dxa"/>
            <w:vAlign w:val="bottom"/>
          </w:tcPr>
          <w:p>
            <w:pPr>
              <w:jc w:val="right"/>
              <w:ind w:right="6"/>
              <w:spacing w:after="0"/>
              <w:rPr>
                <w:sz w:val="20"/>
                <w:szCs w:val="20"/>
                <w:color w:val="auto"/>
              </w:rPr>
            </w:pPr>
            <w:r>
              <w:rPr>
                <w:rFonts w:ascii="Arial" w:cs="Arial" w:eastAsia="Arial" w:hAnsi="Arial"/>
                <w:sz w:val="11"/>
                <w:szCs w:val="11"/>
                <w:b w:val="1"/>
                <w:bCs w:val="1"/>
                <w:color w:val="3D3935"/>
              </w:rPr>
              <w:t>All Other</w:t>
            </w: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b w:val="1"/>
                <w:bCs w:val="1"/>
                <w:color w:val="3D3935"/>
              </w:rPr>
              <w:t>Stock</w:t>
            </w:r>
          </w:p>
        </w:tc>
        <w:tc>
          <w:tcPr>
            <w:tcW w:w="680" w:type="dxa"/>
            <w:vAlign w:val="bottom"/>
          </w:tcPr>
          <w:p>
            <w:pPr>
              <w:jc w:val="right"/>
              <w:ind w:right="6"/>
              <w:spacing w:after="0"/>
              <w:rPr>
                <w:sz w:val="20"/>
                <w:szCs w:val="20"/>
                <w:color w:val="auto"/>
              </w:rPr>
            </w:pPr>
            <w:r>
              <w:rPr>
                <w:rFonts w:ascii="Arial" w:cs="Arial" w:eastAsia="Arial" w:hAnsi="Arial"/>
                <w:sz w:val="11"/>
                <w:szCs w:val="11"/>
                <w:b w:val="1"/>
                <w:bCs w:val="1"/>
                <w:color w:val="3D3935"/>
              </w:rPr>
              <w:t>Option</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98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3D3935"/>
                <w:w w:val="98"/>
              </w:rPr>
              <w:t>Estimated Future Payouts</w:t>
            </w:r>
          </w:p>
        </w:tc>
        <w:tc>
          <w:tcPr>
            <w:tcW w:w="1760" w:type="dxa"/>
            <w:vAlign w:val="bottom"/>
            <w:gridSpan w:val="3"/>
            <w:vMerge w:val="restart"/>
          </w:tcPr>
          <w:p>
            <w:pPr>
              <w:ind w:left="240"/>
              <w:spacing w:after="0"/>
              <w:rPr>
                <w:sz w:val="20"/>
                <w:szCs w:val="20"/>
                <w:color w:val="auto"/>
              </w:rPr>
            </w:pPr>
            <w:r>
              <w:rPr>
                <w:rFonts w:ascii="Arial" w:cs="Arial" w:eastAsia="Arial" w:hAnsi="Arial"/>
                <w:sz w:val="11"/>
                <w:szCs w:val="11"/>
                <w:b w:val="1"/>
                <w:bCs w:val="1"/>
                <w:color w:val="3D3935"/>
              </w:rPr>
              <w:t>Estimated Future Payouts</w:t>
            </w:r>
          </w:p>
        </w:tc>
        <w:tc>
          <w:tcPr>
            <w:tcW w:w="660" w:type="dxa"/>
            <w:vAlign w:val="bottom"/>
          </w:tcPr>
          <w:p>
            <w:pPr>
              <w:jc w:val="right"/>
              <w:ind w:right="6"/>
              <w:spacing w:after="0"/>
              <w:rPr>
                <w:sz w:val="20"/>
                <w:szCs w:val="20"/>
                <w:color w:val="auto"/>
              </w:rPr>
            </w:pPr>
            <w:r>
              <w:rPr>
                <w:rFonts w:ascii="Arial" w:cs="Arial" w:eastAsia="Arial" w:hAnsi="Arial"/>
                <w:sz w:val="11"/>
                <w:szCs w:val="11"/>
                <w:b w:val="1"/>
                <w:bCs w:val="1"/>
                <w:color w:val="3D3935"/>
              </w:rPr>
              <w:t>Awards:</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3D3935"/>
              </w:rPr>
              <w:t>Awards:</w:t>
            </w:r>
          </w:p>
        </w:tc>
        <w:tc>
          <w:tcPr>
            <w:tcW w:w="600" w:type="dxa"/>
            <w:vAlign w:val="bottom"/>
          </w:tcPr>
          <w:p>
            <w:pPr>
              <w:jc w:val="right"/>
              <w:ind w:right="26"/>
              <w:spacing w:after="0"/>
              <w:rPr>
                <w:sz w:val="20"/>
                <w:szCs w:val="20"/>
                <w:color w:val="auto"/>
              </w:rPr>
            </w:pPr>
            <w:r>
              <w:rPr>
                <w:rFonts w:ascii="Arial" w:cs="Arial" w:eastAsia="Arial" w:hAnsi="Arial"/>
                <w:sz w:val="11"/>
                <w:szCs w:val="11"/>
                <w:b w:val="1"/>
                <w:bCs w:val="1"/>
                <w:color w:val="3D3935"/>
              </w:rPr>
              <w:t>Exercise</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3D3935"/>
              </w:rPr>
              <w:t>Grant Date</w:t>
            </w:r>
          </w:p>
        </w:tc>
        <w:tc>
          <w:tcPr>
            <w:tcW w:w="0" w:type="dxa"/>
            <w:vAlign w:val="bottom"/>
          </w:tcPr>
          <w:p>
            <w:pPr>
              <w:spacing w:after="0"/>
              <w:rPr>
                <w:sz w:val="1"/>
                <w:szCs w:val="1"/>
                <w:color w:val="auto"/>
              </w:rPr>
            </w:pPr>
          </w:p>
        </w:tc>
      </w:tr>
      <w:tr>
        <w:trPr>
          <w:trHeight w:val="41"/>
        </w:trPr>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980" w:type="dxa"/>
            <w:vAlign w:val="bottom"/>
            <w:gridSpan w:val="3"/>
            <w:vMerge w:val="continue"/>
          </w:tcPr>
          <w:p>
            <w:pPr>
              <w:spacing w:after="0"/>
              <w:rPr>
                <w:sz w:val="3"/>
                <w:szCs w:val="3"/>
                <w:color w:val="auto"/>
              </w:rPr>
            </w:pPr>
          </w:p>
        </w:tc>
        <w:tc>
          <w:tcPr>
            <w:tcW w:w="1760" w:type="dxa"/>
            <w:vAlign w:val="bottom"/>
            <w:gridSpan w:val="3"/>
            <w:vMerge w:val="continue"/>
          </w:tcPr>
          <w:p>
            <w:pPr>
              <w:spacing w:after="0"/>
              <w:rPr>
                <w:sz w:val="3"/>
                <w:szCs w:val="3"/>
                <w:color w:val="auto"/>
              </w:rPr>
            </w:pPr>
          </w:p>
        </w:tc>
        <w:tc>
          <w:tcPr>
            <w:tcW w:w="660" w:type="dxa"/>
            <w:vAlign w:val="bottom"/>
            <w:vMerge w:val="restart"/>
          </w:tcPr>
          <w:p>
            <w:pPr>
              <w:jc w:val="right"/>
              <w:ind w:right="6"/>
              <w:spacing w:after="0" w:line="122" w:lineRule="exact"/>
              <w:rPr>
                <w:sz w:val="20"/>
                <w:szCs w:val="20"/>
                <w:color w:val="auto"/>
              </w:rPr>
            </w:pPr>
            <w:r>
              <w:rPr>
                <w:rFonts w:ascii="Arial" w:cs="Arial" w:eastAsia="Arial" w:hAnsi="Arial"/>
                <w:sz w:val="11"/>
                <w:szCs w:val="11"/>
                <w:b w:val="1"/>
                <w:bCs w:val="1"/>
                <w:color w:val="3D3935"/>
              </w:rPr>
              <w:t>Number of</w:t>
            </w:r>
          </w:p>
        </w:tc>
        <w:tc>
          <w:tcPr>
            <w:tcW w:w="680" w:type="dxa"/>
            <w:vAlign w:val="bottom"/>
            <w:vMerge w:val="restart"/>
          </w:tcPr>
          <w:p>
            <w:pPr>
              <w:jc w:val="right"/>
              <w:ind w:right="6"/>
              <w:spacing w:after="0" w:line="122" w:lineRule="exact"/>
              <w:rPr>
                <w:sz w:val="20"/>
                <w:szCs w:val="20"/>
                <w:color w:val="auto"/>
              </w:rPr>
            </w:pPr>
            <w:r>
              <w:rPr>
                <w:rFonts w:ascii="Arial" w:cs="Arial" w:eastAsia="Arial" w:hAnsi="Arial"/>
                <w:sz w:val="11"/>
                <w:szCs w:val="11"/>
                <w:b w:val="1"/>
                <w:bCs w:val="1"/>
                <w:color w:val="3D3935"/>
              </w:rPr>
              <w:t>Number of</w:t>
            </w:r>
          </w:p>
        </w:tc>
        <w:tc>
          <w:tcPr>
            <w:tcW w:w="600" w:type="dxa"/>
            <w:vAlign w:val="bottom"/>
            <w:vMerge w:val="restart"/>
          </w:tcPr>
          <w:p>
            <w:pPr>
              <w:jc w:val="right"/>
              <w:ind w:right="6"/>
              <w:spacing w:after="0" w:line="122" w:lineRule="exact"/>
              <w:rPr>
                <w:sz w:val="20"/>
                <w:szCs w:val="20"/>
                <w:color w:val="auto"/>
              </w:rPr>
            </w:pPr>
            <w:r>
              <w:rPr>
                <w:rFonts w:ascii="Arial" w:cs="Arial" w:eastAsia="Arial" w:hAnsi="Arial"/>
                <w:sz w:val="11"/>
                <w:szCs w:val="11"/>
                <w:b w:val="1"/>
                <w:bCs w:val="1"/>
                <w:color w:val="3D3935"/>
              </w:rPr>
              <w:t>or Base</w:t>
            </w:r>
          </w:p>
        </w:tc>
        <w:tc>
          <w:tcPr>
            <w:tcW w:w="660" w:type="dxa"/>
            <w:vAlign w:val="bottom"/>
            <w:vMerge w:val="restart"/>
          </w:tcPr>
          <w:p>
            <w:pPr>
              <w:jc w:val="right"/>
              <w:spacing w:after="0" w:line="122" w:lineRule="exact"/>
              <w:rPr>
                <w:sz w:val="20"/>
                <w:szCs w:val="20"/>
                <w:color w:val="auto"/>
              </w:rPr>
            </w:pPr>
            <w:r>
              <w:rPr>
                <w:rFonts w:ascii="Arial" w:cs="Arial" w:eastAsia="Arial" w:hAnsi="Arial"/>
                <w:sz w:val="11"/>
                <w:szCs w:val="11"/>
                <w:b w:val="1"/>
                <w:bCs w:val="1"/>
                <w:color w:val="3D3935"/>
              </w:rPr>
              <w:t>Fair Value</w:t>
            </w:r>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98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3D3935"/>
                <w:w w:val="98"/>
              </w:rPr>
              <w:t>Under Non-Equity Incentive</w:t>
            </w:r>
          </w:p>
        </w:tc>
        <w:tc>
          <w:tcPr>
            <w:tcW w:w="1760" w:type="dxa"/>
            <w:vAlign w:val="bottom"/>
            <w:gridSpan w:val="3"/>
            <w:vMerge w:val="restart"/>
          </w:tcPr>
          <w:p>
            <w:pPr>
              <w:jc w:val="right"/>
              <w:ind w:right="226"/>
              <w:spacing w:after="0"/>
              <w:rPr>
                <w:sz w:val="20"/>
                <w:szCs w:val="20"/>
                <w:color w:val="auto"/>
              </w:rPr>
            </w:pPr>
            <w:r>
              <w:rPr>
                <w:rFonts w:ascii="Arial" w:cs="Arial" w:eastAsia="Arial" w:hAnsi="Arial"/>
                <w:sz w:val="11"/>
                <w:szCs w:val="11"/>
                <w:b w:val="1"/>
                <w:bCs w:val="1"/>
                <w:color w:val="3D3935"/>
              </w:rPr>
              <w:t>Under Equity Incentive</w:t>
            </w:r>
          </w:p>
        </w:tc>
        <w:tc>
          <w:tcPr>
            <w:tcW w:w="6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980" w:type="dxa"/>
            <w:vAlign w:val="bottom"/>
            <w:gridSpan w:val="3"/>
            <w:vMerge w:val="continue"/>
          </w:tcPr>
          <w:p>
            <w:pPr>
              <w:spacing w:after="0"/>
              <w:rPr>
                <w:sz w:val="4"/>
                <w:szCs w:val="4"/>
                <w:color w:val="auto"/>
              </w:rPr>
            </w:pPr>
          </w:p>
        </w:tc>
        <w:tc>
          <w:tcPr>
            <w:tcW w:w="1760" w:type="dxa"/>
            <w:vAlign w:val="bottom"/>
            <w:gridSpan w:val="3"/>
            <w:vMerge w:val="continue"/>
          </w:tcPr>
          <w:p>
            <w:pPr>
              <w:spacing w:after="0"/>
              <w:rPr>
                <w:sz w:val="4"/>
                <w:szCs w:val="4"/>
                <w:color w:val="auto"/>
              </w:rPr>
            </w:pP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3D3935"/>
              </w:rPr>
              <w:t>Shares of</w:t>
            </w: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3D3935"/>
              </w:rPr>
              <w:t>Securities</w:t>
            </w:r>
          </w:p>
        </w:tc>
        <w:tc>
          <w:tcPr>
            <w:tcW w:w="600" w:type="dxa"/>
            <w:vAlign w:val="bottom"/>
            <w:vMerge w:val="restart"/>
          </w:tcPr>
          <w:p>
            <w:pPr>
              <w:jc w:val="right"/>
              <w:ind w:right="26"/>
              <w:spacing w:after="0"/>
              <w:rPr>
                <w:sz w:val="20"/>
                <w:szCs w:val="20"/>
                <w:color w:val="auto"/>
              </w:rPr>
            </w:pPr>
            <w:r>
              <w:rPr>
                <w:rFonts w:ascii="Arial" w:cs="Arial" w:eastAsia="Arial" w:hAnsi="Arial"/>
                <w:sz w:val="11"/>
                <w:szCs w:val="11"/>
                <w:b w:val="1"/>
                <w:bCs w:val="1"/>
                <w:color w:val="3D3935"/>
              </w:rPr>
              <w:t>Price of</w:t>
            </w:r>
          </w:p>
        </w:tc>
        <w:tc>
          <w:tcPr>
            <w:tcW w:w="660" w:type="dxa"/>
            <w:vAlign w:val="bottom"/>
            <w:vMerge w:val="restart"/>
          </w:tcPr>
          <w:p>
            <w:pPr>
              <w:jc w:val="right"/>
              <w:spacing w:after="0"/>
              <w:rPr>
                <w:sz w:val="20"/>
                <w:szCs w:val="20"/>
                <w:color w:val="auto"/>
              </w:rPr>
            </w:pPr>
            <w:r>
              <w:rPr>
                <w:rFonts w:ascii="Arial" w:cs="Arial" w:eastAsia="Arial" w:hAnsi="Arial"/>
                <w:sz w:val="11"/>
                <w:szCs w:val="11"/>
                <w:b w:val="1"/>
                <w:bCs w:val="1"/>
                <w:color w:val="3D3935"/>
              </w:rPr>
              <w:t>of Stock</w:t>
            </w:r>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Arial" w:cs="Arial" w:eastAsia="Arial" w:hAnsi="Arial"/>
                <w:sz w:val="11"/>
                <w:szCs w:val="11"/>
                <w:b w:val="1"/>
                <w:bCs w:val="1"/>
                <w:color w:val="3D3935"/>
                <w:w w:val="99"/>
              </w:rPr>
              <w:t>Plan Awards</w:t>
            </w:r>
          </w:p>
        </w:tc>
        <w:tc>
          <w:tcPr>
            <w:tcW w:w="660" w:type="dxa"/>
            <w:vAlign w:val="bottom"/>
          </w:tcPr>
          <w:p>
            <w:pPr>
              <w:spacing w:after="0"/>
              <w:rPr>
                <w:sz w:val="7"/>
                <w:szCs w:val="7"/>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3D3935"/>
              </w:rPr>
              <w:t>Plan Awards</w:t>
            </w:r>
          </w:p>
        </w:tc>
        <w:tc>
          <w:tcPr>
            <w:tcW w:w="5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8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vMerge w:val="restart"/>
          </w:tcPr>
          <w:p>
            <w:pPr>
              <w:jc w:val="right"/>
              <w:ind w:right="6"/>
              <w:spacing w:after="0" w:line="122" w:lineRule="exact"/>
              <w:rPr>
                <w:sz w:val="20"/>
                <w:szCs w:val="20"/>
                <w:color w:val="auto"/>
              </w:rPr>
            </w:pPr>
            <w:r>
              <w:rPr>
                <w:rFonts w:ascii="Arial" w:cs="Arial" w:eastAsia="Arial" w:hAnsi="Arial"/>
                <w:sz w:val="11"/>
                <w:szCs w:val="11"/>
                <w:b w:val="1"/>
                <w:bCs w:val="1"/>
                <w:color w:val="3D3935"/>
              </w:rPr>
              <w:t>Stock or</w:t>
            </w:r>
          </w:p>
        </w:tc>
        <w:tc>
          <w:tcPr>
            <w:tcW w:w="680" w:type="dxa"/>
            <w:vAlign w:val="bottom"/>
            <w:vMerge w:val="restart"/>
          </w:tcPr>
          <w:p>
            <w:pPr>
              <w:jc w:val="right"/>
              <w:ind w:right="6"/>
              <w:spacing w:after="0" w:line="122" w:lineRule="exact"/>
              <w:rPr>
                <w:sz w:val="20"/>
                <w:szCs w:val="20"/>
                <w:color w:val="auto"/>
              </w:rPr>
            </w:pPr>
            <w:r>
              <w:rPr>
                <w:rFonts w:ascii="Arial" w:cs="Arial" w:eastAsia="Arial" w:hAnsi="Arial"/>
                <w:sz w:val="11"/>
                <w:szCs w:val="11"/>
                <w:b w:val="1"/>
                <w:bCs w:val="1"/>
                <w:color w:val="3D3935"/>
              </w:rPr>
              <w:t>Underlying</w:t>
            </w:r>
          </w:p>
        </w:tc>
        <w:tc>
          <w:tcPr>
            <w:tcW w:w="600" w:type="dxa"/>
            <w:vAlign w:val="bottom"/>
            <w:vMerge w:val="restart"/>
          </w:tcPr>
          <w:p>
            <w:pPr>
              <w:jc w:val="right"/>
              <w:ind w:right="26"/>
              <w:spacing w:after="0" w:line="122" w:lineRule="exact"/>
              <w:rPr>
                <w:sz w:val="20"/>
                <w:szCs w:val="20"/>
                <w:color w:val="auto"/>
              </w:rPr>
            </w:pPr>
            <w:r>
              <w:rPr>
                <w:rFonts w:ascii="Arial" w:cs="Arial" w:eastAsia="Arial" w:hAnsi="Arial"/>
                <w:sz w:val="11"/>
                <w:szCs w:val="11"/>
                <w:b w:val="1"/>
                <w:bCs w:val="1"/>
                <w:color w:val="3D3935"/>
              </w:rPr>
              <w:t>Option</w:t>
            </w:r>
          </w:p>
        </w:tc>
        <w:tc>
          <w:tcPr>
            <w:tcW w:w="660" w:type="dxa"/>
            <w:vAlign w:val="bottom"/>
            <w:vMerge w:val="restart"/>
          </w:tcPr>
          <w:p>
            <w:pPr>
              <w:jc w:val="right"/>
              <w:spacing w:after="0" w:line="122" w:lineRule="exact"/>
              <w:rPr>
                <w:sz w:val="20"/>
                <w:szCs w:val="20"/>
                <w:color w:val="auto"/>
              </w:rPr>
            </w:pPr>
            <w:r>
              <w:rPr>
                <w:rFonts w:ascii="Arial" w:cs="Arial" w:eastAsia="Arial" w:hAnsi="Arial"/>
                <w:sz w:val="11"/>
                <w:szCs w:val="11"/>
                <w:b w:val="1"/>
                <w:bCs w:val="1"/>
                <w:color w:val="3D3935"/>
              </w:rPr>
              <w:t>and Option</w:t>
            </w:r>
          </w:p>
        </w:tc>
        <w:tc>
          <w:tcPr>
            <w:tcW w:w="0" w:type="dxa"/>
            <w:vAlign w:val="bottom"/>
          </w:tcPr>
          <w:p>
            <w:pPr>
              <w:spacing w:after="0"/>
              <w:rPr>
                <w:sz w:val="1"/>
                <w:szCs w:val="1"/>
                <w:color w:val="auto"/>
              </w:rPr>
            </w:pPr>
          </w:p>
        </w:tc>
      </w:tr>
      <w:tr>
        <w:trPr>
          <w:trHeight w:val="55"/>
        </w:trPr>
        <w:tc>
          <w:tcPr>
            <w:tcW w:w="8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820" w:type="dxa"/>
            <w:vAlign w:val="bottom"/>
          </w:tcPr>
          <w:p>
            <w:pPr>
              <w:spacing w:after="0"/>
              <w:rPr>
                <w:sz w:val="11"/>
                <w:szCs w:val="11"/>
                <w:color w:val="auto"/>
              </w:rPr>
            </w:pPr>
          </w:p>
        </w:tc>
        <w:tc>
          <w:tcPr>
            <w:tcW w:w="520" w:type="dxa"/>
            <w:vAlign w:val="bottom"/>
          </w:tcPr>
          <w:p>
            <w:pPr>
              <w:jc w:val="right"/>
              <w:ind w:right="46"/>
              <w:spacing w:after="0"/>
              <w:rPr>
                <w:sz w:val="20"/>
                <w:szCs w:val="20"/>
                <w:color w:val="auto"/>
              </w:rPr>
            </w:pPr>
            <w:r>
              <w:rPr>
                <w:rFonts w:ascii="Arial" w:cs="Arial" w:eastAsia="Arial" w:hAnsi="Arial"/>
                <w:sz w:val="11"/>
                <w:szCs w:val="11"/>
                <w:b w:val="1"/>
                <w:bCs w:val="1"/>
                <w:color w:val="3D3935"/>
              </w:rPr>
              <w:t>Award</w:t>
            </w:r>
          </w:p>
        </w:tc>
        <w:tc>
          <w:tcPr>
            <w:tcW w:w="660" w:type="dxa"/>
            <w:vAlign w:val="bottom"/>
          </w:tcPr>
          <w:p>
            <w:pPr>
              <w:jc w:val="right"/>
              <w:ind w:right="6"/>
              <w:spacing w:after="0"/>
              <w:rPr>
                <w:sz w:val="20"/>
                <w:szCs w:val="20"/>
                <w:color w:val="auto"/>
              </w:rPr>
            </w:pPr>
            <w:r>
              <w:rPr>
                <w:rFonts w:ascii="Arial" w:cs="Arial" w:eastAsia="Arial" w:hAnsi="Arial"/>
                <w:sz w:val="11"/>
                <w:szCs w:val="11"/>
                <w:b w:val="1"/>
                <w:bCs w:val="1"/>
                <w:color w:val="3D3935"/>
              </w:rPr>
              <w:t>Grant</w:t>
            </w:r>
          </w:p>
        </w:tc>
        <w:tc>
          <w:tcPr>
            <w:tcW w:w="660" w:type="dxa"/>
            <w:vAlign w:val="bottom"/>
          </w:tcPr>
          <w:p>
            <w:pPr>
              <w:jc w:val="right"/>
              <w:ind w:right="6"/>
              <w:spacing w:after="0"/>
              <w:rPr>
                <w:sz w:val="20"/>
                <w:szCs w:val="20"/>
                <w:color w:val="auto"/>
              </w:rPr>
            </w:pPr>
            <w:r>
              <w:rPr>
                <w:rFonts w:ascii="Arial" w:cs="Arial" w:eastAsia="Arial" w:hAnsi="Arial"/>
                <w:sz w:val="11"/>
                <w:szCs w:val="11"/>
                <w:b w:val="1"/>
                <w:bCs w:val="1"/>
                <w:color w:val="3D3935"/>
              </w:rPr>
              <w:t>Approval</w:t>
            </w:r>
          </w:p>
        </w:tc>
        <w:tc>
          <w:tcPr>
            <w:tcW w:w="620" w:type="dxa"/>
            <w:vAlign w:val="bottom"/>
          </w:tcPr>
          <w:p>
            <w:pPr>
              <w:jc w:val="right"/>
              <w:spacing w:after="0"/>
              <w:rPr>
                <w:sz w:val="20"/>
                <w:szCs w:val="20"/>
                <w:color w:val="auto"/>
              </w:rPr>
            </w:pPr>
            <w:r>
              <w:rPr>
                <w:rFonts w:ascii="Arial" w:cs="Arial" w:eastAsia="Arial" w:hAnsi="Arial"/>
                <w:sz w:val="11"/>
                <w:szCs w:val="11"/>
                <w:b w:val="1"/>
                <w:bCs w:val="1"/>
                <w:color w:val="3D3935"/>
              </w:rPr>
              <w:t>Threshold</w:t>
            </w:r>
          </w:p>
        </w:tc>
        <w:tc>
          <w:tcPr>
            <w:tcW w:w="700" w:type="dxa"/>
            <w:vAlign w:val="bottom"/>
          </w:tcPr>
          <w:p>
            <w:pPr>
              <w:jc w:val="right"/>
              <w:ind w:right="46"/>
              <w:spacing w:after="0"/>
              <w:rPr>
                <w:sz w:val="20"/>
                <w:szCs w:val="20"/>
                <w:color w:val="auto"/>
              </w:rPr>
            </w:pPr>
            <w:r>
              <w:rPr>
                <w:rFonts w:ascii="Arial" w:cs="Arial" w:eastAsia="Arial" w:hAnsi="Arial"/>
                <w:sz w:val="11"/>
                <w:szCs w:val="11"/>
                <w:b w:val="1"/>
                <w:bCs w:val="1"/>
                <w:color w:val="3D3935"/>
              </w:rPr>
              <w:t>Target</w:t>
            </w:r>
          </w:p>
        </w:tc>
        <w:tc>
          <w:tcPr>
            <w:tcW w:w="660" w:type="dxa"/>
            <w:vAlign w:val="bottom"/>
          </w:tcPr>
          <w:p>
            <w:pPr>
              <w:jc w:val="right"/>
              <w:ind w:right="26"/>
              <w:spacing w:after="0"/>
              <w:rPr>
                <w:sz w:val="20"/>
                <w:szCs w:val="20"/>
                <w:color w:val="auto"/>
              </w:rPr>
            </w:pPr>
            <w:r>
              <w:rPr>
                <w:rFonts w:ascii="Arial" w:cs="Arial" w:eastAsia="Arial" w:hAnsi="Arial"/>
                <w:sz w:val="11"/>
                <w:szCs w:val="11"/>
                <w:b w:val="1"/>
                <w:bCs w:val="1"/>
                <w:color w:val="3D3935"/>
              </w:rPr>
              <w:t>Maximum</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3D3935"/>
              </w:rPr>
              <w:t>Threshold</w:t>
            </w:r>
          </w:p>
        </w:tc>
        <w:tc>
          <w:tcPr>
            <w:tcW w:w="560" w:type="dxa"/>
            <w:vAlign w:val="bottom"/>
          </w:tcPr>
          <w:p>
            <w:pPr>
              <w:jc w:val="right"/>
              <w:ind w:right="66"/>
              <w:spacing w:after="0"/>
              <w:rPr>
                <w:sz w:val="20"/>
                <w:szCs w:val="20"/>
                <w:color w:val="auto"/>
              </w:rPr>
            </w:pPr>
            <w:r>
              <w:rPr>
                <w:rFonts w:ascii="Arial" w:cs="Arial" w:eastAsia="Arial" w:hAnsi="Arial"/>
                <w:sz w:val="11"/>
                <w:szCs w:val="11"/>
                <w:b w:val="1"/>
                <w:bCs w:val="1"/>
                <w:color w:val="3D3935"/>
              </w:rPr>
              <w:t>Target</w:t>
            </w:r>
          </w:p>
        </w:tc>
        <w:tc>
          <w:tcPr>
            <w:tcW w:w="540" w:type="dxa"/>
            <w:vAlign w:val="bottom"/>
          </w:tcPr>
          <w:p>
            <w:pPr>
              <w:jc w:val="right"/>
              <w:spacing w:after="0"/>
              <w:rPr>
                <w:sz w:val="20"/>
                <w:szCs w:val="20"/>
                <w:color w:val="auto"/>
              </w:rPr>
            </w:pPr>
            <w:r>
              <w:rPr>
                <w:rFonts w:ascii="Arial" w:cs="Arial" w:eastAsia="Arial" w:hAnsi="Arial"/>
                <w:sz w:val="11"/>
                <w:szCs w:val="11"/>
                <w:b w:val="1"/>
                <w:bCs w:val="1"/>
                <w:color w:val="3D3935"/>
                <w:w w:val="94"/>
              </w:rPr>
              <w:t>Maximum</w:t>
            </w:r>
          </w:p>
        </w:tc>
        <w:tc>
          <w:tcPr>
            <w:tcW w:w="660" w:type="dxa"/>
            <w:vAlign w:val="bottom"/>
          </w:tcPr>
          <w:p>
            <w:pPr>
              <w:jc w:val="right"/>
              <w:ind w:right="26"/>
              <w:spacing w:after="0"/>
              <w:rPr>
                <w:sz w:val="20"/>
                <w:szCs w:val="20"/>
                <w:color w:val="auto"/>
              </w:rPr>
            </w:pPr>
            <w:r>
              <w:rPr>
                <w:rFonts w:ascii="Arial" w:cs="Arial" w:eastAsia="Arial" w:hAnsi="Arial"/>
                <w:sz w:val="11"/>
                <w:szCs w:val="11"/>
                <w:b w:val="1"/>
                <w:bCs w:val="1"/>
                <w:color w:val="3D3935"/>
              </w:rPr>
              <w:t>Units</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3D3935"/>
              </w:rPr>
              <w:t>Options</w:t>
            </w:r>
          </w:p>
        </w:tc>
        <w:tc>
          <w:tcPr>
            <w:tcW w:w="600" w:type="dxa"/>
            <w:vAlign w:val="bottom"/>
          </w:tcPr>
          <w:p>
            <w:pPr>
              <w:jc w:val="right"/>
              <w:ind w:right="26"/>
              <w:spacing w:after="0"/>
              <w:rPr>
                <w:sz w:val="20"/>
                <w:szCs w:val="20"/>
                <w:color w:val="auto"/>
              </w:rPr>
            </w:pPr>
            <w:r>
              <w:rPr>
                <w:rFonts w:ascii="Arial" w:cs="Arial" w:eastAsia="Arial" w:hAnsi="Arial"/>
                <w:sz w:val="11"/>
                <w:szCs w:val="11"/>
                <w:b w:val="1"/>
                <w:bCs w:val="1"/>
                <w:color w:val="3D3935"/>
              </w:rPr>
              <w:t>Awards</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3D3935"/>
              </w:rPr>
              <w:t>Awards</w:t>
            </w:r>
          </w:p>
        </w:tc>
        <w:tc>
          <w:tcPr>
            <w:tcW w:w="0" w:type="dxa"/>
            <w:vAlign w:val="bottom"/>
          </w:tcPr>
          <w:p>
            <w:pPr>
              <w:spacing w:after="0"/>
              <w:rPr>
                <w:sz w:val="1"/>
                <w:szCs w:val="1"/>
                <w:color w:val="auto"/>
              </w:rPr>
            </w:pPr>
          </w:p>
        </w:tc>
      </w:tr>
      <w:tr>
        <w:trPr>
          <w:trHeight w:val="202"/>
        </w:trPr>
        <w:tc>
          <w:tcPr>
            <w:tcW w:w="820" w:type="dxa"/>
            <w:vAlign w:val="bottom"/>
          </w:tcPr>
          <w:p>
            <w:pPr>
              <w:spacing w:after="0"/>
              <w:rPr>
                <w:sz w:val="20"/>
                <w:szCs w:val="20"/>
                <w:color w:val="auto"/>
              </w:rPr>
            </w:pPr>
            <w:r>
              <w:rPr>
                <w:rFonts w:ascii="Arial" w:cs="Arial" w:eastAsia="Arial" w:hAnsi="Arial"/>
                <w:sz w:val="11"/>
                <w:szCs w:val="11"/>
                <w:b w:val="1"/>
                <w:bCs w:val="1"/>
                <w:color w:val="3D3935"/>
              </w:rPr>
              <w:t>Name</w:t>
            </w:r>
          </w:p>
        </w:tc>
        <w:tc>
          <w:tcPr>
            <w:tcW w:w="520" w:type="dxa"/>
            <w:vAlign w:val="bottom"/>
          </w:tcPr>
          <w:p>
            <w:pPr>
              <w:jc w:val="right"/>
              <w:ind w:right="46"/>
              <w:spacing w:after="0"/>
              <w:rPr>
                <w:sz w:val="20"/>
                <w:szCs w:val="20"/>
                <w:color w:val="auto"/>
              </w:rPr>
            </w:pPr>
            <w:r>
              <w:rPr>
                <w:rFonts w:ascii="Arial" w:cs="Arial" w:eastAsia="Arial" w:hAnsi="Arial"/>
                <w:sz w:val="11"/>
                <w:szCs w:val="11"/>
                <w:b w:val="1"/>
                <w:bCs w:val="1"/>
                <w:color w:val="3D3935"/>
              </w:rPr>
              <w:t>Type</w:t>
            </w:r>
          </w:p>
        </w:tc>
        <w:tc>
          <w:tcPr>
            <w:tcW w:w="660" w:type="dxa"/>
            <w:vAlign w:val="bottom"/>
          </w:tcPr>
          <w:p>
            <w:pPr>
              <w:jc w:val="right"/>
              <w:ind w:right="6"/>
              <w:spacing w:after="0"/>
              <w:rPr>
                <w:sz w:val="20"/>
                <w:szCs w:val="20"/>
                <w:color w:val="auto"/>
              </w:rPr>
            </w:pPr>
            <w:r>
              <w:rPr>
                <w:rFonts w:ascii="Arial" w:cs="Arial" w:eastAsia="Arial" w:hAnsi="Arial"/>
                <w:sz w:val="11"/>
                <w:szCs w:val="11"/>
                <w:b w:val="1"/>
                <w:bCs w:val="1"/>
                <w:color w:val="3D3935"/>
              </w:rPr>
              <w:t>Date</w:t>
            </w:r>
          </w:p>
        </w:tc>
        <w:tc>
          <w:tcPr>
            <w:tcW w:w="660" w:type="dxa"/>
            <w:vAlign w:val="bottom"/>
          </w:tcPr>
          <w:p>
            <w:pPr>
              <w:jc w:val="right"/>
              <w:ind w:right="6"/>
              <w:spacing w:after="0"/>
              <w:rPr>
                <w:sz w:val="20"/>
                <w:szCs w:val="20"/>
                <w:color w:val="auto"/>
              </w:rPr>
            </w:pPr>
            <w:r>
              <w:rPr>
                <w:rFonts w:ascii="Arial" w:cs="Arial" w:eastAsia="Arial" w:hAnsi="Arial"/>
                <w:sz w:val="11"/>
                <w:szCs w:val="11"/>
                <w:b w:val="1"/>
                <w:bCs w:val="1"/>
                <w:color w:val="3D3935"/>
              </w:rPr>
              <w:t>Date</w:t>
            </w:r>
          </w:p>
        </w:tc>
        <w:tc>
          <w:tcPr>
            <w:tcW w:w="620" w:type="dxa"/>
            <w:vAlign w:val="bottom"/>
          </w:tcPr>
          <w:p>
            <w:pPr>
              <w:jc w:val="right"/>
              <w:ind w:right="6"/>
              <w:spacing w:after="0"/>
              <w:rPr>
                <w:sz w:val="20"/>
                <w:szCs w:val="20"/>
                <w:color w:val="auto"/>
              </w:rPr>
            </w:pPr>
            <w:r>
              <w:rPr>
                <w:rFonts w:ascii="Arial" w:cs="Arial" w:eastAsia="Arial" w:hAnsi="Arial"/>
                <w:sz w:val="11"/>
                <w:szCs w:val="11"/>
                <w:b w:val="1"/>
                <w:bCs w:val="1"/>
                <w:color w:val="3D3935"/>
              </w:rPr>
              <w:t>($)</w:t>
            </w:r>
          </w:p>
        </w:tc>
        <w:tc>
          <w:tcPr>
            <w:tcW w:w="700" w:type="dxa"/>
            <w:vAlign w:val="bottom"/>
          </w:tcPr>
          <w:p>
            <w:pPr>
              <w:jc w:val="right"/>
              <w:ind w:right="46"/>
              <w:spacing w:after="0"/>
              <w:rPr>
                <w:sz w:val="20"/>
                <w:szCs w:val="20"/>
                <w:color w:val="auto"/>
              </w:rPr>
            </w:pPr>
            <w:r>
              <w:rPr>
                <w:rFonts w:ascii="Arial" w:cs="Arial" w:eastAsia="Arial" w:hAnsi="Arial"/>
                <w:sz w:val="11"/>
                <w:szCs w:val="11"/>
                <w:b w:val="1"/>
                <w:bCs w:val="1"/>
                <w:color w:val="3D3935"/>
              </w:rPr>
              <w:t>($)</w:t>
            </w:r>
          </w:p>
        </w:tc>
        <w:tc>
          <w:tcPr>
            <w:tcW w:w="660" w:type="dxa"/>
            <w:vAlign w:val="bottom"/>
          </w:tcPr>
          <w:p>
            <w:pPr>
              <w:jc w:val="right"/>
              <w:ind w:right="46"/>
              <w:spacing w:after="0"/>
              <w:rPr>
                <w:sz w:val="20"/>
                <w:szCs w:val="20"/>
                <w:color w:val="auto"/>
              </w:rPr>
            </w:pPr>
            <w:r>
              <w:rPr>
                <w:rFonts w:ascii="Arial" w:cs="Arial" w:eastAsia="Arial" w:hAnsi="Arial"/>
                <w:sz w:val="11"/>
                <w:szCs w:val="11"/>
                <w:b w:val="1"/>
                <w:bCs w:val="1"/>
                <w:color w:val="3D3935"/>
              </w:rPr>
              <w:t>($)</w:t>
            </w:r>
          </w:p>
        </w:tc>
        <w:tc>
          <w:tcPr>
            <w:tcW w:w="660" w:type="dxa"/>
            <w:vAlign w:val="bottom"/>
          </w:tcPr>
          <w:p>
            <w:pPr>
              <w:ind w:left="420"/>
              <w:spacing w:after="0"/>
              <w:rPr>
                <w:sz w:val="20"/>
                <w:szCs w:val="20"/>
                <w:color w:val="auto"/>
              </w:rPr>
            </w:pPr>
            <w:r>
              <w:rPr>
                <w:rFonts w:ascii="Arial" w:cs="Arial" w:eastAsia="Arial" w:hAnsi="Arial"/>
                <w:sz w:val="11"/>
                <w:szCs w:val="11"/>
                <w:b w:val="1"/>
                <w:bCs w:val="1"/>
                <w:color w:val="3D3935"/>
              </w:rPr>
              <w:t>(#)</w:t>
            </w:r>
          </w:p>
        </w:tc>
        <w:tc>
          <w:tcPr>
            <w:tcW w:w="560" w:type="dxa"/>
            <w:vAlign w:val="bottom"/>
          </w:tcPr>
          <w:p>
            <w:pPr>
              <w:jc w:val="right"/>
              <w:ind w:right="66"/>
              <w:spacing w:after="0"/>
              <w:rPr>
                <w:sz w:val="20"/>
                <w:szCs w:val="20"/>
                <w:color w:val="auto"/>
              </w:rPr>
            </w:pPr>
            <w:r>
              <w:rPr>
                <w:rFonts w:ascii="Arial" w:cs="Arial" w:eastAsia="Arial" w:hAnsi="Arial"/>
                <w:sz w:val="11"/>
                <w:szCs w:val="11"/>
                <w:b w:val="1"/>
                <w:bCs w:val="1"/>
                <w:color w:val="3D3935"/>
              </w:rPr>
              <w:t>(#)</w:t>
            </w:r>
          </w:p>
        </w:tc>
        <w:tc>
          <w:tcPr>
            <w:tcW w:w="540" w:type="dxa"/>
            <w:vAlign w:val="bottom"/>
          </w:tcPr>
          <w:p>
            <w:pPr>
              <w:jc w:val="right"/>
              <w:ind w:right="26"/>
              <w:spacing w:after="0"/>
              <w:rPr>
                <w:sz w:val="20"/>
                <w:szCs w:val="20"/>
                <w:color w:val="auto"/>
              </w:rPr>
            </w:pPr>
            <w:r>
              <w:rPr>
                <w:rFonts w:ascii="Arial" w:cs="Arial" w:eastAsia="Arial" w:hAnsi="Arial"/>
                <w:sz w:val="11"/>
                <w:szCs w:val="11"/>
                <w:b w:val="1"/>
                <w:bCs w:val="1"/>
                <w:color w:val="3D3935"/>
              </w:rPr>
              <w:t>(#)</w:t>
            </w:r>
          </w:p>
        </w:tc>
        <w:tc>
          <w:tcPr>
            <w:tcW w:w="660" w:type="dxa"/>
            <w:vAlign w:val="bottom"/>
          </w:tcPr>
          <w:p>
            <w:pPr>
              <w:jc w:val="right"/>
              <w:ind w:right="46"/>
              <w:spacing w:after="0"/>
              <w:rPr>
                <w:sz w:val="20"/>
                <w:szCs w:val="20"/>
                <w:color w:val="auto"/>
              </w:rPr>
            </w:pPr>
            <w:r>
              <w:rPr>
                <w:rFonts w:ascii="Arial" w:cs="Arial" w:eastAsia="Arial" w:hAnsi="Arial"/>
                <w:sz w:val="11"/>
                <w:szCs w:val="11"/>
                <w:b w:val="1"/>
                <w:bCs w:val="1"/>
                <w:color w:val="3D3935"/>
              </w:rPr>
              <w:t>(#)</w:t>
            </w:r>
          </w:p>
        </w:tc>
        <w:tc>
          <w:tcPr>
            <w:tcW w:w="680" w:type="dxa"/>
            <w:vAlign w:val="bottom"/>
          </w:tcPr>
          <w:p>
            <w:pPr>
              <w:jc w:val="right"/>
              <w:ind w:right="26"/>
              <w:spacing w:after="0"/>
              <w:rPr>
                <w:sz w:val="20"/>
                <w:szCs w:val="20"/>
                <w:color w:val="auto"/>
              </w:rPr>
            </w:pPr>
            <w:r>
              <w:rPr>
                <w:rFonts w:ascii="Arial" w:cs="Arial" w:eastAsia="Arial" w:hAnsi="Arial"/>
                <w:sz w:val="11"/>
                <w:szCs w:val="11"/>
                <w:b w:val="1"/>
                <w:bCs w:val="1"/>
                <w:color w:val="3D3935"/>
              </w:rPr>
              <w:t>(#)</w:t>
            </w:r>
          </w:p>
        </w:tc>
        <w:tc>
          <w:tcPr>
            <w:tcW w:w="600" w:type="dxa"/>
            <w:vAlign w:val="bottom"/>
          </w:tcPr>
          <w:p>
            <w:pPr>
              <w:jc w:val="right"/>
              <w:ind w:right="66"/>
              <w:spacing w:after="0"/>
              <w:rPr>
                <w:sz w:val="20"/>
                <w:szCs w:val="20"/>
                <w:color w:val="auto"/>
              </w:rPr>
            </w:pPr>
            <w:r>
              <w:rPr>
                <w:rFonts w:ascii="Arial" w:cs="Arial" w:eastAsia="Arial" w:hAnsi="Arial"/>
                <w:sz w:val="11"/>
                <w:szCs w:val="11"/>
                <w:b w:val="1"/>
                <w:bCs w:val="1"/>
                <w:color w:val="3D3935"/>
              </w:rPr>
              <w:t>($/share)</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3D3935"/>
              </w:rPr>
              <w:t xml:space="preserve">($) </w:t>
            </w:r>
            <w:r>
              <w:rPr>
                <w:rFonts w:ascii="Arial" w:cs="Arial" w:eastAsia="Arial" w:hAnsi="Arial"/>
                <w:sz w:val="14"/>
                <w:szCs w:val="14"/>
                <w:b w:val="1"/>
                <w:bCs w:val="1"/>
                <w:color w:val="3D3935"/>
                <w:vertAlign w:val="superscript"/>
              </w:rPr>
              <w:t>(1)</w:t>
            </w:r>
          </w:p>
        </w:tc>
        <w:tc>
          <w:tcPr>
            <w:tcW w:w="0" w:type="dxa"/>
            <w:vAlign w:val="bottom"/>
          </w:tcPr>
          <w:p>
            <w:pPr>
              <w:spacing w:after="0"/>
              <w:rPr>
                <w:sz w:val="1"/>
                <w:szCs w:val="1"/>
                <w:color w:val="auto"/>
              </w:rPr>
            </w:pPr>
          </w:p>
        </w:tc>
      </w:tr>
      <w:tr>
        <w:trPr>
          <w:trHeight w:val="148"/>
        </w:trPr>
        <w:tc>
          <w:tcPr>
            <w:tcW w:w="820" w:type="dxa"/>
            <w:vAlign w:val="bottom"/>
          </w:tcPr>
          <w:p>
            <w:pPr>
              <w:spacing w:after="0"/>
              <w:rPr>
                <w:sz w:val="20"/>
                <w:szCs w:val="20"/>
                <w:color w:val="auto"/>
              </w:rPr>
            </w:pPr>
            <w:r>
              <w:rPr>
                <w:rFonts w:ascii="Arial" w:cs="Arial" w:eastAsia="Arial" w:hAnsi="Arial"/>
                <w:sz w:val="11"/>
                <w:szCs w:val="11"/>
                <w:b w:val="1"/>
                <w:bCs w:val="1"/>
                <w:color w:val="0072CE"/>
              </w:rPr>
              <w:t>Mary T. Barra</w:t>
            </w:r>
          </w:p>
        </w:tc>
        <w:tc>
          <w:tcPr>
            <w:tcW w:w="520" w:type="dxa"/>
            <w:vAlign w:val="bottom"/>
          </w:tcPr>
          <w:p>
            <w:pPr>
              <w:jc w:val="right"/>
              <w:ind w:right="26"/>
              <w:spacing w:after="0"/>
              <w:rPr>
                <w:sz w:val="20"/>
                <w:szCs w:val="20"/>
                <w:color w:val="auto"/>
              </w:rPr>
            </w:pPr>
            <w:r>
              <w:rPr>
                <w:rFonts w:ascii="Arial" w:cs="Arial" w:eastAsia="Arial" w:hAnsi="Arial"/>
                <w:sz w:val="11"/>
                <w:szCs w:val="11"/>
                <w:color w:val="3D3935"/>
              </w:rPr>
              <w:t>STIP</w:t>
            </w:r>
          </w:p>
        </w:tc>
        <w:tc>
          <w:tcPr>
            <w:tcW w:w="660" w:type="dxa"/>
            <w:vAlign w:val="bottom"/>
          </w:tcPr>
          <w:p>
            <w:pPr>
              <w:jc w:val="right"/>
              <w:ind w:right="46"/>
              <w:spacing w:after="0"/>
              <w:rPr>
                <w:sz w:val="20"/>
                <w:szCs w:val="20"/>
                <w:color w:val="auto"/>
              </w:rPr>
            </w:pPr>
            <w:r>
              <w:rPr>
                <w:rFonts w:ascii="Arial" w:cs="Arial" w:eastAsia="Arial" w:hAnsi="Arial"/>
                <w:sz w:val="11"/>
                <w:szCs w:val="11"/>
                <w:color w:val="3D3935"/>
              </w:rPr>
              <w:t>1/1/2024</w:t>
            </w:r>
          </w:p>
        </w:tc>
        <w:tc>
          <w:tcPr>
            <w:tcW w:w="660" w:type="dxa"/>
            <w:vAlign w:val="bottom"/>
          </w:tcPr>
          <w:p>
            <w:pPr>
              <w:jc w:val="right"/>
              <w:ind w:right="66"/>
              <w:spacing w:after="0"/>
              <w:rPr>
                <w:sz w:val="20"/>
                <w:szCs w:val="20"/>
                <w:color w:val="auto"/>
              </w:rPr>
            </w:pPr>
            <w:r>
              <w:rPr>
                <w:rFonts w:ascii="Arial" w:cs="Arial" w:eastAsia="Arial" w:hAnsi="Arial"/>
                <w:sz w:val="11"/>
                <w:szCs w:val="11"/>
                <w:color w:val="3D3935"/>
              </w:rPr>
              <w:t>12/7/2023</w:t>
            </w:r>
          </w:p>
        </w:tc>
        <w:tc>
          <w:tcPr>
            <w:tcW w:w="620" w:type="dxa"/>
            <w:vAlign w:val="bottom"/>
          </w:tcPr>
          <w:p>
            <w:pPr>
              <w:jc w:val="right"/>
              <w:ind w:right="26"/>
              <w:spacing w:after="0"/>
              <w:rPr>
                <w:sz w:val="20"/>
                <w:szCs w:val="20"/>
                <w:color w:val="auto"/>
              </w:rPr>
            </w:pPr>
            <w:r>
              <w:rPr>
                <w:rFonts w:ascii="Arial" w:cs="Arial" w:eastAsia="Arial" w:hAnsi="Arial"/>
                <w:sz w:val="11"/>
                <w:szCs w:val="11"/>
                <w:color w:val="3D3935"/>
              </w:rPr>
              <w:t>262,500</w:t>
            </w:r>
          </w:p>
        </w:tc>
        <w:tc>
          <w:tcPr>
            <w:tcW w:w="700" w:type="dxa"/>
            <w:vAlign w:val="bottom"/>
          </w:tcPr>
          <w:p>
            <w:pPr>
              <w:jc w:val="right"/>
              <w:ind w:right="86"/>
              <w:spacing w:after="0"/>
              <w:rPr>
                <w:sz w:val="20"/>
                <w:szCs w:val="20"/>
                <w:color w:val="auto"/>
              </w:rPr>
            </w:pPr>
            <w:r>
              <w:rPr>
                <w:rFonts w:ascii="Arial" w:cs="Arial" w:eastAsia="Arial" w:hAnsi="Arial"/>
                <w:sz w:val="11"/>
                <w:szCs w:val="11"/>
                <w:color w:val="3D3935"/>
              </w:rPr>
              <w:t>4,200,000</w:t>
            </w:r>
          </w:p>
        </w:tc>
        <w:tc>
          <w:tcPr>
            <w:tcW w:w="660" w:type="dxa"/>
            <w:vAlign w:val="bottom"/>
          </w:tcPr>
          <w:p>
            <w:pPr>
              <w:jc w:val="right"/>
              <w:ind w:right="86"/>
              <w:spacing w:after="0"/>
              <w:rPr>
                <w:sz w:val="20"/>
                <w:szCs w:val="20"/>
                <w:color w:val="auto"/>
              </w:rPr>
            </w:pPr>
            <w:r>
              <w:rPr>
                <w:rFonts w:ascii="Arial" w:cs="Arial" w:eastAsia="Arial" w:hAnsi="Arial"/>
                <w:sz w:val="11"/>
                <w:szCs w:val="11"/>
                <w:color w:val="3D3935"/>
              </w:rPr>
              <w:t>8,400,000</w:t>
            </w: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520" w:type="dxa"/>
            <w:vAlign w:val="bottom"/>
          </w:tcPr>
          <w:p>
            <w:pPr>
              <w:jc w:val="right"/>
              <w:ind w:right="26"/>
              <w:spacing w:after="0"/>
              <w:rPr>
                <w:sz w:val="20"/>
                <w:szCs w:val="20"/>
                <w:color w:val="auto"/>
              </w:rPr>
            </w:pPr>
            <w:r>
              <w:rPr>
                <w:rFonts w:ascii="Arial" w:cs="Arial" w:eastAsia="Arial" w:hAnsi="Arial"/>
                <w:sz w:val="11"/>
                <w:szCs w:val="11"/>
                <w:color w:val="3D3935"/>
              </w:rPr>
              <w:t>PSU</w:t>
            </w:r>
          </w:p>
        </w:tc>
        <w:tc>
          <w:tcPr>
            <w:tcW w:w="660" w:type="dxa"/>
            <w:vAlign w:val="bottom"/>
          </w:tcPr>
          <w:p>
            <w:pPr>
              <w:jc w:val="right"/>
              <w:ind w:right="106"/>
              <w:spacing w:after="0"/>
              <w:rPr>
                <w:sz w:val="20"/>
                <w:szCs w:val="20"/>
                <w:color w:val="auto"/>
              </w:rPr>
            </w:pPr>
            <w:r>
              <w:rPr>
                <w:rFonts w:ascii="Arial" w:cs="Arial" w:eastAsia="Arial" w:hAnsi="Arial"/>
                <w:sz w:val="11"/>
                <w:szCs w:val="11"/>
                <w:color w:val="3D3935"/>
              </w:rPr>
              <w:t>2/6/2024</w:t>
            </w:r>
          </w:p>
        </w:tc>
        <w:tc>
          <w:tcPr>
            <w:tcW w:w="660" w:type="dxa"/>
            <w:vAlign w:val="bottom"/>
          </w:tcPr>
          <w:p>
            <w:pPr>
              <w:jc w:val="right"/>
              <w:ind w:right="66"/>
              <w:spacing w:after="0"/>
              <w:rPr>
                <w:sz w:val="20"/>
                <w:szCs w:val="20"/>
                <w:color w:val="auto"/>
              </w:rPr>
            </w:pPr>
            <w:r>
              <w:rPr>
                <w:rFonts w:ascii="Arial" w:cs="Arial" w:eastAsia="Arial" w:hAnsi="Arial"/>
                <w:sz w:val="11"/>
                <w:szCs w:val="11"/>
                <w:color w:val="3D3935"/>
              </w:rPr>
              <w:t>12/7/2023</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ind w:left="240"/>
              <w:spacing w:after="0"/>
              <w:rPr>
                <w:sz w:val="20"/>
                <w:szCs w:val="20"/>
                <w:color w:val="auto"/>
              </w:rPr>
            </w:pPr>
            <w:r>
              <w:rPr>
                <w:rFonts w:ascii="Arial" w:cs="Arial" w:eastAsia="Arial" w:hAnsi="Arial"/>
                <w:sz w:val="11"/>
                <w:szCs w:val="11"/>
                <w:color w:val="3D3935"/>
              </w:rPr>
              <w:t>33,786</w:t>
            </w:r>
          </w:p>
        </w:tc>
        <w:tc>
          <w:tcPr>
            <w:tcW w:w="560" w:type="dxa"/>
            <w:vAlign w:val="bottom"/>
          </w:tcPr>
          <w:p>
            <w:pPr>
              <w:jc w:val="right"/>
              <w:ind w:right="66"/>
              <w:spacing w:after="0"/>
              <w:rPr>
                <w:sz w:val="20"/>
                <w:szCs w:val="20"/>
                <w:color w:val="auto"/>
              </w:rPr>
            </w:pPr>
            <w:r>
              <w:rPr>
                <w:rFonts w:ascii="Arial" w:cs="Arial" w:eastAsia="Arial" w:hAnsi="Arial"/>
                <w:sz w:val="11"/>
                <w:szCs w:val="11"/>
                <w:color w:val="3D3935"/>
              </w:rPr>
              <w:t>337,863</w:t>
            </w:r>
          </w:p>
        </w:tc>
        <w:tc>
          <w:tcPr>
            <w:tcW w:w="540" w:type="dxa"/>
            <w:vAlign w:val="bottom"/>
          </w:tcPr>
          <w:p>
            <w:pPr>
              <w:jc w:val="right"/>
              <w:ind w:right="6"/>
              <w:spacing w:after="0"/>
              <w:rPr>
                <w:sz w:val="20"/>
                <w:szCs w:val="20"/>
                <w:color w:val="auto"/>
              </w:rPr>
            </w:pPr>
            <w:r>
              <w:rPr>
                <w:rFonts w:ascii="Arial" w:cs="Arial" w:eastAsia="Arial" w:hAnsi="Arial"/>
                <w:sz w:val="11"/>
                <w:szCs w:val="11"/>
                <w:color w:val="3D3935"/>
              </w:rPr>
              <w:t>675,726</w:t>
            </w: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3D3935"/>
              </w:rPr>
              <w:t>14,625,000</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20" w:type="dxa"/>
            <w:vAlign w:val="bottom"/>
          </w:tcPr>
          <w:p>
            <w:pPr>
              <w:jc w:val="right"/>
              <w:ind w:right="26"/>
              <w:spacing w:after="0"/>
              <w:rPr>
                <w:sz w:val="20"/>
                <w:szCs w:val="20"/>
                <w:color w:val="auto"/>
              </w:rPr>
            </w:pPr>
            <w:r>
              <w:rPr>
                <w:rFonts w:ascii="Arial" w:cs="Arial" w:eastAsia="Arial" w:hAnsi="Arial"/>
                <w:sz w:val="11"/>
                <w:szCs w:val="11"/>
                <w:color w:val="3D3935"/>
              </w:rPr>
              <w:t>RSU</w:t>
            </w:r>
          </w:p>
        </w:tc>
        <w:tc>
          <w:tcPr>
            <w:tcW w:w="660" w:type="dxa"/>
            <w:vAlign w:val="bottom"/>
          </w:tcPr>
          <w:p>
            <w:pPr>
              <w:jc w:val="right"/>
              <w:ind w:right="106"/>
              <w:spacing w:after="0"/>
              <w:rPr>
                <w:sz w:val="20"/>
                <w:szCs w:val="20"/>
                <w:color w:val="auto"/>
              </w:rPr>
            </w:pPr>
            <w:r>
              <w:rPr>
                <w:rFonts w:ascii="Arial" w:cs="Arial" w:eastAsia="Arial" w:hAnsi="Arial"/>
                <w:sz w:val="11"/>
                <w:szCs w:val="11"/>
                <w:color w:val="3D3935"/>
              </w:rPr>
              <w:t>2/6/2024</w:t>
            </w:r>
          </w:p>
        </w:tc>
        <w:tc>
          <w:tcPr>
            <w:tcW w:w="660" w:type="dxa"/>
            <w:vAlign w:val="bottom"/>
          </w:tcPr>
          <w:p>
            <w:pPr>
              <w:jc w:val="right"/>
              <w:ind w:right="66"/>
              <w:spacing w:after="0"/>
              <w:rPr>
                <w:sz w:val="20"/>
                <w:szCs w:val="20"/>
                <w:color w:val="auto"/>
              </w:rPr>
            </w:pPr>
            <w:r>
              <w:rPr>
                <w:rFonts w:ascii="Arial" w:cs="Arial" w:eastAsia="Arial" w:hAnsi="Arial"/>
                <w:sz w:val="11"/>
                <w:szCs w:val="11"/>
                <w:color w:val="3D3935"/>
              </w:rPr>
              <w:t>12/7/2023</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3D3935"/>
              </w:rPr>
              <w:t>128,189</w:t>
            </w: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3D3935"/>
              </w:rPr>
              <w:t>4,875,028</w:t>
            </w:r>
          </w:p>
        </w:tc>
        <w:tc>
          <w:tcPr>
            <w:tcW w:w="0" w:type="dxa"/>
            <w:vAlign w:val="bottom"/>
          </w:tcPr>
          <w:p>
            <w:pPr>
              <w:spacing w:after="0"/>
              <w:rPr>
                <w:sz w:val="1"/>
                <w:szCs w:val="1"/>
                <w:color w:val="auto"/>
              </w:rPr>
            </w:pPr>
          </w:p>
        </w:tc>
      </w:tr>
      <w:tr>
        <w:trPr>
          <w:trHeight w:val="209"/>
        </w:trPr>
        <w:tc>
          <w:tcPr>
            <w:tcW w:w="820" w:type="dxa"/>
            <w:vAlign w:val="bottom"/>
          </w:tcPr>
          <w:p>
            <w:pPr>
              <w:spacing w:after="0"/>
              <w:rPr>
                <w:sz w:val="20"/>
                <w:szCs w:val="20"/>
                <w:color w:val="auto"/>
              </w:rPr>
            </w:pPr>
            <w:r>
              <w:rPr>
                <w:rFonts w:ascii="Arial" w:cs="Arial" w:eastAsia="Arial" w:hAnsi="Arial"/>
                <w:sz w:val="11"/>
                <w:szCs w:val="11"/>
                <w:b w:val="1"/>
                <w:bCs w:val="1"/>
                <w:color w:val="0072CE"/>
              </w:rPr>
              <w:t>Paul A.</w:t>
            </w:r>
          </w:p>
        </w:tc>
        <w:tc>
          <w:tcPr>
            <w:tcW w:w="520" w:type="dxa"/>
            <w:vAlign w:val="bottom"/>
          </w:tcPr>
          <w:p>
            <w:pPr>
              <w:jc w:val="right"/>
              <w:ind w:right="26"/>
              <w:spacing w:after="0"/>
              <w:rPr>
                <w:sz w:val="20"/>
                <w:szCs w:val="20"/>
                <w:color w:val="auto"/>
              </w:rPr>
            </w:pPr>
            <w:r>
              <w:rPr>
                <w:rFonts w:ascii="Arial" w:cs="Arial" w:eastAsia="Arial" w:hAnsi="Arial"/>
                <w:sz w:val="11"/>
                <w:szCs w:val="11"/>
                <w:color w:val="3D3935"/>
              </w:rPr>
              <w:t>STIP</w:t>
            </w:r>
          </w:p>
        </w:tc>
        <w:tc>
          <w:tcPr>
            <w:tcW w:w="660" w:type="dxa"/>
            <w:vAlign w:val="bottom"/>
          </w:tcPr>
          <w:p>
            <w:pPr>
              <w:jc w:val="right"/>
              <w:ind w:right="46"/>
              <w:spacing w:after="0"/>
              <w:rPr>
                <w:sz w:val="20"/>
                <w:szCs w:val="20"/>
                <w:color w:val="auto"/>
              </w:rPr>
            </w:pPr>
            <w:r>
              <w:rPr>
                <w:rFonts w:ascii="Arial" w:cs="Arial" w:eastAsia="Arial" w:hAnsi="Arial"/>
                <w:sz w:val="11"/>
                <w:szCs w:val="11"/>
                <w:color w:val="3D3935"/>
              </w:rPr>
              <w:t>1/1/2024</w:t>
            </w:r>
          </w:p>
        </w:tc>
        <w:tc>
          <w:tcPr>
            <w:tcW w:w="660" w:type="dxa"/>
            <w:vAlign w:val="bottom"/>
          </w:tcPr>
          <w:p>
            <w:pPr>
              <w:jc w:val="right"/>
              <w:ind w:right="66"/>
              <w:spacing w:after="0"/>
              <w:rPr>
                <w:sz w:val="20"/>
                <w:szCs w:val="20"/>
                <w:color w:val="auto"/>
              </w:rPr>
            </w:pPr>
            <w:r>
              <w:rPr>
                <w:rFonts w:ascii="Arial" w:cs="Arial" w:eastAsia="Arial" w:hAnsi="Arial"/>
                <w:sz w:val="11"/>
                <w:szCs w:val="11"/>
                <w:color w:val="3D3935"/>
              </w:rPr>
              <w:t>12/7/2023</w:t>
            </w:r>
          </w:p>
        </w:tc>
        <w:tc>
          <w:tcPr>
            <w:tcW w:w="620" w:type="dxa"/>
            <w:vAlign w:val="bottom"/>
          </w:tcPr>
          <w:p>
            <w:pPr>
              <w:jc w:val="right"/>
              <w:ind w:right="6"/>
              <w:spacing w:after="0"/>
              <w:rPr>
                <w:sz w:val="20"/>
                <w:szCs w:val="20"/>
                <w:color w:val="auto"/>
              </w:rPr>
            </w:pPr>
            <w:r>
              <w:rPr>
                <w:rFonts w:ascii="Arial" w:cs="Arial" w:eastAsia="Arial" w:hAnsi="Arial"/>
                <w:sz w:val="11"/>
                <w:szCs w:val="11"/>
                <w:color w:val="3D3935"/>
              </w:rPr>
              <w:t>93,750</w:t>
            </w:r>
          </w:p>
        </w:tc>
        <w:tc>
          <w:tcPr>
            <w:tcW w:w="700" w:type="dxa"/>
            <w:vAlign w:val="bottom"/>
          </w:tcPr>
          <w:p>
            <w:pPr>
              <w:jc w:val="center"/>
              <w:spacing w:after="0"/>
              <w:rPr>
                <w:sz w:val="20"/>
                <w:szCs w:val="20"/>
                <w:color w:val="auto"/>
              </w:rPr>
            </w:pPr>
            <w:r>
              <w:rPr>
                <w:rFonts w:ascii="Arial" w:cs="Arial" w:eastAsia="Arial" w:hAnsi="Arial"/>
                <w:sz w:val="11"/>
                <w:szCs w:val="11"/>
                <w:color w:val="3D3935"/>
                <w:w w:val="97"/>
              </w:rPr>
              <w:t>1,500,000</w:t>
            </w:r>
          </w:p>
        </w:tc>
        <w:tc>
          <w:tcPr>
            <w:tcW w:w="660" w:type="dxa"/>
            <w:vAlign w:val="bottom"/>
          </w:tcPr>
          <w:p>
            <w:pPr>
              <w:jc w:val="right"/>
              <w:ind w:right="86"/>
              <w:spacing w:after="0"/>
              <w:rPr>
                <w:sz w:val="20"/>
                <w:szCs w:val="20"/>
                <w:color w:val="auto"/>
              </w:rPr>
            </w:pPr>
            <w:r>
              <w:rPr>
                <w:rFonts w:ascii="Arial" w:cs="Arial" w:eastAsia="Arial" w:hAnsi="Arial"/>
                <w:sz w:val="11"/>
                <w:szCs w:val="11"/>
                <w:color w:val="3D3935"/>
              </w:rPr>
              <w:t>3,000,000</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20"/>
                <w:szCs w:val="20"/>
                <w:color w:val="auto"/>
              </w:rPr>
            </w:pPr>
            <w:r>
              <w:rPr>
                <w:rFonts w:ascii="Arial" w:cs="Arial" w:eastAsia="Arial" w:hAnsi="Arial"/>
                <w:sz w:val="11"/>
                <w:szCs w:val="11"/>
                <w:b w:val="1"/>
                <w:bCs w:val="1"/>
                <w:color w:val="0072CE"/>
              </w:rPr>
              <w:t>Jacobson</w:t>
            </w:r>
          </w:p>
        </w:tc>
        <w:tc>
          <w:tcPr>
            <w:tcW w:w="520" w:type="dxa"/>
            <w:vAlign w:val="bottom"/>
            <w:vMerge w:val="restart"/>
          </w:tcPr>
          <w:p>
            <w:pPr>
              <w:jc w:val="right"/>
              <w:ind w:right="26"/>
              <w:spacing w:after="0"/>
              <w:rPr>
                <w:sz w:val="20"/>
                <w:szCs w:val="20"/>
                <w:color w:val="auto"/>
              </w:rPr>
            </w:pPr>
            <w:r>
              <w:rPr>
                <w:rFonts w:ascii="Arial" w:cs="Arial" w:eastAsia="Arial" w:hAnsi="Arial"/>
                <w:sz w:val="11"/>
                <w:szCs w:val="11"/>
                <w:color w:val="3D3935"/>
              </w:rPr>
              <w:t>PSU</w:t>
            </w:r>
          </w:p>
        </w:tc>
        <w:tc>
          <w:tcPr>
            <w:tcW w:w="660" w:type="dxa"/>
            <w:vAlign w:val="bottom"/>
            <w:vMerge w:val="restart"/>
          </w:tcPr>
          <w:p>
            <w:pPr>
              <w:jc w:val="right"/>
              <w:ind w:right="106"/>
              <w:spacing w:after="0"/>
              <w:rPr>
                <w:sz w:val="20"/>
                <w:szCs w:val="20"/>
                <w:color w:val="auto"/>
              </w:rPr>
            </w:pPr>
            <w:r>
              <w:rPr>
                <w:rFonts w:ascii="Arial" w:cs="Arial" w:eastAsia="Arial" w:hAnsi="Arial"/>
                <w:sz w:val="11"/>
                <w:szCs w:val="11"/>
                <w:color w:val="3D3935"/>
              </w:rPr>
              <w:t>2/6/2024</w:t>
            </w:r>
          </w:p>
        </w:tc>
        <w:tc>
          <w:tcPr>
            <w:tcW w:w="660" w:type="dxa"/>
            <w:vAlign w:val="bottom"/>
            <w:vMerge w:val="restart"/>
          </w:tcPr>
          <w:p>
            <w:pPr>
              <w:jc w:val="right"/>
              <w:ind w:right="66"/>
              <w:spacing w:after="0"/>
              <w:rPr>
                <w:sz w:val="20"/>
                <w:szCs w:val="20"/>
                <w:color w:val="auto"/>
              </w:rPr>
            </w:pPr>
            <w:r>
              <w:rPr>
                <w:rFonts w:ascii="Arial" w:cs="Arial" w:eastAsia="Arial" w:hAnsi="Arial"/>
                <w:sz w:val="11"/>
                <w:szCs w:val="11"/>
                <w:color w:val="3D3935"/>
              </w:rPr>
              <w:t>12/7/2023</w:t>
            </w: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vMerge w:val="restart"/>
          </w:tcPr>
          <w:p>
            <w:pPr>
              <w:ind w:left="300"/>
              <w:spacing w:after="0"/>
              <w:rPr>
                <w:sz w:val="20"/>
                <w:szCs w:val="20"/>
                <w:color w:val="auto"/>
              </w:rPr>
            </w:pPr>
            <w:r>
              <w:rPr>
                <w:rFonts w:ascii="Arial" w:cs="Arial" w:eastAsia="Arial" w:hAnsi="Arial"/>
                <w:sz w:val="11"/>
                <w:szCs w:val="11"/>
                <w:color w:val="3D3935"/>
              </w:rPr>
              <w:t>16,114</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3D3935"/>
              </w:rPr>
              <w:t>161,135</w:t>
            </w:r>
          </w:p>
        </w:tc>
        <w:tc>
          <w:tcPr>
            <w:tcW w:w="540" w:type="dxa"/>
            <w:vAlign w:val="bottom"/>
            <w:vMerge w:val="restart"/>
          </w:tcPr>
          <w:p>
            <w:pPr>
              <w:jc w:val="right"/>
              <w:ind w:right="26"/>
              <w:spacing w:after="0"/>
              <w:rPr>
                <w:sz w:val="20"/>
                <w:szCs w:val="20"/>
                <w:color w:val="auto"/>
              </w:rPr>
            </w:pPr>
            <w:r>
              <w:rPr>
                <w:rFonts w:ascii="Arial" w:cs="Arial" w:eastAsia="Arial" w:hAnsi="Arial"/>
                <w:sz w:val="11"/>
                <w:szCs w:val="11"/>
                <w:color w:val="3D3935"/>
              </w:rPr>
              <w:t>322,270</w:t>
            </w: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3D3935"/>
              </w:rPr>
              <w:t>6,975,000</w:t>
            </w:r>
          </w:p>
        </w:tc>
        <w:tc>
          <w:tcPr>
            <w:tcW w:w="0" w:type="dxa"/>
            <w:vAlign w:val="bottom"/>
          </w:tcPr>
          <w:p>
            <w:pPr>
              <w:spacing w:after="0"/>
              <w:rPr>
                <w:sz w:val="1"/>
                <w:szCs w:val="1"/>
                <w:color w:val="auto"/>
              </w:rPr>
            </w:pPr>
          </w:p>
        </w:tc>
      </w:tr>
      <w:tr>
        <w:trPr>
          <w:trHeight w:val="75"/>
        </w:trPr>
        <w:tc>
          <w:tcPr>
            <w:tcW w:w="82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20" w:type="dxa"/>
            <w:vAlign w:val="bottom"/>
          </w:tcPr>
          <w:p>
            <w:pPr>
              <w:jc w:val="right"/>
              <w:ind w:right="26"/>
              <w:spacing w:after="0"/>
              <w:rPr>
                <w:sz w:val="20"/>
                <w:szCs w:val="20"/>
                <w:color w:val="auto"/>
              </w:rPr>
            </w:pPr>
            <w:r>
              <w:rPr>
                <w:rFonts w:ascii="Arial" w:cs="Arial" w:eastAsia="Arial" w:hAnsi="Arial"/>
                <w:sz w:val="11"/>
                <w:szCs w:val="11"/>
                <w:color w:val="3D3935"/>
              </w:rPr>
              <w:t>RSU</w:t>
            </w:r>
          </w:p>
        </w:tc>
        <w:tc>
          <w:tcPr>
            <w:tcW w:w="660" w:type="dxa"/>
            <w:vAlign w:val="bottom"/>
          </w:tcPr>
          <w:p>
            <w:pPr>
              <w:jc w:val="right"/>
              <w:ind w:right="106"/>
              <w:spacing w:after="0"/>
              <w:rPr>
                <w:sz w:val="20"/>
                <w:szCs w:val="20"/>
                <w:color w:val="auto"/>
              </w:rPr>
            </w:pPr>
            <w:r>
              <w:rPr>
                <w:rFonts w:ascii="Arial" w:cs="Arial" w:eastAsia="Arial" w:hAnsi="Arial"/>
                <w:sz w:val="11"/>
                <w:szCs w:val="11"/>
                <w:color w:val="3D3935"/>
              </w:rPr>
              <w:t>2/6/2024</w:t>
            </w:r>
          </w:p>
        </w:tc>
        <w:tc>
          <w:tcPr>
            <w:tcW w:w="660" w:type="dxa"/>
            <w:vAlign w:val="bottom"/>
          </w:tcPr>
          <w:p>
            <w:pPr>
              <w:jc w:val="right"/>
              <w:ind w:right="66"/>
              <w:spacing w:after="0"/>
              <w:rPr>
                <w:sz w:val="20"/>
                <w:szCs w:val="20"/>
                <w:color w:val="auto"/>
              </w:rPr>
            </w:pPr>
            <w:r>
              <w:rPr>
                <w:rFonts w:ascii="Arial" w:cs="Arial" w:eastAsia="Arial" w:hAnsi="Arial"/>
                <w:sz w:val="11"/>
                <w:szCs w:val="11"/>
                <w:color w:val="3D3935"/>
              </w:rPr>
              <w:t>12/7/2023</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3D3935"/>
              </w:rPr>
              <w:t>61,136</w:t>
            </w: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3D3935"/>
              </w:rPr>
              <w:t>2,325,002</w:t>
            </w:r>
          </w:p>
        </w:tc>
        <w:tc>
          <w:tcPr>
            <w:tcW w:w="0" w:type="dxa"/>
            <w:vAlign w:val="bottom"/>
          </w:tcPr>
          <w:p>
            <w:pPr>
              <w:spacing w:after="0"/>
              <w:rPr>
                <w:sz w:val="1"/>
                <w:szCs w:val="1"/>
                <w:color w:val="auto"/>
              </w:rPr>
            </w:pPr>
          </w:p>
        </w:tc>
      </w:tr>
      <w:tr>
        <w:trPr>
          <w:trHeight w:val="222"/>
        </w:trPr>
        <w:tc>
          <w:tcPr>
            <w:tcW w:w="820" w:type="dxa"/>
            <w:vAlign w:val="bottom"/>
          </w:tcPr>
          <w:p>
            <w:pPr>
              <w:spacing w:after="0"/>
              <w:rPr>
                <w:sz w:val="20"/>
                <w:szCs w:val="20"/>
                <w:color w:val="auto"/>
              </w:rPr>
            </w:pPr>
            <w:r>
              <w:rPr>
                <w:rFonts w:ascii="Arial" w:cs="Arial" w:eastAsia="Arial" w:hAnsi="Arial"/>
                <w:sz w:val="11"/>
                <w:szCs w:val="11"/>
                <w:b w:val="1"/>
                <w:bCs w:val="1"/>
                <w:color w:val="0072CE"/>
              </w:rPr>
              <w:t>Mark L. Reuss</w:t>
            </w:r>
          </w:p>
        </w:tc>
        <w:tc>
          <w:tcPr>
            <w:tcW w:w="520" w:type="dxa"/>
            <w:vAlign w:val="bottom"/>
          </w:tcPr>
          <w:p>
            <w:pPr>
              <w:jc w:val="right"/>
              <w:ind w:right="26"/>
              <w:spacing w:after="0"/>
              <w:rPr>
                <w:sz w:val="20"/>
                <w:szCs w:val="20"/>
                <w:color w:val="auto"/>
              </w:rPr>
            </w:pPr>
            <w:r>
              <w:rPr>
                <w:rFonts w:ascii="Arial" w:cs="Arial" w:eastAsia="Arial" w:hAnsi="Arial"/>
                <w:sz w:val="11"/>
                <w:szCs w:val="11"/>
                <w:color w:val="3D3935"/>
              </w:rPr>
              <w:t>STIP</w:t>
            </w:r>
          </w:p>
        </w:tc>
        <w:tc>
          <w:tcPr>
            <w:tcW w:w="660" w:type="dxa"/>
            <w:vAlign w:val="bottom"/>
          </w:tcPr>
          <w:p>
            <w:pPr>
              <w:jc w:val="right"/>
              <w:ind w:right="46"/>
              <w:spacing w:after="0"/>
              <w:rPr>
                <w:sz w:val="20"/>
                <w:szCs w:val="20"/>
                <w:color w:val="auto"/>
              </w:rPr>
            </w:pPr>
            <w:r>
              <w:rPr>
                <w:rFonts w:ascii="Arial" w:cs="Arial" w:eastAsia="Arial" w:hAnsi="Arial"/>
                <w:sz w:val="11"/>
                <w:szCs w:val="11"/>
                <w:color w:val="3D3935"/>
              </w:rPr>
              <w:t>1/1/2024</w:t>
            </w:r>
          </w:p>
        </w:tc>
        <w:tc>
          <w:tcPr>
            <w:tcW w:w="660" w:type="dxa"/>
            <w:vAlign w:val="bottom"/>
          </w:tcPr>
          <w:p>
            <w:pPr>
              <w:jc w:val="right"/>
              <w:ind w:right="66"/>
              <w:spacing w:after="0"/>
              <w:rPr>
                <w:sz w:val="20"/>
                <w:szCs w:val="20"/>
                <w:color w:val="auto"/>
              </w:rPr>
            </w:pPr>
            <w:r>
              <w:rPr>
                <w:rFonts w:ascii="Arial" w:cs="Arial" w:eastAsia="Arial" w:hAnsi="Arial"/>
                <w:sz w:val="11"/>
                <w:szCs w:val="11"/>
                <w:color w:val="3D3935"/>
              </w:rPr>
              <w:t>12/7/2023</w:t>
            </w:r>
          </w:p>
        </w:tc>
        <w:tc>
          <w:tcPr>
            <w:tcW w:w="620" w:type="dxa"/>
            <w:vAlign w:val="bottom"/>
          </w:tcPr>
          <w:p>
            <w:pPr>
              <w:jc w:val="right"/>
              <w:ind w:right="6"/>
              <w:spacing w:after="0"/>
              <w:rPr>
                <w:sz w:val="20"/>
                <w:szCs w:val="20"/>
                <w:color w:val="auto"/>
              </w:rPr>
            </w:pPr>
            <w:r>
              <w:rPr>
                <w:rFonts w:ascii="Arial" w:cs="Arial" w:eastAsia="Arial" w:hAnsi="Arial"/>
                <w:sz w:val="11"/>
                <w:szCs w:val="11"/>
                <w:color w:val="3D3935"/>
              </w:rPr>
              <w:t>105,469</w:t>
            </w:r>
          </w:p>
        </w:tc>
        <w:tc>
          <w:tcPr>
            <w:tcW w:w="700" w:type="dxa"/>
            <w:vAlign w:val="bottom"/>
          </w:tcPr>
          <w:p>
            <w:pPr>
              <w:jc w:val="right"/>
              <w:ind w:right="46"/>
              <w:spacing w:after="0"/>
              <w:rPr>
                <w:sz w:val="20"/>
                <w:szCs w:val="20"/>
                <w:color w:val="auto"/>
              </w:rPr>
            </w:pPr>
            <w:r>
              <w:rPr>
                <w:rFonts w:ascii="Arial" w:cs="Arial" w:eastAsia="Arial" w:hAnsi="Arial"/>
                <w:sz w:val="11"/>
                <w:szCs w:val="11"/>
                <w:color w:val="3D3935"/>
              </w:rPr>
              <w:t>1,687,500</w:t>
            </w:r>
          </w:p>
        </w:tc>
        <w:tc>
          <w:tcPr>
            <w:tcW w:w="660" w:type="dxa"/>
            <w:vAlign w:val="bottom"/>
          </w:tcPr>
          <w:p>
            <w:pPr>
              <w:jc w:val="right"/>
              <w:ind w:right="66"/>
              <w:spacing w:after="0"/>
              <w:rPr>
                <w:sz w:val="20"/>
                <w:szCs w:val="20"/>
                <w:color w:val="auto"/>
              </w:rPr>
            </w:pPr>
            <w:r>
              <w:rPr>
                <w:rFonts w:ascii="Arial" w:cs="Arial" w:eastAsia="Arial" w:hAnsi="Arial"/>
                <w:sz w:val="11"/>
                <w:szCs w:val="11"/>
                <w:color w:val="3D3935"/>
              </w:rPr>
              <w:t>3,375,000</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520" w:type="dxa"/>
            <w:vAlign w:val="bottom"/>
          </w:tcPr>
          <w:p>
            <w:pPr>
              <w:jc w:val="right"/>
              <w:ind w:right="26"/>
              <w:spacing w:after="0"/>
              <w:rPr>
                <w:sz w:val="20"/>
                <w:szCs w:val="20"/>
                <w:color w:val="auto"/>
              </w:rPr>
            </w:pPr>
            <w:r>
              <w:rPr>
                <w:rFonts w:ascii="Arial" w:cs="Arial" w:eastAsia="Arial" w:hAnsi="Arial"/>
                <w:sz w:val="11"/>
                <w:szCs w:val="11"/>
                <w:color w:val="3D3935"/>
              </w:rPr>
              <w:t>PSU</w:t>
            </w:r>
          </w:p>
        </w:tc>
        <w:tc>
          <w:tcPr>
            <w:tcW w:w="660" w:type="dxa"/>
            <w:vAlign w:val="bottom"/>
          </w:tcPr>
          <w:p>
            <w:pPr>
              <w:jc w:val="right"/>
              <w:ind w:right="106"/>
              <w:spacing w:after="0"/>
              <w:rPr>
                <w:sz w:val="20"/>
                <w:szCs w:val="20"/>
                <w:color w:val="auto"/>
              </w:rPr>
            </w:pPr>
            <w:r>
              <w:rPr>
                <w:rFonts w:ascii="Arial" w:cs="Arial" w:eastAsia="Arial" w:hAnsi="Arial"/>
                <w:sz w:val="11"/>
                <w:szCs w:val="11"/>
                <w:color w:val="3D3935"/>
              </w:rPr>
              <w:t>2/6/2024</w:t>
            </w:r>
          </w:p>
        </w:tc>
        <w:tc>
          <w:tcPr>
            <w:tcW w:w="660" w:type="dxa"/>
            <w:vAlign w:val="bottom"/>
          </w:tcPr>
          <w:p>
            <w:pPr>
              <w:jc w:val="right"/>
              <w:ind w:right="66"/>
              <w:spacing w:after="0"/>
              <w:rPr>
                <w:sz w:val="20"/>
                <w:szCs w:val="20"/>
                <w:color w:val="auto"/>
              </w:rPr>
            </w:pPr>
            <w:r>
              <w:rPr>
                <w:rFonts w:ascii="Arial" w:cs="Arial" w:eastAsia="Arial" w:hAnsi="Arial"/>
                <w:sz w:val="11"/>
                <w:szCs w:val="11"/>
                <w:color w:val="3D3935"/>
              </w:rPr>
              <w:t>12/7/2023</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ind w:left="240"/>
              <w:spacing w:after="0"/>
              <w:rPr>
                <w:sz w:val="20"/>
                <w:szCs w:val="20"/>
                <w:color w:val="auto"/>
              </w:rPr>
            </w:pPr>
            <w:r>
              <w:rPr>
                <w:rFonts w:ascii="Arial" w:cs="Arial" w:eastAsia="Arial" w:hAnsi="Arial"/>
                <w:sz w:val="11"/>
                <w:szCs w:val="11"/>
                <w:color w:val="3D3935"/>
              </w:rPr>
              <w:t>24,192</w:t>
            </w:r>
          </w:p>
        </w:tc>
        <w:tc>
          <w:tcPr>
            <w:tcW w:w="560" w:type="dxa"/>
            <w:vAlign w:val="bottom"/>
          </w:tcPr>
          <w:p>
            <w:pPr>
              <w:jc w:val="right"/>
              <w:ind w:right="26"/>
              <w:spacing w:after="0"/>
              <w:rPr>
                <w:sz w:val="20"/>
                <w:szCs w:val="20"/>
                <w:color w:val="auto"/>
              </w:rPr>
            </w:pPr>
            <w:r>
              <w:rPr>
                <w:rFonts w:ascii="Arial" w:cs="Arial" w:eastAsia="Arial" w:hAnsi="Arial"/>
                <w:sz w:val="11"/>
                <w:szCs w:val="11"/>
                <w:color w:val="3D3935"/>
              </w:rPr>
              <w:t>241,918</w:t>
            </w:r>
          </w:p>
        </w:tc>
        <w:tc>
          <w:tcPr>
            <w:tcW w:w="540" w:type="dxa"/>
            <w:vAlign w:val="bottom"/>
          </w:tcPr>
          <w:p>
            <w:pPr>
              <w:jc w:val="right"/>
              <w:ind w:right="26"/>
              <w:spacing w:after="0"/>
              <w:rPr>
                <w:sz w:val="20"/>
                <w:szCs w:val="20"/>
                <w:color w:val="auto"/>
              </w:rPr>
            </w:pPr>
            <w:r>
              <w:rPr>
                <w:rFonts w:ascii="Arial" w:cs="Arial" w:eastAsia="Arial" w:hAnsi="Arial"/>
                <w:sz w:val="11"/>
                <w:szCs w:val="11"/>
                <w:color w:val="3D3935"/>
              </w:rPr>
              <w:t>483,836</w:t>
            </w: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3D3935"/>
              </w:rPr>
              <w:t>10,471,875</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20" w:type="dxa"/>
            <w:vAlign w:val="bottom"/>
          </w:tcPr>
          <w:p>
            <w:pPr>
              <w:jc w:val="right"/>
              <w:ind w:right="26"/>
              <w:spacing w:after="0"/>
              <w:rPr>
                <w:sz w:val="20"/>
                <w:szCs w:val="20"/>
                <w:color w:val="auto"/>
              </w:rPr>
            </w:pPr>
            <w:r>
              <w:rPr>
                <w:rFonts w:ascii="Arial" w:cs="Arial" w:eastAsia="Arial" w:hAnsi="Arial"/>
                <w:sz w:val="11"/>
                <w:szCs w:val="11"/>
                <w:color w:val="3D3935"/>
              </w:rPr>
              <w:t>RSU</w:t>
            </w:r>
          </w:p>
        </w:tc>
        <w:tc>
          <w:tcPr>
            <w:tcW w:w="660" w:type="dxa"/>
            <w:vAlign w:val="bottom"/>
          </w:tcPr>
          <w:p>
            <w:pPr>
              <w:jc w:val="right"/>
              <w:ind w:right="106"/>
              <w:spacing w:after="0"/>
              <w:rPr>
                <w:sz w:val="20"/>
                <w:szCs w:val="20"/>
                <w:color w:val="auto"/>
              </w:rPr>
            </w:pPr>
            <w:r>
              <w:rPr>
                <w:rFonts w:ascii="Arial" w:cs="Arial" w:eastAsia="Arial" w:hAnsi="Arial"/>
                <w:sz w:val="11"/>
                <w:szCs w:val="11"/>
                <w:color w:val="3D3935"/>
              </w:rPr>
              <w:t>2/6/2024</w:t>
            </w:r>
          </w:p>
        </w:tc>
        <w:tc>
          <w:tcPr>
            <w:tcW w:w="660" w:type="dxa"/>
            <w:vAlign w:val="bottom"/>
          </w:tcPr>
          <w:p>
            <w:pPr>
              <w:jc w:val="right"/>
              <w:ind w:right="66"/>
              <w:spacing w:after="0"/>
              <w:rPr>
                <w:sz w:val="20"/>
                <w:szCs w:val="20"/>
                <w:color w:val="auto"/>
              </w:rPr>
            </w:pPr>
            <w:r>
              <w:rPr>
                <w:rFonts w:ascii="Arial" w:cs="Arial" w:eastAsia="Arial" w:hAnsi="Arial"/>
                <w:sz w:val="11"/>
                <w:szCs w:val="11"/>
                <w:color w:val="3D3935"/>
              </w:rPr>
              <w:t>12/7/2023</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3D3935"/>
              </w:rPr>
              <w:t>91,787</w:t>
            </w: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3D3935"/>
              </w:rPr>
              <w:t>3,490,660</w:t>
            </w:r>
          </w:p>
        </w:tc>
        <w:tc>
          <w:tcPr>
            <w:tcW w:w="0" w:type="dxa"/>
            <w:vAlign w:val="bottom"/>
          </w:tcPr>
          <w:p>
            <w:pPr>
              <w:spacing w:after="0"/>
              <w:rPr>
                <w:sz w:val="1"/>
                <w:szCs w:val="1"/>
                <w:color w:val="auto"/>
              </w:rPr>
            </w:pPr>
          </w:p>
        </w:tc>
      </w:tr>
    </w:tbl>
    <w:p>
      <w:pPr>
        <w:sectPr>
          <w:pgSz w:w="11900" w:h="16838" w:orient="portrait"/>
          <w:cols w:equalWidth="0" w:num="1">
            <w:col w:w="9080"/>
          </w:cols>
          <w:pgMar w:left="1400" w:top="140" w:right="1419" w:bottom="0" w:gutter="0" w:footer="0" w:header="0"/>
        </w:sectPr>
      </w:pPr>
    </w:p>
    <w:bookmarkStart w:id="65" w:name="page66"/>
    <w:bookmarkEnd w:id="65"/>
    <w:p>
      <w:pPr>
        <w:spacing w:after="0" w:line="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48710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10375" cy="48710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6"/>
        </w:trPr>
        <w:tc>
          <w:tcPr>
            <w:tcW w:w="880" w:type="dxa"/>
            <w:vAlign w:val="bottom"/>
            <w:shd w:val="clear" w:color="auto" w:fill="F0F3F5"/>
          </w:tcPr>
          <w:p>
            <w:pPr>
              <w:ind w:left="60"/>
              <w:spacing w:after="0"/>
              <w:rPr>
                <w:sz w:val="20"/>
                <w:szCs w:val="20"/>
                <w:color w:val="auto"/>
              </w:rPr>
            </w:pPr>
            <w:r>
              <w:rPr>
                <w:rFonts w:ascii="Arial" w:cs="Arial" w:eastAsia="Arial" w:hAnsi="Arial"/>
                <w:sz w:val="11"/>
                <w:szCs w:val="11"/>
                <w:b w:val="1"/>
                <w:bCs w:val="1"/>
                <w:color w:val="0072CE"/>
              </w:rPr>
              <w:t>Michael</w:t>
            </w:r>
          </w:p>
        </w:tc>
        <w:tc>
          <w:tcPr>
            <w:tcW w:w="520" w:type="dxa"/>
            <w:vAlign w:val="bottom"/>
            <w:shd w:val="clear" w:color="auto" w:fill="F0F3F5"/>
          </w:tcPr>
          <w:p>
            <w:pPr>
              <w:jc w:val="right"/>
              <w:ind w:right="26"/>
              <w:spacing w:after="0"/>
              <w:rPr>
                <w:sz w:val="20"/>
                <w:szCs w:val="20"/>
                <w:color w:val="auto"/>
              </w:rPr>
            </w:pPr>
            <w:r>
              <w:rPr>
                <w:rFonts w:ascii="Arial" w:cs="Arial" w:eastAsia="Arial" w:hAnsi="Arial"/>
                <w:sz w:val="11"/>
                <w:szCs w:val="11"/>
                <w:color w:val="3D3935"/>
              </w:rPr>
              <w:t>STIP</w:t>
            </w:r>
          </w:p>
        </w:tc>
        <w:tc>
          <w:tcPr>
            <w:tcW w:w="640" w:type="dxa"/>
            <w:vAlign w:val="bottom"/>
            <w:shd w:val="clear" w:color="auto" w:fill="F0F3F5"/>
          </w:tcPr>
          <w:p>
            <w:pPr>
              <w:jc w:val="right"/>
              <w:ind w:right="26"/>
              <w:spacing w:after="0"/>
              <w:rPr>
                <w:sz w:val="20"/>
                <w:szCs w:val="20"/>
                <w:color w:val="auto"/>
              </w:rPr>
            </w:pPr>
            <w:r>
              <w:rPr>
                <w:rFonts w:ascii="Arial" w:cs="Arial" w:eastAsia="Arial" w:hAnsi="Arial"/>
                <w:sz w:val="11"/>
                <w:szCs w:val="11"/>
                <w:color w:val="3D3935"/>
              </w:rPr>
              <w:t>1/1/2024</w:t>
            </w:r>
          </w:p>
        </w:tc>
        <w:tc>
          <w:tcPr>
            <w:tcW w:w="660" w:type="dxa"/>
            <w:vAlign w:val="bottom"/>
            <w:shd w:val="clear" w:color="auto" w:fill="F0F3F5"/>
          </w:tcPr>
          <w:p>
            <w:pPr>
              <w:jc w:val="right"/>
              <w:ind w:right="46"/>
              <w:spacing w:after="0"/>
              <w:rPr>
                <w:sz w:val="20"/>
                <w:szCs w:val="20"/>
                <w:color w:val="auto"/>
              </w:rPr>
            </w:pPr>
            <w:r>
              <w:rPr>
                <w:rFonts w:ascii="Arial" w:cs="Arial" w:eastAsia="Arial" w:hAnsi="Arial"/>
                <w:sz w:val="11"/>
                <w:szCs w:val="11"/>
                <w:color w:val="3D3935"/>
              </w:rPr>
              <w:t>12/7/2023</w:t>
            </w:r>
          </w:p>
        </w:tc>
        <w:tc>
          <w:tcPr>
            <w:tcW w:w="660" w:type="dxa"/>
            <w:vAlign w:val="bottom"/>
            <w:shd w:val="clear" w:color="auto" w:fill="F0F3F5"/>
          </w:tcPr>
          <w:p>
            <w:pPr>
              <w:jc w:val="right"/>
              <w:ind w:right="26"/>
              <w:spacing w:after="0"/>
              <w:rPr>
                <w:sz w:val="20"/>
                <w:szCs w:val="20"/>
                <w:color w:val="auto"/>
              </w:rPr>
            </w:pPr>
            <w:r>
              <w:rPr>
                <w:rFonts w:ascii="Arial" w:cs="Arial" w:eastAsia="Arial" w:hAnsi="Arial"/>
                <w:sz w:val="11"/>
                <w:szCs w:val="11"/>
                <w:color w:val="3D3935"/>
              </w:rPr>
              <w:t>93,750</w:t>
            </w:r>
          </w:p>
        </w:tc>
        <w:tc>
          <w:tcPr>
            <w:tcW w:w="660" w:type="dxa"/>
            <w:vAlign w:val="bottom"/>
            <w:shd w:val="clear" w:color="auto" w:fill="F0F3F5"/>
          </w:tcPr>
          <w:p>
            <w:pPr>
              <w:jc w:val="right"/>
              <w:ind w:right="46"/>
              <w:spacing w:after="0"/>
              <w:rPr>
                <w:sz w:val="20"/>
                <w:szCs w:val="20"/>
                <w:color w:val="auto"/>
              </w:rPr>
            </w:pPr>
            <w:r>
              <w:rPr>
                <w:rFonts w:ascii="Arial" w:cs="Arial" w:eastAsia="Arial" w:hAnsi="Arial"/>
                <w:sz w:val="11"/>
                <w:szCs w:val="11"/>
                <w:color w:val="3D3935"/>
              </w:rPr>
              <w:t>1,500,000</w:t>
            </w:r>
          </w:p>
        </w:tc>
        <w:tc>
          <w:tcPr>
            <w:tcW w:w="640" w:type="dxa"/>
            <w:vAlign w:val="bottom"/>
            <w:shd w:val="clear" w:color="auto" w:fill="F0F3F5"/>
          </w:tcPr>
          <w:p>
            <w:pPr>
              <w:jc w:val="right"/>
              <w:ind w:right="46"/>
              <w:spacing w:after="0"/>
              <w:rPr>
                <w:sz w:val="20"/>
                <w:szCs w:val="20"/>
                <w:color w:val="auto"/>
              </w:rPr>
            </w:pPr>
            <w:r>
              <w:rPr>
                <w:rFonts w:ascii="Arial" w:cs="Arial" w:eastAsia="Arial" w:hAnsi="Arial"/>
                <w:sz w:val="11"/>
                <w:szCs w:val="11"/>
                <w:color w:val="3D3935"/>
              </w:rPr>
              <w:t>3,000,000</w:t>
            </w:r>
          </w:p>
        </w:tc>
        <w:tc>
          <w:tcPr>
            <w:tcW w:w="60" w:type="dxa"/>
            <w:vAlign w:val="bottom"/>
            <w:shd w:val="clear" w:color="auto" w:fill="F0F3F5"/>
          </w:tcPr>
          <w:p>
            <w:pPr>
              <w:spacing w:after="0"/>
              <w:rPr>
                <w:sz w:val="10"/>
                <w:szCs w:val="10"/>
                <w:color w:val="auto"/>
              </w:rPr>
            </w:pPr>
          </w:p>
        </w:tc>
        <w:tc>
          <w:tcPr>
            <w:tcW w:w="640" w:type="dxa"/>
            <w:vAlign w:val="bottom"/>
            <w:shd w:val="clear" w:color="auto" w:fill="F0F3F5"/>
          </w:tcPr>
          <w:p>
            <w:pPr>
              <w:spacing w:after="0"/>
              <w:rPr>
                <w:sz w:val="10"/>
                <w:szCs w:val="10"/>
                <w:color w:val="auto"/>
              </w:rPr>
            </w:pPr>
          </w:p>
        </w:tc>
        <w:tc>
          <w:tcPr>
            <w:tcW w:w="560" w:type="dxa"/>
            <w:vAlign w:val="bottom"/>
            <w:shd w:val="clear" w:color="auto" w:fill="F0F3F5"/>
          </w:tcPr>
          <w:p>
            <w:pPr>
              <w:spacing w:after="0"/>
              <w:rPr>
                <w:sz w:val="10"/>
                <w:szCs w:val="10"/>
                <w:color w:val="auto"/>
              </w:rPr>
            </w:pPr>
          </w:p>
        </w:tc>
        <w:tc>
          <w:tcPr>
            <w:tcW w:w="540" w:type="dxa"/>
            <w:vAlign w:val="bottom"/>
            <w:shd w:val="clear" w:color="auto" w:fill="F0F3F5"/>
          </w:tcPr>
          <w:p>
            <w:pPr>
              <w:spacing w:after="0"/>
              <w:rPr>
                <w:sz w:val="10"/>
                <w:szCs w:val="10"/>
                <w:color w:val="auto"/>
              </w:rPr>
            </w:pPr>
          </w:p>
        </w:tc>
        <w:tc>
          <w:tcPr>
            <w:tcW w:w="13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80" w:type="dxa"/>
            <w:vAlign w:val="bottom"/>
            <w:shd w:val="clear" w:color="auto" w:fill="F0F3F5"/>
          </w:tcPr>
          <w:p>
            <w:pPr>
              <w:ind w:left="60"/>
              <w:spacing w:after="0"/>
              <w:rPr>
                <w:sz w:val="20"/>
                <w:szCs w:val="20"/>
                <w:color w:val="auto"/>
              </w:rPr>
            </w:pPr>
            <w:r>
              <w:rPr>
                <w:rFonts w:ascii="Arial" w:cs="Arial" w:eastAsia="Arial" w:hAnsi="Arial"/>
                <w:sz w:val="11"/>
                <w:szCs w:val="11"/>
                <w:b w:val="1"/>
                <w:bCs w:val="1"/>
                <w:color w:val="0072CE"/>
              </w:rPr>
              <w:t>Abbott</w:t>
            </w:r>
            <w:r>
              <w:rPr>
                <w:rFonts w:ascii="Arial" w:cs="Arial" w:eastAsia="Arial" w:hAnsi="Arial"/>
                <w:sz w:val="7"/>
                <w:szCs w:val="7"/>
                <w:b w:val="1"/>
                <w:bCs w:val="1"/>
                <w:color w:val="0072CE"/>
              </w:rPr>
              <w:t>(2)</w:t>
            </w:r>
          </w:p>
        </w:tc>
        <w:tc>
          <w:tcPr>
            <w:tcW w:w="520" w:type="dxa"/>
            <w:vAlign w:val="bottom"/>
            <w:vMerge w:val="restart"/>
            <w:shd w:val="clear" w:color="auto" w:fill="F0F3F5"/>
          </w:tcPr>
          <w:p>
            <w:pPr>
              <w:jc w:val="right"/>
              <w:ind w:right="26"/>
              <w:spacing w:after="0"/>
              <w:rPr>
                <w:sz w:val="20"/>
                <w:szCs w:val="20"/>
                <w:color w:val="auto"/>
              </w:rPr>
            </w:pPr>
            <w:r>
              <w:rPr>
                <w:rFonts w:ascii="Arial" w:cs="Arial" w:eastAsia="Arial" w:hAnsi="Arial"/>
                <w:sz w:val="11"/>
                <w:szCs w:val="11"/>
                <w:color w:val="3D3935"/>
              </w:rPr>
              <w:t>PSU</w:t>
            </w:r>
          </w:p>
        </w:tc>
        <w:tc>
          <w:tcPr>
            <w:tcW w:w="640" w:type="dxa"/>
            <w:vAlign w:val="bottom"/>
            <w:vMerge w:val="restart"/>
            <w:shd w:val="clear" w:color="auto" w:fill="F0F3F5"/>
          </w:tcPr>
          <w:p>
            <w:pPr>
              <w:jc w:val="right"/>
              <w:ind w:right="86"/>
              <w:spacing w:after="0"/>
              <w:rPr>
                <w:sz w:val="20"/>
                <w:szCs w:val="20"/>
                <w:color w:val="auto"/>
              </w:rPr>
            </w:pPr>
            <w:r>
              <w:rPr>
                <w:rFonts w:ascii="Arial" w:cs="Arial" w:eastAsia="Arial" w:hAnsi="Arial"/>
                <w:sz w:val="11"/>
                <w:szCs w:val="11"/>
                <w:color w:val="3D3935"/>
              </w:rPr>
              <w:t>2/6/2024</w:t>
            </w:r>
          </w:p>
        </w:tc>
        <w:tc>
          <w:tcPr>
            <w:tcW w:w="660" w:type="dxa"/>
            <w:vAlign w:val="bottom"/>
            <w:vMerge w:val="restart"/>
            <w:shd w:val="clear" w:color="auto" w:fill="F0F3F5"/>
          </w:tcPr>
          <w:p>
            <w:pPr>
              <w:jc w:val="right"/>
              <w:ind w:right="46"/>
              <w:spacing w:after="0"/>
              <w:rPr>
                <w:sz w:val="20"/>
                <w:szCs w:val="20"/>
                <w:color w:val="auto"/>
              </w:rPr>
            </w:pPr>
            <w:r>
              <w:rPr>
                <w:rFonts w:ascii="Arial" w:cs="Arial" w:eastAsia="Arial" w:hAnsi="Arial"/>
                <w:sz w:val="11"/>
                <w:szCs w:val="11"/>
                <w:color w:val="3D3935"/>
              </w:rPr>
              <w:t>12/7/2023</w:t>
            </w:r>
          </w:p>
        </w:tc>
        <w:tc>
          <w:tcPr>
            <w:tcW w:w="660" w:type="dxa"/>
            <w:vAlign w:val="bottom"/>
            <w:shd w:val="clear" w:color="auto" w:fill="F0F3F5"/>
          </w:tcPr>
          <w:p>
            <w:pPr>
              <w:spacing w:after="0"/>
              <w:rPr>
                <w:sz w:val="12"/>
                <w:szCs w:val="12"/>
                <w:color w:val="auto"/>
              </w:rPr>
            </w:pPr>
          </w:p>
        </w:tc>
        <w:tc>
          <w:tcPr>
            <w:tcW w:w="660" w:type="dxa"/>
            <w:vAlign w:val="bottom"/>
            <w:shd w:val="clear" w:color="auto" w:fill="F0F3F5"/>
          </w:tcPr>
          <w:p>
            <w:pPr>
              <w:spacing w:after="0"/>
              <w:rPr>
                <w:sz w:val="12"/>
                <w:szCs w:val="12"/>
                <w:color w:val="auto"/>
              </w:rPr>
            </w:pPr>
          </w:p>
        </w:tc>
        <w:tc>
          <w:tcPr>
            <w:tcW w:w="1340" w:type="dxa"/>
            <w:vAlign w:val="bottom"/>
            <w:gridSpan w:val="3"/>
            <w:vMerge w:val="restart"/>
            <w:shd w:val="clear" w:color="auto" w:fill="F0F3F5"/>
          </w:tcPr>
          <w:p>
            <w:pPr>
              <w:jc w:val="right"/>
              <w:ind w:right="26"/>
              <w:spacing w:after="0"/>
              <w:rPr>
                <w:sz w:val="20"/>
                <w:szCs w:val="20"/>
                <w:color w:val="auto"/>
              </w:rPr>
            </w:pPr>
            <w:r>
              <w:rPr>
                <w:rFonts w:ascii="Arial" w:cs="Arial" w:eastAsia="Arial" w:hAnsi="Arial"/>
                <w:sz w:val="11"/>
                <w:szCs w:val="11"/>
                <w:color w:val="3D3935"/>
              </w:rPr>
              <w:t>19,579</w:t>
            </w:r>
          </w:p>
        </w:tc>
        <w:tc>
          <w:tcPr>
            <w:tcW w:w="560" w:type="dxa"/>
            <w:vAlign w:val="bottom"/>
            <w:vMerge w:val="restart"/>
            <w:shd w:val="clear" w:color="auto" w:fill="F0F3F5"/>
          </w:tcPr>
          <w:p>
            <w:pPr>
              <w:jc w:val="right"/>
              <w:ind w:right="26"/>
              <w:spacing w:after="0"/>
              <w:rPr>
                <w:sz w:val="20"/>
                <w:szCs w:val="20"/>
                <w:color w:val="auto"/>
              </w:rPr>
            </w:pPr>
            <w:r>
              <w:rPr>
                <w:rFonts w:ascii="Arial" w:cs="Arial" w:eastAsia="Arial" w:hAnsi="Arial"/>
                <w:sz w:val="11"/>
                <w:szCs w:val="11"/>
                <w:color w:val="3D3935"/>
              </w:rPr>
              <w:t>195,787</w:t>
            </w:r>
          </w:p>
        </w:tc>
        <w:tc>
          <w:tcPr>
            <w:tcW w:w="540" w:type="dxa"/>
            <w:vAlign w:val="bottom"/>
            <w:vMerge w:val="restart"/>
            <w:shd w:val="clear" w:color="auto" w:fill="F0F3F5"/>
          </w:tcPr>
          <w:p>
            <w:pPr>
              <w:jc w:val="right"/>
              <w:spacing w:after="0"/>
              <w:rPr>
                <w:sz w:val="20"/>
                <w:szCs w:val="20"/>
                <w:color w:val="auto"/>
              </w:rPr>
            </w:pPr>
            <w:r>
              <w:rPr>
                <w:rFonts w:ascii="Arial" w:cs="Arial" w:eastAsia="Arial" w:hAnsi="Arial"/>
                <w:sz w:val="11"/>
                <w:szCs w:val="11"/>
                <w:color w:val="3D3935"/>
              </w:rPr>
              <w:t>391,574</w:t>
            </w:r>
          </w:p>
        </w:tc>
        <w:tc>
          <w:tcPr>
            <w:tcW w:w="1320" w:type="dxa"/>
            <w:vAlign w:val="bottom"/>
          </w:tcPr>
          <w:p>
            <w:pPr>
              <w:spacing w:after="0"/>
              <w:rPr>
                <w:sz w:val="12"/>
                <w:szCs w:val="12"/>
                <w:color w:val="auto"/>
              </w:rPr>
            </w:pPr>
          </w:p>
        </w:tc>
        <w:tc>
          <w:tcPr>
            <w:tcW w:w="1300" w:type="dxa"/>
            <w:vAlign w:val="bottom"/>
            <w:vMerge w:val="restart"/>
          </w:tcPr>
          <w:p>
            <w:pPr>
              <w:jc w:val="right"/>
              <w:ind w:right="26"/>
              <w:spacing w:after="0"/>
              <w:rPr>
                <w:sz w:val="20"/>
                <w:szCs w:val="20"/>
                <w:color w:val="auto"/>
              </w:rPr>
            </w:pPr>
            <w:r>
              <w:rPr>
                <w:rFonts w:ascii="Arial" w:cs="Arial" w:eastAsia="Arial" w:hAnsi="Arial"/>
                <w:sz w:val="11"/>
                <w:szCs w:val="11"/>
                <w:color w:val="3D3935"/>
              </w:rPr>
              <w:t>8,475,000</w:t>
            </w:r>
          </w:p>
        </w:tc>
        <w:tc>
          <w:tcPr>
            <w:tcW w:w="0" w:type="dxa"/>
            <w:vAlign w:val="bottom"/>
          </w:tcPr>
          <w:p>
            <w:pPr>
              <w:spacing w:after="0"/>
              <w:rPr>
                <w:sz w:val="1"/>
                <w:szCs w:val="1"/>
                <w:color w:val="auto"/>
              </w:rPr>
            </w:pPr>
          </w:p>
        </w:tc>
      </w:tr>
      <w:tr>
        <w:trPr>
          <w:trHeight w:val="75"/>
        </w:trPr>
        <w:tc>
          <w:tcPr>
            <w:tcW w:w="880" w:type="dxa"/>
            <w:vAlign w:val="bottom"/>
            <w:shd w:val="clear" w:color="auto" w:fill="F0F3F5"/>
          </w:tcPr>
          <w:p>
            <w:pPr>
              <w:spacing w:after="0"/>
              <w:rPr>
                <w:sz w:val="6"/>
                <w:szCs w:val="6"/>
                <w:color w:val="auto"/>
              </w:rPr>
            </w:pPr>
          </w:p>
        </w:tc>
        <w:tc>
          <w:tcPr>
            <w:tcW w:w="520" w:type="dxa"/>
            <w:vAlign w:val="bottom"/>
            <w:vMerge w:val="continue"/>
            <w:shd w:val="clear" w:color="auto" w:fill="F0F3F5"/>
          </w:tcPr>
          <w:p>
            <w:pPr>
              <w:spacing w:after="0"/>
              <w:rPr>
                <w:sz w:val="6"/>
                <w:szCs w:val="6"/>
                <w:color w:val="auto"/>
              </w:rPr>
            </w:pPr>
          </w:p>
        </w:tc>
        <w:tc>
          <w:tcPr>
            <w:tcW w:w="640" w:type="dxa"/>
            <w:vAlign w:val="bottom"/>
            <w:vMerge w:val="continue"/>
            <w:shd w:val="clear" w:color="auto" w:fill="F0F3F5"/>
          </w:tcPr>
          <w:p>
            <w:pPr>
              <w:spacing w:after="0"/>
              <w:rPr>
                <w:sz w:val="6"/>
                <w:szCs w:val="6"/>
                <w:color w:val="auto"/>
              </w:rPr>
            </w:pPr>
          </w:p>
        </w:tc>
        <w:tc>
          <w:tcPr>
            <w:tcW w:w="660" w:type="dxa"/>
            <w:vAlign w:val="bottom"/>
            <w:vMerge w:val="continue"/>
            <w:shd w:val="clear" w:color="auto" w:fill="F0F3F5"/>
          </w:tcPr>
          <w:p>
            <w:pPr>
              <w:spacing w:after="0"/>
              <w:rPr>
                <w:sz w:val="6"/>
                <w:szCs w:val="6"/>
                <w:color w:val="auto"/>
              </w:rPr>
            </w:pPr>
          </w:p>
        </w:tc>
        <w:tc>
          <w:tcPr>
            <w:tcW w:w="660" w:type="dxa"/>
            <w:vAlign w:val="bottom"/>
            <w:shd w:val="clear" w:color="auto" w:fill="F0F3F5"/>
          </w:tcPr>
          <w:p>
            <w:pPr>
              <w:spacing w:after="0"/>
              <w:rPr>
                <w:sz w:val="6"/>
                <w:szCs w:val="6"/>
                <w:color w:val="auto"/>
              </w:rPr>
            </w:pPr>
          </w:p>
        </w:tc>
        <w:tc>
          <w:tcPr>
            <w:tcW w:w="660" w:type="dxa"/>
            <w:vAlign w:val="bottom"/>
            <w:shd w:val="clear" w:color="auto" w:fill="F0F3F5"/>
          </w:tcPr>
          <w:p>
            <w:pPr>
              <w:spacing w:after="0"/>
              <w:rPr>
                <w:sz w:val="6"/>
                <w:szCs w:val="6"/>
                <w:color w:val="auto"/>
              </w:rPr>
            </w:pPr>
          </w:p>
        </w:tc>
        <w:tc>
          <w:tcPr>
            <w:tcW w:w="1340" w:type="dxa"/>
            <w:vAlign w:val="bottom"/>
            <w:gridSpan w:val="3"/>
            <w:vMerge w:val="continue"/>
            <w:shd w:val="clear" w:color="auto" w:fill="F0F3F5"/>
          </w:tcPr>
          <w:p>
            <w:pPr>
              <w:spacing w:after="0"/>
              <w:rPr>
                <w:sz w:val="6"/>
                <w:szCs w:val="6"/>
                <w:color w:val="auto"/>
              </w:rPr>
            </w:pPr>
          </w:p>
        </w:tc>
        <w:tc>
          <w:tcPr>
            <w:tcW w:w="560" w:type="dxa"/>
            <w:vAlign w:val="bottom"/>
            <w:vMerge w:val="continue"/>
            <w:shd w:val="clear" w:color="auto" w:fill="F0F3F5"/>
          </w:tcPr>
          <w:p>
            <w:pPr>
              <w:spacing w:after="0"/>
              <w:rPr>
                <w:sz w:val="6"/>
                <w:szCs w:val="6"/>
                <w:color w:val="auto"/>
              </w:rPr>
            </w:pPr>
          </w:p>
        </w:tc>
        <w:tc>
          <w:tcPr>
            <w:tcW w:w="540" w:type="dxa"/>
            <w:vAlign w:val="bottom"/>
            <w:vMerge w:val="continue"/>
            <w:shd w:val="clear" w:color="auto" w:fill="F0F3F5"/>
          </w:tcPr>
          <w:p>
            <w:pPr>
              <w:spacing w:after="0"/>
              <w:rPr>
                <w:sz w:val="6"/>
                <w:szCs w:val="6"/>
                <w:color w:val="auto"/>
              </w:rPr>
            </w:pPr>
          </w:p>
        </w:tc>
        <w:tc>
          <w:tcPr>
            <w:tcW w:w="132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F0F3F5"/>
          </w:tcPr>
          <w:p>
            <w:pPr>
              <w:spacing w:after="0"/>
              <w:rPr>
                <w:sz w:val="18"/>
                <w:szCs w:val="18"/>
                <w:color w:val="auto"/>
              </w:rPr>
            </w:pPr>
          </w:p>
        </w:tc>
        <w:tc>
          <w:tcPr>
            <w:tcW w:w="520" w:type="dxa"/>
            <w:vAlign w:val="bottom"/>
            <w:shd w:val="clear" w:color="auto" w:fill="F0F3F5"/>
          </w:tcPr>
          <w:p>
            <w:pPr>
              <w:jc w:val="right"/>
              <w:ind w:right="26"/>
              <w:spacing w:after="0"/>
              <w:rPr>
                <w:sz w:val="20"/>
                <w:szCs w:val="20"/>
                <w:color w:val="auto"/>
              </w:rPr>
            </w:pPr>
            <w:r>
              <w:rPr>
                <w:rFonts w:ascii="Arial" w:cs="Arial" w:eastAsia="Arial" w:hAnsi="Arial"/>
                <w:sz w:val="11"/>
                <w:szCs w:val="11"/>
                <w:color w:val="3D3935"/>
              </w:rPr>
              <w:t>RSU</w:t>
            </w:r>
          </w:p>
        </w:tc>
        <w:tc>
          <w:tcPr>
            <w:tcW w:w="640" w:type="dxa"/>
            <w:vAlign w:val="bottom"/>
            <w:shd w:val="clear" w:color="auto" w:fill="F0F3F5"/>
          </w:tcPr>
          <w:p>
            <w:pPr>
              <w:jc w:val="right"/>
              <w:ind w:right="86"/>
              <w:spacing w:after="0"/>
              <w:rPr>
                <w:sz w:val="20"/>
                <w:szCs w:val="20"/>
                <w:color w:val="auto"/>
              </w:rPr>
            </w:pPr>
            <w:r>
              <w:rPr>
                <w:rFonts w:ascii="Arial" w:cs="Arial" w:eastAsia="Arial" w:hAnsi="Arial"/>
                <w:sz w:val="11"/>
                <w:szCs w:val="11"/>
                <w:color w:val="3D3935"/>
              </w:rPr>
              <w:t>2/6/2024</w:t>
            </w:r>
          </w:p>
        </w:tc>
        <w:tc>
          <w:tcPr>
            <w:tcW w:w="660" w:type="dxa"/>
            <w:vAlign w:val="bottom"/>
            <w:shd w:val="clear" w:color="auto" w:fill="F0F3F5"/>
          </w:tcPr>
          <w:p>
            <w:pPr>
              <w:jc w:val="right"/>
              <w:ind w:right="46"/>
              <w:spacing w:after="0"/>
              <w:rPr>
                <w:sz w:val="20"/>
                <w:szCs w:val="20"/>
                <w:color w:val="auto"/>
              </w:rPr>
            </w:pPr>
            <w:r>
              <w:rPr>
                <w:rFonts w:ascii="Arial" w:cs="Arial" w:eastAsia="Arial" w:hAnsi="Arial"/>
                <w:sz w:val="11"/>
                <w:szCs w:val="11"/>
                <w:color w:val="3D3935"/>
              </w:rPr>
              <w:t>12/7/2023</w:t>
            </w:r>
          </w:p>
        </w:tc>
        <w:tc>
          <w:tcPr>
            <w:tcW w:w="660" w:type="dxa"/>
            <w:vAlign w:val="bottom"/>
            <w:shd w:val="clear" w:color="auto" w:fill="F0F3F5"/>
          </w:tcPr>
          <w:p>
            <w:pPr>
              <w:spacing w:after="0"/>
              <w:rPr>
                <w:sz w:val="18"/>
                <w:szCs w:val="18"/>
                <w:color w:val="auto"/>
              </w:rPr>
            </w:pPr>
          </w:p>
        </w:tc>
        <w:tc>
          <w:tcPr>
            <w:tcW w:w="660" w:type="dxa"/>
            <w:vAlign w:val="bottom"/>
            <w:shd w:val="clear" w:color="auto" w:fill="F0F3F5"/>
          </w:tcPr>
          <w:p>
            <w:pPr>
              <w:spacing w:after="0"/>
              <w:rPr>
                <w:sz w:val="18"/>
                <w:szCs w:val="18"/>
                <w:color w:val="auto"/>
              </w:rPr>
            </w:pPr>
          </w:p>
        </w:tc>
        <w:tc>
          <w:tcPr>
            <w:tcW w:w="640" w:type="dxa"/>
            <w:vAlign w:val="bottom"/>
            <w:shd w:val="clear" w:color="auto" w:fill="F0F3F5"/>
          </w:tcPr>
          <w:p>
            <w:pPr>
              <w:spacing w:after="0"/>
              <w:rPr>
                <w:sz w:val="18"/>
                <w:szCs w:val="18"/>
                <w:color w:val="auto"/>
              </w:rPr>
            </w:pPr>
          </w:p>
        </w:tc>
        <w:tc>
          <w:tcPr>
            <w:tcW w:w="60" w:type="dxa"/>
            <w:vAlign w:val="bottom"/>
            <w:shd w:val="clear" w:color="auto" w:fill="F0F3F5"/>
          </w:tcPr>
          <w:p>
            <w:pPr>
              <w:spacing w:after="0"/>
              <w:rPr>
                <w:sz w:val="18"/>
                <w:szCs w:val="18"/>
                <w:color w:val="auto"/>
              </w:rPr>
            </w:pPr>
          </w:p>
        </w:tc>
        <w:tc>
          <w:tcPr>
            <w:tcW w:w="640" w:type="dxa"/>
            <w:vAlign w:val="bottom"/>
            <w:shd w:val="clear" w:color="auto" w:fill="F0F3F5"/>
          </w:tcPr>
          <w:p>
            <w:pPr>
              <w:spacing w:after="0"/>
              <w:rPr>
                <w:sz w:val="18"/>
                <w:szCs w:val="18"/>
                <w:color w:val="auto"/>
              </w:rPr>
            </w:pPr>
          </w:p>
        </w:tc>
        <w:tc>
          <w:tcPr>
            <w:tcW w:w="560" w:type="dxa"/>
            <w:vAlign w:val="bottom"/>
            <w:shd w:val="clear" w:color="auto" w:fill="F0F3F5"/>
          </w:tcPr>
          <w:p>
            <w:pPr>
              <w:spacing w:after="0"/>
              <w:rPr>
                <w:sz w:val="18"/>
                <w:szCs w:val="18"/>
                <w:color w:val="auto"/>
              </w:rPr>
            </w:pPr>
          </w:p>
        </w:tc>
        <w:tc>
          <w:tcPr>
            <w:tcW w:w="540" w:type="dxa"/>
            <w:vAlign w:val="bottom"/>
            <w:shd w:val="clear" w:color="auto" w:fill="F0F3F5"/>
          </w:tcPr>
          <w:p>
            <w:pPr>
              <w:spacing w:after="0"/>
              <w:rPr>
                <w:sz w:val="18"/>
                <w:szCs w:val="18"/>
                <w:color w:val="auto"/>
              </w:rPr>
            </w:pPr>
          </w:p>
        </w:tc>
        <w:tc>
          <w:tcPr>
            <w:tcW w:w="1320" w:type="dxa"/>
            <w:vAlign w:val="bottom"/>
          </w:tcPr>
          <w:p>
            <w:pPr>
              <w:jc w:val="right"/>
              <w:ind w:right="706"/>
              <w:spacing w:after="0"/>
              <w:rPr>
                <w:sz w:val="20"/>
                <w:szCs w:val="20"/>
                <w:color w:val="auto"/>
              </w:rPr>
            </w:pPr>
            <w:r>
              <w:rPr>
                <w:rFonts w:ascii="Arial" w:cs="Arial" w:eastAsia="Arial" w:hAnsi="Arial"/>
                <w:sz w:val="11"/>
                <w:szCs w:val="11"/>
                <w:color w:val="3D3935"/>
              </w:rPr>
              <w:t>74,284</w:t>
            </w:r>
          </w:p>
        </w:tc>
        <w:tc>
          <w:tcPr>
            <w:tcW w:w="1300" w:type="dxa"/>
            <w:vAlign w:val="bottom"/>
          </w:tcPr>
          <w:p>
            <w:pPr>
              <w:jc w:val="right"/>
              <w:ind w:right="6"/>
              <w:spacing w:after="0"/>
              <w:rPr>
                <w:sz w:val="20"/>
                <w:szCs w:val="20"/>
                <w:color w:val="auto"/>
              </w:rPr>
            </w:pPr>
            <w:r>
              <w:rPr>
                <w:rFonts w:ascii="Arial" w:cs="Arial" w:eastAsia="Arial" w:hAnsi="Arial"/>
                <w:sz w:val="11"/>
                <w:szCs w:val="11"/>
                <w:color w:val="3D3935"/>
              </w:rPr>
              <w:t>2,825,021</w:t>
            </w:r>
          </w:p>
        </w:tc>
        <w:tc>
          <w:tcPr>
            <w:tcW w:w="0" w:type="dxa"/>
            <w:vAlign w:val="bottom"/>
          </w:tcPr>
          <w:p>
            <w:pPr>
              <w:spacing w:after="0"/>
              <w:rPr>
                <w:sz w:val="1"/>
                <w:szCs w:val="1"/>
                <w:color w:val="auto"/>
              </w:rPr>
            </w:pPr>
          </w:p>
        </w:tc>
      </w:tr>
      <w:tr>
        <w:trPr>
          <w:trHeight w:val="250"/>
        </w:trPr>
        <w:tc>
          <w:tcPr>
            <w:tcW w:w="880" w:type="dxa"/>
            <w:vAlign w:val="bottom"/>
            <w:tcBorders>
              <w:bottom w:val="single" w:sz="8" w:color="F0F3F5"/>
            </w:tcBorders>
            <w:shd w:val="clear" w:color="auto" w:fill="F0F3F5"/>
          </w:tcPr>
          <w:p>
            <w:pPr>
              <w:ind w:left="60"/>
              <w:spacing w:after="0"/>
              <w:rPr>
                <w:sz w:val="20"/>
                <w:szCs w:val="20"/>
                <w:color w:val="auto"/>
              </w:rPr>
            </w:pPr>
            <w:r>
              <w:rPr>
                <w:rFonts w:ascii="Arial" w:cs="Arial" w:eastAsia="Arial" w:hAnsi="Arial"/>
                <w:sz w:val="11"/>
                <w:szCs w:val="11"/>
                <w:b w:val="1"/>
                <w:bCs w:val="1"/>
                <w:color w:val="0072CE"/>
              </w:rPr>
              <w:t>Craig B.</w:t>
            </w:r>
          </w:p>
        </w:tc>
        <w:tc>
          <w:tcPr>
            <w:tcW w:w="520" w:type="dxa"/>
            <w:vAlign w:val="bottom"/>
            <w:tcBorders>
              <w:bottom w:val="single" w:sz="8" w:color="F0F3F5"/>
            </w:tcBorders>
            <w:shd w:val="clear" w:color="auto" w:fill="F0F3F5"/>
          </w:tcPr>
          <w:p>
            <w:pPr>
              <w:jc w:val="right"/>
              <w:ind w:right="26"/>
              <w:spacing w:after="0"/>
              <w:rPr>
                <w:sz w:val="20"/>
                <w:szCs w:val="20"/>
                <w:color w:val="auto"/>
              </w:rPr>
            </w:pPr>
            <w:r>
              <w:rPr>
                <w:rFonts w:ascii="Arial" w:cs="Arial" w:eastAsia="Arial" w:hAnsi="Arial"/>
                <w:sz w:val="11"/>
                <w:szCs w:val="11"/>
                <w:color w:val="3D3935"/>
              </w:rPr>
              <w:t>STIP</w:t>
            </w:r>
          </w:p>
        </w:tc>
        <w:tc>
          <w:tcPr>
            <w:tcW w:w="640" w:type="dxa"/>
            <w:vAlign w:val="bottom"/>
            <w:tcBorders>
              <w:bottom w:val="single" w:sz="8" w:color="F0F3F5"/>
            </w:tcBorders>
            <w:shd w:val="clear" w:color="auto" w:fill="F0F3F5"/>
          </w:tcPr>
          <w:p>
            <w:pPr>
              <w:jc w:val="right"/>
              <w:ind w:right="26"/>
              <w:spacing w:after="0"/>
              <w:rPr>
                <w:sz w:val="20"/>
                <w:szCs w:val="20"/>
                <w:color w:val="auto"/>
              </w:rPr>
            </w:pPr>
            <w:r>
              <w:rPr>
                <w:rFonts w:ascii="Arial" w:cs="Arial" w:eastAsia="Arial" w:hAnsi="Arial"/>
                <w:sz w:val="11"/>
                <w:szCs w:val="11"/>
                <w:color w:val="3D3935"/>
              </w:rPr>
              <w:t>1/1/2024</w:t>
            </w:r>
          </w:p>
        </w:tc>
        <w:tc>
          <w:tcPr>
            <w:tcW w:w="660" w:type="dxa"/>
            <w:vAlign w:val="bottom"/>
            <w:tcBorders>
              <w:bottom w:val="single" w:sz="8" w:color="F0F3F5"/>
            </w:tcBorders>
            <w:shd w:val="clear" w:color="auto" w:fill="F0F3F5"/>
          </w:tcPr>
          <w:p>
            <w:pPr>
              <w:jc w:val="right"/>
              <w:ind w:right="46"/>
              <w:spacing w:after="0"/>
              <w:rPr>
                <w:sz w:val="20"/>
                <w:szCs w:val="20"/>
                <w:color w:val="auto"/>
              </w:rPr>
            </w:pPr>
            <w:r>
              <w:rPr>
                <w:rFonts w:ascii="Arial" w:cs="Arial" w:eastAsia="Arial" w:hAnsi="Arial"/>
                <w:sz w:val="11"/>
                <w:szCs w:val="11"/>
                <w:color w:val="3D3935"/>
              </w:rPr>
              <w:t>12/7/2023</w:t>
            </w:r>
          </w:p>
        </w:tc>
        <w:tc>
          <w:tcPr>
            <w:tcW w:w="660" w:type="dxa"/>
            <w:vAlign w:val="bottom"/>
            <w:tcBorders>
              <w:bottom w:val="single" w:sz="8" w:color="F0F3F5"/>
            </w:tcBorders>
            <w:shd w:val="clear" w:color="auto" w:fill="F0F3F5"/>
          </w:tcPr>
          <w:p>
            <w:pPr>
              <w:jc w:val="right"/>
              <w:ind w:right="46"/>
              <w:spacing w:after="0"/>
              <w:rPr>
                <w:sz w:val="20"/>
                <w:szCs w:val="20"/>
                <w:color w:val="auto"/>
              </w:rPr>
            </w:pPr>
            <w:r>
              <w:rPr>
                <w:rFonts w:ascii="Arial" w:cs="Arial" w:eastAsia="Arial" w:hAnsi="Arial"/>
                <w:sz w:val="11"/>
                <w:szCs w:val="11"/>
                <w:color w:val="3D3935"/>
              </w:rPr>
              <w:t>85,938</w:t>
            </w:r>
          </w:p>
        </w:tc>
        <w:tc>
          <w:tcPr>
            <w:tcW w:w="660" w:type="dxa"/>
            <w:vAlign w:val="bottom"/>
            <w:tcBorders>
              <w:bottom w:val="single" w:sz="8" w:color="F0F3F5"/>
            </w:tcBorders>
            <w:shd w:val="clear" w:color="auto" w:fill="F0F3F5"/>
          </w:tcPr>
          <w:p>
            <w:pPr>
              <w:jc w:val="right"/>
              <w:ind w:right="26"/>
              <w:spacing w:after="0"/>
              <w:rPr>
                <w:sz w:val="20"/>
                <w:szCs w:val="20"/>
                <w:color w:val="auto"/>
              </w:rPr>
            </w:pPr>
            <w:r>
              <w:rPr>
                <w:rFonts w:ascii="Arial" w:cs="Arial" w:eastAsia="Arial" w:hAnsi="Arial"/>
                <w:sz w:val="11"/>
                <w:szCs w:val="11"/>
                <w:color w:val="3D3935"/>
              </w:rPr>
              <w:t>1,375,000</w:t>
            </w:r>
          </w:p>
        </w:tc>
        <w:tc>
          <w:tcPr>
            <w:tcW w:w="640" w:type="dxa"/>
            <w:vAlign w:val="bottom"/>
            <w:tcBorders>
              <w:bottom w:val="single" w:sz="8" w:color="F0F3F5"/>
            </w:tcBorders>
            <w:shd w:val="clear" w:color="auto" w:fill="F0F3F5"/>
          </w:tcPr>
          <w:p>
            <w:pPr>
              <w:jc w:val="right"/>
              <w:ind w:right="26"/>
              <w:spacing w:after="0"/>
              <w:rPr>
                <w:sz w:val="20"/>
                <w:szCs w:val="20"/>
                <w:color w:val="auto"/>
              </w:rPr>
            </w:pPr>
            <w:r>
              <w:rPr>
                <w:rFonts w:ascii="Arial" w:cs="Arial" w:eastAsia="Arial" w:hAnsi="Arial"/>
                <w:sz w:val="11"/>
                <w:szCs w:val="11"/>
                <w:color w:val="3D3935"/>
              </w:rPr>
              <w:t>2,750,000</w:t>
            </w:r>
          </w:p>
        </w:tc>
        <w:tc>
          <w:tcPr>
            <w:tcW w:w="60" w:type="dxa"/>
            <w:vAlign w:val="bottom"/>
            <w:tcBorders>
              <w:bottom w:val="single" w:sz="8" w:color="F0F3F5"/>
            </w:tcBorders>
            <w:shd w:val="clear" w:color="auto" w:fill="F0F3F5"/>
          </w:tcPr>
          <w:p>
            <w:pPr>
              <w:spacing w:after="0"/>
              <w:rPr>
                <w:sz w:val="21"/>
                <w:szCs w:val="21"/>
                <w:color w:val="auto"/>
              </w:rPr>
            </w:pPr>
          </w:p>
        </w:tc>
        <w:tc>
          <w:tcPr>
            <w:tcW w:w="640" w:type="dxa"/>
            <w:vAlign w:val="bottom"/>
            <w:tcBorders>
              <w:bottom w:val="single" w:sz="8" w:color="F0F3F5"/>
            </w:tcBorders>
            <w:shd w:val="clear" w:color="auto" w:fill="F0F3F5"/>
          </w:tcPr>
          <w:p>
            <w:pPr>
              <w:spacing w:after="0"/>
              <w:rPr>
                <w:sz w:val="21"/>
                <w:szCs w:val="21"/>
                <w:color w:val="auto"/>
              </w:rPr>
            </w:pPr>
          </w:p>
        </w:tc>
        <w:tc>
          <w:tcPr>
            <w:tcW w:w="560" w:type="dxa"/>
            <w:vAlign w:val="bottom"/>
            <w:tcBorders>
              <w:bottom w:val="single" w:sz="8" w:color="F0F3F5"/>
            </w:tcBorders>
            <w:shd w:val="clear" w:color="auto" w:fill="F0F3F5"/>
          </w:tcPr>
          <w:p>
            <w:pPr>
              <w:spacing w:after="0"/>
              <w:rPr>
                <w:sz w:val="21"/>
                <w:szCs w:val="21"/>
                <w:color w:val="auto"/>
              </w:rPr>
            </w:pPr>
          </w:p>
        </w:tc>
        <w:tc>
          <w:tcPr>
            <w:tcW w:w="540" w:type="dxa"/>
            <w:vAlign w:val="bottom"/>
            <w:tcBorders>
              <w:bottom w:val="single" w:sz="8" w:color="F0F3F5"/>
            </w:tcBorders>
            <w:shd w:val="clear" w:color="auto" w:fill="F0F3F5"/>
          </w:tcPr>
          <w:p>
            <w:pPr>
              <w:spacing w:after="0"/>
              <w:rPr>
                <w:sz w:val="21"/>
                <w:szCs w:val="21"/>
                <w:color w:val="auto"/>
              </w:rPr>
            </w:pPr>
          </w:p>
        </w:tc>
        <w:tc>
          <w:tcPr>
            <w:tcW w:w="1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880" w:type="dxa"/>
            <w:vAlign w:val="bottom"/>
            <w:tcBorders>
              <w:top w:val="single" w:sz="8" w:color="F0F3F5"/>
            </w:tcBorders>
            <w:shd w:val="clear" w:color="auto" w:fill="F0F3F5"/>
          </w:tcPr>
          <w:p>
            <w:pPr>
              <w:ind w:left="60"/>
              <w:spacing w:after="0" w:line="88" w:lineRule="exact"/>
              <w:rPr>
                <w:sz w:val="20"/>
                <w:szCs w:val="20"/>
                <w:color w:val="auto"/>
              </w:rPr>
            </w:pPr>
            <w:r>
              <w:rPr>
                <w:rFonts w:ascii="Arial" w:cs="Arial" w:eastAsia="Arial" w:hAnsi="Arial"/>
                <w:sz w:val="10"/>
                <w:szCs w:val="10"/>
                <w:b w:val="1"/>
                <w:bCs w:val="1"/>
                <w:color w:val="0072CE"/>
              </w:rPr>
              <w:t>Glidden</w:t>
            </w:r>
          </w:p>
        </w:tc>
        <w:tc>
          <w:tcPr>
            <w:tcW w:w="520" w:type="dxa"/>
            <w:vAlign w:val="bottom"/>
            <w:vMerge w:val="restart"/>
          </w:tcPr>
          <w:p>
            <w:pPr>
              <w:jc w:val="right"/>
              <w:ind w:right="26"/>
              <w:spacing w:after="0"/>
              <w:rPr>
                <w:sz w:val="20"/>
                <w:szCs w:val="20"/>
                <w:color w:val="auto"/>
              </w:rPr>
            </w:pPr>
            <w:r>
              <w:rPr>
                <w:rFonts w:ascii="Arial" w:cs="Arial" w:eastAsia="Arial" w:hAnsi="Arial"/>
                <w:sz w:val="11"/>
                <w:szCs w:val="11"/>
                <w:color w:val="3D3935"/>
              </w:rPr>
              <w:t>PSU</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3D3935"/>
              </w:rPr>
              <w:t>2/6/2024</w:t>
            </w:r>
          </w:p>
        </w:tc>
        <w:tc>
          <w:tcPr>
            <w:tcW w:w="660" w:type="dxa"/>
            <w:vAlign w:val="bottom"/>
            <w:vMerge w:val="restart"/>
          </w:tcPr>
          <w:p>
            <w:pPr>
              <w:jc w:val="right"/>
              <w:ind w:right="46"/>
              <w:spacing w:after="0"/>
              <w:rPr>
                <w:sz w:val="20"/>
                <w:szCs w:val="20"/>
                <w:color w:val="auto"/>
              </w:rPr>
            </w:pPr>
            <w:r>
              <w:rPr>
                <w:rFonts w:ascii="Arial" w:cs="Arial" w:eastAsia="Arial" w:hAnsi="Arial"/>
                <w:sz w:val="11"/>
                <w:szCs w:val="11"/>
                <w:color w:val="3D3935"/>
              </w:rPr>
              <w:t>12/7/2023</w:t>
            </w:r>
          </w:p>
        </w:tc>
        <w:tc>
          <w:tcPr>
            <w:tcW w:w="660" w:type="dxa"/>
            <w:vAlign w:val="bottom"/>
            <w:tcBorders>
              <w:top w:val="single" w:sz="8" w:color="0072CE"/>
            </w:tcBorders>
          </w:tcPr>
          <w:p>
            <w:pPr>
              <w:spacing w:after="0"/>
              <w:rPr>
                <w:sz w:val="7"/>
                <w:szCs w:val="7"/>
                <w:color w:val="auto"/>
              </w:rPr>
            </w:pPr>
          </w:p>
        </w:tc>
        <w:tc>
          <w:tcPr>
            <w:tcW w:w="660" w:type="dxa"/>
            <w:vAlign w:val="bottom"/>
            <w:tcBorders>
              <w:top w:val="single" w:sz="8" w:color="0072CE"/>
            </w:tcBorders>
          </w:tcPr>
          <w:p>
            <w:pPr>
              <w:spacing w:after="0"/>
              <w:rPr>
                <w:sz w:val="7"/>
                <w:szCs w:val="7"/>
                <w:color w:val="auto"/>
              </w:rPr>
            </w:pPr>
          </w:p>
        </w:tc>
        <w:tc>
          <w:tcPr>
            <w:tcW w:w="640" w:type="dxa"/>
            <w:vAlign w:val="bottom"/>
            <w:tcBorders>
              <w:top w:val="single" w:sz="8" w:color="0072CE"/>
            </w:tcBorders>
            <w:vMerge w:val="restart"/>
          </w:tcPr>
          <w:p>
            <w:pPr>
              <w:spacing w:after="0"/>
              <w:rPr>
                <w:sz w:val="7"/>
                <w:szCs w:val="7"/>
                <w:color w:val="auto"/>
              </w:rPr>
            </w:pPr>
          </w:p>
        </w:tc>
        <w:tc>
          <w:tcPr>
            <w:tcW w:w="60" w:type="dxa"/>
            <w:vAlign w:val="bottom"/>
            <w:vMerge w:val="restart"/>
          </w:tcPr>
          <w:p>
            <w:pPr>
              <w:spacing w:after="0"/>
              <w:rPr>
                <w:sz w:val="7"/>
                <w:szCs w:val="7"/>
                <w:color w:val="auto"/>
              </w:rPr>
            </w:pPr>
          </w:p>
        </w:tc>
        <w:tc>
          <w:tcPr>
            <w:tcW w:w="640" w:type="dxa"/>
            <w:vAlign w:val="bottom"/>
            <w:tcBorders>
              <w:top w:val="single" w:sz="8" w:color="0072CE"/>
            </w:tcBorders>
            <w:vMerge w:val="restart"/>
          </w:tcPr>
          <w:p>
            <w:pPr>
              <w:jc w:val="right"/>
              <w:ind w:right="6"/>
              <w:spacing w:after="0"/>
              <w:rPr>
                <w:sz w:val="20"/>
                <w:szCs w:val="20"/>
                <w:color w:val="auto"/>
              </w:rPr>
            </w:pPr>
            <w:r>
              <w:rPr>
                <w:rFonts w:ascii="Arial" w:cs="Arial" w:eastAsia="Arial" w:hAnsi="Arial"/>
                <w:sz w:val="11"/>
                <w:szCs w:val="11"/>
                <w:color w:val="3D3935"/>
              </w:rPr>
              <w:t>12,172</w:t>
            </w:r>
          </w:p>
        </w:tc>
        <w:tc>
          <w:tcPr>
            <w:tcW w:w="560" w:type="dxa"/>
            <w:vAlign w:val="bottom"/>
            <w:tcBorders>
              <w:top w:val="single" w:sz="8" w:color="0072CE"/>
            </w:tcBorders>
            <w:vMerge w:val="restart"/>
          </w:tcPr>
          <w:p>
            <w:pPr>
              <w:jc w:val="right"/>
              <w:spacing w:after="0"/>
              <w:rPr>
                <w:sz w:val="20"/>
                <w:szCs w:val="20"/>
                <w:color w:val="auto"/>
              </w:rPr>
            </w:pPr>
            <w:r>
              <w:rPr>
                <w:rFonts w:ascii="Arial" w:cs="Arial" w:eastAsia="Arial" w:hAnsi="Arial"/>
                <w:sz w:val="11"/>
                <w:szCs w:val="11"/>
                <w:color w:val="3D3935"/>
              </w:rPr>
              <w:t>121,717</w:t>
            </w:r>
          </w:p>
        </w:tc>
        <w:tc>
          <w:tcPr>
            <w:tcW w:w="540" w:type="dxa"/>
            <w:vAlign w:val="bottom"/>
            <w:tcBorders>
              <w:top w:val="single" w:sz="8" w:color="0072CE"/>
            </w:tcBorders>
            <w:vMerge w:val="restart"/>
          </w:tcPr>
          <w:p>
            <w:pPr>
              <w:jc w:val="right"/>
              <w:ind w:right="26"/>
              <w:spacing w:after="0"/>
              <w:rPr>
                <w:sz w:val="20"/>
                <w:szCs w:val="20"/>
                <w:color w:val="auto"/>
              </w:rPr>
            </w:pPr>
            <w:r>
              <w:rPr>
                <w:rFonts w:ascii="Arial" w:cs="Arial" w:eastAsia="Arial" w:hAnsi="Arial"/>
                <w:sz w:val="11"/>
                <w:szCs w:val="11"/>
                <w:color w:val="3D3935"/>
              </w:rPr>
              <w:t>243,434</w:t>
            </w:r>
          </w:p>
        </w:tc>
        <w:tc>
          <w:tcPr>
            <w:tcW w:w="1320" w:type="dxa"/>
            <w:vAlign w:val="bottom"/>
          </w:tcPr>
          <w:p>
            <w:pPr>
              <w:spacing w:after="0"/>
              <w:rPr>
                <w:sz w:val="7"/>
                <w:szCs w:val="7"/>
                <w:color w:val="auto"/>
              </w:rPr>
            </w:pPr>
          </w:p>
        </w:tc>
        <w:tc>
          <w:tcPr>
            <w:tcW w:w="1300" w:type="dxa"/>
            <w:vAlign w:val="bottom"/>
            <w:vMerge w:val="restart"/>
          </w:tcPr>
          <w:p>
            <w:pPr>
              <w:jc w:val="right"/>
              <w:ind w:right="26"/>
              <w:spacing w:after="0"/>
              <w:rPr>
                <w:sz w:val="20"/>
                <w:szCs w:val="20"/>
                <w:color w:val="auto"/>
              </w:rPr>
            </w:pPr>
            <w:r>
              <w:rPr>
                <w:rFonts w:ascii="Arial" w:cs="Arial" w:eastAsia="Arial" w:hAnsi="Arial"/>
                <w:sz w:val="11"/>
                <w:szCs w:val="11"/>
                <w:color w:val="3D3935"/>
              </w:rPr>
              <w:t>5,268,750</w:t>
            </w:r>
          </w:p>
        </w:tc>
        <w:tc>
          <w:tcPr>
            <w:tcW w:w="0" w:type="dxa"/>
            <w:vAlign w:val="bottom"/>
          </w:tcPr>
          <w:p>
            <w:pPr>
              <w:spacing w:after="0"/>
              <w:rPr>
                <w:sz w:val="1"/>
                <w:szCs w:val="1"/>
                <w:color w:val="auto"/>
              </w:rPr>
            </w:pPr>
          </w:p>
        </w:tc>
      </w:tr>
      <w:tr>
        <w:trPr>
          <w:trHeight w:val="75"/>
        </w:trPr>
        <w:tc>
          <w:tcPr>
            <w:tcW w:w="880" w:type="dxa"/>
            <w:vAlign w:val="bottom"/>
            <w:shd w:val="clear" w:color="auto" w:fill="F0F3F5"/>
          </w:tcPr>
          <w:p>
            <w:pPr>
              <w:spacing w:after="0"/>
              <w:rPr>
                <w:sz w:val="6"/>
                <w:szCs w:val="6"/>
                <w:color w:val="auto"/>
              </w:rPr>
            </w:pPr>
          </w:p>
        </w:tc>
        <w:tc>
          <w:tcPr>
            <w:tcW w:w="52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32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880" w:type="dxa"/>
            <w:vAlign w:val="bottom"/>
            <w:shd w:val="clear" w:color="auto" w:fill="F0F3F5"/>
          </w:tcPr>
          <w:p>
            <w:pPr>
              <w:spacing w:after="0"/>
              <w:rPr>
                <w:sz w:val="13"/>
                <w:szCs w:val="13"/>
                <w:color w:val="auto"/>
              </w:rPr>
            </w:pPr>
          </w:p>
        </w:tc>
        <w:tc>
          <w:tcPr>
            <w:tcW w:w="520" w:type="dxa"/>
            <w:vAlign w:val="bottom"/>
            <w:vMerge w:val="restart"/>
          </w:tcPr>
          <w:p>
            <w:pPr>
              <w:jc w:val="right"/>
              <w:ind w:right="26"/>
              <w:spacing w:after="0"/>
              <w:rPr>
                <w:sz w:val="20"/>
                <w:szCs w:val="20"/>
                <w:color w:val="auto"/>
              </w:rPr>
            </w:pPr>
            <w:r>
              <w:rPr>
                <w:rFonts w:ascii="Arial" w:cs="Arial" w:eastAsia="Arial" w:hAnsi="Arial"/>
                <w:sz w:val="11"/>
                <w:szCs w:val="11"/>
                <w:color w:val="3D3935"/>
              </w:rPr>
              <w:t>RSU</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3D3935"/>
              </w:rPr>
              <w:t>2/6/2024</w:t>
            </w:r>
          </w:p>
        </w:tc>
        <w:tc>
          <w:tcPr>
            <w:tcW w:w="660" w:type="dxa"/>
            <w:vAlign w:val="bottom"/>
            <w:vMerge w:val="restart"/>
          </w:tcPr>
          <w:p>
            <w:pPr>
              <w:jc w:val="right"/>
              <w:ind w:right="46"/>
              <w:spacing w:after="0"/>
              <w:rPr>
                <w:sz w:val="20"/>
                <w:szCs w:val="20"/>
                <w:color w:val="auto"/>
              </w:rPr>
            </w:pPr>
            <w:r>
              <w:rPr>
                <w:rFonts w:ascii="Arial" w:cs="Arial" w:eastAsia="Arial" w:hAnsi="Arial"/>
                <w:sz w:val="11"/>
                <w:szCs w:val="11"/>
                <w:color w:val="3D3935"/>
              </w:rPr>
              <w:t>12/7/2023</w:t>
            </w: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20" w:type="dxa"/>
            <w:vAlign w:val="bottom"/>
            <w:vMerge w:val="restart"/>
          </w:tcPr>
          <w:p>
            <w:pPr>
              <w:jc w:val="right"/>
              <w:ind w:right="666"/>
              <w:spacing w:after="0"/>
              <w:rPr>
                <w:sz w:val="20"/>
                <w:szCs w:val="20"/>
                <w:color w:val="auto"/>
              </w:rPr>
            </w:pPr>
            <w:r>
              <w:rPr>
                <w:rFonts w:ascii="Arial" w:cs="Arial" w:eastAsia="Arial" w:hAnsi="Arial"/>
                <w:sz w:val="11"/>
                <w:szCs w:val="11"/>
                <w:color w:val="3D3935"/>
              </w:rPr>
              <w:t>46,181</w:t>
            </w:r>
          </w:p>
        </w:tc>
        <w:tc>
          <w:tcPr>
            <w:tcW w:w="1300" w:type="dxa"/>
            <w:vAlign w:val="bottom"/>
            <w:vMerge w:val="restart"/>
          </w:tcPr>
          <w:p>
            <w:pPr>
              <w:jc w:val="right"/>
              <w:spacing w:after="0"/>
              <w:rPr>
                <w:sz w:val="20"/>
                <w:szCs w:val="20"/>
                <w:color w:val="auto"/>
              </w:rPr>
            </w:pPr>
            <w:r>
              <w:rPr>
                <w:rFonts w:ascii="Arial" w:cs="Arial" w:eastAsia="Arial" w:hAnsi="Arial"/>
                <w:sz w:val="11"/>
                <w:szCs w:val="11"/>
                <w:color w:val="3D3935"/>
              </w:rPr>
              <w:t>1,756,263</w:t>
            </w: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880" w:type="dxa"/>
            <w:vAlign w:val="bottom"/>
          </w:tcPr>
          <w:p>
            <w:pPr>
              <w:ind w:left="60"/>
              <w:spacing w:after="0"/>
              <w:rPr>
                <w:sz w:val="20"/>
                <w:szCs w:val="20"/>
                <w:color w:val="auto"/>
              </w:rPr>
            </w:pPr>
            <w:r>
              <w:rPr>
                <w:rFonts w:ascii="Arial" w:cs="Arial" w:eastAsia="Arial" w:hAnsi="Arial"/>
                <w:sz w:val="11"/>
                <w:szCs w:val="11"/>
                <w:b w:val="1"/>
                <w:bCs w:val="1"/>
                <w:color w:val="0072CE"/>
              </w:rPr>
              <w:t>Rory V. Harvey</w:t>
            </w:r>
          </w:p>
        </w:tc>
        <w:tc>
          <w:tcPr>
            <w:tcW w:w="520" w:type="dxa"/>
            <w:vAlign w:val="bottom"/>
          </w:tcPr>
          <w:p>
            <w:pPr>
              <w:jc w:val="right"/>
              <w:ind w:right="26"/>
              <w:spacing w:after="0"/>
              <w:rPr>
                <w:sz w:val="20"/>
                <w:szCs w:val="20"/>
                <w:color w:val="auto"/>
              </w:rPr>
            </w:pPr>
            <w:r>
              <w:rPr>
                <w:rFonts w:ascii="Arial" w:cs="Arial" w:eastAsia="Arial" w:hAnsi="Arial"/>
                <w:sz w:val="11"/>
                <w:szCs w:val="11"/>
                <w:color w:val="3D3935"/>
              </w:rPr>
              <w:t>STIP</w:t>
            </w:r>
          </w:p>
        </w:tc>
        <w:tc>
          <w:tcPr>
            <w:tcW w:w="640" w:type="dxa"/>
            <w:vAlign w:val="bottom"/>
          </w:tcPr>
          <w:p>
            <w:pPr>
              <w:jc w:val="right"/>
              <w:ind w:right="26"/>
              <w:spacing w:after="0"/>
              <w:rPr>
                <w:sz w:val="20"/>
                <w:szCs w:val="20"/>
                <w:color w:val="auto"/>
              </w:rPr>
            </w:pPr>
            <w:r>
              <w:rPr>
                <w:rFonts w:ascii="Arial" w:cs="Arial" w:eastAsia="Arial" w:hAnsi="Arial"/>
                <w:sz w:val="11"/>
                <w:szCs w:val="11"/>
                <w:color w:val="3D3935"/>
              </w:rPr>
              <w:t>1/1/2024</w:t>
            </w:r>
          </w:p>
        </w:tc>
        <w:tc>
          <w:tcPr>
            <w:tcW w:w="660" w:type="dxa"/>
            <w:vAlign w:val="bottom"/>
          </w:tcPr>
          <w:p>
            <w:pPr>
              <w:jc w:val="right"/>
              <w:ind w:right="46"/>
              <w:spacing w:after="0"/>
              <w:rPr>
                <w:sz w:val="20"/>
                <w:szCs w:val="20"/>
                <w:color w:val="auto"/>
              </w:rPr>
            </w:pPr>
            <w:r>
              <w:rPr>
                <w:rFonts w:ascii="Arial" w:cs="Arial" w:eastAsia="Arial" w:hAnsi="Arial"/>
                <w:sz w:val="11"/>
                <w:szCs w:val="11"/>
                <w:color w:val="3D3935"/>
              </w:rPr>
              <w:t>12/7/2023</w:t>
            </w:r>
          </w:p>
        </w:tc>
        <w:tc>
          <w:tcPr>
            <w:tcW w:w="660" w:type="dxa"/>
            <w:vAlign w:val="bottom"/>
          </w:tcPr>
          <w:p>
            <w:pPr>
              <w:jc w:val="right"/>
              <w:ind w:right="46"/>
              <w:spacing w:after="0"/>
              <w:rPr>
                <w:sz w:val="20"/>
                <w:szCs w:val="20"/>
                <w:color w:val="auto"/>
              </w:rPr>
            </w:pPr>
            <w:r>
              <w:rPr>
                <w:rFonts w:ascii="Arial" w:cs="Arial" w:eastAsia="Arial" w:hAnsi="Arial"/>
                <w:sz w:val="11"/>
                <w:szCs w:val="11"/>
                <w:color w:val="3D3935"/>
              </w:rPr>
              <w:t>66,406</w:t>
            </w:r>
          </w:p>
        </w:tc>
        <w:tc>
          <w:tcPr>
            <w:tcW w:w="660" w:type="dxa"/>
            <w:vAlign w:val="bottom"/>
          </w:tcPr>
          <w:p>
            <w:pPr>
              <w:jc w:val="right"/>
              <w:ind w:right="26"/>
              <w:spacing w:after="0"/>
              <w:rPr>
                <w:sz w:val="20"/>
                <w:szCs w:val="20"/>
                <w:color w:val="auto"/>
              </w:rPr>
            </w:pPr>
            <w:r>
              <w:rPr>
                <w:rFonts w:ascii="Arial" w:cs="Arial" w:eastAsia="Arial" w:hAnsi="Arial"/>
                <w:sz w:val="11"/>
                <w:szCs w:val="11"/>
                <w:color w:val="3D3935"/>
              </w:rPr>
              <w:t>1,062,500</w:t>
            </w:r>
          </w:p>
        </w:tc>
        <w:tc>
          <w:tcPr>
            <w:tcW w:w="640" w:type="dxa"/>
            <w:vAlign w:val="bottom"/>
          </w:tcPr>
          <w:p>
            <w:pPr>
              <w:jc w:val="right"/>
              <w:ind w:right="6"/>
              <w:spacing w:after="0"/>
              <w:rPr>
                <w:sz w:val="20"/>
                <w:szCs w:val="20"/>
                <w:color w:val="auto"/>
              </w:rPr>
            </w:pPr>
            <w:r>
              <w:rPr>
                <w:rFonts w:ascii="Arial" w:cs="Arial" w:eastAsia="Arial" w:hAnsi="Arial"/>
                <w:sz w:val="11"/>
                <w:szCs w:val="11"/>
                <w:color w:val="3D3935"/>
              </w:rPr>
              <w:t>2,125,000</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20" w:type="dxa"/>
            <w:vAlign w:val="bottom"/>
          </w:tcPr>
          <w:p>
            <w:pPr>
              <w:jc w:val="right"/>
              <w:ind w:right="26"/>
              <w:spacing w:after="0"/>
              <w:rPr>
                <w:sz w:val="20"/>
                <w:szCs w:val="20"/>
                <w:color w:val="auto"/>
              </w:rPr>
            </w:pPr>
            <w:r>
              <w:rPr>
                <w:rFonts w:ascii="Arial" w:cs="Arial" w:eastAsia="Arial" w:hAnsi="Arial"/>
                <w:sz w:val="11"/>
                <w:szCs w:val="11"/>
                <w:color w:val="3D3935"/>
              </w:rPr>
              <w:t>PSU</w:t>
            </w:r>
          </w:p>
        </w:tc>
        <w:tc>
          <w:tcPr>
            <w:tcW w:w="640" w:type="dxa"/>
            <w:vAlign w:val="bottom"/>
          </w:tcPr>
          <w:p>
            <w:pPr>
              <w:jc w:val="right"/>
              <w:ind w:right="86"/>
              <w:spacing w:after="0"/>
              <w:rPr>
                <w:sz w:val="20"/>
                <w:szCs w:val="20"/>
                <w:color w:val="auto"/>
              </w:rPr>
            </w:pPr>
            <w:r>
              <w:rPr>
                <w:rFonts w:ascii="Arial" w:cs="Arial" w:eastAsia="Arial" w:hAnsi="Arial"/>
                <w:sz w:val="11"/>
                <w:szCs w:val="11"/>
                <w:color w:val="3D3935"/>
              </w:rPr>
              <w:t>2/6/2024</w:t>
            </w:r>
          </w:p>
        </w:tc>
        <w:tc>
          <w:tcPr>
            <w:tcW w:w="660" w:type="dxa"/>
            <w:vAlign w:val="bottom"/>
          </w:tcPr>
          <w:p>
            <w:pPr>
              <w:jc w:val="right"/>
              <w:ind w:right="46"/>
              <w:spacing w:after="0"/>
              <w:rPr>
                <w:sz w:val="20"/>
                <w:szCs w:val="20"/>
                <w:color w:val="auto"/>
              </w:rPr>
            </w:pPr>
            <w:r>
              <w:rPr>
                <w:rFonts w:ascii="Arial" w:cs="Arial" w:eastAsia="Arial" w:hAnsi="Arial"/>
                <w:sz w:val="11"/>
                <w:szCs w:val="11"/>
                <w:color w:val="3D3935"/>
              </w:rPr>
              <w:t>12/7/2023</w:t>
            </w: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gridSpan w:val="3"/>
          </w:tcPr>
          <w:p>
            <w:pPr>
              <w:jc w:val="right"/>
              <w:ind w:right="26"/>
              <w:spacing w:after="0"/>
              <w:rPr>
                <w:sz w:val="20"/>
                <w:szCs w:val="20"/>
                <w:color w:val="auto"/>
              </w:rPr>
            </w:pPr>
            <w:r>
              <w:rPr>
                <w:rFonts w:ascii="Arial" w:cs="Arial" w:eastAsia="Arial" w:hAnsi="Arial"/>
                <w:sz w:val="11"/>
                <w:szCs w:val="11"/>
                <w:color w:val="3D3935"/>
              </w:rPr>
              <w:t>12,280</w:t>
            </w:r>
          </w:p>
        </w:tc>
        <w:tc>
          <w:tcPr>
            <w:tcW w:w="560" w:type="dxa"/>
            <w:vAlign w:val="bottom"/>
          </w:tcPr>
          <w:p>
            <w:pPr>
              <w:jc w:val="right"/>
              <w:ind w:right="66"/>
              <w:spacing w:after="0"/>
              <w:rPr>
                <w:sz w:val="20"/>
                <w:szCs w:val="20"/>
                <w:color w:val="auto"/>
              </w:rPr>
            </w:pPr>
            <w:r>
              <w:rPr>
                <w:rFonts w:ascii="Arial" w:cs="Arial" w:eastAsia="Arial" w:hAnsi="Arial"/>
                <w:sz w:val="11"/>
                <w:szCs w:val="11"/>
                <w:color w:val="3D3935"/>
              </w:rPr>
              <w:t>122,800</w:t>
            </w:r>
          </w:p>
        </w:tc>
        <w:tc>
          <w:tcPr>
            <w:tcW w:w="540" w:type="dxa"/>
            <w:vAlign w:val="bottom"/>
          </w:tcPr>
          <w:p>
            <w:pPr>
              <w:jc w:val="right"/>
              <w:ind w:right="26"/>
              <w:spacing w:after="0"/>
              <w:rPr>
                <w:sz w:val="20"/>
                <w:szCs w:val="20"/>
                <w:color w:val="auto"/>
              </w:rPr>
            </w:pPr>
            <w:r>
              <w:rPr>
                <w:rFonts w:ascii="Arial" w:cs="Arial" w:eastAsia="Arial" w:hAnsi="Arial"/>
                <w:sz w:val="11"/>
                <w:szCs w:val="11"/>
                <w:color w:val="3D3935"/>
              </w:rPr>
              <w:t>245,600</w:t>
            </w:r>
          </w:p>
        </w:tc>
        <w:tc>
          <w:tcPr>
            <w:tcW w:w="1320" w:type="dxa"/>
            <w:vAlign w:val="bottom"/>
          </w:tcPr>
          <w:p>
            <w:pPr>
              <w:spacing w:after="0"/>
              <w:rPr>
                <w:sz w:val="18"/>
                <w:szCs w:val="18"/>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3D3935"/>
              </w:rPr>
              <w:t>5,315,625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0" w:type="dxa"/>
            <w:vAlign w:val="bottom"/>
          </w:tcPr>
          <w:p>
            <w:pPr>
              <w:jc w:val="right"/>
              <w:ind w:right="26"/>
              <w:spacing w:after="0"/>
              <w:rPr>
                <w:sz w:val="20"/>
                <w:szCs w:val="20"/>
                <w:color w:val="auto"/>
              </w:rPr>
            </w:pPr>
            <w:r>
              <w:rPr>
                <w:rFonts w:ascii="Arial" w:cs="Arial" w:eastAsia="Arial" w:hAnsi="Arial"/>
                <w:sz w:val="11"/>
                <w:szCs w:val="11"/>
                <w:color w:val="3D3935"/>
              </w:rPr>
              <w:t>RSU</w:t>
            </w:r>
          </w:p>
        </w:tc>
        <w:tc>
          <w:tcPr>
            <w:tcW w:w="640" w:type="dxa"/>
            <w:vAlign w:val="bottom"/>
          </w:tcPr>
          <w:p>
            <w:pPr>
              <w:jc w:val="right"/>
              <w:ind w:right="86"/>
              <w:spacing w:after="0"/>
              <w:rPr>
                <w:sz w:val="20"/>
                <w:szCs w:val="20"/>
                <w:color w:val="auto"/>
              </w:rPr>
            </w:pPr>
            <w:r>
              <w:rPr>
                <w:rFonts w:ascii="Arial" w:cs="Arial" w:eastAsia="Arial" w:hAnsi="Arial"/>
                <w:sz w:val="11"/>
                <w:szCs w:val="11"/>
                <w:color w:val="3D3935"/>
              </w:rPr>
              <w:t>2/6/2024</w:t>
            </w:r>
          </w:p>
        </w:tc>
        <w:tc>
          <w:tcPr>
            <w:tcW w:w="660" w:type="dxa"/>
            <w:vAlign w:val="bottom"/>
          </w:tcPr>
          <w:p>
            <w:pPr>
              <w:jc w:val="right"/>
              <w:ind w:right="46"/>
              <w:spacing w:after="0"/>
              <w:rPr>
                <w:sz w:val="20"/>
                <w:szCs w:val="20"/>
                <w:color w:val="auto"/>
              </w:rPr>
            </w:pPr>
            <w:r>
              <w:rPr>
                <w:rFonts w:ascii="Arial" w:cs="Arial" w:eastAsia="Arial" w:hAnsi="Arial"/>
                <w:sz w:val="11"/>
                <w:szCs w:val="11"/>
                <w:color w:val="3D3935"/>
              </w:rPr>
              <w:t>12/7/2023</w:t>
            </w: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60" w:type="dxa"/>
            <w:vAlign w:val="bottom"/>
            <w:gridSpan w:val="2"/>
          </w:tcPr>
          <w:p>
            <w:pPr>
              <w:jc w:val="right"/>
              <w:ind w:right="706"/>
              <w:spacing w:after="0"/>
              <w:rPr>
                <w:sz w:val="20"/>
                <w:szCs w:val="20"/>
                <w:color w:val="auto"/>
              </w:rPr>
            </w:pPr>
            <w:r>
              <w:rPr>
                <w:rFonts w:ascii="Arial" w:cs="Arial" w:eastAsia="Arial" w:hAnsi="Arial"/>
                <w:sz w:val="11"/>
                <w:szCs w:val="11"/>
                <w:color w:val="3D3935"/>
              </w:rPr>
              <w:t>46,592</w:t>
            </w:r>
          </w:p>
        </w:tc>
        <w:tc>
          <w:tcPr>
            <w:tcW w:w="1300" w:type="dxa"/>
            <w:vAlign w:val="bottom"/>
          </w:tcPr>
          <w:p>
            <w:pPr>
              <w:jc w:val="right"/>
              <w:spacing w:after="0"/>
              <w:rPr>
                <w:sz w:val="20"/>
                <w:szCs w:val="20"/>
                <w:color w:val="auto"/>
              </w:rPr>
            </w:pPr>
            <w:r>
              <w:rPr>
                <w:rFonts w:ascii="Arial" w:cs="Arial" w:eastAsia="Arial" w:hAnsi="Arial"/>
                <w:sz w:val="11"/>
                <w:szCs w:val="11"/>
                <w:color w:val="3D3935"/>
              </w:rPr>
              <w:t>1,771,894</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200" w:right="300" w:hanging="192"/>
        <w:spacing w:after="0" w:line="257" w:lineRule="auto"/>
        <w:tabs>
          <w:tab w:leader="none" w:pos="200" w:val="left"/>
        </w:tabs>
        <w:numPr>
          <w:ilvl w:val="0"/>
          <w:numId w:val="101"/>
        </w:numPr>
        <w:rPr>
          <w:rFonts w:ascii="Arial" w:cs="Arial" w:eastAsia="Arial" w:hAnsi="Arial"/>
          <w:sz w:val="19"/>
          <w:szCs w:val="19"/>
          <w:color w:val="3D3935"/>
          <w:vertAlign w:val="superscript"/>
        </w:rPr>
      </w:pPr>
      <w:r>
        <w:rPr>
          <w:rFonts w:ascii="Arial" w:cs="Arial" w:eastAsia="Arial" w:hAnsi="Arial"/>
          <w:sz w:val="14"/>
          <w:szCs w:val="14"/>
          <w:color w:val="3D3935"/>
        </w:rPr>
        <w:t>This column shows the aggregate grant date fair value of equity awards granted to the NEOs in 2024. The aggregate grant date fair value is the amount that the Company expects to expense in its financial statements over the vesting schedule. All grant date fair values have been computed in accordance with FASB ASC Topic 718.</w:t>
      </w:r>
    </w:p>
    <w:p>
      <w:pPr>
        <w:spacing w:after="0" w:line="13" w:lineRule="exact"/>
        <w:rPr>
          <w:rFonts w:ascii="Arial" w:cs="Arial" w:eastAsia="Arial" w:hAnsi="Arial"/>
          <w:sz w:val="19"/>
          <w:szCs w:val="19"/>
          <w:color w:val="3D3935"/>
          <w:vertAlign w:val="superscript"/>
        </w:rPr>
      </w:pPr>
    </w:p>
    <w:p>
      <w:pPr>
        <w:ind w:left="200" w:hanging="192"/>
        <w:spacing w:after="0"/>
        <w:tabs>
          <w:tab w:leader="none" w:pos="200" w:val="left"/>
        </w:tabs>
        <w:numPr>
          <w:ilvl w:val="0"/>
          <w:numId w:val="101"/>
        </w:numPr>
        <w:rPr>
          <w:rFonts w:ascii="Arial" w:cs="Arial" w:eastAsia="Arial" w:hAnsi="Arial"/>
          <w:sz w:val="19"/>
          <w:szCs w:val="19"/>
          <w:color w:val="3D3935"/>
          <w:vertAlign w:val="superscript"/>
        </w:rPr>
      </w:pPr>
      <w:r>
        <w:rPr>
          <w:rFonts w:ascii="Arial" w:cs="Arial" w:eastAsia="Arial" w:hAnsi="Arial"/>
          <w:sz w:val="14"/>
          <w:szCs w:val="14"/>
          <w:color w:val="3D3935"/>
        </w:rPr>
        <w:t>Upon his resignation, Mr. Abbott forfeited all outstanding equity awards. Further, he did not receive a 2024 STIP payout.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55626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10375" cy="5562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Outstanding Equity Awards at Fiscal Year-End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Borders>
              <w:bottom w:val="single" w:sz="8" w:color="F0F3F5"/>
            </w:tcBorders>
            <w:shd w:val="clear" w:color="auto" w:fill="F0F3F5"/>
          </w:tcPr>
          <w:p>
            <w:pPr>
              <w:spacing w:after="0"/>
              <w:rPr>
                <w:sz w:val="18"/>
                <w:szCs w:val="18"/>
                <w:color w:val="auto"/>
              </w:rPr>
            </w:pPr>
          </w:p>
        </w:tc>
        <w:tc>
          <w:tcPr>
            <w:tcW w:w="860" w:type="dxa"/>
            <w:vAlign w:val="bottom"/>
            <w:tcBorders>
              <w:bottom w:val="single" w:sz="8" w:color="0072CE"/>
            </w:tcBorders>
            <w:shd w:val="clear" w:color="auto" w:fill="F0F3F5"/>
          </w:tcPr>
          <w:p>
            <w:pPr>
              <w:spacing w:after="0"/>
              <w:rPr>
                <w:sz w:val="18"/>
                <w:szCs w:val="18"/>
                <w:color w:val="auto"/>
              </w:rPr>
            </w:pPr>
          </w:p>
        </w:tc>
        <w:tc>
          <w:tcPr>
            <w:tcW w:w="1860" w:type="dxa"/>
            <w:vAlign w:val="bottom"/>
            <w:tcBorders>
              <w:bottom w:val="single" w:sz="8" w:color="0072CE"/>
            </w:tcBorders>
            <w:gridSpan w:val="3"/>
            <w:shd w:val="clear" w:color="auto" w:fill="F0F3F5"/>
          </w:tcPr>
          <w:p>
            <w:pPr>
              <w:jc w:val="right"/>
              <w:ind w:right="174"/>
              <w:spacing w:after="0"/>
              <w:rPr>
                <w:sz w:val="20"/>
                <w:szCs w:val="20"/>
                <w:color w:val="auto"/>
              </w:rPr>
            </w:pPr>
            <w:r>
              <w:rPr>
                <w:rFonts w:ascii="Arial" w:cs="Arial" w:eastAsia="Arial" w:hAnsi="Arial"/>
                <w:sz w:val="13"/>
                <w:szCs w:val="13"/>
                <w:b w:val="1"/>
                <w:bCs w:val="1"/>
                <w:color w:val="3D3935"/>
              </w:rPr>
              <w:t>Option Awards</w:t>
            </w:r>
          </w:p>
        </w:tc>
        <w:tc>
          <w:tcPr>
            <w:tcW w:w="660" w:type="dxa"/>
            <w:vAlign w:val="bottom"/>
            <w:tcBorders>
              <w:bottom w:val="single" w:sz="8" w:color="0072CE"/>
            </w:tcBorders>
            <w:shd w:val="clear" w:color="auto" w:fill="F0F3F5"/>
          </w:tcPr>
          <w:p>
            <w:pPr>
              <w:spacing w:after="0"/>
              <w:rPr>
                <w:sz w:val="18"/>
                <w:szCs w:val="18"/>
                <w:color w:val="auto"/>
              </w:rPr>
            </w:pPr>
          </w:p>
        </w:tc>
        <w:tc>
          <w:tcPr>
            <w:tcW w:w="740" w:type="dxa"/>
            <w:vAlign w:val="bottom"/>
            <w:tcBorders>
              <w:bottom w:val="single" w:sz="8" w:color="0072CE"/>
            </w:tcBorders>
            <w:shd w:val="clear" w:color="auto" w:fill="F0F3F5"/>
          </w:tcPr>
          <w:p>
            <w:pPr>
              <w:spacing w:after="0"/>
              <w:rPr>
                <w:sz w:val="18"/>
                <w:szCs w:val="18"/>
                <w:color w:val="auto"/>
              </w:rPr>
            </w:pPr>
          </w:p>
        </w:tc>
        <w:tc>
          <w:tcPr>
            <w:tcW w:w="60" w:type="dxa"/>
            <w:vAlign w:val="bottom"/>
            <w:tcBorders>
              <w:bottom w:val="single" w:sz="8" w:color="F0F3F5"/>
            </w:tcBorders>
            <w:shd w:val="clear" w:color="auto" w:fill="F0F3F5"/>
          </w:tcPr>
          <w:p>
            <w:pPr>
              <w:spacing w:after="0"/>
              <w:rPr>
                <w:sz w:val="18"/>
                <w:szCs w:val="18"/>
                <w:color w:val="auto"/>
              </w:rPr>
            </w:pPr>
          </w:p>
        </w:tc>
        <w:tc>
          <w:tcPr>
            <w:tcW w:w="620" w:type="dxa"/>
            <w:vAlign w:val="bottom"/>
            <w:tcBorders>
              <w:bottom w:val="single" w:sz="8" w:color="0072CE"/>
            </w:tcBorders>
            <w:shd w:val="clear" w:color="auto" w:fill="F0F3F5"/>
          </w:tcPr>
          <w:p>
            <w:pPr>
              <w:spacing w:after="0"/>
              <w:rPr>
                <w:sz w:val="18"/>
                <w:szCs w:val="18"/>
                <w:color w:val="auto"/>
              </w:rPr>
            </w:pPr>
          </w:p>
        </w:tc>
        <w:tc>
          <w:tcPr>
            <w:tcW w:w="260" w:type="dxa"/>
            <w:vAlign w:val="bottom"/>
            <w:tcBorders>
              <w:bottom w:val="single" w:sz="8" w:color="0072CE"/>
            </w:tcBorders>
            <w:shd w:val="clear" w:color="auto" w:fill="F0F3F5"/>
          </w:tcPr>
          <w:p>
            <w:pPr>
              <w:spacing w:after="0"/>
              <w:rPr>
                <w:sz w:val="18"/>
                <w:szCs w:val="18"/>
                <w:color w:val="auto"/>
              </w:rPr>
            </w:pPr>
          </w:p>
        </w:tc>
        <w:tc>
          <w:tcPr>
            <w:tcW w:w="1480" w:type="dxa"/>
            <w:vAlign w:val="bottom"/>
            <w:tcBorders>
              <w:bottom w:val="single" w:sz="8" w:color="0072CE"/>
            </w:tcBorders>
            <w:gridSpan w:val="2"/>
            <w:shd w:val="clear" w:color="auto" w:fill="F0F3F5"/>
          </w:tcPr>
          <w:p>
            <w:pPr>
              <w:jc w:val="right"/>
              <w:spacing w:after="0"/>
              <w:rPr>
                <w:sz w:val="20"/>
                <w:szCs w:val="20"/>
                <w:color w:val="auto"/>
              </w:rPr>
            </w:pPr>
            <w:r>
              <w:rPr>
                <w:rFonts w:ascii="Arial" w:cs="Arial" w:eastAsia="Arial" w:hAnsi="Arial"/>
                <w:sz w:val="13"/>
                <w:szCs w:val="13"/>
                <w:b w:val="1"/>
                <w:bCs w:val="1"/>
                <w:color w:val="3D3935"/>
              </w:rPr>
              <w:t>Stock Awards</w:t>
            </w:r>
            <w:r>
              <w:rPr>
                <w:rFonts w:ascii="Arial" w:cs="Arial" w:eastAsia="Arial" w:hAnsi="Arial"/>
                <w:sz w:val="16"/>
                <w:szCs w:val="16"/>
                <w:b w:val="1"/>
                <w:bCs w:val="1"/>
                <w:color w:val="3D3935"/>
                <w:vertAlign w:val="superscript"/>
              </w:rPr>
              <w:t>(1)</w:t>
            </w:r>
          </w:p>
        </w:tc>
        <w:tc>
          <w:tcPr>
            <w:tcW w:w="280" w:type="dxa"/>
            <w:vAlign w:val="bottom"/>
            <w:tcBorders>
              <w:bottom w:val="single" w:sz="8" w:color="0072CE"/>
            </w:tcBorders>
            <w:shd w:val="clear" w:color="auto" w:fill="F0F3F5"/>
          </w:tcPr>
          <w:p>
            <w:pPr>
              <w:spacing w:after="0"/>
              <w:rPr>
                <w:sz w:val="18"/>
                <w:szCs w:val="18"/>
                <w:color w:val="auto"/>
              </w:rPr>
            </w:pPr>
          </w:p>
        </w:tc>
        <w:tc>
          <w:tcPr>
            <w:tcW w:w="800" w:type="dxa"/>
            <w:vAlign w:val="bottom"/>
            <w:tcBorders>
              <w:bottom w:val="single" w:sz="8" w:color="0072CE"/>
            </w:tcBorders>
            <w:shd w:val="clear" w:color="auto" w:fill="F0F3F5"/>
          </w:tcPr>
          <w:p>
            <w:pPr>
              <w:spacing w:after="0"/>
              <w:rPr>
                <w:sz w:val="18"/>
                <w:szCs w:val="18"/>
                <w:color w:val="auto"/>
              </w:rPr>
            </w:pPr>
          </w:p>
        </w:tc>
        <w:tc>
          <w:tcPr>
            <w:tcW w:w="260" w:type="dxa"/>
            <w:vAlign w:val="bottom"/>
            <w:tcBorders>
              <w:bottom w:val="single" w:sz="8" w:color="0072CE"/>
            </w:tcBorders>
            <w:shd w:val="clear" w:color="auto" w:fill="F0F3F5"/>
          </w:tcPr>
          <w:p>
            <w:pPr>
              <w:spacing w:after="0"/>
              <w:rPr>
                <w:sz w:val="18"/>
                <w:szCs w:val="18"/>
                <w:color w:val="auto"/>
              </w:rPr>
            </w:pPr>
          </w:p>
        </w:tc>
      </w:tr>
      <w:tr>
        <w:trPr>
          <w:trHeight w:val="165"/>
        </w:trPr>
        <w:tc>
          <w:tcPr>
            <w:tcW w:w="1200" w:type="dxa"/>
            <w:vAlign w:val="bottom"/>
            <w:shd w:val="clear" w:color="auto" w:fill="F0F3F5"/>
          </w:tcPr>
          <w:p>
            <w:pPr>
              <w:spacing w:after="0"/>
              <w:rPr>
                <w:sz w:val="14"/>
                <w:szCs w:val="14"/>
                <w:color w:val="auto"/>
              </w:rPr>
            </w:pPr>
          </w:p>
        </w:tc>
        <w:tc>
          <w:tcPr>
            <w:tcW w:w="860" w:type="dxa"/>
            <w:vAlign w:val="bottom"/>
            <w:shd w:val="clear" w:color="auto" w:fill="F0F3F5"/>
          </w:tcPr>
          <w:p>
            <w:pPr>
              <w:spacing w:after="0"/>
              <w:rPr>
                <w:sz w:val="14"/>
                <w:szCs w:val="14"/>
                <w:color w:val="auto"/>
              </w:rPr>
            </w:pPr>
          </w:p>
        </w:tc>
        <w:tc>
          <w:tcPr>
            <w:tcW w:w="860" w:type="dxa"/>
            <w:vAlign w:val="bottom"/>
            <w:shd w:val="clear" w:color="auto" w:fill="F0F3F5"/>
          </w:tcPr>
          <w:p>
            <w:pPr>
              <w:spacing w:after="0"/>
              <w:rPr>
                <w:sz w:val="14"/>
                <w:szCs w:val="14"/>
                <w:color w:val="auto"/>
              </w:rPr>
            </w:pPr>
          </w:p>
        </w:tc>
        <w:tc>
          <w:tcPr>
            <w:tcW w:w="720" w:type="dxa"/>
            <w:vAlign w:val="bottom"/>
            <w:shd w:val="clear" w:color="auto" w:fill="F0F3F5"/>
          </w:tcPr>
          <w:p>
            <w:pPr>
              <w:spacing w:after="0"/>
              <w:rPr>
                <w:sz w:val="14"/>
                <w:szCs w:val="14"/>
                <w:color w:val="auto"/>
              </w:rPr>
            </w:pPr>
          </w:p>
        </w:tc>
        <w:tc>
          <w:tcPr>
            <w:tcW w:w="280" w:type="dxa"/>
            <w:vAlign w:val="bottom"/>
            <w:shd w:val="clear" w:color="auto" w:fill="F0F3F5"/>
          </w:tcPr>
          <w:p>
            <w:pPr>
              <w:spacing w:after="0"/>
              <w:rPr>
                <w:sz w:val="14"/>
                <w:szCs w:val="14"/>
                <w:color w:val="auto"/>
              </w:rPr>
            </w:pPr>
          </w:p>
        </w:tc>
        <w:tc>
          <w:tcPr>
            <w:tcW w:w="660" w:type="dxa"/>
            <w:vAlign w:val="bottom"/>
            <w:shd w:val="clear" w:color="auto" w:fill="F0F3F5"/>
          </w:tcPr>
          <w:p>
            <w:pPr>
              <w:spacing w:after="0"/>
              <w:rPr>
                <w:sz w:val="14"/>
                <w:szCs w:val="14"/>
                <w:color w:val="auto"/>
              </w:rPr>
            </w:pPr>
          </w:p>
        </w:tc>
        <w:tc>
          <w:tcPr>
            <w:tcW w:w="740" w:type="dxa"/>
            <w:vAlign w:val="bottom"/>
            <w:shd w:val="clear" w:color="auto" w:fill="F0F3F5"/>
          </w:tcPr>
          <w:p>
            <w:pPr>
              <w:spacing w:after="0"/>
              <w:rPr>
                <w:sz w:val="14"/>
                <w:szCs w:val="14"/>
                <w:color w:val="auto"/>
              </w:rPr>
            </w:pPr>
          </w:p>
        </w:tc>
        <w:tc>
          <w:tcPr>
            <w:tcW w:w="60" w:type="dxa"/>
            <w:vAlign w:val="bottom"/>
            <w:shd w:val="clear" w:color="auto" w:fill="F0F3F5"/>
          </w:tcPr>
          <w:p>
            <w:pPr>
              <w:spacing w:after="0"/>
              <w:rPr>
                <w:sz w:val="14"/>
                <w:szCs w:val="14"/>
                <w:color w:val="auto"/>
              </w:rPr>
            </w:pPr>
          </w:p>
        </w:tc>
        <w:tc>
          <w:tcPr>
            <w:tcW w:w="620" w:type="dxa"/>
            <w:vAlign w:val="bottom"/>
            <w:shd w:val="clear" w:color="auto" w:fill="F0F3F5"/>
          </w:tcPr>
          <w:p>
            <w:pPr>
              <w:spacing w:after="0"/>
              <w:rPr>
                <w:sz w:val="14"/>
                <w:szCs w:val="14"/>
                <w:color w:val="auto"/>
              </w:rPr>
            </w:pPr>
          </w:p>
        </w:tc>
        <w:tc>
          <w:tcPr>
            <w:tcW w:w="260" w:type="dxa"/>
            <w:vAlign w:val="bottom"/>
            <w:shd w:val="clear" w:color="auto" w:fill="F0F3F5"/>
          </w:tcPr>
          <w:p>
            <w:pPr>
              <w:spacing w:after="0"/>
              <w:rPr>
                <w:sz w:val="14"/>
                <w:szCs w:val="14"/>
                <w:color w:val="auto"/>
              </w:rPr>
            </w:pPr>
          </w:p>
        </w:tc>
        <w:tc>
          <w:tcPr>
            <w:tcW w:w="800" w:type="dxa"/>
            <w:vAlign w:val="bottom"/>
            <w:shd w:val="clear" w:color="auto" w:fill="F0F3F5"/>
          </w:tcPr>
          <w:p>
            <w:pPr>
              <w:spacing w:after="0"/>
              <w:rPr>
                <w:sz w:val="14"/>
                <w:szCs w:val="14"/>
                <w:color w:val="auto"/>
              </w:rPr>
            </w:pPr>
          </w:p>
        </w:tc>
        <w:tc>
          <w:tcPr>
            <w:tcW w:w="680" w:type="dxa"/>
            <w:vAlign w:val="bottom"/>
            <w:shd w:val="clear" w:color="auto" w:fill="F0F3F5"/>
          </w:tcPr>
          <w:p>
            <w:pPr>
              <w:spacing w:after="0"/>
              <w:rPr>
                <w:sz w:val="14"/>
                <w:szCs w:val="14"/>
                <w:color w:val="auto"/>
              </w:rPr>
            </w:pPr>
          </w:p>
        </w:tc>
        <w:tc>
          <w:tcPr>
            <w:tcW w:w="280" w:type="dxa"/>
            <w:vAlign w:val="bottom"/>
            <w:shd w:val="clear" w:color="auto" w:fill="F0F3F5"/>
          </w:tcPr>
          <w:p>
            <w:pPr>
              <w:spacing w:after="0"/>
              <w:rPr>
                <w:sz w:val="14"/>
                <w:szCs w:val="14"/>
                <w:color w:val="auto"/>
              </w:rPr>
            </w:pPr>
          </w:p>
        </w:tc>
        <w:tc>
          <w:tcPr>
            <w:tcW w:w="1060" w:type="dxa"/>
            <w:vAlign w:val="bottom"/>
            <w:gridSpan w:val="2"/>
            <w:shd w:val="clear" w:color="auto" w:fill="F0F3F5"/>
          </w:tcPr>
          <w:p>
            <w:pPr>
              <w:jc w:val="right"/>
              <w:spacing w:after="0"/>
              <w:rPr>
                <w:sz w:val="20"/>
                <w:szCs w:val="20"/>
                <w:color w:val="auto"/>
              </w:rPr>
            </w:pPr>
            <w:r>
              <w:rPr>
                <w:rFonts w:ascii="Arial" w:cs="Arial" w:eastAsia="Arial" w:hAnsi="Arial"/>
                <w:sz w:val="13"/>
                <w:szCs w:val="13"/>
                <w:b w:val="1"/>
                <w:bCs w:val="1"/>
                <w:color w:val="3D3935"/>
              </w:rPr>
              <w:t>Equity</w:t>
            </w:r>
          </w:p>
        </w:tc>
      </w:tr>
      <w:tr>
        <w:trPr>
          <w:trHeight w:val="148"/>
        </w:trPr>
        <w:tc>
          <w:tcPr>
            <w:tcW w:w="1200" w:type="dxa"/>
            <w:vAlign w:val="bottom"/>
            <w:shd w:val="clear" w:color="auto" w:fill="F0F3F5"/>
          </w:tcPr>
          <w:p>
            <w:pPr>
              <w:spacing w:after="0"/>
              <w:rPr>
                <w:sz w:val="12"/>
                <w:szCs w:val="12"/>
                <w:color w:val="auto"/>
              </w:rPr>
            </w:pPr>
          </w:p>
        </w:tc>
        <w:tc>
          <w:tcPr>
            <w:tcW w:w="860" w:type="dxa"/>
            <w:vAlign w:val="bottom"/>
            <w:shd w:val="clear" w:color="auto" w:fill="F0F3F5"/>
          </w:tcPr>
          <w:p>
            <w:pPr>
              <w:spacing w:after="0"/>
              <w:rPr>
                <w:sz w:val="12"/>
                <w:szCs w:val="12"/>
                <w:color w:val="auto"/>
              </w:rPr>
            </w:pPr>
          </w:p>
        </w:tc>
        <w:tc>
          <w:tcPr>
            <w:tcW w:w="860" w:type="dxa"/>
            <w:vAlign w:val="bottom"/>
            <w:shd w:val="clear" w:color="auto" w:fill="F0F3F5"/>
          </w:tcPr>
          <w:p>
            <w:pPr>
              <w:spacing w:after="0"/>
              <w:rPr>
                <w:sz w:val="12"/>
                <w:szCs w:val="12"/>
                <w:color w:val="auto"/>
              </w:rPr>
            </w:pPr>
          </w:p>
        </w:tc>
        <w:tc>
          <w:tcPr>
            <w:tcW w:w="720" w:type="dxa"/>
            <w:vAlign w:val="bottom"/>
            <w:shd w:val="clear" w:color="auto" w:fill="F0F3F5"/>
          </w:tcPr>
          <w:p>
            <w:pPr>
              <w:spacing w:after="0"/>
              <w:rPr>
                <w:sz w:val="12"/>
                <w:szCs w:val="12"/>
                <w:color w:val="auto"/>
              </w:rPr>
            </w:pPr>
          </w:p>
        </w:tc>
        <w:tc>
          <w:tcPr>
            <w:tcW w:w="280" w:type="dxa"/>
            <w:vAlign w:val="bottom"/>
            <w:shd w:val="clear" w:color="auto" w:fill="F0F3F5"/>
          </w:tcPr>
          <w:p>
            <w:pPr>
              <w:spacing w:after="0"/>
              <w:rPr>
                <w:sz w:val="12"/>
                <w:szCs w:val="12"/>
                <w:color w:val="auto"/>
              </w:rPr>
            </w:pPr>
          </w:p>
        </w:tc>
        <w:tc>
          <w:tcPr>
            <w:tcW w:w="660" w:type="dxa"/>
            <w:vAlign w:val="bottom"/>
            <w:shd w:val="clear" w:color="auto" w:fill="F0F3F5"/>
          </w:tcPr>
          <w:p>
            <w:pPr>
              <w:spacing w:after="0"/>
              <w:rPr>
                <w:sz w:val="12"/>
                <w:szCs w:val="12"/>
                <w:color w:val="auto"/>
              </w:rPr>
            </w:pPr>
          </w:p>
        </w:tc>
        <w:tc>
          <w:tcPr>
            <w:tcW w:w="740" w:type="dxa"/>
            <w:vAlign w:val="bottom"/>
            <w:shd w:val="clear" w:color="auto" w:fill="F0F3F5"/>
          </w:tcPr>
          <w:p>
            <w:pPr>
              <w:spacing w:after="0"/>
              <w:rPr>
                <w:sz w:val="12"/>
                <w:szCs w:val="12"/>
                <w:color w:val="auto"/>
              </w:rPr>
            </w:pPr>
          </w:p>
        </w:tc>
        <w:tc>
          <w:tcPr>
            <w:tcW w:w="60" w:type="dxa"/>
            <w:vAlign w:val="bottom"/>
            <w:shd w:val="clear" w:color="auto" w:fill="F0F3F5"/>
          </w:tcPr>
          <w:p>
            <w:pPr>
              <w:spacing w:after="0"/>
              <w:rPr>
                <w:sz w:val="12"/>
                <w:szCs w:val="12"/>
                <w:color w:val="auto"/>
              </w:rPr>
            </w:pPr>
          </w:p>
        </w:tc>
        <w:tc>
          <w:tcPr>
            <w:tcW w:w="620" w:type="dxa"/>
            <w:vAlign w:val="bottom"/>
            <w:shd w:val="clear" w:color="auto" w:fill="F0F3F5"/>
          </w:tcPr>
          <w:p>
            <w:pPr>
              <w:spacing w:after="0"/>
              <w:rPr>
                <w:sz w:val="12"/>
                <w:szCs w:val="12"/>
                <w:color w:val="auto"/>
              </w:rPr>
            </w:pPr>
          </w:p>
        </w:tc>
        <w:tc>
          <w:tcPr>
            <w:tcW w:w="260" w:type="dxa"/>
            <w:vAlign w:val="bottom"/>
            <w:shd w:val="clear" w:color="auto" w:fill="F0F3F5"/>
          </w:tcPr>
          <w:p>
            <w:pPr>
              <w:spacing w:after="0"/>
              <w:rPr>
                <w:sz w:val="12"/>
                <w:szCs w:val="12"/>
                <w:color w:val="auto"/>
              </w:rPr>
            </w:pPr>
          </w:p>
        </w:tc>
        <w:tc>
          <w:tcPr>
            <w:tcW w:w="800" w:type="dxa"/>
            <w:vAlign w:val="bottom"/>
            <w:shd w:val="clear" w:color="auto" w:fill="F0F3F5"/>
          </w:tcPr>
          <w:p>
            <w:pPr>
              <w:spacing w:after="0"/>
              <w:rPr>
                <w:sz w:val="12"/>
                <w:szCs w:val="12"/>
                <w:color w:val="auto"/>
              </w:rPr>
            </w:pPr>
          </w:p>
        </w:tc>
        <w:tc>
          <w:tcPr>
            <w:tcW w:w="960" w:type="dxa"/>
            <w:vAlign w:val="bottom"/>
            <w:gridSpan w:val="2"/>
            <w:shd w:val="clear" w:color="auto" w:fill="F0F3F5"/>
          </w:tcPr>
          <w:p>
            <w:pPr>
              <w:jc w:val="right"/>
              <w:ind w:right="14"/>
              <w:spacing w:after="0"/>
              <w:rPr>
                <w:sz w:val="20"/>
                <w:szCs w:val="20"/>
                <w:color w:val="auto"/>
              </w:rPr>
            </w:pPr>
            <w:r>
              <w:rPr>
                <w:rFonts w:ascii="Arial" w:cs="Arial" w:eastAsia="Arial" w:hAnsi="Arial"/>
                <w:sz w:val="13"/>
                <w:szCs w:val="13"/>
                <w:b w:val="1"/>
                <w:bCs w:val="1"/>
                <w:color w:val="3D3935"/>
              </w:rPr>
              <w:t>Equity</w:t>
            </w:r>
          </w:p>
        </w:tc>
        <w:tc>
          <w:tcPr>
            <w:tcW w:w="1060" w:type="dxa"/>
            <w:vAlign w:val="bottom"/>
            <w:gridSpan w:val="2"/>
            <w:shd w:val="clear" w:color="auto" w:fill="F0F3F5"/>
          </w:tcPr>
          <w:p>
            <w:pPr>
              <w:jc w:val="right"/>
              <w:ind w:right="15"/>
              <w:spacing w:after="0"/>
              <w:rPr>
                <w:sz w:val="20"/>
                <w:szCs w:val="20"/>
                <w:color w:val="auto"/>
              </w:rPr>
            </w:pPr>
            <w:r>
              <w:rPr>
                <w:rFonts w:ascii="Arial" w:cs="Arial" w:eastAsia="Arial" w:hAnsi="Arial"/>
                <w:sz w:val="13"/>
                <w:szCs w:val="13"/>
                <w:b w:val="1"/>
                <w:bCs w:val="1"/>
                <w:color w:val="3D3935"/>
              </w:rPr>
              <w:t>Incentive</w:t>
            </w:r>
          </w:p>
        </w:tc>
      </w:tr>
      <w:tr>
        <w:trPr>
          <w:trHeight w:val="162"/>
        </w:trPr>
        <w:tc>
          <w:tcPr>
            <w:tcW w:w="1200" w:type="dxa"/>
            <w:vAlign w:val="bottom"/>
            <w:shd w:val="clear" w:color="auto" w:fill="F0F3F5"/>
          </w:tcPr>
          <w:p>
            <w:pPr>
              <w:spacing w:after="0"/>
              <w:rPr>
                <w:sz w:val="14"/>
                <w:szCs w:val="14"/>
                <w:color w:val="auto"/>
              </w:rPr>
            </w:pPr>
          </w:p>
        </w:tc>
        <w:tc>
          <w:tcPr>
            <w:tcW w:w="860" w:type="dxa"/>
            <w:vAlign w:val="bottom"/>
            <w:shd w:val="clear" w:color="auto" w:fill="F0F3F5"/>
          </w:tcPr>
          <w:p>
            <w:pPr>
              <w:spacing w:after="0"/>
              <w:rPr>
                <w:sz w:val="14"/>
                <w:szCs w:val="14"/>
                <w:color w:val="auto"/>
              </w:rPr>
            </w:pPr>
          </w:p>
        </w:tc>
        <w:tc>
          <w:tcPr>
            <w:tcW w:w="860" w:type="dxa"/>
            <w:vAlign w:val="bottom"/>
            <w:shd w:val="clear" w:color="auto" w:fill="F0F3F5"/>
          </w:tcPr>
          <w:p>
            <w:pPr>
              <w:spacing w:after="0"/>
              <w:rPr>
                <w:sz w:val="14"/>
                <w:szCs w:val="14"/>
                <w:color w:val="auto"/>
              </w:rPr>
            </w:pPr>
          </w:p>
        </w:tc>
        <w:tc>
          <w:tcPr>
            <w:tcW w:w="720" w:type="dxa"/>
            <w:vAlign w:val="bottom"/>
            <w:shd w:val="clear" w:color="auto" w:fill="F0F3F5"/>
          </w:tcPr>
          <w:p>
            <w:pPr>
              <w:spacing w:after="0"/>
              <w:rPr>
                <w:sz w:val="14"/>
                <w:szCs w:val="14"/>
                <w:color w:val="auto"/>
              </w:rPr>
            </w:pPr>
          </w:p>
        </w:tc>
        <w:tc>
          <w:tcPr>
            <w:tcW w:w="280" w:type="dxa"/>
            <w:vAlign w:val="bottom"/>
            <w:shd w:val="clear" w:color="auto" w:fill="F0F3F5"/>
          </w:tcPr>
          <w:p>
            <w:pPr>
              <w:spacing w:after="0"/>
              <w:rPr>
                <w:sz w:val="14"/>
                <w:szCs w:val="14"/>
                <w:color w:val="auto"/>
              </w:rPr>
            </w:pPr>
          </w:p>
        </w:tc>
        <w:tc>
          <w:tcPr>
            <w:tcW w:w="660" w:type="dxa"/>
            <w:vAlign w:val="bottom"/>
            <w:shd w:val="clear" w:color="auto" w:fill="F0F3F5"/>
          </w:tcPr>
          <w:p>
            <w:pPr>
              <w:spacing w:after="0"/>
              <w:rPr>
                <w:sz w:val="14"/>
                <w:szCs w:val="14"/>
                <w:color w:val="auto"/>
              </w:rPr>
            </w:pPr>
          </w:p>
        </w:tc>
        <w:tc>
          <w:tcPr>
            <w:tcW w:w="740" w:type="dxa"/>
            <w:vAlign w:val="bottom"/>
            <w:shd w:val="clear" w:color="auto" w:fill="F0F3F5"/>
          </w:tcPr>
          <w:p>
            <w:pPr>
              <w:spacing w:after="0"/>
              <w:rPr>
                <w:sz w:val="14"/>
                <w:szCs w:val="14"/>
                <w:color w:val="auto"/>
              </w:rPr>
            </w:pPr>
          </w:p>
        </w:tc>
        <w:tc>
          <w:tcPr>
            <w:tcW w:w="60" w:type="dxa"/>
            <w:vAlign w:val="bottom"/>
            <w:shd w:val="clear" w:color="auto" w:fill="F0F3F5"/>
          </w:tcPr>
          <w:p>
            <w:pPr>
              <w:spacing w:after="0"/>
              <w:rPr>
                <w:sz w:val="14"/>
                <w:szCs w:val="14"/>
                <w:color w:val="auto"/>
              </w:rPr>
            </w:pPr>
          </w:p>
        </w:tc>
        <w:tc>
          <w:tcPr>
            <w:tcW w:w="620" w:type="dxa"/>
            <w:vAlign w:val="bottom"/>
            <w:shd w:val="clear" w:color="auto" w:fill="F0F3F5"/>
          </w:tcPr>
          <w:p>
            <w:pPr>
              <w:spacing w:after="0"/>
              <w:rPr>
                <w:sz w:val="14"/>
                <w:szCs w:val="14"/>
                <w:color w:val="auto"/>
              </w:rPr>
            </w:pPr>
          </w:p>
        </w:tc>
        <w:tc>
          <w:tcPr>
            <w:tcW w:w="260" w:type="dxa"/>
            <w:vAlign w:val="bottom"/>
            <w:shd w:val="clear" w:color="auto" w:fill="F0F3F5"/>
          </w:tcPr>
          <w:p>
            <w:pPr>
              <w:spacing w:after="0"/>
              <w:rPr>
                <w:sz w:val="14"/>
                <w:szCs w:val="14"/>
                <w:color w:val="auto"/>
              </w:rPr>
            </w:pPr>
          </w:p>
        </w:tc>
        <w:tc>
          <w:tcPr>
            <w:tcW w:w="800" w:type="dxa"/>
            <w:vAlign w:val="bottom"/>
            <w:shd w:val="clear" w:color="auto" w:fill="F0F3F5"/>
          </w:tcPr>
          <w:p>
            <w:pPr>
              <w:spacing w:after="0"/>
              <w:rPr>
                <w:sz w:val="14"/>
                <w:szCs w:val="14"/>
                <w:color w:val="auto"/>
              </w:rPr>
            </w:pPr>
          </w:p>
        </w:tc>
        <w:tc>
          <w:tcPr>
            <w:tcW w:w="960" w:type="dxa"/>
            <w:vAlign w:val="bottom"/>
            <w:gridSpan w:val="2"/>
            <w:shd w:val="clear" w:color="auto" w:fill="F0F3F5"/>
          </w:tcPr>
          <w:p>
            <w:pPr>
              <w:jc w:val="right"/>
              <w:ind w:right="34"/>
              <w:spacing w:after="0"/>
              <w:rPr>
                <w:sz w:val="20"/>
                <w:szCs w:val="20"/>
                <w:color w:val="auto"/>
              </w:rPr>
            </w:pPr>
            <w:r>
              <w:rPr>
                <w:rFonts w:ascii="Arial" w:cs="Arial" w:eastAsia="Arial" w:hAnsi="Arial"/>
                <w:sz w:val="13"/>
                <w:szCs w:val="13"/>
                <w:b w:val="1"/>
                <w:bCs w:val="1"/>
                <w:color w:val="3D3935"/>
              </w:rPr>
              <w:t>Incentive</w:t>
            </w:r>
          </w:p>
        </w:tc>
        <w:tc>
          <w:tcPr>
            <w:tcW w:w="1060" w:type="dxa"/>
            <w:vAlign w:val="bottom"/>
            <w:gridSpan w:val="2"/>
            <w:shd w:val="clear" w:color="auto" w:fill="F0F3F5"/>
          </w:tcPr>
          <w:p>
            <w:pPr>
              <w:jc w:val="right"/>
              <w:spacing w:after="0"/>
              <w:rPr>
                <w:sz w:val="20"/>
                <w:szCs w:val="20"/>
                <w:color w:val="auto"/>
              </w:rPr>
            </w:pPr>
            <w:r>
              <w:rPr>
                <w:rFonts w:ascii="Arial" w:cs="Arial" w:eastAsia="Arial" w:hAnsi="Arial"/>
                <w:sz w:val="13"/>
                <w:szCs w:val="13"/>
                <w:b w:val="1"/>
                <w:bCs w:val="1"/>
                <w:color w:val="3D3935"/>
              </w:rPr>
              <w:t>Plan Awards:</w:t>
            </w:r>
          </w:p>
        </w:tc>
      </w:tr>
      <w:tr>
        <w:trPr>
          <w:trHeight w:val="148"/>
        </w:trPr>
        <w:tc>
          <w:tcPr>
            <w:tcW w:w="1200" w:type="dxa"/>
            <w:vAlign w:val="bottom"/>
            <w:shd w:val="clear" w:color="auto" w:fill="F0F3F5"/>
          </w:tcPr>
          <w:p>
            <w:pPr>
              <w:spacing w:after="0"/>
              <w:rPr>
                <w:sz w:val="12"/>
                <w:szCs w:val="12"/>
                <w:color w:val="auto"/>
              </w:rPr>
            </w:pPr>
          </w:p>
        </w:tc>
        <w:tc>
          <w:tcPr>
            <w:tcW w:w="860" w:type="dxa"/>
            <w:vAlign w:val="bottom"/>
            <w:shd w:val="clear" w:color="auto" w:fill="F0F3F5"/>
          </w:tcPr>
          <w:p>
            <w:pPr>
              <w:spacing w:after="0"/>
              <w:rPr>
                <w:sz w:val="12"/>
                <w:szCs w:val="12"/>
                <w:color w:val="auto"/>
              </w:rPr>
            </w:pPr>
          </w:p>
        </w:tc>
        <w:tc>
          <w:tcPr>
            <w:tcW w:w="860" w:type="dxa"/>
            <w:vAlign w:val="bottom"/>
            <w:shd w:val="clear" w:color="auto" w:fill="F0F3F5"/>
          </w:tcPr>
          <w:p>
            <w:pPr>
              <w:spacing w:after="0"/>
              <w:rPr>
                <w:sz w:val="12"/>
                <w:szCs w:val="12"/>
                <w:color w:val="auto"/>
              </w:rPr>
            </w:pPr>
          </w:p>
        </w:tc>
        <w:tc>
          <w:tcPr>
            <w:tcW w:w="720" w:type="dxa"/>
            <w:vAlign w:val="bottom"/>
            <w:shd w:val="clear" w:color="auto" w:fill="F0F3F5"/>
          </w:tcPr>
          <w:p>
            <w:pPr>
              <w:spacing w:after="0"/>
              <w:rPr>
                <w:sz w:val="12"/>
                <w:szCs w:val="12"/>
                <w:color w:val="auto"/>
              </w:rPr>
            </w:pPr>
          </w:p>
        </w:tc>
        <w:tc>
          <w:tcPr>
            <w:tcW w:w="280" w:type="dxa"/>
            <w:vAlign w:val="bottom"/>
            <w:shd w:val="clear" w:color="auto" w:fill="F0F3F5"/>
          </w:tcPr>
          <w:p>
            <w:pPr>
              <w:spacing w:after="0"/>
              <w:rPr>
                <w:sz w:val="12"/>
                <w:szCs w:val="12"/>
                <w:color w:val="auto"/>
              </w:rPr>
            </w:pPr>
          </w:p>
        </w:tc>
        <w:tc>
          <w:tcPr>
            <w:tcW w:w="660" w:type="dxa"/>
            <w:vAlign w:val="bottom"/>
            <w:shd w:val="clear" w:color="auto" w:fill="F0F3F5"/>
          </w:tcPr>
          <w:p>
            <w:pPr>
              <w:spacing w:after="0"/>
              <w:rPr>
                <w:sz w:val="12"/>
                <w:szCs w:val="12"/>
                <w:color w:val="auto"/>
              </w:rPr>
            </w:pPr>
          </w:p>
        </w:tc>
        <w:tc>
          <w:tcPr>
            <w:tcW w:w="740" w:type="dxa"/>
            <w:vAlign w:val="bottom"/>
            <w:shd w:val="clear" w:color="auto" w:fill="F0F3F5"/>
          </w:tcPr>
          <w:p>
            <w:pPr>
              <w:spacing w:after="0"/>
              <w:rPr>
                <w:sz w:val="12"/>
                <w:szCs w:val="12"/>
                <w:color w:val="auto"/>
              </w:rPr>
            </w:pPr>
          </w:p>
        </w:tc>
        <w:tc>
          <w:tcPr>
            <w:tcW w:w="60" w:type="dxa"/>
            <w:vAlign w:val="bottom"/>
            <w:shd w:val="clear" w:color="auto" w:fill="F0F3F5"/>
          </w:tcPr>
          <w:p>
            <w:pPr>
              <w:spacing w:after="0"/>
              <w:rPr>
                <w:sz w:val="12"/>
                <w:szCs w:val="12"/>
                <w:color w:val="auto"/>
              </w:rPr>
            </w:pPr>
          </w:p>
        </w:tc>
        <w:tc>
          <w:tcPr>
            <w:tcW w:w="620" w:type="dxa"/>
            <w:vAlign w:val="bottom"/>
            <w:shd w:val="clear" w:color="auto" w:fill="F0F3F5"/>
          </w:tcPr>
          <w:p>
            <w:pPr>
              <w:spacing w:after="0"/>
              <w:rPr>
                <w:sz w:val="12"/>
                <w:szCs w:val="12"/>
                <w:color w:val="auto"/>
              </w:rPr>
            </w:pPr>
          </w:p>
        </w:tc>
        <w:tc>
          <w:tcPr>
            <w:tcW w:w="260" w:type="dxa"/>
            <w:vAlign w:val="bottom"/>
            <w:shd w:val="clear" w:color="auto" w:fill="F0F3F5"/>
          </w:tcPr>
          <w:p>
            <w:pPr>
              <w:spacing w:after="0"/>
              <w:rPr>
                <w:sz w:val="12"/>
                <w:szCs w:val="12"/>
                <w:color w:val="auto"/>
              </w:rPr>
            </w:pPr>
          </w:p>
        </w:tc>
        <w:tc>
          <w:tcPr>
            <w:tcW w:w="800" w:type="dxa"/>
            <w:vAlign w:val="bottom"/>
            <w:shd w:val="clear" w:color="auto" w:fill="F0F3F5"/>
          </w:tcPr>
          <w:p>
            <w:pPr>
              <w:spacing w:after="0"/>
              <w:rPr>
                <w:sz w:val="12"/>
                <w:szCs w:val="12"/>
                <w:color w:val="auto"/>
              </w:rPr>
            </w:pPr>
          </w:p>
        </w:tc>
        <w:tc>
          <w:tcPr>
            <w:tcW w:w="960" w:type="dxa"/>
            <w:vAlign w:val="bottom"/>
            <w:gridSpan w:val="2"/>
            <w:shd w:val="clear" w:color="auto" w:fill="F0F3F5"/>
          </w:tcPr>
          <w:p>
            <w:pPr>
              <w:ind w:left="120"/>
              <w:spacing w:after="0"/>
              <w:rPr>
                <w:sz w:val="20"/>
                <w:szCs w:val="20"/>
                <w:color w:val="auto"/>
              </w:rPr>
            </w:pPr>
            <w:r>
              <w:rPr>
                <w:rFonts w:ascii="Arial" w:cs="Arial" w:eastAsia="Arial" w:hAnsi="Arial"/>
                <w:sz w:val="13"/>
                <w:szCs w:val="13"/>
                <w:b w:val="1"/>
                <w:bCs w:val="1"/>
                <w:color w:val="3D3935"/>
                <w:w w:val="99"/>
              </w:rPr>
              <w:t>Plan Awards:</w:t>
            </w:r>
          </w:p>
        </w:tc>
        <w:tc>
          <w:tcPr>
            <w:tcW w:w="1060" w:type="dxa"/>
            <w:vAlign w:val="bottom"/>
            <w:gridSpan w:val="2"/>
            <w:shd w:val="clear" w:color="auto" w:fill="F0F3F5"/>
          </w:tcPr>
          <w:p>
            <w:pPr>
              <w:jc w:val="right"/>
              <w:ind w:right="15"/>
              <w:spacing w:after="0"/>
              <w:rPr>
                <w:sz w:val="20"/>
                <w:szCs w:val="20"/>
                <w:color w:val="auto"/>
              </w:rPr>
            </w:pPr>
            <w:r>
              <w:rPr>
                <w:rFonts w:ascii="Arial" w:cs="Arial" w:eastAsia="Arial" w:hAnsi="Arial"/>
                <w:sz w:val="13"/>
                <w:szCs w:val="13"/>
                <w:b w:val="1"/>
                <w:bCs w:val="1"/>
                <w:color w:val="3D3935"/>
              </w:rPr>
              <w:t>Market or</w:t>
            </w:r>
          </w:p>
        </w:tc>
      </w:tr>
      <w:tr>
        <w:trPr>
          <w:trHeight w:val="149"/>
        </w:trPr>
        <w:tc>
          <w:tcPr>
            <w:tcW w:w="1200" w:type="dxa"/>
            <w:vAlign w:val="bottom"/>
            <w:shd w:val="clear" w:color="auto" w:fill="F0F3F5"/>
          </w:tcPr>
          <w:p>
            <w:pPr>
              <w:spacing w:after="0"/>
              <w:rPr>
                <w:sz w:val="12"/>
                <w:szCs w:val="12"/>
                <w:color w:val="auto"/>
              </w:rPr>
            </w:pPr>
          </w:p>
        </w:tc>
        <w:tc>
          <w:tcPr>
            <w:tcW w:w="860" w:type="dxa"/>
            <w:vAlign w:val="bottom"/>
            <w:shd w:val="clear" w:color="auto" w:fill="F0F3F5"/>
          </w:tcPr>
          <w:p>
            <w:pPr>
              <w:spacing w:after="0"/>
              <w:rPr>
                <w:sz w:val="12"/>
                <w:szCs w:val="12"/>
                <w:color w:val="auto"/>
              </w:rPr>
            </w:pPr>
          </w:p>
        </w:tc>
        <w:tc>
          <w:tcPr>
            <w:tcW w:w="860" w:type="dxa"/>
            <w:vAlign w:val="bottom"/>
            <w:shd w:val="clear" w:color="auto" w:fill="F0F3F5"/>
          </w:tcPr>
          <w:p>
            <w:pPr>
              <w:spacing w:after="0"/>
              <w:rPr>
                <w:sz w:val="12"/>
                <w:szCs w:val="12"/>
                <w:color w:val="auto"/>
              </w:rPr>
            </w:pPr>
          </w:p>
        </w:tc>
        <w:tc>
          <w:tcPr>
            <w:tcW w:w="720" w:type="dxa"/>
            <w:vAlign w:val="bottom"/>
            <w:shd w:val="clear" w:color="auto" w:fill="F0F3F5"/>
          </w:tcPr>
          <w:p>
            <w:pPr>
              <w:spacing w:after="0"/>
              <w:rPr>
                <w:sz w:val="12"/>
                <w:szCs w:val="12"/>
                <w:color w:val="auto"/>
              </w:rPr>
            </w:pPr>
          </w:p>
        </w:tc>
        <w:tc>
          <w:tcPr>
            <w:tcW w:w="280" w:type="dxa"/>
            <w:vAlign w:val="bottom"/>
            <w:shd w:val="clear" w:color="auto" w:fill="F0F3F5"/>
          </w:tcPr>
          <w:p>
            <w:pPr>
              <w:spacing w:after="0"/>
              <w:rPr>
                <w:sz w:val="12"/>
                <w:szCs w:val="12"/>
                <w:color w:val="auto"/>
              </w:rPr>
            </w:pPr>
          </w:p>
        </w:tc>
        <w:tc>
          <w:tcPr>
            <w:tcW w:w="660" w:type="dxa"/>
            <w:vAlign w:val="bottom"/>
            <w:shd w:val="clear" w:color="auto" w:fill="F0F3F5"/>
          </w:tcPr>
          <w:p>
            <w:pPr>
              <w:spacing w:after="0"/>
              <w:rPr>
                <w:sz w:val="12"/>
                <w:szCs w:val="12"/>
                <w:color w:val="auto"/>
              </w:rPr>
            </w:pPr>
          </w:p>
        </w:tc>
        <w:tc>
          <w:tcPr>
            <w:tcW w:w="740" w:type="dxa"/>
            <w:vAlign w:val="bottom"/>
            <w:shd w:val="clear" w:color="auto" w:fill="F0F3F5"/>
          </w:tcPr>
          <w:p>
            <w:pPr>
              <w:spacing w:after="0"/>
              <w:rPr>
                <w:sz w:val="12"/>
                <w:szCs w:val="12"/>
                <w:color w:val="auto"/>
              </w:rPr>
            </w:pPr>
          </w:p>
        </w:tc>
        <w:tc>
          <w:tcPr>
            <w:tcW w:w="60" w:type="dxa"/>
            <w:vAlign w:val="bottom"/>
            <w:shd w:val="clear" w:color="auto" w:fill="F0F3F5"/>
          </w:tcPr>
          <w:p>
            <w:pPr>
              <w:spacing w:after="0"/>
              <w:rPr>
                <w:sz w:val="12"/>
                <w:szCs w:val="12"/>
                <w:color w:val="auto"/>
              </w:rPr>
            </w:pPr>
          </w:p>
        </w:tc>
        <w:tc>
          <w:tcPr>
            <w:tcW w:w="620" w:type="dxa"/>
            <w:vAlign w:val="bottom"/>
            <w:shd w:val="clear" w:color="auto" w:fill="F0F3F5"/>
          </w:tcPr>
          <w:p>
            <w:pPr>
              <w:spacing w:after="0"/>
              <w:rPr>
                <w:sz w:val="12"/>
                <w:szCs w:val="12"/>
                <w:color w:val="auto"/>
              </w:rPr>
            </w:pPr>
          </w:p>
        </w:tc>
        <w:tc>
          <w:tcPr>
            <w:tcW w:w="260" w:type="dxa"/>
            <w:vAlign w:val="bottom"/>
            <w:shd w:val="clear" w:color="auto" w:fill="F0F3F5"/>
          </w:tcPr>
          <w:p>
            <w:pPr>
              <w:spacing w:after="0"/>
              <w:rPr>
                <w:sz w:val="12"/>
                <w:szCs w:val="12"/>
                <w:color w:val="auto"/>
              </w:rPr>
            </w:pPr>
          </w:p>
        </w:tc>
        <w:tc>
          <w:tcPr>
            <w:tcW w:w="800" w:type="dxa"/>
            <w:vAlign w:val="bottom"/>
            <w:shd w:val="clear" w:color="auto" w:fill="F0F3F5"/>
          </w:tcPr>
          <w:p>
            <w:pPr>
              <w:jc w:val="right"/>
              <w:ind w:right="35"/>
              <w:spacing w:after="0"/>
              <w:rPr>
                <w:sz w:val="20"/>
                <w:szCs w:val="20"/>
                <w:color w:val="auto"/>
              </w:rPr>
            </w:pPr>
            <w:r>
              <w:rPr>
                <w:rFonts w:ascii="Arial" w:cs="Arial" w:eastAsia="Arial" w:hAnsi="Arial"/>
                <w:sz w:val="13"/>
                <w:szCs w:val="13"/>
                <w:b w:val="1"/>
                <w:bCs w:val="1"/>
                <w:color w:val="3D3935"/>
              </w:rPr>
              <w:t>Market</w:t>
            </w:r>
          </w:p>
        </w:tc>
        <w:tc>
          <w:tcPr>
            <w:tcW w:w="960" w:type="dxa"/>
            <w:vAlign w:val="bottom"/>
            <w:gridSpan w:val="2"/>
            <w:shd w:val="clear" w:color="auto" w:fill="F0F3F5"/>
          </w:tcPr>
          <w:p>
            <w:pPr>
              <w:jc w:val="right"/>
              <w:ind w:right="14"/>
              <w:spacing w:after="0"/>
              <w:rPr>
                <w:sz w:val="20"/>
                <w:szCs w:val="20"/>
                <w:color w:val="auto"/>
              </w:rPr>
            </w:pPr>
            <w:r>
              <w:rPr>
                <w:rFonts w:ascii="Arial" w:cs="Arial" w:eastAsia="Arial" w:hAnsi="Arial"/>
                <w:sz w:val="13"/>
                <w:szCs w:val="13"/>
                <w:b w:val="1"/>
                <w:bCs w:val="1"/>
                <w:color w:val="3D3935"/>
              </w:rPr>
              <w:t>Number of</w:t>
            </w:r>
          </w:p>
        </w:tc>
        <w:tc>
          <w:tcPr>
            <w:tcW w:w="1060" w:type="dxa"/>
            <w:vAlign w:val="bottom"/>
            <w:gridSpan w:val="2"/>
            <w:shd w:val="clear" w:color="auto" w:fill="F0F3F5"/>
          </w:tcPr>
          <w:p>
            <w:pPr>
              <w:jc w:val="right"/>
              <w:ind w:right="15"/>
              <w:spacing w:after="0"/>
              <w:rPr>
                <w:sz w:val="20"/>
                <w:szCs w:val="20"/>
                <w:color w:val="auto"/>
              </w:rPr>
            </w:pPr>
            <w:r>
              <w:rPr>
                <w:rFonts w:ascii="Arial" w:cs="Arial" w:eastAsia="Arial" w:hAnsi="Arial"/>
                <w:sz w:val="13"/>
                <w:szCs w:val="13"/>
                <w:b w:val="1"/>
                <w:bCs w:val="1"/>
                <w:color w:val="3D3935"/>
              </w:rPr>
              <w:t>Payout Value</w:t>
            </w:r>
          </w:p>
        </w:tc>
      </w:tr>
      <w:tr>
        <w:trPr>
          <w:trHeight w:val="148"/>
        </w:trPr>
        <w:tc>
          <w:tcPr>
            <w:tcW w:w="1200" w:type="dxa"/>
            <w:vAlign w:val="bottom"/>
            <w:shd w:val="clear" w:color="auto" w:fill="F0F3F5"/>
          </w:tcPr>
          <w:p>
            <w:pPr>
              <w:spacing w:after="0"/>
              <w:rPr>
                <w:sz w:val="12"/>
                <w:szCs w:val="12"/>
                <w:color w:val="auto"/>
              </w:rPr>
            </w:pPr>
          </w:p>
        </w:tc>
        <w:tc>
          <w:tcPr>
            <w:tcW w:w="860" w:type="dxa"/>
            <w:vAlign w:val="bottom"/>
            <w:shd w:val="clear" w:color="auto" w:fill="F0F3F5"/>
          </w:tcPr>
          <w:p>
            <w:pPr>
              <w:spacing w:after="0"/>
              <w:rPr>
                <w:sz w:val="12"/>
                <w:szCs w:val="12"/>
                <w:color w:val="auto"/>
              </w:rPr>
            </w:pPr>
          </w:p>
        </w:tc>
        <w:tc>
          <w:tcPr>
            <w:tcW w:w="860" w:type="dxa"/>
            <w:vAlign w:val="bottom"/>
            <w:shd w:val="clear" w:color="auto" w:fill="F0F3F5"/>
          </w:tcPr>
          <w:p>
            <w:pPr>
              <w:jc w:val="right"/>
              <w:spacing w:after="0"/>
              <w:rPr>
                <w:sz w:val="20"/>
                <w:szCs w:val="20"/>
                <w:color w:val="auto"/>
              </w:rPr>
            </w:pPr>
            <w:r>
              <w:rPr>
                <w:rFonts w:ascii="Arial" w:cs="Arial" w:eastAsia="Arial" w:hAnsi="Arial"/>
                <w:sz w:val="13"/>
                <w:szCs w:val="13"/>
                <w:b w:val="1"/>
                <w:bCs w:val="1"/>
                <w:color w:val="3D3935"/>
              </w:rPr>
              <w:t>Number of</w:t>
            </w:r>
          </w:p>
        </w:tc>
        <w:tc>
          <w:tcPr>
            <w:tcW w:w="1000" w:type="dxa"/>
            <w:vAlign w:val="bottom"/>
            <w:gridSpan w:val="2"/>
            <w:shd w:val="clear" w:color="auto" w:fill="F0F3F5"/>
          </w:tcPr>
          <w:p>
            <w:pPr>
              <w:jc w:val="right"/>
              <w:ind w:right="34"/>
              <w:spacing w:after="0"/>
              <w:rPr>
                <w:sz w:val="20"/>
                <w:szCs w:val="20"/>
                <w:color w:val="auto"/>
              </w:rPr>
            </w:pPr>
            <w:r>
              <w:rPr>
                <w:rFonts w:ascii="Arial" w:cs="Arial" w:eastAsia="Arial" w:hAnsi="Arial"/>
                <w:sz w:val="13"/>
                <w:szCs w:val="13"/>
                <w:b w:val="1"/>
                <w:bCs w:val="1"/>
                <w:color w:val="3D3935"/>
              </w:rPr>
              <w:t>Number of</w:t>
            </w:r>
          </w:p>
        </w:tc>
        <w:tc>
          <w:tcPr>
            <w:tcW w:w="660" w:type="dxa"/>
            <w:vAlign w:val="bottom"/>
            <w:shd w:val="clear" w:color="auto" w:fill="F0F3F5"/>
          </w:tcPr>
          <w:p>
            <w:pPr>
              <w:spacing w:after="0"/>
              <w:rPr>
                <w:sz w:val="12"/>
                <w:szCs w:val="12"/>
                <w:color w:val="auto"/>
              </w:rPr>
            </w:pPr>
          </w:p>
        </w:tc>
        <w:tc>
          <w:tcPr>
            <w:tcW w:w="740" w:type="dxa"/>
            <w:vAlign w:val="bottom"/>
            <w:shd w:val="clear" w:color="auto" w:fill="F0F3F5"/>
          </w:tcPr>
          <w:p>
            <w:pPr>
              <w:spacing w:after="0"/>
              <w:rPr>
                <w:sz w:val="12"/>
                <w:szCs w:val="12"/>
                <w:color w:val="auto"/>
              </w:rPr>
            </w:pPr>
          </w:p>
        </w:tc>
        <w:tc>
          <w:tcPr>
            <w:tcW w:w="60" w:type="dxa"/>
            <w:vAlign w:val="bottom"/>
            <w:shd w:val="clear" w:color="auto" w:fill="F0F3F5"/>
          </w:tcPr>
          <w:p>
            <w:pPr>
              <w:spacing w:after="0"/>
              <w:rPr>
                <w:sz w:val="12"/>
                <w:szCs w:val="12"/>
                <w:color w:val="auto"/>
              </w:rPr>
            </w:pPr>
          </w:p>
        </w:tc>
        <w:tc>
          <w:tcPr>
            <w:tcW w:w="880" w:type="dxa"/>
            <w:vAlign w:val="bottom"/>
            <w:gridSpan w:val="2"/>
            <w:shd w:val="clear" w:color="auto" w:fill="F0F3F5"/>
          </w:tcPr>
          <w:p>
            <w:pPr>
              <w:jc w:val="right"/>
              <w:ind w:right="14"/>
              <w:spacing w:after="0"/>
              <w:rPr>
                <w:sz w:val="20"/>
                <w:szCs w:val="20"/>
                <w:color w:val="auto"/>
              </w:rPr>
            </w:pPr>
            <w:r>
              <w:rPr>
                <w:rFonts w:ascii="Arial" w:cs="Arial" w:eastAsia="Arial" w:hAnsi="Arial"/>
                <w:sz w:val="13"/>
                <w:szCs w:val="13"/>
                <w:b w:val="1"/>
                <w:bCs w:val="1"/>
                <w:color w:val="3D3935"/>
              </w:rPr>
              <w:t>Number</w:t>
            </w:r>
          </w:p>
        </w:tc>
        <w:tc>
          <w:tcPr>
            <w:tcW w:w="800" w:type="dxa"/>
            <w:vAlign w:val="bottom"/>
            <w:shd w:val="clear" w:color="auto" w:fill="F0F3F5"/>
          </w:tcPr>
          <w:p>
            <w:pPr>
              <w:jc w:val="right"/>
              <w:ind w:right="15"/>
              <w:spacing w:after="0"/>
              <w:rPr>
                <w:sz w:val="20"/>
                <w:szCs w:val="20"/>
                <w:color w:val="auto"/>
              </w:rPr>
            </w:pPr>
            <w:r>
              <w:rPr>
                <w:rFonts w:ascii="Arial" w:cs="Arial" w:eastAsia="Arial" w:hAnsi="Arial"/>
                <w:sz w:val="13"/>
                <w:szCs w:val="13"/>
                <w:b w:val="1"/>
                <w:bCs w:val="1"/>
                <w:color w:val="3D3935"/>
              </w:rPr>
              <w:t>Value of</w:t>
            </w:r>
          </w:p>
        </w:tc>
        <w:tc>
          <w:tcPr>
            <w:tcW w:w="960" w:type="dxa"/>
            <w:vAlign w:val="bottom"/>
            <w:gridSpan w:val="2"/>
            <w:shd w:val="clear" w:color="auto" w:fill="F0F3F5"/>
          </w:tcPr>
          <w:p>
            <w:pPr>
              <w:jc w:val="right"/>
              <w:ind w:right="14"/>
              <w:spacing w:after="0"/>
              <w:rPr>
                <w:sz w:val="20"/>
                <w:szCs w:val="20"/>
                <w:color w:val="auto"/>
              </w:rPr>
            </w:pPr>
            <w:r>
              <w:rPr>
                <w:rFonts w:ascii="Arial" w:cs="Arial" w:eastAsia="Arial" w:hAnsi="Arial"/>
                <w:sz w:val="13"/>
                <w:szCs w:val="13"/>
                <w:b w:val="1"/>
                <w:bCs w:val="1"/>
                <w:color w:val="3D3935"/>
              </w:rPr>
              <w:t>Unearned</w:t>
            </w:r>
          </w:p>
        </w:tc>
        <w:tc>
          <w:tcPr>
            <w:tcW w:w="1060" w:type="dxa"/>
            <w:vAlign w:val="bottom"/>
            <w:gridSpan w:val="2"/>
            <w:shd w:val="clear" w:color="auto" w:fill="F0F3F5"/>
          </w:tcPr>
          <w:p>
            <w:pPr>
              <w:jc w:val="right"/>
              <w:spacing w:after="0"/>
              <w:rPr>
                <w:sz w:val="20"/>
                <w:szCs w:val="20"/>
                <w:color w:val="auto"/>
              </w:rPr>
            </w:pPr>
            <w:r>
              <w:rPr>
                <w:rFonts w:ascii="Arial" w:cs="Arial" w:eastAsia="Arial" w:hAnsi="Arial"/>
                <w:sz w:val="13"/>
                <w:szCs w:val="13"/>
                <w:b w:val="1"/>
                <w:bCs w:val="1"/>
                <w:color w:val="3D3935"/>
              </w:rPr>
              <w:t>of Unearned</w:t>
            </w:r>
          </w:p>
        </w:tc>
      </w:tr>
      <w:tr>
        <w:trPr>
          <w:trHeight w:val="148"/>
        </w:trPr>
        <w:tc>
          <w:tcPr>
            <w:tcW w:w="1200" w:type="dxa"/>
            <w:vAlign w:val="bottom"/>
            <w:shd w:val="clear" w:color="auto" w:fill="F0F3F5"/>
          </w:tcPr>
          <w:p>
            <w:pPr>
              <w:spacing w:after="0"/>
              <w:rPr>
                <w:sz w:val="12"/>
                <w:szCs w:val="12"/>
                <w:color w:val="auto"/>
              </w:rPr>
            </w:pPr>
          </w:p>
        </w:tc>
        <w:tc>
          <w:tcPr>
            <w:tcW w:w="860" w:type="dxa"/>
            <w:vAlign w:val="bottom"/>
            <w:shd w:val="clear" w:color="auto" w:fill="F0F3F5"/>
          </w:tcPr>
          <w:p>
            <w:pPr>
              <w:spacing w:after="0"/>
              <w:rPr>
                <w:sz w:val="12"/>
                <w:szCs w:val="12"/>
                <w:color w:val="auto"/>
              </w:rPr>
            </w:pPr>
          </w:p>
        </w:tc>
        <w:tc>
          <w:tcPr>
            <w:tcW w:w="860" w:type="dxa"/>
            <w:vAlign w:val="bottom"/>
            <w:shd w:val="clear" w:color="auto" w:fill="F0F3F5"/>
          </w:tcPr>
          <w:p>
            <w:pPr>
              <w:jc w:val="right"/>
              <w:spacing w:after="0"/>
              <w:rPr>
                <w:sz w:val="20"/>
                <w:szCs w:val="20"/>
                <w:color w:val="auto"/>
              </w:rPr>
            </w:pPr>
            <w:r>
              <w:rPr>
                <w:rFonts w:ascii="Arial" w:cs="Arial" w:eastAsia="Arial" w:hAnsi="Arial"/>
                <w:sz w:val="13"/>
                <w:szCs w:val="13"/>
                <w:b w:val="1"/>
                <w:bCs w:val="1"/>
                <w:color w:val="3D3935"/>
              </w:rPr>
              <w:t>Securities</w:t>
            </w:r>
          </w:p>
        </w:tc>
        <w:tc>
          <w:tcPr>
            <w:tcW w:w="1000" w:type="dxa"/>
            <w:vAlign w:val="bottom"/>
            <w:gridSpan w:val="2"/>
            <w:shd w:val="clear" w:color="auto" w:fill="F0F3F5"/>
          </w:tcPr>
          <w:p>
            <w:pPr>
              <w:jc w:val="right"/>
              <w:ind w:right="54"/>
              <w:spacing w:after="0"/>
              <w:rPr>
                <w:sz w:val="20"/>
                <w:szCs w:val="20"/>
                <w:color w:val="auto"/>
              </w:rPr>
            </w:pPr>
            <w:r>
              <w:rPr>
                <w:rFonts w:ascii="Arial" w:cs="Arial" w:eastAsia="Arial" w:hAnsi="Arial"/>
                <w:sz w:val="13"/>
                <w:szCs w:val="13"/>
                <w:b w:val="1"/>
                <w:bCs w:val="1"/>
                <w:color w:val="3D3935"/>
              </w:rPr>
              <w:t>Securities</w:t>
            </w:r>
          </w:p>
        </w:tc>
        <w:tc>
          <w:tcPr>
            <w:tcW w:w="660" w:type="dxa"/>
            <w:vAlign w:val="bottom"/>
            <w:shd w:val="clear" w:color="auto" w:fill="F0F3F5"/>
          </w:tcPr>
          <w:p>
            <w:pPr>
              <w:spacing w:after="0"/>
              <w:rPr>
                <w:sz w:val="12"/>
                <w:szCs w:val="12"/>
                <w:color w:val="auto"/>
              </w:rPr>
            </w:pPr>
          </w:p>
        </w:tc>
        <w:tc>
          <w:tcPr>
            <w:tcW w:w="740" w:type="dxa"/>
            <w:vAlign w:val="bottom"/>
            <w:shd w:val="clear" w:color="auto" w:fill="F0F3F5"/>
          </w:tcPr>
          <w:p>
            <w:pPr>
              <w:spacing w:after="0"/>
              <w:rPr>
                <w:sz w:val="12"/>
                <w:szCs w:val="12"/>
                <w:color w:val="auto"/>
              </w:rPr>
            </w:pPr>
          </w:p>
        </w:tc>
        <w:tc>
          <w:tcPr>
            <w:tcW w:w="60" w:type="dxa"/>
            <w:vAlign w:val="bottom"/>
            <w:shd w:val="clear" w:color="auto" w:fill="F0F3F5"/>
          </w:tcPr>
          <w:p>
            <w:pPr>
              <w:spacing w:after="0"/>
              <w:rPr>
                <w:sz w:val="12"/>
                <w:szCs w:val="12"/>
                <w:color w:val="auto"/>
              </w:rPr>
            </w:pPr>
          </w:p>
        </w:tc>
        <w:tc>
          <w:tcPr>
            <w:tcW w:w="880" w:type="dxa"/>
            <w:vAlign w:val="bottom"/>
            <w:gridSpan w:val="2"/>
            <w:shd w:val="clear" w:color="auto" w:fill="F0F3F5"/>
          </w:tcPr>
          <w:p>
            <w:pPr>
              <w:jc w:val="right"/>
              <w:spacing w:after="0"/>
              <w:rPr>
                <w:sz w:val="20"/>
                <w:szCs w:val="20"/>
                <w:color w:val="auto"/>
              </w:rPr>
            </w:pPr>
            <w:r>
              <w:rPr>
                <w:rFonts w:ascii="Arial" w:cs="Arial" w:eastAsia="Arial" w:hAnsi="Arial"/>
                <w:sz w:val="13"/>
                <w:szCs w:val="13"/>
                <w:b w:val="1"/>
                <w:bCs w:val="1"/>
                <w:color w:val="3D3935"/>
              </w:rPr>
              <w:t>of Shares</w:t>
            </w:r>
          </w:p>
        </w:tc>
        <w:tc>
          <w:tcPr>
            <w:tcW w:w="800" w:type="dxa"/>
            <w:vAlign w:val="bottom"/>
            <w:shd w:val="clear" w:color="auto" w:fill="F0F3F5"/>
          </w:tcPr>
          <w:p>
            <w:pPr>
              <w:jc w:val="right"/>
              <w:spacing w:after="0"/>
              <w:rPr>
                <w:sz w:val="20"/>
                <w:szCs w:val="20"/>
                <w:color w:val="auto"/>
              </w:rPr>
            </w:pPr>
            <w:r>
              <w:rPr>
                <w:rFonts w:ascii="Arial" w:cs="Arial" w:eastAsia="Arial" w:hAnsi="Arial"/>
                <w:sz w:val="13"/>
                <w:szCs w:val="13"/>
                <w:b w:val="1"/>
                <w:bCs w:val="1"/>
                <w:color w:val="3D3935"/>
              </w:rPr>
              <w:t>Shares or</w:t>
            </w:r>
          </w:p>
        </w:tc>
        <w:tc>
          <w:tcPr>
            <w:tcW w:w="960" w:type="dxa"/>
            <w:vAlign w:val="bottom"/>
            <w:gridSpan w:val="2"/>
            <w:shd w:val="clear" w:color="auto" w:fill="F0F3F5"/>
          </w:tcPr>
          <w:p>
            <w:pPr>
              <w:jc w:val="right"/>
              <w:spacing w:after="0"/>
              <w:rPr>
                <w:sz w:val="20"/>
                <w:szCs w:val="20"/>
                <w:color w:val="auto"/>
              </w:rPr>
            </w:pPr>
            <w:r>
              <w:rPr>
                <w:rFonts w:ascii="Arial" w:cs="Arial" w:eastAsia="Arial" w:hAnsi="Arial"/>
                <w:sz w:val="13"/>
                <w:szCs w:val="13"/>
                <w:b w:val="1"/>
                <w:bCs w:val="1"/>
                <w:color w:val="3D3935"/>
              </w:rPr>
              <w:t>Shares, Units,</w:t>
            </w:r>
          </w:p>
        </w:tc>
        <w:tc>
          <w:tcPr>
            <w:tcW w:w="1060" w:type="dxa"/>
            <w:vAlign w:val="bottom"/>
            <w:gridSpan w:val="2"/>
            <w:shd w:val="clear" w:color="auto" w:fill="F0F3F5"/>
          </w:tcPr>
          <w:p>
            <w:pPr>
              <w:jc w:val="right"/>
              <w:spacing w:after="0"/>
              <w:rPr>
                <w:sz w:val="20"/>
                <w:szCs w:val="20"/>
                <w:color w:val="auto"/>
              </w:rPr>
            </w:pPr>
            <w:r>
              <w:rPr>
                <w:rFonts w:ascii="Arial" w:cs="Arial" w:eastAsia="Arial" w:hAnsi="Arial"/>
                <w:sz w:val="13"/>
                <w:szCs w:val="13"/>
                <w:b w:val="1"/>
                <w:bCs w:val="1"/>
                <w:color w:val="3D3935"/>
              </w:rPr>
              <w:t>Shares, Units,</w:t>
            </w:r>
          </w:p>
        </w:tc>
      </w:tr>
      <w:tr>
        <w:trPr>
          <w:trHeight w:val="162"/>
        </w:trPr>
        <w:tc>
          <w:tcPr>
            <w:tcW w:w="1200" w:type="dxa"/>
            <w:vAlign w:val="bottom"/>
            <w:shd w:val="clear" w:color="auto" w:fill="F0F3F5"/>
          </w:tcPr>
          <w:p>
            <w:pPr>
              <w:spacing w:after="0"/>
              <w:rPr>
                <w:sz w:val="14"/>
                <w:szCs w:val="14"/>
                <w:color w:val="auto"/>
              </w:rPr>
            </w:pPr>
          </w:p>
        </w:tc>
        <w:tc>
          <w:tcPr>
            <w:tcW w:w="860" w:type="dxa"/>
            <w:vAlign w:val="bottom"/>
            <w:shd w:val="clear" w:color="auto" w:fill="F0F3F5"/>
          </w:tcPr>
          <w:p>
            <w:pPr>
              <w:spacing w:after="0"/>
              <w:rPr>
                <w:sz w:val="14"/>
                <w:szCs w:val="14"/>
                <w:color w:val="auto"/>
              </w:rPr>
            </w:pPr>
          </w:p>
        </w:tc>
        <w:tc>
          <w:tcPr>
            <w:tcW w:w="860" w:type="dxa"/>
            <w:vAlign w:val="bottom"/>
            <w:shd w:val="clear" w:color="auto" w:fill="F0F3F5"/>
          </w:tcPr>
          <w:p>
            <w:pPr>
              <w:jc w:val="right"/>
              <w:spacing w:after="0"/>
              <w:rPr>
                <w:sz w:val="20"/>
                <w:szCs w:val="20"/>
                <w:color w:val="auto"/>
              </w:rPr>
            </w:pPr>
            <w:r>
              <w:rPr>
                <w:rFonts w:ascii="Arial" w:cs="Arial" w:eastAsia="Arial" w:hAnsi="Arial"/>
                <w:sz w:val="13"/>
                <w:szCs w:val="13"/>
                <w:b w:val="1"/>
                <w:bCs w:val="1"/>
                <w:color w:val="3D3935"/>
              </w:rPr>
              <w:t>Underlying</w:t>
            </w:r>
          </w:p>
        </w:tc>
        <w:tc>
          <w:tcPr>
            <w:tcW w:w="1000" w:type="dxa"/>
            <w:vAlign w:val="bottom"/>
            <w:gridSpan w:val="2"/>
            <w:shd w:val="clear" w:color="auto" w:fill="F0F3F5"/>
          </w:tcPr>
          <w:p>
            <w:pPr>
              <w:jc w:val="right"/>
              <w:ind w:right="54"/>
              <w:spacing w:after="0"/>
              <w:rPr>
                <w:sz w:val="20"/>
                <w:szCs w:val="20"/>
                <w:color w:val="auto"/>
              </w:rPr>
            </w:pPr>
            <w:r>
              <w:rPr>
                <w:rFonts w:ascii="Arial" w:cs="Arial" w:eastAsia="Arial" w:hAnsi="Arial"/>
                <w:sz w:val="13"/>
                <w:szCs w:val="13"/>
                <w:b w:val="1"/>
                <w:bCs w:val="1"/>
                <w:color w:val="3D3935"/>
              </w:rPr>
              <w:t>Underlying</w:t>
            </w:r>
          </w:p>
        </w:tc>
        <w:tc>
          <w:tcPr>
            <w:tcW w:w="660" w:type="dxa"/>
            <w:vAlign w:val="bottom"/>
            <w:shd w:val="clear" w:color="auto" w:fill="F0F3F5"/>
          </w:tcPr>
          <w:p>
            <w:pPr>
              <w:spacing w:after="0"/>
              <w:rPr>
                <w:sz w:val="14"/>
                <w:szCs w:val="14"/>
                <w:color w:val="auto"/>
              </w:rPr>
            </w:pPr>
          </w:p>
        </w:tc>
        <w:tc>
          <w:tcPr>
            <w:tcW w:w="740" w:type="dxa"/>
            <w:vAlign w:val="bottom"/>
            <w:shd w:val="clear" w:color="auto" w:fill="F0F3F5"/>
          </w:tcPr>
          <w:p>
            <w:pPr>
              <w:spacing w:after="0"/>
              <w:rPr>
                <w:sz w:val="14"/>
                <w:szCs w:val="14"/>
                <w:color w:val="auto"/>
              </w:rPr>
            </w:pPr>
          </w:p>
        </w:tc>
        <w:tc>
          <w:tcPr>
            <w:tcW w:w="60" w:type="dxa"/>
            <w:vAlign w:val="bottom"/>
            <w:shd w:val="clear" w:color="auto" w:fill="F0F3F5"/>
          </w:tcPr>
          <w:p>
            <w:pPr>
              <w:spacing w:after="0"/>
              <w:rPr>
                <w:sz w:val="14"/>
                <w:szCs w:val="14"/>
                <w:color w:val="auto"/>
              </w:rPr>
            </w:pPr>
          </w:p>
        </w:tc>
        <w:tc>
          <w:tcPr>
            <w:tcW w:w="880" w:type="dxa"/>
            <w:vAlign w:val="bottom"/>
            <w:gridSpan w:val="2"/>
            <w:shd w:val="clear" w:color="auto" w:fill="F0F3F5"/>
          </w:tcPr>
          <w:p>
            <w:pPr>
              <w:jc w:val="right"/>
              <w:spacing w:after="0"/>
              <w:rPr>
                <w:sz w:val="20"/>
                <w:szCs w:val="20"/>
                <w:color w:val="auto"/>
              </w:rPr>
            </w:pPr>
            <w:r>
              <w:rPr>
                <w:rFonts w:ascii="Arial" w:cs="Arial" w:eastAsia="Arial" w:hAnsi="Arial"/>
                <w:sz w:val="13"/>
                <w:szCs w:val="13"/>
                <w:b w:val="1"/>
                <w:bCs w:val="1"/>
                <w:color w:val="3D3935"/>
              </w:rPr>
              <w:t>or Units of</w:t>
            </w:r>
          </w:p>
        </w:tc>
        <w:tc>
          <w:tcPr>
            <w:tcW w:w="800" w:type="dxa"/>
            <w:vAlign w:val="bottom"/>
            <w:shd w:val="clear" w:color="auto" w:fill="F0F3F5"/>
          </w:tcPr>
          <w:p>
            <w:pPr>
              <w:jc w:val="right"/>
              <w:ind w:right="15"/>
              <w:spacing w:after="0"/>
              <w:rPr>
                <w:sz w:val="20"/>
                <w:szCs w:val="20"/>
                <w:color w:val="auto"/>
              </w:rPr>
            </w:pPr>
            <w:r>
              <w:rPr>
                <w:rFonts w:ascii="Arial" w:cs="Arial" w:eastAsia="Arial" w:hAnsi="Arial"/>
                <w:sz w:val="13"/>
                <w:szCs w:val="13"/>
                <w:b w:val="1"/>
                <w:bCs w:val="1"/>
                <w:color w:val="3D3935"/>
              </w:rPr>
              <w:t>Units of</w:t>
            </w:r>
          </w:p>
        </w:tc>
        <w:tc>
          <w:tcPr>
            <w:tcW w:w="960" w:type="dxa"/>
            <w:vAlign w:val="bottom"/>
            <w:gridSpan w:val="2"/>
            <w:shd w:val="clear" w:color="auto" w:fill="F0F3F5"/>
          </w:tcPr>
          <w:p>
            <w:pPr>
              <w:jc w:val="right"/>
              <w:ind w:right="14"/>
              <w:spacing w:after="0"/>
              <w:rPr>
                <w:sz w:val="20"/>
                <w:szCs w:val="20"/>
                <w:color w:val="auto"/>
              </w:rPr>
            </w:pPr>
            <w:r>
              <w:rPr>
                <w:rFonts w:ascii="Arial" w:cs="Arial" w:eastAsia="Arial" w:hAnsi="Arial"/>
                <w:sz w:val="13"/>
                <w:szCs w:val="13"/>
                <w:b w:val="1"/>
                <w:bCs w:val="1"/>
                <w:color w:val="3D3935"/>
              </w:rPr>
              <w:t>or Other</w:t>
            </w:r>
          </w:p>
        </w:tc>
        <w:tc>
          <w:tcPr>
            <w:tcW w:w="1060" w:type="dxa"/>
            <w:vAlign w:val="bottom"/>
            <w:gridSpan w:val="2"/>
            <w:shd w:val="clear" w:color="auto" w:fill="F0F3F5"/>
          </w:tcPr>
          <w:p>
            <w:pPr>
              <w:jc w:val="right"/>
              <w:spacing w:after="0"/>
              <w:rPr>
                <w:sz w:val="20"/>
                <w:szCs w:val="20"/>
                <w:color w:val="auto"/>
              </w:rPr>
            </w:pPr>
            <w:r>
              <w:rPr>
                <w:rFonts w:ascii="Arial" w:cs="Arial" w:eastAsia="Arial" w:hAnsi="Arial"/>
                <w:sz w:val="13"/>
                <w:szCs w:val="13"/>
                <w:b w:val="1"/>
                <w:bCs w:val="1"/>
                <w:color w:val="3D3935"/>
              </w:rPr>
              <w:t>or Other</w:t>
            </w:r>
          </w:p>
        </w:tc>
      </w:tr>
      <w:tr>
        <w:trPr>
          <w:trHeight w:val="149"/>
        </w:trPr>
        <w:tc>
          <w:tcPr>
            <w:tcW w:w="1200" w:type="dxa"/>
            <w:vAlign w:val="bottom"/>
            <w:shd w:val="clear" w:color="auto" w:fill="F0F3F5"/>
          </w:tcPr>
          <w:p>
            <w:pPr>
              <w:spacing w:after="0"/>
              <w:rPr>
                <w:sz w:val="12"/>
                <w:szCs w:val="12"/>
                <w:color w:val="auto"/>
              </w:rPr>
            </w:pPr>
          </w:p>
        </w:tc>
        <w:tc>
          <w:tcPr>
            <w:tcW w:w="860" w:type="dxa"/>
            <w:vAlign w:val="bottom"/>
            <w:shd w:val="clear" w:color="auto" w:fill="F0F3F5"/>
          </w:tcPr>
          <w:p>
            <w:pPr>
              <w:spacing w:after="0"/>
              <w:rPr>
                <w:sz w:val="12"/>
                <w:szCs w:val="12"/>
                <w:color w:val="auto"/>
              </w:rPr>
            </w:pPr>
          </w:p>
        </w:tc>
        <w:tc>
          <w:tcPr>
            <w:tcW w:w="860" w:type="dxa"/>
            <w:vAlign w:val="bottom"/>
            <w:shd w:val="clear" w:color="auto" w:fill="F0F3F5"/>
          </w:tcPr>
          <w:p>
            <w:pPr>
              <w:jc w:val="right"/>
              <w:spacing w:after="0"/>
              <w:rPr>
                <w:sz w:val="20"/>
                <w:szCs w:val="20"/>
                <w:color w:val="auto"/>
              </w:rPr>
            </w:pPr>
            <w:r>
              <w:rPr>
                <w:rFonts w:ascii="Arial" w:cs="Arial" w:eastAsia="Arial" w:hAnsi="Arial"/>
                <w:sz w:val="13"/>
                <w:szCs w:val="13"/>
                <w:b w:val="1"/>
                <w:bCs w:val="1"/>
                <w:color w:val="3D3935"/>
              </w:rPr>
              <w:t>Unexercised</w:t>
            </w:r>
          </w:p>
        </w:tc>
        <w:tc>
          <w:tcPr>
            <w:tcW w:w="1000" w:type="dxa"/>
            <w:vAlign w:val="bottom"/>
            <w:gridSpan w:val="2"/>
            <w:shd w:val="clear" w:color="auto" w:fill="F0F3F5"/>
          </w:tcPr>
          <w:p>
            <w:pPr>
              <w:jc w:val="right"/>
              <w:ind w:right="54"/>
              <w:spacing w:after="0"/>
              <w:rPr>
                <w:sz w:val="20"/>
                <w:szCs w:val="20"/>
                <w:color w:val="auto"/>
              </w:rPr>
            </w:pPr>
            <w:r>
              <w:rPr>
                <w:rFonts w:ascii="Arial" w:cs="Arial" w:eastAsia="Arial" w:hAnsi="Arial"/>
                <w:sz w:val="13"/>
                <w:szCs w:val="13"/>
                <w:b w:val="1"/>
                <w:bCs w:val="1"/>
                <w:color w:val="3D3935"/>
              </w:rPr>
              <w:t>Unexercised</w:t>
            </w:r>
          </w:p>
        </w:tc>
        <w:tc>
          <w:tcPr>
            <w:tcW w:w="660" w:type="dxa"/>
            <w:vAlign w:val="bottom"/>
            <w:shd w:val="clear" w:color="auto" w:fill="F0F3F5"/>
          </w:tcPr>
          <w:p>
            <w:pPr>
              <w:jc w:val="right"/>
              <w:spacing w:after="0"/>
              <w:rPr>
                <w:sz w:val="20"/>
                <w:szCs w:val="20"/>
                <w:color w:val="auto"/>
              </w:rPr>
            </w:pPr>
            <w:r>
              <w:rPr>
                <w:rFonts w:ascii="Arial" w:cs="Arial" w:eastAsia="Arial" w:hAnsi="Arial"/>
                <w:sz w:val="13"/>
                <w:szCs w:val="13"/>
                <w:b w:val="1"/>
                <w:bCs w:val="1"/>
                <w:color w:val="3D3935"/>
              </w:rPr>
              <w:t>Option</w:t>
            </w:r>
          </w:p>
        </w:tc>
        <w:tc>
          <w:tcPr>
            <w:tcW w:w="740" w:type="dxa"/>
            <w:vAlign w:val="bottom"/>
            <w:shd w:val="clear" w:color="auto" w:fill="F0F3F5"/>
          </w:tcPr>
          <w:p>
            <w:pPr>
              <w:spacing w:after="0"/>
              <w:rPr>
                <w:sz w:val="12"/>
                <w:szCs w:val="12"/>
                <w:color w:val="auto"/>
              </w:rPr>
            </w:pPr>
          </w:p>
        </w:tc>
        <w:tc>
          <w:tcPr>
            <w:tcW w:w="60" w:type="dxa"/>
            <w:vAlign w:val="bottom"/>
            <w:shd w:val="clear" w:color="auto" w:fill="F0F3F5"/>
          </w:tcPr>
          <w:p>
            <w:pPr>
              <w:spacing w:after="0"/>
              <w:rPr>
                <w:sz w:val="12"/>
                <w:szCs w:val="12"/>
                <w:color w:val="auto"/>
              </w:rPr>
            </w:pPr>
          </w:p>
        </w:tc>
        <w:tc>
          <w:tcPr>
            <w:tcW w:w="880" w:type="dxa"/>
            <w:vAlign w:val="bottom"/>
            <w:gridSpan w:val="2"/>
            <w:shd w:val="clear" w:color="auto" w:fill="F0F3F5"/>
          </w:tcPr>
          <w:p>
            <w:pPr>
              <w:jc w:val="right"/>
              <w:ind w:right="14"/>
              <w:spacing w:after="0"/>
              <w:rPr>
                <w:sz w:val="20"/>
                <w:szCs w:val="20"/>
                <w:color w:val="auto"/>
              </w:rPr>
            </w:pPr>
            <w:r>
              <w:rPr>
                <w:rFonts w:ascii="Arial" w:cs="Arial" w:eastAsia="Arial" w:hAnsi="Arial"/>
                <w:sz w:val="13"/>
                <w:szCs w:val="13"/>
                <w:b w:val="1"/>
                <w:bCs w:val="1"/>
                <w:color w:val="3D3935"/>
              </w:rPr>
              <w:t>Stock That</w:t>
            </w:r>
          </w:p>
        </w:tc>
        <w:tc>
          <w:tcPr>
            <w:tcW w:w="800" w:type="dxa"/>
            <w:vAlign w:val="bottom"/>
            <w:shd w:val="clear" w:color="auto" w:fill="F0F3F5"/>
          </w:tcPr>
          <w:p>
            <w:pPr>
              <w:jc w:val="right"/>
              <w:ind w:right="15"/>
              <w:spacing w:after="0"/>
              <w:rPr>
                <w:sz w:val="20"/>
                <w:szCs w:val="20"/>
                <w:color w:val="auto"/>
              </w:rPr>
            </w:pPr>
            <w:r>
              <w:rPr>
                <w:rFonts w:ascii="Arial" w:cs="Arial" w:eastAsia="Arial" w:hAnsi="Arial"/>
                <w:sz w:val="13"/>
                <w:szCs w:val="13"/>
                <w:b w:val="1"/>
                <w:bCs w:val="1"/>
                <w:color w:val="3D3935"/>
              </w:rPr>
              <w:t>Stock That</w:t>
            </w:r>
          </w:p>
        </w:tc>
        <w:tc>
          <w:tcPr>
            <w:tcW w:w="960" w:type="dxa"/>
            <w:vAlign w:val="bottom"/>
            <w:gridSpan w:val="2"/>
            <w:shd w:val="clear" w:color="auto" w:fill="F0F3F5"/>
          </w:tcPr>
          <w:p>
            <w:pPr>
              <w:jc w:val="right"/>
              <w:ind w:right="14"/>
              <w:spacing w:after="0"/>
              <w:rPr>
                <w:sz w:val="20"/>
                <w:szCs w:val="20"/>
                <w:color w:val="auto"/>
              </w:rPr>
            </w:pPr>
            <w:r>
              <w:rPr>
                <w:rFonts w:ascii="Arial" w:cs="Arial" w:eastAsia="Arial" w:hAnsi="Arial"/>
                <w:sz w:val="13"/>
                <w:szCs w:val="13"/>
                <w:b w:val="1"/>
                <w:bCs w:val="1"/>
                <w:color w:val="3D3935"/>
              </w:rPr>
              <w:t>Rights That</w:t>
            </w:r>
          </w:p>
        </w:tc>
        <w:tc>
          <w:tcPr>
            <w:tcW w:w="1060" w:type="dxa"/>
            <w:vAlign w:val="bottom"/>
            <w:gridSpan w:val="2"/>
            <w:shd w:val="clear" w:color="auto" w:fill="F0F3F5"/>
          </w:tcPr>
          <w:p>
            <w:pPr>
              <w:jc w:val="right"/>
              <w:spacing w:after="0"/>
              <w:rPr>
                <w:sz w:val="20"/>
                <w:szCs w:val="20"/>
                <w:color w:val="auto"/>
              </w:rPr>
            </w:pPr>
            <w:r>
              <w:rPr>
                <w:rFonts w:ascii="Arial" w:cs="Arial" w:eastAsia="Arial" w:hAnsi="Arial"/>
                <w:sz w:val="13"/>
                <w:szCs w:val="13"/>
                <w:b w:val="1"/>
                <w:bCs w:val="1"/>
                <w:color w:val="3D3935"/>
              </w:rPr>
              <w:t>Rights That</w:t>
            </w:r>
          </w:p>
        </w:tc>
      </w:tr>
      <w:tr>
        <w:trPr>
          <w:trHeight w:val="148"/>
        </w:trPr>
        <w:tc>
          <w:tcPr>
            <w:tcW w:w="1200" w:type="dxa"/>
            <w:vAlign w:val="bottom"/>
            <w:shd w:val="clear" w:color="auto" w:fill="F0F3F5"/>
          </w:tcPr>
          <w:p>
            <w:pPr>
              <w:spacing w:after="0"/>
              <w:rPr>
                <w:sz w:val="12"/>
                <w:szCs w:val="12"/>
                <w:color w:val="auto"/>
              </w:rPr>
            </w:pPr>
          </w:p>
        </w:tc>
        <w:tc>
          <w:tcPr>
            <w:tcW w:w="860" w:type="dxa"/>
            <w:vAlign w:val="bottom"/>
            <w:shd w:val="clear" w:color="auto" w:fill="F0F3F5"/>
          </w:tcPr>
          <w:p>
            <w:pPr>
              <w:spacing w:after="0"/>
              <w:rPr>
                <w:sz w:val="12"/>
                <w:szCs w:val="12"/>
                <w:color w:val="auto"/>
              </w:rPr>
            </w:pPr>
          </w:p>
        </w:tc>
        <w:tc>
          <w:tcPr>
            <w:tcW w:w="860" w:type="dxa"/>
            <w:vAlign w:val="bottom"/>
            <w:shd w:val="clear" w:color="auto" w:fill="F0F3F5"/>
          </w:tcPr>
          <w:p>
            <w:pPr>
              <w:jc w:val="right"/>
              <w:spacing w:after="0"/>
              <w:rPr>
                <w:sz w:val="20"/>
                <w:szCs w:val="20"/>
                <w:color w:val="auto"/>
              </w:rPr>
            </w:pPr>
            <w:r>
              <w:rPr>
                <w:rFonts w:ascii="Arial" w:cs="Arial" w:eastAsia="Arial" w:hAnsi="Arial"/>
                <w:sz w:val="13"/>
                <w:szCs w:val="13"/>
                <w:b w:val="1"/>
                <w:bCs w:val="1"/>
                <w:color w:val="3D3935"/>
              </w:rPr>
              <w:t>Options</w:t>
            </w:r>
          </w:p>
        </w:tc>
        <w:tc>
          <w:tcPr>
            <w:tcW w:w="1000" w:type="dxa"/>
            <w:vAlign w:val="bottom"/>
            <w:gridSpan w:val="2"/>
            <w:shd w:val="clear" w:color="auto" w:fill="F0F3F5"/>
          </w:tcPr>
          <w:p>
            <w:pPr>
              <w:jc w:val="right"/>
              <w:ind w:right="34"/>
              <w:spacing w:after="0"/>
              <w:rPr>
                <w:sz w:val="20"/>
                <w:szCs w:val="20"/>
                <w:color w:val="auto"/>
              </w:rPr>
            </w:pPr>
            <w:r>
              <w:rPr>
                <w:rFonts w:ascii="Arial" w:cs="Arial" w:eastAsia="Arial" w:hAnsi="Arial"/>
                <w:sz w:val="13"/>
                <w:szCs w:val="13"/>
                <w:b w:val="1"/>
                <w:bCs w:val="1"/>
                <w:color w:val="3D3935"/>
              </w:rPr>
              <w:t>Options</w:t>
            </w:r>
          </w:p>
        </w:tc>
        <w:tc>
          <w:tcPr>
            <w:tcW w:w="660" w:type="dxa"/>
            <w:vAlign w:val="bottom"/>
            <w:shd w:val="clear" w:color="auto" w:fill="F0F3F5"/>
          </w:tcPr>
          <w:p>
            <w:pPr>
              <w:jc w:val="right"/>
              <w:spacing w:after="0"/>
              <w:rPr>
                <w:sz w:val="20"/>
                <w:szCs w:val="20"/>
                <w:color w:val="auto"/>
              </w:rPr>
            </w:pPr>
            <w:r>
              <w:rPr>
                <w:rFonts w:ascii="Arial" w:cs="Arial" w:eastAsia="Arial" w:hAnsi="Arial"/>
                <w:sz w:val="13"/>
                <w:szCs w:val="13"/>
                <w:b w:val="1"/>
                <w:bCs w:val="1"/>
                <w:color w:val="3D3935"/>
              </w:rPr>
              <w:t>Exercise</w:t>
            </w:r>
          </w:p>
        </w:tc>
        <w:tc>
          <w:tcPr>
            <w:tcW w:w="800" w:type="dxa"/>
            <w:vAlign w:val="bottom"/>
            <w:gridSpan w:val="2"/>
            <w:shd w:val="clear" w:color="auto" w:fill="F0F3F5"/>
          </w:tcPr>
          <w:p>
            <w:pPr>
              <w:ind w:left="300"/>
              <w:spacing w:after="0"/>
              <w:rPr>
                <w:sz w:val="20"/>
                <w:szCs w:val="20"/>
                <w:color w:val="auto"/>
              </w:rPr>
            </w:pPr>
            <w:r>
              <w:rPr>
                <w:rFonts w:ascii="Arial" w:cs="Arial" w:eastAsia="Arial" w:hAnsi="Arial"/>
                <w:sz w:val="13"/>
                <w:szCs w:val="13"/>
                <w:b w:val="1"/>
                <w:bCs w:val="1"/>
                <w:color w:val="3D3935"/>
              </w:rPr>
              <w:t>Option</w:t>
            </w:r>
          </w:p>
        </w:tc>
        <w:tc>
          <w:tcPr>
            <w:tcW w:w="880" w:type="dxa"/>
            <w:vAlign w:val="bottom"/>
            <w:gridSpan w:val="2"/>
            <w:shd w:val="clear" w:color="auto" w:fill="F0F3F5"/>
          </w:tcPr>
          <w:p>
            <w:pPr>
              <w:jc w:val="right"/>
              <w:ind w:right="14"/>
              <w:spacing w:after="0"/>
              <w:rPr>
                <w:sz w:val="20"/>
                <w:szCs w:val="20"/>
                <w:color w:val="auto"/>
              </w:rPr>
            </w:pPr>
            <w:r>
              <w:rPr>
                <w:rFonts w:ascii="Arial" w:cs="Arial" w:eastAsia="Arial" w:hAnsi="Arial"/>
                <w:sz w:val="13"/>
                <w:szCs w:val="13"/>
                <w:b w:val="1"/>
                <w:bCs w:val="1"/>
                <w:color w:val="3D3935"/>
              </w:rPr>
              <w:t>Have Not</w:t>
            </w:r>
          </w:p>
        </w:tc>
        <w:tc>
          <w:tcPr>
            <w:tcW w:w="800" w:type="dxa"/>
            <w:vAlign w:val="bottom"/>
            <w:shd w:val="clear" w:color="auto" w:fill="F0F3F5"/>
          </w:tcPr>
          <w:p>
            <w:pPr>
              <w:jc w:val="right"/>
              <w:ind w:right="15"/>
              <w:spacing w:after="0"/>
              <w:rPr>
                <w:sz w:val="20"/>
                <w:szCs w:val="20"/>
                <w:color w:val="auto"/>
              </w:rPr>
            </w:pPr>
            <w:r>
              <w:rPr>
                <w:rFonts w:ascii="Arial" w:cs="Arial" w:eastAsia="Arial" w:hAnsi="Arial"/>
                <w:sz w:val="13"/>
                <w:szCs w:val="13"/>
                <w:b w:val="1"/>
                <w:bCs w:val="1"/>
                <w:color w:val="3D3935"/>
              </w:rPr>
              <w:t>Have Not</w:t>
            </w:r>
          </w:p>
        </w:tc>
        <w:tc>
          <w:tcPr>
            <w:tcW w:w="960" w:type="dxa"/>
            <w:vAlign w:val="bottom"/>
            <w:gridSpan w:val="2"/>
            <w:shd w:val="clear" w:color="auto" w:fill="F0F3F5"/>
          </w:tcPr>
          <w:p>
            <w:pPr>
              <w:jc w:val="right"/>
              <w:ind w:right="14"/>
              <w:spacing w:after="0"/>
              <w:rPr>
                <w:sz w:val="20"/>
                <w:szCs w:val="20"/>
                <w:color w:val="auto"/>
              </w:rPr>
            </w:pPr>
            <w:r>
              <w:rPr>
                <w:rFonts w:ascii="Arial" w:cs="Arial" w:eastAsia="Arial" w:hAnsi="Arial"/>
                <w:sz w:val="13"/>
                <w:szCs w:val="13"/>
                <w:b w:val="1"/>
                <w:bCs w:val="1"/>
                <w:color w:val="3D3935"/>
              </w:rPr>
              <w:t>Have Not</w:t>
            </w:r>
          </w:p>
        </w:tc>
        <w:tc>
          <w:tcPr>
            <w:tcW w:w="1060" w:type="dxa"/>
            <w:vAlign w:val="bottom"/>
            <w:gridSpan w:val="2"/>
            <w:shd w:val="clear" w:color="auto" w:fill="F0F3F5"/>
          </w:tcPr>
          <w:p>
            <w:pPr>
              <w:jc w:val="right"/>
              <w:spacing w:after="0"/>
              <w:rPr>
                <w:sz w:val="20"/>
                <w:szCs w:val="20"/>
                <w:color w:val="auto"/>
              </w:rPr>
            </w:pPr>
            <w:r>
              <w:rPr>
                <w:rFonts w:ascii="Arial" w:cs="Arial" w:eastAsia="Arial" w:hAnsi="Arial"/>
                <w:sz w:val="13"/>
                <w:szCs w:val="13"/>
                <w:b w:val="1"/>
                <w:bCs w:val="1"/>
                <w:color w:val="3D3935"/>
              </w:rPr>
              <w:t>Have Not</w:t>
            </w:r>
          </w:p>
        </w:tc>
      </w:tr>
      <w:tr>
        <w:trPr>
          <w:trHeight w:val="148"/>
        </w:trPr>
        <w:tc>
          <w:tcPr>
            <w:tcW w:w="1200" w:type="dxa"/>
            <w:vAlign w:val="bottom"/>
            <w:shd w:val="clear" w:color="auto" w:fill="F0F3F5"/>
          </w:tcPr>
          <w:p>
            <w:pPr>
              <w:spacing w:after="0"/>
              <w:rPr>
                <w:sz w:val="12"/>
                <w:szCs w:val="12"/>
                <w:color w:val="auto"/>
              </w:rPr>
            </w:pPr>
          </w:p>
        </w:tc>
        <w:tc>
          <w:tcPr>
            <w:tcW w:w="860" w:type="dxa"/>
            <w:vAlign w:val="bottom"/>
            <w:shd w:val="clear" w:color="auto" w:fill="F0F3F5"/>
          </w:tcPr>
          <w:p>
            <w:pPr>
              <w:jc w:val="right"/>
              <w:spacing w:after="0"/>
              <w:rPr>
                <w:sz w:val="20"/>
                <w:szCs w:val="20"/>
                <w:color w:val="auto"/>
              </w:rPr>
            </w:pPr>
            <w:r>
              <w:rPr>
                <w:rFonts w:ascii="Arial" w:cs="Arial" w:eastAsia="Arial" w:hAnsi="Arial"/>
                <w:sz w:val="13"/>
                <w:szCs w:val="13"/>
                <w:b w:val="1"/>
                <w:bCs w:val="1"/>
                <w:color w:val="3D3935"/>
              </w:rPr>
              <w:t>Grant</w:t>
            </w:r>
          </w:p>
        </w:tc>
        <w:tc>
          <w:tcPr>
            <w:tcW w:w="860" w:type="dxa"/>
            <w:vAlign w:val="bottom"/>
            <w:shd w:val="clear" w:color="auto" w:fill="F0F3F5"/>
          </w:tcPr>
          <w:p>
            <w:pPr>
              <w:jc w:val="right"/>
              <w:spacing w:after="0"/>
              <w:rPr>
                <w:sz w:val="20"/>
                <w:szCs w:val="20"/>
                <w:color w:val="auto"/>
              </w:rPr>
            </w:pPr>
            <w:r>
              <w:rPr>
                <w:rFonts w:ascii="Arial" w:cs="Arial" w:eastAsia="Arial" w:hAnsi="Arial"/>
                <w:sz w:val="13"/>
                <w:szCs w:val="13"/>
                <w:b w:val="1"/>
                <w:bCs w:val="1"/>
                <w:color w:val="3D3935"/>
              </w:rPr>
              <w:t>Exercisable</w:t>
            </w:r>
          </w:p>
        </w:tc>
        <w:tc>
          <w:tcPr>
            <w:tcW w:w="1000" w:type="dxa"/>
            <w:vAlign w:val="bottom"/>
            <w:gridSpan w:val="2"/>
            <w:shd w:val="clear" w:color="auto" w:fill="F0F3F5"/>
          </w:tcPr>
          <w:p>
            <w:pPr>
              <w:jc w:val="right"/>
              <w:ind w:right="54"/>
              <w:spacing w:after="0"/>
              <w:rPr>
                <w:sz w:val="20"/>
                <w:szCs w:val="20"/>
                <w:color w:val="auto"/>
              </w:rPr>
            </w:pPr>
            <w:r>
              <w:rPr>
                <w:rFonts w:ascii="Arial" w:cs="Arial" w:eastAsia="Arial" w:hAnsi="Arial"/>
                <w:sz w:val="13"/>
                <w:szCs w:val="13"/>
                <w:b w:val="1"/>
                <w:bCs w:val="1"/>
                <w:color w:val="3D3935"/>
                <w:w w:val="99"/>
              </w:rPr>
              <w:t>Unexercisable</w:t>
            </w:r>
          </w:p>
        </w:tc>
        <w:tc>
          <w:tcPr>
            <w:tcW w:w="660" w:type="dxa"/>
            <w:vAlign w:val="bottom"/>
            <w:shd w:val="clear" w:color="auto" w:fill="F0F3F5"/>
          </w:tcPr>
          <w:p>
            <w:pPr>
              <w:jc w:val="right"/>
              <w:spacing w:after="0"/>
              <w:rPr>
                <w:sz w:val="20"/>
                <w:szCs w:val="20"/>
                <w:color w:val="auto"/>
              </w:rPr>
            </w:pPr>
            <w:r>
              <w:rPr>
                <w:rFonts w:ascii="Arial" w:cs="Arial" w:eastAsia="Arial" w:hAnsi="Arial"/>
                <w:sz w:val="13"/>
                <w:szCs w:val="13"/>
                <w:b w:val="1"/>
                <w:bCs w:val="1"/>
                <w:color w:val="3D3935"/>
              </w:rPr>
              <w:t>Price</w:t>
            </w:r>
          </w:p>
        </w:tc>
        <w:tc>
          <w:tcPr>
            <w:tcW w:w="800" w:type="dxa"/>
            <w:vAlign w:val="bottom"/>
            <w:gridSpan w:val="2"/>
            <w:shd w:val="clear" w:color="auto" w:fill="F0F3F5"/>
          </w:tcPr>
          <w:p>
            <w:pPr>
              <w:ind w:left="80"/>
              <w:spacing w:after="0"/>
              <w:rPr>
                <w:sz w:val="20"/>
                <w:szCs w:val="20"/>
                <w:color w:val="auto"/>
              </w:rPr>
            </w:pPr>
            <w:r>
              <w:rPr>
                <w:rFonts w:ascii="Arial" w:cs="Arial" w:eastAsia="Arial" w:hAnsi="Arial"/>
                <w:sz w:val="13"/>
                <w:szCs w:val="13"/>
                <w:b w:val="1"/>
                <w:bCs w:val="1"/>
                <w:color w:val="3D3935"/>
              </w:rPr>
              <w:t>Expiration</w:t>
            </w:r>
          </w:p>
        </w:tc>
        <w:tc>
          <w:tcPr>
            <w:tcW w:w="880" w:type="dxa"/>
            <w:vAlign w:val="bottom"/>
            <w:gridSpan w:val="2"/>
            <w:shd w:val="clear" w:color="auto" w:fill="F0F3F5"/>
          </w:tcPr>
          <w:p>
            <w:pPr>
              <w:jc w:val="right"/>
              <w:ind w:right="34"/>
              <w:spacing w:after="0"/>
              <w:rPr>
                <w:sz w:val="20"/>
                <w:szCs w:val="20"/>
                <w:color w:val="auto"/>
              </w:rPr>
            </w:pPr>
            <w:r>
              <w:rPr>
                <w:rFonts w:ascii="Arial" w:cs="Arial" w:eastAsia="Arial" w:hAnsi="Arial"/>
                <w:sz w:val="13"/>
                <w:szCs w:val="13"/>
                <w:b w:val="1"/>
                <w:bCs w:val="1"/>
                <w:color w:val="3D3935"/>
              </w:rPr>
              <w:t>Vested</w:t>
            </w:r>
          </w:p>
        </w:tc>
        <w:tc>
          <w:tcPr>
            <w:tcW w:w="800" w:type="dxa"/>
            <w:vAlign w:val="bottom"/>
            <w:shd w:val="clear" w:color="auto" w:fill="F0F3F5"/>
          </w:tcPr>
          <w:p>
            <w:pPr>
              <w:jc w:val="right"/>
              <w:ind w:right="15"/>
              <w:spacing w:after="0"/>
              <w:rPr>
                <w:sz w:val="20"/>
                <w:szCs w:val="20"/>
                <w:color w:val="auto"/>
              </w:rPr>
            </w:pPr>
            <w:r>
              <w:rPr>
                <w:rFonts w:ascii="Arial" w:cs="Arial" w:eastAsia="Arial" w:hAnsi="Arial"/>
                <w:sz w:val="13"/>
                <w:szCs w:val="13"/>
                <w:b w:val="1"/>
                <w:bCs w:val="1"/>
                <w:color w:val="3D3935"/>
              </w:rPr>
              <w:t>Vested</w:t>
            </w:r>
          </w:p>
        </w:tc>
        <w:tc>
          <w:tcPr>
            <w:tcW w:w="960" w:type="dxa"/>
            <w:vAlign w:val="bottom"/>
            <w:gridSpan w:val="2"/>
            <w:shd w:val="clear" w:color="auto" w:fill="F0F3F5"/>
          </w:tcPr>
          <w:p>
            <w:pPr>
              <w:jc w:val="right"/>
              <w:ind w:right="34"/>
              <w:spacing w:after="0"/>
              <w:rPr>
                <w:sz w:val="20"/>
                <w:szCs w:val="20"/>
                <w:color w:val="auto"/>
              </w:rPr>
            </w:pPr>
            <w:r>
              <w:rPr>
                <w:rFonts w:ascii="Arial" w:cs="Arial" w:eastAsia="Arial" w:hAnsi="Arial"/>
                <w:sz w:val="13"/>
                <w:szCs w:val="13"/>
                <w:b w:val="1"/>
                <w:bCs w:val="1"/>
                <w:color w:val="3D3935"/>
              </w:rPr>
              <w:t>Vested</w:t>
            </w:r>
          </w:p>
        </w:tc>
        <w:tc>
          <w:tcPr>
            <w:tcW w:w="1060" w:type="dxa"/>
            <w:vAlign w:val="bottom"/>
            <w:gridSpan w:val="2"/>
            <w:shd w:val="clear" w:color="auto" w:fill="F0F3F5"/>
          </w:tcPr>
          <w:p>
            <w:pPr>
              <w:jc w:val="right"/>
              <w:ind w:right="15"/>
              <w:spacing w:after="0"/>
              <w:rPr>
                <w:sz w:val="20"/>
                <w:szCs w:val="20"/>
                <w:color w:val="auto"/>
              </w:rPr>
            </w:pPr>
            <w:r>
              <w:rPr>
                <w:rFonts w:ascii="Arial" w:cs="Arial" w:eastAsia="Arial" w:hAnsi="Arial"/>
                <w:sz w:val="13"/>
                <w:szCs w:val="13"/>
                <w:b w:val="1"/>
                <w:bCs w:val="1"/>
                <w:color w:val="3D3935"/>
              </w:rPr>
              <w:t>Vested</w:t>
            </w:r>
          </w:p>
        </w:tc>
      </w:tr>
      <w:tr>
        <w:trPr>
          <w:trHeight w:val="198"/>
        </w:trPr>
        <w:tc>
          <w:tcPr>
            <w:tcW w:w="1200" w:type="dxa"/>
            <w:vAlign w:val="bottom"/>
            <w:tcBorders>
              <w:bottom w:val="single" w:sz="8" w:color="F0F3F5"/>
            </w:tcBorders>
            <w:shd w:val="clear" w:color="auto" w:fill="F0F3F5"/>
          </w:tcPr>
          <w:p>
            <w:pPr>
              <w:ind w:left="60"/>
              <w:spacing w:after="0"/>
              <w:rPr>
                <w:sz w:val="20"/>
                <w:szCs w:val="20"/>
                <w:color w:val="auto"/>
              </w:rPr>
            </w:pPr>
            <w:r>
              <w:rPr>
                <w:rFonts w:ascii="Arial" w:cs="Arial" w:eastAsia="Arial" w:hAnsi="Arial"/>
                <w:sz w:val="13"/>
                <w:szCs w:val="13"/>
                <w:b w:val="1"/>
                <w:bCs w:val="1"/>
                <w:color w:val="3D3935"/>
              </w:rPr>
              <w:t>Name</w:t>
            </w:r>
          </w:p>
        </w:tc>
        <w:tc>
          <w:tcPr>
            <w:tcW w:w="860" w:type="dxa"/>
            <w:vAlign w:val="bottom"/>
            <w:tcBorders>
              <w:bottom w:val="single" w:sz="8" w:color="F0F3F5"/>
            </w:tcBorders>
            <w:shd w:val="clear" w:color="auto" w:fill="F0F3F5"/>
          </w:tcPr>
          <w:p>
            <w:pPr>
              <w:jc w:val="right"/>
              <w:spacing w:after="0"/>
              <w:rPr>
                <w:sz w:val="20"/>
                <w:szCs w:val="20"/>
                <w:color w:val="auto"/>
              </w:rPr>
            </w:pPr>
            <w:r>
              <w:rPr>
                <w:rFonts w:ascii="Arial" w:cs="Arial" w:eastAsia="Arial" w:hAnsi="Arial"/>
                <w:sz w:val="13"/>
                <w:szCs w:val="13"/>
                <w:b w:val="1"/>
                <w:bCs w:val="1"/>
                <w:color w:val="3D3935"/>
              </w:rPr>
              <w:t>Date</w:t>
            </w:r>
          </w:p>
        </w:tc>
        <w:tc>
          <w:tcPr>
            <w:tcW w:w="860" w:type="dxa"/>
            <w:vAlign w:val="bottom"/>
            <w:tcBorders>
              <w:bottom w:val="single" w:sz="8" w:color="F0F3F5"/>
            </w:tcBorders>
            <w:shd w:val="clear" w:color="auto" w:fill="F0F3F5"/>
          </w:tcPr>
          <w:p>
            <w:pPr>
              <w:jc w:val="right"/>
              <w:ind w:right="15"/>
              <w:spacing w:after="0"/>
              <w:rPr>
                <w:sz w:val="20"/>
                <w:szCs w:val="20"/>
                <w:color w:val="auto"/>
              </w:rPr>
            </w:pPr>
            <w:r>
              <w:rPr>
                <w:rFonts w:ascii="Arial" w:cs="Arial" w:eastAsia="Arial" w:hAnsi="Arial"/>
                <w:sz w:val="13"/>
                <w:szCs w:val="13"/>
                <w:b w:val="1"/>
                <w:bCs w:val="1"/>
                <w:color w:val="3D3935"/>
              </w:rPr>
              <w:t>(#)</w:t>
            </w:r>
          </w:p>
        </w:tc>
        <w:tc>
          <w:tcPr>
            <w:tcW w:w="720" w:type="dxa"/>
            <w:vAlign w:val="bottom"/>
            <w:tcBorders>
              <w:bottom w:val="single" w:sz="8" w:color="F0F3F5"/>
            </w:tcBorders>
            <w:shd w:val="clear" w:color="auto" w:fill="F0F3F5"/>
          </w:tcPr>
          <w:p>
            <w:pPr>
              <w:spacing w:after="0"/>
              <w:rPr>
                <w:sz w:val="16"/>
                <w:szCs w:val="16"/>
                <w:color w:val="auto"/>
              </w:rPr>
            </w:pPr>
          </w:p>
        </w:tc>
        <w:tc>
          <w:tcPr>
            <w:tcW w:w="280" w:type="dxa"/>
            <w:vAlign w:val="bottom"/>
            <w:tcBorders>
              <w:bottom w:val="single" w:sz="8" w:color="F0F3F5"/>
            </w:tcBorders>
            <w:shd w:val="clear" w:color="auto" w:fill="F0F3F5"/>
          </w:tcPr>
          <w:p>
            <w:pPr>
              <w:jc w:val="right"/>
              <w:ind w:right="74"/>
              <w:spacing w:after="0"/>
              <w:rPr>
                <w:sz w:val="20"/>
                <w:szCs w:val="20"/>
                <w:color w:val="auto"/>
              </w:rPr>
            </w:pPr>
            <w:r>
              <w:rPr>
                <w:rFonts w:ascii="Arial" w:cs="Arial" w:eastAsia="Arial" w:hAnsi="Arial"/>
                <w:sz w:val="13"/>
                <w:szCs w:val="13"/>
                <w:b w:val="1"/>
                <w:bCs w:val="1"/>
                <w:color w:val="3D3935"/>
                <w:w w:val="87"/>
              </w:rPr>
              <w:t>(#)</w:t>
            </w:r>
          </w:p>
        </w:tc>
        <w:tc>
          <w:tcPr>
            <w:tcW w:w="660" w:type="dxa"/>
            <w:vAlign w:val="bottom"/>
            <w:tcBorders>
              <w:bottom w:val="single" w:sz="8" w:color="F0F3F5"/>
            </w:tcBorders>
            <w:shd w:val="clear" w:color="auto" w:fill="F0F3F5"/>
          </w:tcPr>
          <w:p>
            <w:pPr>
              <w:jc w:val="right"/>
              <w:ind w:right="14"/>
              <w:spacing w:after="0"/>
              <w:rPr>
                <w:sz w:val="20"/>
                <w:szCs w:val="20"/>
                <w:color w:val="auto"/>
              </w:rPr>
            </w:pPr>
            <w:r>
              <w:rPr>
                <w:rFonts w:ascii="Arial" w:cs="Arial" w:eastAsia="Arial" w:hAnsi="Arial"/>
                <w:sz w:val="13"/>
                <w:szCs w:val="13"/>
                <w:b w:val="1"/>
                <w:bCs w:val="1"/>
                <w:color w:val="3D3935"/>
              </w:rPr>
              <w:t>($)</w:t>
            </w:r>
          </w:p>
        </w:tc>
        <w:tc>
          <w:tcPr>
            <w:tcW w:w="800" w:type="dxa"/>
            <w:vAlign w:val="bottom"/>
            <w:tcBorders>
              <w:bottom w:val="single" w:sz="8" w:color="F0F3F5"/>
            </w:tcBorders>
            <w:gridSpan w:val="2"/>
            <w:shd w:val="clear" w:color="auto" w:fill="F0F3F5"/>
          </w:tcPr>
          <w:p>
            <w:pPr>
              <w:ind w:left="420"/>
              <w:spacing w:after="0"/>
              <w:rPr>
                <w:sz w:val="20"/>
                <w:szCs w:val="20"/>
                <w:color w:val="auto"/>
              </w:rPr>
            </w:pPr>
            <w:r>
              <w:rPr>
                <w:rFonts w:ascii="Arial" w:cs="Arial" w:eastAsia="Arial" w:hAnsi="Arial"/>
                <w:sz w:val="13"/>
                <w:szCs w:val="13"/>
                <w:b w:val="1"/>
                <w:bCs w:val="1"/>
                <w:color w:val="3D3935"/>
              </w:rPr>
              <w:t>Date</w:t>
            </w:r>
          </w:p>
        </w:tc>
        <w:tc>
          <w:tcPr>
            <w:tcW w:w="620" w:type="dxa"/>
            <w:vAlign w:val="bottom"/>
            <w:tcBorders>
              <w:bottom w:val="single" w:sz="8" w:color="F0F3F5"/>
            </w:tcBorders>
            <w:shd w:val="clear" w:color="auto" w:fill="F0F3F5"/>
          </w:tcPr>
          <w:p>
            <w:pPr>
              <w:spacing w:after="0"/>
              <w:rPr>
                <w:sz w:val="16"/>
                <w:szCs w:val="16"/>
                <w:color w:val="auto"/>
              </w:rPr>
            </w:pPr>
          </w:p>
        </w:tc>
        <w:tc>
          <w:tcPr>
            <w:tcW w:w="260" w:type="dxa"/>
            <w:vAlign w:val="bottom"/>
            <w:tcBorders>
              <w:bottom w:val="single" w:sz="8" w:color="F0F3F5"/>
            </w:tcBorders>
            <w:shd w:val="clear" w:color="auto" w:fill="F0F3F5"/>
          </w:tcPr>
          <w:p>
            <w:pPr>
              <w:jc w:val="right"/>
              <w:ind w:right="54"/>
              <w:spacing w:after="0"/>
              <w:rPr>
                <w:sz w:val="20"/>
                <w:szCs w:val="20"/>
                <w:color w:val="auto"/>
              </w:rPr>
            </w:pPr>
            <w:r>
              <w:rPr>
                <w:rFonts w:ascii="Arial" w:cs="Arial" w:eastAsia="Arial" w:hAnsi="Arial"/>
                <w:sz w:val="13"/>
                <w:szCs w:val="13"/>
                <w:b w:val="1"/>
                <w:bCs w:val="1"/>
                <w:color w:val="3D3935"/>
                <w:w w:val="87"/>
              </w:rPr>
              <w:t>(#)</w:t>
            </w:r>
          </w:p>
        </w:tc>
        <w:tc>
          <w:tcPr>
            <w:tcW w:w="800" w:type="dxa"/>
            <w:vAlign w:val="bottom"/>
            <w:tcBorders>
              <w:bottom w:val="single" w:sz="8" w:color="F0F3F5"/>
            </w:tcBorders>
            <w:shd w:val="clear" w:color="auto" w:fill="F0F3F5"/>
          </w:tcPr>
          <w:p>
            <w:pPr>
              <w:jc w:val="right"/>
              <w:ind w:right="35"/>
              <w:spacing w:after="0"/>
              <w:rPr>
                <w:sz w:val="20"/>
                <w:szCs w:val="20"/>
                <w:color w:val="auto"/>
              </w:rPr>
            </w:pPr>
            <w:r>
              <w:rPr>
                <w:rFonts w:ascii="Arial" w:cs="Arial" w:eastAsia="Arial" w:hAnsi="Arial"/>
                <w:sz w:val="13"/>
                <w:szCs w:val="13"/>
                <w:b w:val="1"/>
                <w:bCs w:val="1"/>
                <w:color w:val="3D3935"/>
              </w:rPr>
              <w:t>($)</w:t>
            </w:r>
          </w:p>
        </w:tc>
        <w:tc>
          <w:tcPr>
            <w:tcW w:w="680" w:type="dxa"/>
            <w:vAlign w:val="bottom"/>
            <w:tcBorders>
              <w:bottom w:val="single" w:sz="8" w:color="F0F3F5"/>
            </w:tcBorders>
            <w:shd w:val="clear" w:color="auto" w:fill="F0F3F5"/>
          </w:tcPr>
          <w:p>
            <w:pPr>
              <w:spacing w:after="0"/>
              <w:rPr>
                <w:sz w:val="16"/>
                <w:szCs w:val="16"/>
                <w:color w:val="auto"/>
              </w:rPr>
            </w:pPr>
          </w:p>
        </w:tc>
        <w:tc>
          <w:tcPr>
            <w:tcW w:w="280" w:type="dxa"/>
            <w:vAlign w:val="bottom"/>
            <w:tcBorders>
              <w:bottom w:val="single" w:sz="8" w:color="F0F3F5"/>
            </w:tcBorders>
            <w:shd w:val="clear" w:color="auto" w:fill="F0F3F5"/>
          </w:tcPr>
          <w:p>
            <w:pPr>
              <w:jc w:val="right"/>
              <w:ind w:right="54"/>
              <w:spacing w:after="0"/>
              <w:rPr>
                <w:sz w:val="20"/>
                <w:szCs w:val="20"/>
                <w:color w:val="auto"/>
              </w:rPr>
            </w:pPr>
            <w:r>
              <w:rPr>
                <w:rFonts w:ascii="Arial" w:cs="Arial" w:eastAsia="Arial" w:hAnsi="Arial"/>
                <w:sz w:val="13"/>
                <w:szCs w:val="13"/>
                <w:b w:val="1"/>
                <w:bCs w:val="1"/>
                <w:color w:val="3D3935"/>
              </w:rPr>
              <w:t>(#)</w:t>
            </w:r>
          </w:p>
        </w:tc>
        <w:tc>
          <w:tcPr>
            <w:tcW w:w="800" w:type="dxa"/>
            <w:vAlign w:val="bottom"/>
            <w:tcBorders>
              <w:bottom w:val="single" w:sz="8" w:color="F0F3F5"/>
            </w:tcBorders>
            <w:shd w:val="clear" w:color="auto" w:fill="F0F3F5"/>
          </w:tcPr>
          <w:p>
            <w:pPr>
              <w:spacing w:after="0"/>
              <w:rPr>
                <w:sz w:val="16"/>
                <w:szCs w:val="16"/>
                <w:color w:val="auto"/>
              </w:rPr>
            </w:pPr>
          </w:p>
        </w:tc>
        <w:tc>
          <w:tcPr>
            <w:tcW w:w="260" w:type="dxa"/>
            <w:vAlign w:val="bottom"/>
            <w:tcBorders>
              <w:bottom w:val="single" w:sz="8" w:color="F0F3F5"/>
            </w:tcBorders>
            <w:shd w:val="clear" w:color="auto" w:fill="F0F3F5"/>
          </w:tcPr>
          <w:p>
            <w:pPr>
              <w:ind w:left="40"/>
              <w:spacing w:after="0"/>
              <w:rPr>
                <w:sz w:val="20"/>
                <w:szCs w:val="20"/>
                <w:color w:val="auto"/>
              </w:rPr>
            </w:pPr>
            <w:r>
              <w:rPr>
                <w:rFonts w:ascii="Arial" w:cs="Arial" w:eastAsia="Arial" w:hAnsi="Arial"/>
                <w:sz w:val="13"/>
                <w:szCs w:val="13"/>
                <w:b w:val="1"/>
                <w:bCs w:val="1"/>
                <w:color w:val="3D3935"/>
              </w:rPr>
              <w:t>($)</w:t>
            </w:r>
          </w:p>
        </w:tc>
      </w:tr>
      <w:tr>
        <w:trPr>
          <w:trHeight w:val="208"/>
        </w:trPr>
        <w:tc>
          <w:tcPr>
            <w:tcW w:w="1200" w:type="dxa"/>
            <w:vAlign w:val="bottom"/>
            <w:tcBorders>
              <w:top w:val="single" w:sz="8" w:color="0072CE"/>
            </w:tcBorders>
          </w:tcPr>
          <w:p>
            <w:pPr>
              <w:ind w:left="60"/>
              <w:spacing w:after="0"/>
              <w:rPr>
                <w:sz w:val="20"/>
                <w:szCs w:val="20"/>
                <w:color w:val="auto"/>
              </w:rPr>
            </w:pPr>
            <w:r>
              <w:rPr>
                <w:rFonts w:ascii="Arial" w:cs="Arial" w:eastAsia="Arial" w:hAnsi="Arial"/>
                <w:sz w:val="13"/>
                <w:szCs w:val="13"/>
                <w:b w:val="1"/>
                <w:bCs w:val="1"/>
                <w:color w:val="0072CE"/>
              </w:rPr>
              <w:t>Mary T. Barra</w:t>
            </w:r>
          </w:p>
        </w:tc>
        <w:tc>
          <w:tcPr>
            <w:tcW w:w="860" w:type="dxa"/>
            <w:vAlign w:val="bottom"/>
            <w:tcBorders>
              <w:top w:val="single" w:sz="8" w:color="0072CE"/>
              <w:bottom w:val="single" w:sz="8" w:color="D9D9D6"/>
            </w:tcBorders>
          </w:tcPr>
          <w:p>
            <w:pPr>
              <w:jc w:val="right"/>
              <w:ind w:right="113"/>
              <w:spacing w:after="0"/>
              <w:rPr>
                <w:sz w:val="20"/>
                <w:szCs w:val="20"/>
                <w:color w:val="auto"/>
              </w:rPr>
            </w:pPr>
            <w:r>
              <w:rPr>
                <w:rFonts w:ascii="Arial" w:cs="Arial" w:eastAsia="Arial" w:hAnsi="Arial"/>
                <w:sz w:val="13"/>
                <w:szCs w:val="13"/>
                <w:color w:val="3D3935"/>
              </w:rPr>
              <w:t>2/6/2024</w:t>
            </w:r>
          </w:p>
        </w:tc>
        <w:tc>
          <w:tcPr>
            <w:tcW w:w="860" w:type="dxa"/>
            <w:vAlign w:val="bottom"/>
            <w:tcBorders>
              <w:top w:val="single" w:sz="8" w:color="0072CE"/>
              <w:bottom w:val="single" w:sz="8" w:color="D9D9D6"/>
            </w:tcBorders>
          </w:tcPr>
          <w:p>
            <w:pPr>
              <w:spacing w:after="0"/>
              <w:rPr>
                <w:sz w:val="18"/>
                <w:szCs w:val="18"/>
                <w:color w:val="auto"/>
              </w:rPr>
            </w:pPr>
          </w:p>
        </w:tc>
        <w:tc>
          <w:tcPr>
            <w:tcW w:w="720" w:type="dxa"/>
            <w:vAlign w:val="bottom"/>
            <w:tcBorders>
              <w:top w:val="single" w:sz="8" w:color="0072CE"/>
              <w:bottom w:val="single" w:sz="8" w:color="D9D9D6"/>
            </w:tcBorders>
          </w:tcPr>
          <w:p>
            <w:pPr>
              <w:spacing w:after="0"/>
              <w:rPr>
                <w:sz w:val="18"/>
                <w:szCs w:val="18"/>
                <w:color w:val="auto"/>
              </w:rPr>
            </w:pPr>
          </w:p>
        </w:tc>
        <w:tc>
          <w:tcPr>
            <w:tcW w:w="280" w:type="dxa"/>
            <w:vAlign w:val="bottom"/>
            <w:tcBorders>
              <w:top w:val="single" w:sz="8" w:color="0072CE"/>
              <w:bottom w:val="single" w:sz="8" w:color="D9D9D6"/>
            </w:tcBorders>
          </w:tcPr>
          <w:p>
            <w:pPr>
              <w:spacing w:after="0"/>
              <w:rPr>
                <w:sz w:val="18"/>
                <w:szCs w:val="18"/>
                <w:color w:val="auto"/>
              </w:rPr>
            </w:pPr>
          </w:p>
        </w:tc>
        <w:tc>
          <w:tcPr>
            <w:tcW w:w="660" w:type="dxa"/>
            <w:vAlign w:val="bottom"/>
            <w:tcBorders>
              <w:top w:val="single" w:sz="8" w:color="0072CE"/>
              <w:bottom w:val="single" w:sz="8" w:color="D9D9D6"/>
            </w:tcBorders>
          </w:tcPr>
          <w:p>
            <w:pPr>
              <w:spacing w:after="0"/>
              <w:rPr>
                <w:sz w:val="18"/>
                <w:szCs w:val="18"/>
                <w:color w:val="auto"/>
              </w:rPr>
            </w:pPr>
          </w:p>
        </w:tc>
        <w:tc>
          <w:tcPr>
            <w:tcW w:w="740" w:type="dxa"/>
            <w:vAlign w:val="bottom"/>
            <w:tcBorders>
              <w:top w:val="single" w:sz="8" w:color="0072CE"/>
              <w:bottom w:val="single" w:sz="8" w:color="D9D9D6"/>
            </w:tcBorders>
          </w:tcPr>
          <w:p>
            <w:pPr>
              <w:spacing w:after="0"/>
              <w:rPr>
                <w:sz w:val="18"/>
                <w:szCs w:val="18"/>
                <w:color w:val="auto"/>
              </w:rPr>
            </w:pPr>
          </w:p>
        </w:tc>
        <w:tc>
          <w:tcPr>
            <w:tcW w:w="60" w:type="dxa"/>
            <w:vAlign w:val="bottom"/>
            <w:tcBorders>
              <w:top w:val="single" w:sz="8" w:color="0072CE"/>
              <w:bottom w:val="single" w:sz="8" w:color="D9D9D6"/>
            </w:tcBorders>
          </w:tcPr>
          <w:p>
            <w:pPr>
              <w:spacing w:after="0"/>
              <w:rPr>
                <w:sz w:val="18"/>
                <w:szCs w:val="18"/>
                <w:color w:val="auto"/>
              </w:rPr>
            </w:pPr>
          </w:p>
        </w:tc>
        <w:tc>
          <w:tcPr>
            <w:tcW w:w="620" w:type="dxa"/>
            <w:vAlign w:val="bottom"/>
            <w:tcBorders>
              <w:top w:val="single" w:sz="8" w:color="0072CE"/>
              <w:bottom w:val="single" w:sz="8" w:color="D9D9D6"/>
            </w:tcBorders>
          </w:tcPr>
          <w:p>
            <w:pPr>
              <w:jc w:val="right"/>
              <w:spacing w:after="0"/>
              <w:rPr>
                <w:sz w:val="20"/>
                <w:szCs w:val="20"/>
                <w:color w:val="auto"/>
              </w:rPr>
            </w:pPr>
            <w:r>
              <w:rPr>
                <w:rFonts w:ascii="Arial" w:cs="Arial" w:eastAsia="Arial" w:hAnsi="Arial"/>
                <w:sz w:val="13"/>
                <w:szCs w:val="13"/>
                <w:color w:val="3D3935"/>
              </w:rPr>
              <w:t>128,189</w:t>
            </w:r>
          </w:p>
        </w:tc>
        <w:tc>
          <w:tcPr>
            <w:tcW w:w="260" w:type="dxa"/>
            <w:vAlign w:val="bottom"/>
            <w:tcBorders>
              <w:top w:val="single" w:sz="8" w:color="0072CE"/>
              <w:bottom w:val="single" w:sz="8" w:color="D9D9D6"/>
            </w:tcBorders>
          </w:tcPr>
          <w:p>
            <w:pPr>
              <w:jc w:val="right"/>
              <w:ind w:right="34"/>
              <w:spacing w:after="0"/>
              <w:rPr>
                <w:sz w:val="20"/>
                <w:szCs w:val="20"/>
                <w:color w:val="auto"/>
              </w:rPr>
            </w:pPr>
            <w:r>
              <w:rPr>
                <w:rFonts w:ascii="Arial" w:cs="Arial" w:eastAsia="Arial" w:hAnsi="Arial"/>
                <w:sz w:val="9"/>
                <w:szCs w:val="9"/>
                <w:color w:val="3D3935"/>
              </w:rPr>
              <w:t>(2)</w:t>
            </w:r>
          </w:p>
        </w:tc>
        <w:tc>
          <w:tcPr>
            <w:tcW w:w="800" w:type="dxa"/>
            <w:vAlign w:val="bottom"/>
            <w:tcBorders>
              <w:top w:val="single" w:sz="8" w:color="0072CE"/>
              <w:bottom w:val="single" w:sz="8" w:color="D9D9D6"/>
            </w:tcBorders>
          </w:tcPr>
          <w:p>
            <w:pPr>
              <w:jc w:val="right"/>
              <w:ind w:right="55"/>
              <w:spacing w:after="0"/>
              <w:rPr>
                <w:sz w:val="20"/>
                <w:szCs w:val="20"/>
                <w:color w:val="auto"/>
              </w:rPr>
            </w:pPr>
            <w:r>
              <w:rPr>
                <w:rFonts w:ascii="Arial" w:cs="Arial" w:eastAsia="Arial" w:hAnsi="Arial"/>
                <w:sz w:val="13"/>
                <w:szCs w:val="13"/>
                <w:color w:val="3D3935"/>
              </w:rPr>
              <w:t>6,828,628</w:t>
            </w:r>
          </w:p>
        </w:tc>
        <w:tc>
          <w:tcPr>
            <w:tcW w:w="680" w:type="dxa"/>
            <w:vAlign w:val="bottom"/>
            <w:tcBorders>
              <w:top w:val="single" w:sz="8" w:color="0072CE"/>
              <w:bottom w:val="single" w:sz="8" w:color="D9D9D6"/>
            </w:tcBorders>
          </w:tcPr>
          <w:p>
            <w:pPr>
              <w:ind w:left="120"/>
              <w:spacing w:after="0"/>
              <w:rPr>
                <w:sz w:val="20"/>
                <w:szCs w:val="20"/>
                <w:color w:val="auto"/>
              </w:rPr>
            </w:pPr>
            <w:r>
              <w:rPr>
                <w:rFonts w:ascii="Arial" w:cs="Arial" w:eastAsia="Arial" w:hAnsi="Arial"/>
                <w:sz w:val="13"/>
                <w:szCs w:val="13"/>
                <w:color w:val="3D3935"/>
              </w:rPr>
              <w:t>337,863</w:t>
            </w:r>
          </w:p>
        </w:tc>
        <w:tc>
          <w:tcPr>
            <w:tcW w:w="280" w:type="dxa"/>
            <w:vAlign w:val="bottom"/>
            <w:tcBorders>
              <w:top w:val="single" w:sz="8" w:color="0072CE"/>
              <w:bottom w:val="single" w:sz="8" w:color="D9D9D6"/>
            </w:tcBorders>
          </w:tcPr>
          <w:p>
            <w:pPr>
              <w:jc w:val="right"/>
              <w:ind w:right="74"/>
              <w:spacing w:after="0"/>
              <w:rPr>
                <w:sz w:val="20"/>
                <w:szCs w:val="20"/>
                <w:color w:val="auto"/>
              </w:rPr>
            </w:pPr>
            <w:r>
              <w:rPr>
                <w:rFonts w:ascii="Arial" w:cs="Arial" w:eastAsia="Arial" w:hAnsi="Arial"/>
                <w:sz w:val="9"/>
                <w:szCs w:val="9"/>
                <w:color w:val="3D3935"/>
              </w:rPr>
              <w:t>(7)</w:t>
            </w:r>
          </w:p>
        </w:tc>
        <w:tc>
          <w:tcPr>
            <w:tcW w:w="800" w:type="dxa"/>
            <w:vAlign w:val="bottom"/>
            <w:tcBorders>
              <w:top w:val="single" w:sz="8" w:color="0072CE"/>
              <w:bottom w:val="single" w:sz="8" w:color="D9D9D6"/>
            </w:tcBorders>
          </w:tcPr>
          <w:p>
            <w:pPr>
              <w:jc w:val="right"/>
              <w:spacing w:after="0"/>
              <w:rPr>
                <w:sz w:val="20"/>
                <w:szCs w:val="20"/>
                <w:color w:val="auto"/>
              </w:rPr>
            </w:pPr>
            <w:r>
              <w:rPr>
                <w:rFonts w:ascii="Arial" w:cs="Arial" w:eastAsia="Arial" w:hAnsi="Arial"/>
                <w:sz w:val="13"/>
                <w:szCs w:val="13"/>
                <w:color w:val="3D3935"/>
              </w:rPr>
              <w:t>17,997,962</w:t>
            </w:r>
          </w:p>
        </w:tc>
        <w:tc>
          <w:tcPr>
            <w:tcW w:w="260" w:type="dxa"/>
            <w:vAlign w:val="bottom"/>
            <w:tcBorders>
              <w:top w:val="single" w:sz="8" w:color="0072CE"/>
              <w:bottom w:val="single" w:sz="8" w:color="D9D9D6"/>
            </w:tcBorders>
          </w:tcPr>
          <w:p>
            <w:pPr>
              <w:ind w:left="40"/>
              <w:spacing w:after="0"/>
              <w:rPr>
                <w:sz w:val="20"/>
                <w:szCs w:val="20"/>
                <w:color w:val="auto"/>
              </w:rPr>
            </w:pPr>
            <w:r>
              <w:rPr>
                <w:rFonts w:ascii="Arial" w:cs="Arial" w:eastAsia="Arial" w:hAnsi="Arial"/>
                <w:sz w:val="9"/>
                <w:szCs w:val="9"/>
                <w:color w:val="3D3935"/>
              </w:rPr>
              <w:t>(9)</w:t>
            </w:r>
          </w:p>
        </w:tc>
      </w:tr>
      <w:tr>
        <w:trPr>
          <w:trHeight w:val="206"/>
        </w:trPr>
        <w:tc>
          <w:tcPr>
            <w:tcW w:w="1200" w:type="dxa"/>
            <w:vAlign w:val="bottom"/>
          </w:tcPr>
          <w:p>
            <w:pPr>
              <w:spacing w:after="0"/>
              <w:rPr>
                <w:sz w:val="17"/>
                <w:szCs w:val="17"/>
                <w:color w:val="auto"/>
              </w:rPr>
            </w:pPr>
          </w:p>
        </w:tc>
        <w:tc>
          <w:tcPr>
            <w:tcW w:w="860" w:type="dxa"/>
            <w:vAlign w:val="bottom"/>
            <w:tcBorders>
              <w:bottom w:val="single" w:sz="8" w:color="D9D9D6"/>
            </w:tcBorders>
          </w:tcPr>
          <w:p>
            <w:pPr>
              <w:jc w:val="right"/>
              <w:ind w:right="93"/>
              <w:spacing w:after="0"/>
              <w:rPr>
                <w:sz w:val="20"/>
                <w:szCs w:val="20"/>
                <w:color w:val="auto"/>
              </w:rPr>
            </w:pPr>
            <w:r>
              <w:rPr>
                <w:rFonts w:ascii="Arial" w:cs="Arial" w:eastAsia="Arial" w:hAnsi="Arial"/>
                <w:sz w:val="13"/>
                <w:szCs w:val="13"/>
                <w:color w:val="3D3935"/>
              </w:rPr>
              <w:t>2/7/2023</w:t>
            </w:r>
          </w:p>
        </w:tc>
        <w:tc>
          <w:tcPr>
            <w:tcW w:w="86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122,457</w:t>
            </w:r>
          </w:p>
        </w:tc>
        <w:tc>
          <w:tcPr>
            <w:tcW w:w="72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244,914</w:t>
            </w:r>
          </w:p>
        </w:tc>
        <w:tc>
          <w:tcPr>
            <w:tcW w:w="280" w:type="dxa"/>
            <w:vAlign w:val="bottom"/>
            <w:tcBorders>
              <w:bottom w:val="single" w:sz="8" w:color="D9D9D6"/>
            </w:tcBorders>
          </w:tcPr>
          <w:p>
            <w:pPr>
              <w:jc w:val="right"/>
              <w:ind w:right="74"/>
              <w:spacing w:after="0"/>
              <w:rPr>
                <w:sz w:val="20"/>
                <w:szCs w:val="20"/>
                <w:color w:val="auto"/>
              </w:rPr>
            </w:pPr>
            <w:r>
              <w:rPr>
                <w:rFonts w:ascii="Arial" w:cs="Arial" w:eastAsia="Arial" w:hAnsi="Arial"/>
                <w:sz w:val="9"/>
                <w:szCs w:val="9"/>
                <w:color w:val="3D3935"/>
              </w:rPr>
              <w:t>(3)</w:t>
            </w:r>
          </w:p>
        </w:tc>
        <w:tc>
          <w:tcPr>
            <w:tcW w:w="660" w:type="dxa"/>
            <w:vAlign w:val="bottom"/>
            <w:tcBorders>
              <w:bottom w:val="single" w:sz="8" w:color="D9D9D6"/>
            </w:tcBorders>
          </w:tcPr>
          <w:p>
            <w:pPr>
              <w:jc w:val="right"/>
              <w:ind w:right="14"/>
              <w:spacing w:after="0"/>
              <w:rPr>
                <w:sz w:val="20"/>
                <w:szCs w:val="20"/>
                <w:color w:val="auto"/>
              </w:rPr>
            </w:pPr>
            <w:r>
              <w:rPr>
                <w:rFonts w:ascii="Arial" w:cs="Arial" w:eastAsia="Arial" w:hAnsi="Arial"/>
                <w:sz w:val="13"/>
                <w:szCs w:val="13"/>
                <w:color w:val="3D3935"/>
              </w:rPr>
              <w:t>41.40</w:t>
            </w:r>
          </w:p>
        </w:tc>
        <w:tc>
          <w:tcPr>
            <w:tcW w:w="740" w:type="dxa"/>
            <w:vAlign w:val="bottom"/>
            <w:tcBorders>
              <w:bottom w:val="single" w:sz="8" w:color="D9D9D6"/>
            </w:tcBorders>
          </w:tcPr>
          <w:p>
            <w:pPr>
              <w:ind w:left="80"/>
              <w:spacing w:after="0"/>
              <w:rPr>
                <w:sz w:val="20"/>
                <w:szCs w:val="20"/>
                <w:color w:val="auto"/>
              </w:rPr>
            </w:pPr>
            <w:r>
              <w:rPr>
                <w:rFonts w:ascii="Arial" w:cs="Arial" w:eastAsia="Arial" w:hAnsi="Arial"/>
                <w:sz w:val="13"/>
                <w:szCs w:val="13"/>
                <w:color w:val="3D3935"/>
              </w:rPr>
              <w:t>2/7/2033</w:t>
            </w:r>
          </w:p>
        </w:tc>
        <w:tc>
          <w:tcPr>
            <w:tcW w:w="60" w:type="dxa"/>
            <w:vAlign w:val="bottom"/>
            <w:tcBorders>
              <w:bottom w:val="single" w:sz="8" w:color="D9D9D6"/>
            </w:tcBorders>
          </w:tcPr>
          <w:p>
            <w:pPr>
              <w:spacing w:after="0"/>
              <w:rPr>
                <w:sz w:val="17"/>
                <w:szCs w:val="17"/>
                <w:color w:val="auto"/>
              </w:rPr>
            </w:pPr>
          </w:p>
        </w:tc>
        <w:tc>
          <w:tcPr>
            <w:tcW w:w="620" w:type="dxa"/>
            <w:vAlign w:val="bottom"/>
            <w:tcBorders>
              <w:bottom w:val="single" w:sz="8" w:color="D9D9D6"/>
            </w:tcBorders>
          </w:tcPr>
          <w:p>
            <w:pPr>
              <w:spacing w:after="0"/>
              <w:rPr>
                <w:sz w:val="17"/>
                <w:szCs w:val="17"/>
                <w:color w:val="auto"/>
              </w:rPr>
            </w:pPr>
          </w:p>
        </w:tc>
        <w:tc>
          <w:tcPr>
            <w:tcW w:w="260" w:type="dxa"/>
            <w:vAlign w:val="bottom"/>
            <w:tcBorders>
              <w:bottom w:val="single" w:sz="8" w:color="D9D9D6"/>
            </w:tcBorders>
          </w:tcPr>
          <w:p>
            <w:pPr>
              <w:spacing w:after="0"/>
              <w:rPr>
                <w:sz w:val="17"/>
                <w:szCs w:val="17"/>
                <w:color w:val="auto"/>
              </w:rPr>
            </w:pPr>
          </w:p>
        </w:tc>
        <w:tc>
          <w:tcPr>
            <w:tcW w:w="800" w:type="dxa"/>
            <w:vAlign w:val="bottom"/>
            <w:tcBorders>
              <w:bottom w:val="single" w:sz="8" w:color="D9D9D6"/>
            </w:tcBorders>
          </w:tcPr>
          <w:p>
            <w:pPr>
              <w:spacing w:after="0"/>
              <w:rPr>
                <w:sz w:val="17"/>
                <w:szCs w:val="17"/>
                <w:color w:val="auto"/>
              </w:rPr>
            </w:pPr>
          </w:p>
        </w:tc>
        <w:tc>
          <w:tcPr>
            <w:tcW w:w="680" w:type="dxa"/>
            <w:vAlign w:val="bottom"/>
            <w:tcBorders>
              <w:bottom w:val="single" w:sz="8" w:color="D9D9D6"/>
            </w:tcBorders>
          </w:tcPr>
          <w:p>
            <w:pPr>
              <w:ind w:left="100"/>
              <w:spacing w:after="0"/>
              <w:rPr>
                <w:sz w:val="20"/>
                <w:szCs w:val="20"/>
                <w:color w:val="auto"/>
              </w:rPr>
            </w:pPr>
            <w:r>
              <w:rPr>
                <w:rFonts w:ascii="Arial" w:cs="Arial" w:eastAsia="Arial" w:hAnsi="Arial"/>
                <w:sz w:val="13"/>
                <w:szCs w:val="13"/>
                <w:color w:val="3D3935"/>
              </w:rPr>
              <w:t>322,085</w:t>
            </w:r>
          </w:p>
        </w:tc>
        <w:tc>
          <w:tcPr>
            <w:tcW w:w="280" w:type="dxa"/>
            <w:vAlign w:val="bottom"/>
            <w:tcBorders>
              <w:bottom w:val="single" w:sz="8" w:color="D9D9D6"/>
            </w:tcBorders>
          </w:tcPr>
          <w:p>
            <w:pPr>
              <w:jc w:val="right"/>
              <w:ind w:right="74"/>
              <w:spacing w:after="0"/>
              <w:rPr>
                <w:sz w:val="20"/>
                <w:szCs w:val="20"/>
                <w:color w:val="auto"/>
              </w:rPr>
            </w:pPr>
            <w:r>
              <w:rPr>
                <w:rFonts w:ascii="Arial" w:cs="Arial" w:eastAsia="Arial" w:hAnsi="Arial"/>
                <w:sz w:val="9"/>
                <w:szCs w:val="9"/>
                <w:color w:val="3D3935"/>
              </w:rPr>
              <w:t>(8)</w:t>
            </w:r>
          </w:p>
        </w:tc>
        <w:tc>
          <w:tcPr>
            <w:tcW w:w="80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17,157,468</w:t>
            </w:r>
          </w:p>
        </w:tc>
        <w:tc>
          <w:tcPr>
            <w:tcW w:w="260" w:type="dxa"/>
            <w:vAlign w:val="bottom"/>
            <w:tcBorders>
              <w:bottom w:val="single" w:sz="8" w:color="D9D9D6"/>
            </w:tcBorders>
          </w:tcPr>
          <w:p>
            <w:pPr>
              <w:ind w:left="40"/>
              <w:spacing w:after="0"/>
              <w:rPr>
                <w:sz w:val="20"/>
                <w:szCs w:val="20"/>
                <w:color w:val="auto"/>
              </w:rPr>
            </w:pPr>
            <w:r>
              <w:rPr>
                <w:rFonts w:ascii="Arial" w:cs="Arial" w:eastAsia="Arial" w:hAnsi="Arial"/>
                <w:sz w:val="9"/>
                <w:szCs w:val="9"/>
                <w:color w:val="3D3935"/>
              </w:rPr>
              <w:t>(10)</w:t>
            </w:r>
          </w:p>
        </w:tc>
      </w:tr>
      <w:tr>
        <w:trPr>
          <w:trHeight w:val="209"/>
        </w:trPr>
        <w:tc>
          <w:tcPr>
            <w:tcW w:w="1200" w:type="dxa"/>
            <w:vAlign w:val="bottom"/>
            <w:tcBorders>
              <w:bottom w:val="single" w:sz="8" w:color="D9D9D6"/>
            </w:tcBorders>
          </w:tcPr>
          <w:p>
            <w:pPr>
              <w:spacing w:after="0"/>
              <w:rPr>
                <w:sz w:val="18"/>
                <w:szCs w:val="18"/>
                <w:color w:val="auto"/>
              </w:rPr>
            </w:pPr>
          </w:p>
        </w:tc>
        <w:tc>
          <w:tcPr>
            <w:tcW w:w="860" w:type="dxa"/>
            <w:vAlign w:val="bottom"/>
            <w:tcBorders>
              <w:bottom w:val="single" w:sz="8" w:color="D9D9D6"/>
            </w:tcBorders>
          </w:tcPr>
          <w:p>
            <w:pPr>
              <w:jc w:val="right"/>
              <w:ind w:right="113"/>
              <w:spacing w:after="0"/>
              <w:rPr>
                <w:sz w:val="20"/>
                <w:szCs w:val="20"/>
                <w:color w:val="auto"/>
              </w:rPr>
            </w:pPr>
            <w:r>
              <w:rPr>
                <w:rFonts w:ascii="Arial" w:cs="Arial" w:eastAsia="Arial" w:hAnsi="Arial"/>
                <w:sz w:val="13"/>
                <w:szCs w:val="13"/>
                <w:color w:val="3D3935"/>
              </w:rPr>
              <w:t>2/8/2022</w:t>
            </w:r>
          </w:p>
        </w:tc>
        <w:tc>
          <w:tcPr>
            <w:tcW w:w="86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185,503</w:t>
            </w:r>
          </w:p>
        </w:tc>
        <w:tc>
          <w:tcPr>
            <w:tcW w:w="72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92,751</w:t>
            </w:r>
          </w:p>
        </w:tc>
        <w:tc>
          <w:tcPr>
            <w:tcW w:w="280" w:type="dxa"/>
            <w:vAlign w:val="bottom"/>
            <w:tcBorders>
              <w:bottom w:val="single" w:sz="8" w:color="D9D9D6"/>
            </w:tcBorders>
          </w:tcPr>
          <w:p>
            <w:pPr>
              <w:jc w:val="right"/>
              <w:ind w:right="74"/>
              <w:spacing w:after="0"/>
              <w:rPr>
                <w:sz w:val="20"/>
                <w:szCs w:val="20"/>
                <w:color w:val="auto"/>
              </w:rPr>
            </w:pPr>
            <w:r>
              <w:rPr>
                <w:rFonts w:ascii="Arial" w:cs="Arial" w:eastAsia="Arial" w:hAnsi="Arial"/>
                <w:sz w:val="9"/>
                <w:szCs w:val="9"/>
                <w:color w:val="3D3935"/>
              </w:rPr>
              <w:t>(4)</w:t>
            </w:r>
          </w:p>
        </w:tc>
        <w:tc>
          <w:tcPr>
            <w:tcW w:w="660" w:type="dxa"/>
            <w:vAlign w:val="bottom"/>
            <w:tcBorders>
              <w:bottom w:val="single" w:sz="8" w:color="D9D9D6"/>
            </w:tcBorders>
          </w:tcPr>
          <w:p>
            <w:pPr>
              <w:jc w:val="right"/>
              <w:ind w:right="34"/>
              <w:spacing w:after="0"/>
              <w:rPr>
                <w:sz w:val="20"/>
                <w:szCs w:val="20"/>
                <w:color w:val="auto"/>
              </w:rPr>
            </w:pPr>
            <w:r>
              <w:rPr>
                <w:rFonts w:ascii="Arial" w:cs="Arial" w:eastAsia="Arial" w:hAnsi="Arial"/>
                <w:sz w:val="13"/>
                <w:szCs w:val="13"/>
                <w:color w:val="3D3935"/>
              </w:rPr>
              <w:t>49.46</w:t>
            </w:r>
          </w:p>
        </w:tc>
        <w:tc>
          <w:tcPr>
            <w:tcW w:w="740" w:type="dxa"/>
            <w:vAlign w:val="bottom"/>
            <w:tcBorders>
              <w:bottom w:val="single" w:sz="8" w:color="D9D9D6"/>
            </w:tcBorders>
          </w:tcPr>
          <w:p>
            <w:pPr>
              <w:ind w:left="60"/>
              <w:spacing w:after="0"/>
              <w:rPr>
                <w:sz w:val="20"/>
                <w:szCs w:val="20"/>
                <w:color w:val="auto"/>
              </w:rPr>
            </w:pPr>
            <w:r>
              <w:rPr>
                <w:rFonts w:ascii="Arial" w:cs="Arial" w:eastAsia="Arial" w:hAnsi="Arial"/>
                <w:sz w:val="13"/>
                <w:szCs w:val="13"/>
                <w:color w:val="3D3935"/>
              </w:rPr>
              <w:t>2/8/2032</w:t>
            </w:r>
          </w:p>
        </w:tc>
        <w:tc>
          <w:tcPr>
            <w:tcW w:w="60" w:type="dxa"/>
            <w:vAlign w:val="bottom"/>
            <w:tcBorders>
              <w:bottom w:val="single" w:sz="8" w:color="D9D9D6"/>
            </w:tcBorders>
          </w:tcPr>
          <w:p>
            <w:pPr>
              <w:spacing w:after="0"/>
              <w:rPr>
                <w:sz w:val="18"/>
                <w:szCs w:val="18"/>
                <w:color w:val="auto"/>
              </w:rPr>
            </w:pPr>
          </w:p>
        </w:tc>
        <w:tc>
          <w:tcPr>
            <w:tcW w:w="62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229,541</w:t>
            </w:r>
          </w:p>
        </w:tc>
        <w:tc>
          <w:tcPr>
            <w:tcW w:w="260" w:type="dxa"/>
            <w:vAlign w:val="bottom"/>
            <w:tcBorders>
              <w:bottom w:val="single" w:sz="8" w:color="D9D9D6"/>
            </w:tcBorders>
          </w:tcPr>
          <w:p>
            <w:pPr>
              <w:jc w:val="right"/>
              <w:ind w:right="34"/>
              <w:spacing w:after="0"/>
              <w:rPr>
                <w:sz w:val="20"/>
                <w:szCs w:val="20"/>
                <w:color w:val="auto"/>
              </w:rPr>
            </w:pPr>
            <w:r>
              <w:rPr>
                <w:rFonts w:ascii="Arial" w:cs="Arial" w:eastAsia="Arial" w:hAnsi="Arial"/>
                <w:sz w:val="9"/>
                <w:szCs w:val="9"/>
                <w:color w:val="3D3935"/>
              </w:rPr>
              <w:t>(5)</w:t>
            </w:r>
          </w:p>
        </w:tc>
        <w:tc>
          <w:tcPr>
            <w:tcW w:w="800" w:type="dxa"/>
            <w:vAlign w:val="bottom"/>
            <w:tcBorders>
              <w:bottom w:val="single" w:sz="8" w:color="D9D9D6"/>
            </w:tcBorders>
          </w:tcPr>
          <w:p>
            <w:pPr>
              <w:jc w:val="right"/>
              <w:ind w:right="35"/>
              <w:spacing w:after="0"/>
              <w:rPr>
                <w:sz w:val="20"/>
                <w:szCs w:val="20"/>
                <w:color w:val="auto"/>
              </w:rPr>
            </w:pPr>
            <w:r>
              <w:rPr>
                <w:rFonts w:ascii="Arial" w:cs="Arial" w:eastAsia="Arial" w:hAnsi="Arial"/>
                <w:sz w:val="13"/>
                <w:szCs w:val="13"/>
                <w:color w:val="3D3935"/>
              </w:rPr>
              <w:t>12,227,649</w:t>
            </w:r>
          </w:p>
        </w:tc>
        <w:tc>
          <w:tcPr>
            <w:tcW w:w="680" w:type="dxa"/>
            <w:vAlign w:val="bottom"/>
            <w:tcBorders>
              <w:bottom w:val="single" w:sz="8" w:color="D9D9D6"/>
            </w:tcBorders>
          </w:tcPr>
          <w:p>
            <w:pPr>
              <w:spacing w:after="0"/>
              <w:rPr>
                <w:sz w:val="18"/>
                <w:szCs w:val="18"/>
                <w:color w:val="auto"/>
              </w:rPr>
            </w:pPr>
          </w:p>
        </w:tc>
        <w:tc>
          <w:tcPr>
            <w:tcW w:w="280" w:type="dxa"/>
            <w:vAlign w:val="bottom"/>
            <w:tcBorders>
              <w:bottom w:val="single" w:sz="8" w:color="D9D9D6"/>
            </w:tcBorders>
          </w:tcPr>
          <w:p>
            <w:pPr>
              <w:spacing w:after="0"/>
              <w:rPr>
                <w:sz w:val="18"/>
                <w:szCs w:val="18"/>
                <w:color w:val="auto"/>
              </w:rPr>
            </w:pPr>
          </w:p>
        </w:tc>
        <w:tc>
          <w:tcPr>
            <w:tcW w:w="800" w:type="dxa"/>
            <w:vAlign w:val="bottom"/>
            <w:tcBorders>
              <w:bottom w:val="single" w:sz="8" w:color="D9D9D6"/>
            </w:tcBorders>
          </w:tcPr>
          <w:p>
            <w:pPr>
              <w:spacing w:after="0"/>
              <w:rPr>
                <w:sz w:val="18"/>
                <w:szCs w:val="18"/>
                <w:color w:val="auto"/>
              </w:rPr>
            </w:pPr>
          </w:p>
        </w:tc>
        <w:tc>
          <w:tcPr>
            <w:tcW w:w="260" w:type="dxa"/>
            <w:vAlign w:val="bottom"/>
            <w:tcBorders>
              <w:bottom w:val="single" w:sz="8" w:color="D9D9D6"/>
            </w:tcBorders>
          </w:tcPr>
          <w:p>
            <w:pPr>
              <w:spacing w:after="0"/>
              <w:rPr>
                <w:sz w:val="18"/>
                <w:szCs w:val="18"/>
                <w:color w:val="auto"/>
              </w:rPr>
            </w:pPr>
          </w:p>
        </w:tc>
      </w:tr>
      <w:tr>
        <w:trPr>
          <w:trHeight w:val="216"/>
        </w:trPr>
        <w:tc>
          <w:tcPr>
            <w:tcW w:w="1200" w:type="dxa"/>
            <w:vAlign w:val="bottom"/>
          </w:tcPr>
          <w:p>
            <w:pPr>
              <w:ind w:left="60"/>
              <w:spacing w:after="0"/>
              <w:rPr>
                <w:sz w:val="20"/>
                <w:szCs w:val="20"/>
                <w:color w:val="auto"/>
              </w:rPr>
            </w:pPr>
            <w:r>
              <w:rPr>
                <w:rFonts w:ascii="Arial" w:cs="Arial" w:eastAsia="Arial" w:hAnsi="Arial"/>
                <w:sz w:val="13"/>
                <w:szCs w:val="13"/>
                <w:b w:val="1"/>
                <w:bCs w:val="1"/>
                <w:color w:val="0072CE"/>
              </w:rPr>
              <w:t>Paul A. Jacobson</w:t>
            </w:r>
          </w:p>
        </w:tc>
        <w:tc>
          <w:tcPr>
            <w:tcW w:w="860" w:type="dxa"/>
            <w:vAlign w:val="bottom"/>
            <w:tcBorders>
              <w:bottom w:val="single" w:sz="8" w:color="D9D9D6"/>
            </w:tcBorders>
          </w:tcPr>
          <w:p>
            <w:pPr>
              <w:jc w:val="right"/>
              <w:ind w:right="113"/>
              <w:spacing w:after="0"/>
              <w:rPr>
                <w:sz w:val="20"/>
                <w:szCs w:val="20"/>
                <w:color w:val="auto"/>
              </w:rPr>
            </w:pPr>
            <w:r>
              <w:rPr>
                <w:rFonts w:ascii="Arial" w:cs="Arial" w:eastAsia="Arial" w:hAnsi="Arial"/>
                <w:sz w:val="13"/>
                <w:szCs w:val="13"/>
                <w:color w:val="3D3935"/>
              </w:rPr>
              <w:t>2/6/2024</w:t>
            </w:r>
          </w:p>
        </w:tc>
        <w:tc>
          <w:tcPr>
            <w:tcW w:w="860" w:type="dxa"/>
            <w:vAlign w:val="bottom"/>
            <w:tcBorders>
              <w:bottom w:val="single" w:sz="8" w:color="D9D9D6"/>
            </w:tcBorders>
          </w:tcPr>
          <w:p>
            <w:pPr>
              <w:spacing w:after="0"/>
              <w:rPr>
                <w:sz w:val="18"/>
                <w:szCs w:val="18"/>
                <w:color w:val="auto"/>
              </w:rPr>
            </w:pPr>
          </w:p>
        </w:tc>
        <w:tc>
          <w:tcPr>
            <w:tcW w:w="720" w:type="dxa"/>
            <w:vAlign w:val="bottom"/>
            <w:tcBorders>
              <w:bottom w:val="single" w:sz="8" w:color="D9D9D6"/>
            </w:tcBorders>
          </w:tcPr>
          <w:p>
            <w:pPr>
              <w:spacing w:after="0"/>
              <w:rPr>
                <w:sz w:val="18"/>
                <w:szCs w:val="18"/>
                <w:color w:val="auto"/>
              </w:rPr>
            </w:pPr>
          </w:p>
        </w:tc>
        <w:tc>
          <w:tcPr>
            <w:tcW w:w="280" w:type="dxa"/>
            <w:vAlign w:val="bottom"/>
            <w:tcBorders>
              <w:bottom w:val="single" w:sz="8" w:color="D9D9D6"/>
            </w:tcBorders>
          </w:tcPr>
          <w:p>
            <w:pPr>
              <w:spacing w:after="0"/>
              <w:rPr>
                <w:sz w:val="18"/>
                <w:szCs w:val="18"/>
                <w:color w:val="auto"/>
              </w:rPr>
            </w:pPr>
          </w:p>
        </w:tc>
        <w:tc>
          <w:tcPr>
            <w:tcW w:w="660" w:type="dxa"/>
            <w:vAlign w:val="bottom"/>
            <w:tcBorders>
              <w:bottom w:val="single" w:sz="8" w:color="D9D9D6"/>
            </w:tcBorders>
          </w:tcPr>
          <w:p>
            <w:pPr>
              <w:spacing w:after="0"/>
              <w:rPr>
                <w:sz w:val="18"/>
                <w:szCs w:val="18"/>
                <w:color w:val="auto"/>
              </w:rPr>
            </w:pPr>
          </w:p>
        </w:tc>
        <w:tc>
          <w:tcPr>
            <w:tcW w:w="740" w:type="dxa"/>
            <w:vAlign w:val="bottom"/>
            <w:tcBorders>
              <w:bottom w:val="single" w:sz="8" w:color="D9D9D6"/>
            </w:tcBorders>
          </w:tcPr>
          <w:p>
            <w:pPr>
              <w:spacing w:after="0"/>
              <w:rPr>
                <w:sz w:val="18"/>
                <w:szCs w:val="18"/>
                <w:color w:val="auto"/>
              </w:rPr>
            </w:pPr>
          </w:p>
        </w:tc>
        <w:tc>
          <w:tcPr>
            <w:tcW w:w="60" w:type="dxa"/>
            <w:vAlign w:val="bottom"/>
            <w:tcBorders>
              <w:bottom w:val="single" w:sz="8" w:color="D9D9D6"/>
            </w:tcBorders>
          </w:tcPr>
          <w:p>
            <w:pPr>
              <w:spacing w:after="0"/>
              <w:rPr>
                <w:sz w:val="18"/>
                <w:szCs w:val="18"/>
                <w:color w:val="auto"/>
              </w:rPr>
            </w:pPr>
          </w:p>
        </w:tc>
        <w:tc>
          <w:tcPr>
            <w:tcW w:w="880" w:type="dxa"/>
            <w:vAlign w:val="bottom"/>
            <w:tcBorders>
              <w:bottom w:val="single" w:sz="8" w:color="D9D9D6"/>
            </w:tcBorders>
            <w:gridSpan w:val="2"/>
          </w:tcPr>
          <w:p>
            <w:pPr>
              <w:jc w:val="right"/>
              <w:ind w:right="34"/>
              <w:spacing w:after="0"/>
              <w:rPr>
                <w:sz w:val="20"/>
                <w:szCs w:val="20"/>
                <w:color w:val="auto"/>
              </w:rPr>
            </w:pPr>
            <w:r>
              <w:rPr>
                <w:rFonts w:ascii="Arial" w:cs="Arial" w:eastAsia="Arial" w:hAnsi="Arial"/>
                <w:sz w:val="13"/>
                <w:szCs w:val="13"/>
                <w:color w:val="3D3935"/>
              </w:rPr>
              <w:t xml:space="preserve">61,136 </w:t>
            </w:r>
            <w:r>
              <w:rPr>
                <w:rFonts w:ascii="Arial" w:cs="Arial" w:eastAsia="Arial" w:hAnsi="Arial"/>
                <w:sz w:val="17"/>
                <w:szCs w:val="17"/>
                <w:color w:val="3D3935"/>
                <w:vertAlign w:val="superscript"/>
              </w:rPr>
              <w:t>(2)</w:t>
            </w:r>
          </w:p>
        </w:tc>
        <w:tc>
          <w:tcPr>
            <w:tcW w:w="800" w:type="dxa"/>
            <w:vAlign w:val="bottom"/>
            <w:tcBorders>
              <w:bottom w:val="single" w:sz="8" w:color="D9D9D6"/>
            </w:tcBorders>
          </w:tcPr>
          <w:p>
            <w:pPr>
              <w:jc w:val="right"/>
              <w:ind w:right="15"/>
              <w:spacing w:after="0"/>
              <w:rPr>
                <w:sz w:val="20"/>
                <w:szCs w:val="20"/>
                <w:color w:val="auto"/>
              </w:rPr>
            </w:pPr>
            <w:r>
              <w:rPr>
                <w:rFonts w:ascii="Arial" w:cs="Arial" w:eastAsia="Arial" w:hAnsi="Arial"/>
                <w:sz w:val="13"/>
                <w:szCs w:val="13"/>
                <w:color w:val="3D3935"/>
              </w:rPr>
              <w:t>3,256,715</w:t>
            </w:r>
          </w:p>
        </w:tc>
        <w:tc>
          <w:tcPr>
            <w:tcW w:w="960" w:type="dxa"/>
            <w:vAlign w:val="bottom"/>
            <w:tcBorders>
              <w:bottom w:val="single" w:sz="8" w:color="D9D9D6"/>
            </w:tcBorders>
            <w:gridSpan w:val="2"/>
          </w:tcPr>
          <w:p>
            <w:pPr>
              <w:jc w:val="right"/>
              <w:ind w:right="74"/>
              <w:spacing w:after="0"/>
              <w:rPr>
                <w:sz w:val="20"/>
                <w:szCs w:val="20"/>
                <w:color w:val="auto"/>
              </w:rPr>
            </w:pPr>
            <w:r>
              <w:rPr>
                <w:rFonts w:ascii="Arial" w:cs="Arial" w:eastAsia="Arial" w:hAnsi="Arial"/>
                <w:sz w:val="13"/>
                <w:szCs w:val="13"/>
                <w:color w:val="3D3935"/>
              </w:rPr>
              <w:t xml:space="preserve">161,135 </w:t>
            </w:r>
            <w:r>
              <w:rPr>
                <w:rFonts w:ascii="Arial" w:cs="Arial" w:eastAsia="Arial" w:hAnsi="Arial"/>
                <w:sz w:val="17"/>
                <w:szCs w:val="17"/>
                <w:color w:val="3D3935"/>
                <w:vertAlign w:val="superscript"/>
              </w:rPr>
              <w:t>(7)</w:t>
            </w:r>
          </w:p>
        </w:tc>
        <w:tc>
          <w:tcPr>
            <w:tcW w:w="800" w:type="dxa"/>
            <w:vAlign w:val="bottom"/>
            <w:tcBorders>
              <w:bottom w:val="single" w:sz="8" w:color="D9D9D6"/>
            </w:tcBorders>
          </w:tcPr>
          <w:p>
            <w:pPr>
              <w:jc w:val="right"/>
              <w:ind w:right="15"/>
              <w:spacing w:after="0"/>
              <w:rPr>
                <w:sz w:val="20"/>
                <w:szCs w:val="20"/>
                <w:color w:val="auto"/>
              </w:rPr>
            </w:pPr>
            <w:r>
              <w:rPr>
                <w:rFonts w:ascii="Arial" w:cs="Arial" w:eastAsia="Arial" w:hAnsi="Arial"/>
                <w:sz w:val="13"/>
                <w:szCs w:val="13"/>
                <w:color w:val="3D3935"/>
              </w:rPr>
              <w:t>8,583,661</w:t>
            </w:r>
          </w:p>
        </w:tc>
        <w:tc>
          <w:tcPr>
            <w:tcW w:w="260" w:type="dxa"/>
            <w:vAlign w:val="bottom"/>
            <w:tcBorders>
              <w:bottom w:val="single" w:sz="8" w:color="D9D9D6"/>
            </w:tcBorders>
          </w:tcPr>
          <w:p>
            <w:pPr>
              <w:ind w:left="40"/>
              <w:spacing w:after="0"/>
              <w:rPr>
                <w:sz w:val="20"/>
                <w:szCs w:val="20"/>
                <w:color w:val="auto"/>
              </w:rPr>
            </w:pPr>
            <w:r>
              <w:rPr>
                <w:rFonts w:ascii="Arial" w:cs="Arial" w:eastAsia="Arial" w:hAnsi="Arial"/>
                <w:sz w:val="9"/>
                <w:szCs w:val="9"/>
                <w:color w:val="3D3935"/>
              </w:rPr>
              <w:t>(9)</w:t>
            </w:r>
          </w:p>
        </w:tc>
      </w:tr>
      <w:tr>
        <w:trPr>
          <w:trHeight w:val="204"/>
        </w:trPr>
        <w:tc>
          <w:tcPr>
            <w:tcW w:w="1200" w:type="dxa"/>
            <w:vAlign w:val="bottom"/>
          </w:tcPr>
          <w:p>
            <w:pPr>
              <w:spacing w:after="0"/>
              <w:rPr>
                <w:sz w:val="17"/>
                <w:szCs w:val="17"/>
                <w:color w:val="auto"/>
              </w:rPr>
            </w:pPr>
          </w:p>
        </w:tc>
        <w:tc>
          <w:tcPr>
            <w:tcW w:w="860" w:type="dxa"/>
            <w:vAlign w:val="bottom"/>
            <w:tcBorders>
              <w:bottom w:val="single" w:sz="8" w:color="D9D9D6"/>
            </w:tcBorders>
          </w:tcPr>
          <w:p>
            <w:pPr>
              <w:jc w:val="right"/>
              <w:ind w:right="93"/>
              <w:spacing w:after="0"/>
              <w:rPr>
                <w:sz w:val="20"/>
                <w:szCs w:val="20"/>
                <w:color w:val="auto"/>
              </w:rPr>
            </w:pPr>
            <w:r>
              <w:rPr>
                <w:rFonts w:ascii="Arial" w:cs="Arial" w:eastAsia="Arial" w:hAnsi="Arial"/>
                <w:sz w:val="13"/>
                <w:szCs w:val="13"/>
                <w:color w:val="3D3935"/>
              </w:rPr>
              <w:t>2/7/2023</w:t>
            </w:r>
          </w:p>
        </w:tc>
        <w:tc>
          <w:tcPr>
            <w:tcW w:w="86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51,809</w:t>
            </w:r>
          </w:p>
        </w:tc>
        <w:tc>
          <w:tcPr>
            <w:tcW w:w="720" w:type="dxa"/>
            <w:vAlign w:val="bottom"/>
            <w:tcBorders>
              <w:bottom w:val="single" w:sz="8" w:color="D9D9D6"/>
            </w:tcBorders>
          </w:tcPr>
          <w:p>
            <w:pPr>
              <w:ind w:left="220"/>
              <w:spacing w:after="0"/>
              <w:rPr>
                <w:sz w:val="20"/>
                <w:szCs w:val="20"/>
                <w:color w:val="auto"/>
              </w:rPr>
            </w:pPr>
            <w:r>
              <w:rPr>
                <w:rFonts w:ascii="Arial" w:cs="Arial" w:eastAsia="Arial" w:hAnsi="Arial"/>
                <w:sz w:val="13"/>
                <w:szCs w:val="13"/>
                <w:color w:val="3D3935"/>
              </w:rPr>
              <w:t>103,617</w:t>
            </w:r>
          </w:p>
        </w:tc>
        <w:tc>
          <w:tcPr>
            <w:tcW w:w="280" w:type="dxa"/>
            <w:vAlign w:val="bottom"/>
            <w:tcBorders>
              <w:bottom w:val="single" w:sz="8" w:color="D9D9D6"/>
            </w:tcBorders>
          </w:tcPr>
          <w:p>
            <w:pPr>
              <w:jc w:val="right"/>
              <w:ind w:right="74"/>
              <w:spacing w:after="0"/>
              <w:rPr>
                <w:sz w:val="20"/>
                <w:szCs w:val="20"/>
                <w:color w:val="auto"/>
              </w:rPr>
            </w:pPr>
            <w:r>
              <w:rPr>
                <w:rFonts w:ascii="Arial" w:cs="Arial" w:eastAsia="Arial" w:hAnsi="Arial"/>
                <w:sz w:val="9"/>
                <w:szCs w:val="9"/>
                <w:color w:val="3D3935"/>
              </w:rPr>
              <w:t>(3)</w:t>
            </w:r>
          </w:p>
        </w:tc>
        <w:tc>
          <w:tcPr>
            <w:tcW w:w="660" w:type="dxa"/>
            <w:vAlign w:val="bottom"/>
            <w:tcBorders>
              <w:bottom w:val="single" w:sz="8" w:color="D9D9D6"/>
            </w:tcBorders>
          </w:tcPr>
          <w:p>
            <w:pPr>
              <w:jc w:val="right"/>
              <w:ind w:right="14"/>
              <w:spacing w:after="0"/>
              <w:rPr>
                <w:sz w:val="20"/>
                <w:szCs w:val="20"/>
                <w:color w:val="auto"/>
              </w:rPr>
            </w:pPr>
            <w:r>
              <w:rPr>
                <w:rFonts w:ascii="Arial" w:cs="Arial" w:eastAsia="Arial" w:hAnsi="Arial"/>
                <w:sz w:val="13"/>
                <w:szCs w:val="13"/>
                <w:color w:val="3D3935"/>
              </w:rPr>
              <w:t>41.40</w:t>
            </w:r>
          </w:p>
        </w:tc>
        <w:tc>
          <w:tcPr>
            <w:tcW w:w="740" w:type="dxa"/>
            <w:vAlign w:val="bottom"/>
            <w:tcBorders>
              <w:bottom w:val="single" w:sz="8" w:color="D9D9D6"/>
            </w:tcBorders>
          </w:tcPr>
          <w:p>
            <w:pPr>
              <w:ind w:left="80"/>
              <w:spacing w:after="0"/>
              <w:rPr>
                <w:sz w:val="20"/>
                <w:szCs w:val="20"/>
                <w:color w:val="auto"/>
              </w:rPr>
            </w:pPr>
            <w:r>
              <w:rPr>
                <w:rFonts w:ascii="Arial" w:cs="Arial" w:eastAsia="Arial" w:hAnsi="Arial"/>
                <w:sz w:val="13"/>
                <w:szCs w:val="13"/>
                <w:color w:val="3D3935"/>
              </w:rPr>
              <w:t>2/7/2033</w:t>
            </w:r>
          </w:p>
        </w:tc>
        <w:tc>
          <w:tcPr>
            <w:tcW w:w="60" w:type="dxa"/>
            <w:vAlign w:val="bottom"/>
            <w:tcBorders>
              <w:bottom w:val="single" w:sz="8" w:color="D9D9D6"/>
            </w:tcBorders>
          </w:tcPr>
          <w:p>
            <w:pPr>
              <w:spacing w:after="0"/>
              <w:rPr>
                <w:sz w:val="17"/>
                <w:szCs w:val="17"/>
                <w:color w:val="auto"/>
              </w:rPr>
            </w:pPr>
          </w:p>
        </w:tc>
        <w:tc>
          <w:tcPr>
            <w:tcW w:w="620" w:type="dxa"/>
            <w:vAlign w:val="bottom"/>
            <w:tcBorders>
              <w:bottom w:val="single" w:sz="8" w:color="D9D9D6"/>
            </w:tcBorders>
          </w:tcPr>
          <w:p>
            <w:pPr>
              <w:spacing w:after="0"/>
              <w:rPr>
                <w:sz w:val="17"/>
                <w:szCs w:val="17"/>
                <w:color w:val="auto"/>
              </w:rPr>
            </w:pPr>
          </w:p>
        </w:tc>
        <w:tc>
          <w:tcPr>
            <w:tcW w:w="260" w:type="dxa"/>
            <w:vAlign w:val="bottom"/>
            <w:tcBorders>
              <w:bottom w:val="single" w:sz="8" w:color="D9D9D6"/>
            </w:tcBorders>
          </w:tcPr>
          <w:p>
            <w:pPr>
              <w:spacing w:after="0"/>
              <w:rPr>
                <w:sz w:val="17"/>
                <w:szCs w:val="17"/>
                <w:color w:val="auto"/>
              </w:rPr>
            </w:pPr>
          </w:p>
        </w:tc>
        <w:tc>
          <w:tcPr>
            <w:tcW w:w="800" w:type="dxa"/>
            <w:vAlign w:val="bottom"/>
            <w:tcBorders>
              <w:bottom w:val="single" w:sz="8" w:color="D9D9D6"/>
            </w:tcBorders>
          </w:tcPr>
          <w:p>
            <w:pPr>
              <w:spacing w:after="0"/>
              <w:rPr>
                <w:sz w:val="17"/>
                <w:szCs w:val="17"/>
                <w:color w:val="auto"/>
              </w:rPr>
            </w:pPr>
          </w:p>
        </w:tc>
        <w:tc>
          <w:tcPr>
            <w:tcW w:w="68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136,267</w:t>
            </w:r>
          </w:p>
        </w:tc>
        <w:tc>
          <w:tcPr>
            <w:tcW w:w="280" w:type="dxa"/>
            <w:vAlign w:val="bottom"/>
            <w:tcBorders>
              <w:bottom w:val="single" w:sz="8" w:color="D9D9D6"/>
            </w:tcBorders>
          </w:tcPr>
          <w:p>
            <w:pPr>
              <w:jc w:val="right"/>
              <w:ind w:right="74"/>
              <w:spacing w:after="0"/>
              <w:rPr>
                <w:sz w:val="20"/>
                <w:szCs w:val="20"/>
                <w:color w:val="auto"/>
              </w:rPr>
            </w:pPr>
            <w:r>
              <w:rPr>
                <w:rFonts w:ascii="Arial" w:cs="Arial" w:eastAsia="Arial" w:hAnsi="Arial"/>
                <w:sz w:val="9"/>
                <w:szCs w:val="9"/>
                <w:color w:val="3D3935"/>
              </w:rPr>
              <w:t>(8)</w:t>
            </w:r>
          </w:p>
        </w:tc>
        <w:tc>
          <w:tcPr>
            <w:tcW w:w="800" w:type="dxa"/>
            <w:vAlign w:val="bottom"/>
            <w:tcBorders>
              <w:bottom w:val="single" w:sz="8" w:color="D9D9D6"/>
            </w:tcBorders>
          </w:tcPr>
          <w:p>
            <w:pPr>
              <w:ind w:left="100"/>
              <w:spacing w:after="0"/>
              <w:rPr>
                <w:sz w:val="20"/>
                <w:szCs w:val="20"/>
                <w:color w:val="auto"/>
              </w:rPr>
            </w:pPr>
            <w:r>
              <w:rPr>
                <w:rFonts w:ascii="Arial" w:cs="Arial" w:eastAsia="Arial" w:hAnsi="Arial"/>
                <w:sz w:val="13"/>
                <w:szCs w:val="13"/>
                <w:color w:val="3D3935"/>
              </w:rPr>
              <w:t>7,258,943</w:t>
            </w:r>
          </w:p>
        </w:tc>
        <w:tc>
          <w:tcPr>
            <w:tcW w:w="260" w:type="dxa"/>
            <w:vAlign w:val="bottom"/>
            <w:tcBorders>
              <w:bottom w:val="single" w:sz="8" w:color="D9D9D6"/>
            </w:tcBorders>
          </w:tcPr>
          <w:p>
            <w:pPr>
              <w:ind w:left="40"/>
              <w:spacing w:after="0"/>
              <w:rPr>
                <w:sz w:val="20"/>
                <w:szCs w:val="20"/>
                <w:color w:val="auto"/>
              </w:rPr>
            </w:pPr>
            <w:r>
              <w:rPr>
                <w:rFonts w:ascii="Arial" w:cs="Arial" w:eastAsia="Arial" w:hAnsi="Arial"/>
                <w:sz w:val="9"/>
                <w:szCs w:val="9"/>
                <w:color w:val="3D3935"/>
              </w:rPr>
              <w:t>(10)</w:t>
            </w:r>
          </w:p>
        </w:tc>
      </w:tr>
      <w:tr>
        <w:trPr>
          <w:trHeight w:val="209"/>
        </w:trPr>
        <w:tc>
          <w:tcPr>
            <w:tcW w:w="1200" w:type="dxa"/>
            <w:vAlign w:val="bottom"/>
            <w:tcBorders>
              <w:bottom w:val="single" w:sz="8" w:color="D9D9D6"/>
            </w:tcBorders>
          </w:tcPr>
          <w:p>
            <w:pPr>
              <w:spacing w:after="0"/>
              <w:rPr>
                <w:sz w:val="18"/>
                <w:szCs w:val="18"/>
                <w:color w:val="auto"/>
              </w:rPr>
            </w:pPr>
          </w:p>
        </w:tc>
        <w:tc>
          <w:tcPr>
            <w:tcW w:w="860" w:type="dxa"/>
            <w:vAlign w:val="bottom"/>
            <w:tcBorders>
              <w:bottom w:val="single" w:sz="8" w:color="D9D9D6"/>
            </w:tcBorders>
          </w:tcPr>
          <w:p>
            <w:pPr>
              <w:jc w:val="right"/>
              <w:ind w:right="113"/>
              <w:spacing w:after="0"/>
              <w:rPr>
                <w:sz w:val="20"/>
                <w:szCs w:val="20"/>
                <w:color w:val="auto"/>
              </w:rPr>
            </w:pPr>
            <w:r>
              <w:rPr>
                <w:rFonts w:ascii="Arial" w:cs="Arial" w:eastAsia="Arial" w:hAnsi="Arial"/>
                <w:sz w:val="13"/>
                <w:szCs w:val="13"/>
                <w:color w:val="3D3935"/>
              </w:rPr>
              <w:t>2/8/2022</w:t>
            </w:r>
          </w:p>
        </w:tc>
        <w:tc>
          <w:tcPr>
            <w:tcW w:w="86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68,018</w:t>
            </w:r>
          </w:p>
        </w:tc>
        <w:tc>
          <w:tcPr>
            <w:tcW w:w="720" w:type="dxa"/>
            <w:vAlign w:val="bottom"/>
            <w:tcBorders>
              <w:bottom w:val="single" w:sz="8" w:color="D9D9D6"/>
            </w:tcBorders>
          </w:tcPr>
          <w:p>
            <w:pPr>
              <w:ind w:left="240"/>
              <w:spacing w:after="0"/>
              <w:rPr>
                <w:sz w:val="20"/>
                <w:szCs w:val="20"/>
                <w:color w:val="auto"/>
              </w:rPr>
            </w:pPr>
            <w:r>
              <w:rPr>
                <w:rFonts w:ascii="Arial" w:cs="Arial" w:eastAsia="Arial" w:hAnsi="Arial"/>
                <w:sz w:val="13"/>
                <w:szCs w:val="13"/>
                <w:color w:val="3D3935"/>
              </w:rPr>
              <w:t>34,009</w:t>
            </w:r>
          </w:p>
        </w:tc>
        <w:tc>
          <w:tcPr>
            <w:tcW w:w="280" w:type="dxa"/>
            <w:vAlign w:val="bottom"/>
            <w:tcBorders>
              <w:bottom w:val="single" w:sz="8" w:color="D9D9D6"/>
            </w:tcBorders>
          </w:tcPr>
          <w:p>
            <w:pPr>
              <w:jc w:val="right"/>
              <w:ind w:right="74"/>
              <w:spacing w:after="0"/>
              <w:rPr>
                <w:sz w:val="20"/>
                <w:szCs w:val="20"/>
                <w:color w:val="auto"/>
              </w:rPr>
            </w:pPr>
            <w:r>
              <w:rPr>
                <w:rFonts w:ascii="Arial" w:cs="Arial" w:eastAsia="Arial" w:hAnsi="Arial"/>
                <w:sz w:val="9"/>
                <w:szCs w:val="9"/>
                <w:color w:val="3D3935"/>
              </w:rPr>
              <w:t>(4)</w:t>
            </w:r>
          </w:p>
        </w:tc>
        <w:tc>
          <w:tcPr>
            <w:tcW w:w="660" w:type="dxa"/>
            <w:vAlign w:val="bottom"/>
            <w:tcBorders>
              <w:bottom w:val="single" w:sz="8" w:color="D9D9D6"/>
            </w:tcBorders>
          </w:tcPr>
          <w:p>
            <w:pPr>
              <w:jc w:val="right"/>
              <w:ind w:right="34"/>
              <w:spacing w:after="0"/>
              <w:rPr>
                <w:sz w:val="20"/>
                <w:szCs w:val="20"/>
                <w:color w:val="auto"/>
              </w:rPr>
            </w:pPr>
            <w:r>
              <w:rPr>
                <w:rFonts w:ascii="Arial" w:cs="Arial" w:eastAsia="Arial" w:hAnsi="Arial"/>
                <w:sz w:val="13"/>
                <w:szCs w:val="13"/>
                <w:color w:val="3D3935"/>
              </w:rPr>
              <w:t>49.46</w:t>
            </w:r>
          </w:p>
        </w:tc>
        <w:tc>
          <w:tcPr>
            <w:tcW w:w="740" w:type="dxa"/>
            <w:vAlign w:val="bottom"/>
            <w:tcBorders>
              <w:bottom w:val="single" w:sz="8" w:color="D9D9D6"/>
            </w:tcBorders>
          </w:tcPr>
          <w:p>
            <w:pPr>
              <w:ind w:left="60"/>
              <w:spacing w:after="0"/>
              <w:rPr>
                <w:sz w:val="20"/>
                <w:szCs w:val="20"/>
                <w:color w:val="auto"/>
              </w:rPr>
            </w:pPr>
            <w:r>
              <w:rPr>
                <w:rFonts w:ascii="Arial" w:cs="Arial" w:eastAsia="Arial" w:hAnsi="Arial"/>
                <w:sz w:val="13"/>
                <w:szCs w:val="13"/>
                <w:color w:val="3D3935"/>
              </w:rPr>
              <w:t>2/8/2032</w:t>
            </w:r>
          </w:p>
        </w:tc>
        <w:tc>
          <w:tcPr>
            <w:tcW w:w="60" w:type="dxa"/>
            <w:vAlign w:val="bottom"/>
            <w:tcBorders>
              <w:bottom w:val="single" w:sz="8" w:color="D9D9D6"/>
            </w:tcBorders>
          </w:tcPr>
          <w:p>
            <w:pPr>
              <w:spacing w:after="0"/>
              <w:rPr>
                <w:sz w:val="18"/>
                <w:szCs w:val="18"/>
                <w:color w:val="auto"/>
              </w:rPr>
            </w:pPr>
          </w:p>
        </w:tc>
        <w:tc>
          <w:tcPr>
            <w:tcW w:w="62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84,166</w:t>
            </w:r>
          </w:p>
        </w:tc>
        <w:tc>
          <w:tcPr>
            <w:tcW w:w="260" w:type="dxa"/>
            <w:vAlign w:val="bottom"/>
            <w:tcBorders>
              <w:bottom w:val="single" w:sz="8" w:color="D9D9D6"/>
            </w:tcBorders>
          </w:tcPr>
          <w:p>
            <w:pPr>
              <w:jc w:val="right"/>
              <w:ind w:right="34"/>
              <w:spacing w:after="0"/>
              <w:rPr>
                <w:sz w:val="20"/>
                <w:szCs w:val="20"/>
                <w:color w:val="auto"/>
              </w:rPr>
            </w:pPr>
            <w:r>
              <w:rPr>
                <w:rFonts w:ascii="Arial" w:cs="Arial" w:eastAsia="Arial" w:hAnsi="Arial"/>
                <w:sz w:val="9"/>
                <w:szCs w:val="9"/>
                <w:color w:val="3D3935"/>
              </w:rPr>
              <w:t>(5)</w:t>
            </w:r>
          </w:p>
        </w:tc>
        <w:tc>
          <w:tcPr>
            <w:tcW w:w="800" w:type="dxa"/>
            <w:vAlign w:val="bottom"/>
            <w:tcBorders>
              <w:bottom w:val="single" w:sz="8" w:color="D9D9D6"/>
            </w:tcBorders>
          </w:tcPr>
          <w:p>
            <w:pPr>
              <w:jc w:val="right"/>
              <w:ind w:right="75"/>
              <w:spacing w:after="0"/>
              <w:rPr>
                <w:sz w:val="20"/>
                <w:szCs w:val="20"/>
                <w:color w:val="auto"/>
              </w:rPr>
            </w:pPr>
            <w:r>
              <w:rPr>
                <w:rFonts w:ascii="Arial" w:cs="Arial" w:eastAsia="Arial" w:hAnsi="Arial"/>
                <w:sz w:val="13"/>
                <w:szCs w:val="13"/>
                <w:color w:val="3D3935"/>
              </w:rPr>
              <w:t>4,483,523</w:t>
            </w:r>
          </w:p>
        </w:tc>
        <w:tc>
          <w:tcPr>
            <w:tcW w:w="680" w:type="dxa"/>
            <w:vAlign w:val="bottom"/>
            <w:tcBorders>
              <w:bottom w:val="single" w:sz="8" w:color="D9D9D6"/>
            </w:tcBorders>
          </w:tcPr>
          <w:p>
            <w:pPr>
              <w:spacing w:after="0"/>
              <w:rPr>
                <w:sz w:val="18"/>
                <w:szCs w:val="18"/>
                <w:color w:val="auto"/>
              </w:rPr>
            </w:pPr>
          </w:p>
        </w:tc>
        <w:tc>
          <w:tcPr>
            <w:tcW w:w="280" w:type="dxa"/>
            <w:vAlign w:val="bottom"/>
            <w:tcBorders>
              <w:bottom w:val="single" w:sz="8" w:color="D9D9D6"/>
            </w:tcBorders>
          </w:tcPr>
          <w:p>
            <w:pPr>
              <w:spacing w:after="0"/>
              <w:rPr>
                <w:sz w:val="18"/>
                <w:szCs w:val="18"/>
                <w:color w:val="auto"/>
              </w:rPr>
            </w:pPr>
          </w:p>
        </w:tc>
        <w:tc>
          <w:tcPr>
            <w:tcW w:w="800" w:type="dxa"/>
            <w:vAlign w:val="bottom"/>
            <w:tcBorders>
              <w:bottom w:val="single" w:sz="8" w:color="D9D9D6"/>
            </w:tcBorders>
          </w:tcPr>
          <w:p>
            <w:pPr>
              <w:spacing w:after="0"/>
              <w:rPr>
                <w:sz w:val="18"/>
                <w:szCs w:val="18"/>
                <w:color w:val="auto"/>
              </w:rPr>
            </w:pPr>
          </w:p>
        </w:tc>
        <w:tc>
          <w:tcPr>
            <w:tcW w:w="260" w:type="dxa"/>
            <w:vAlign w:val="bottom"/>
            <w:tcBorders>
              <w:bottom w:val="single" w:sz="8" w:color="D9D9D6"/>
            </w:tcBorders>
          </w:tcPr>
          <w:p>
            <w:pPr>
              <w:spacing w:after="0"/>
              <w:rPr>
                <w:sz w:val="18"/>
                <w:szCs w:val="18"/>
                <w:color w:val="auto"/>
              </w:rPr>
            </w:pPr>
          </w:p>
        </w:tc>
      </w:tr>
      <w:tr>
        <w:trPr>
          <w:trHeight w:val="214"/>
        </w:trPr>
        <w:tc>
          <w:tcPr>
            <w:tcW w:w="1200" w:type="dxa"/>
            <w:vAlign w:val="bottom"/>
          </w:tcPr>
          <w:p>
            <w:pPr>
              <w:ind w:left="60"/>
              <w:spacing w:after="0"/>
              <w:rPr>
                <w:sz w:val="20"/>
                <w:szCs w:val="20"/>
                <w:color w:val="auto"/>
              </w:rPr>
            </w:pPr>
            <w:r>
              <w:rPr>
                <w:rFonts w:ascii="Arial" w:cs="Arial" w:eastAsia="Arial" w:hAnsi="Arial"/>
                <w:sz w:val="13"/>
                <w:szCs w:val="13"/>
                <w:b w:val="1"/>
                <w:bCs w:val="1"/>
                <w:color w:val="0072CE"/>
              </w:rPr>
              <w:t>Mark L. Reuss</w:t>
            </w:r>
          </w:p>
        </w:tc>
        <w:tc>
          <w:tcPr>
            <w:tcW w:w="860" w:type="dxa"/>
            <w:vAlign w:val="bottom"/>
            <w:tcBorders>
              <w:bottom w:val="single" w:sz="8" w:color="D9D9D6"/>
            </w:tcBorders>
          </w:tcPr>
          <w:p>
            <w:pPr>
              <w:jc w:val="right"/>
              <w:ind w:right="113"/>
              <w:spacing w:after="0"/>
              <w:rPr>
                <w:sz w:val="20"/>
                <w:szCs w:val="20"/>
                <w:color w:val="auto"/>
              </w:rPr>
            </w:pPr>
            <w:r>
              <w:rPr>
                <w:rFonts w:ascii="Arial" w:cs="Arial" w:eastAsia="Arial" w:hAnsi="Arial"/>
                <w:sz w:val="13"/>
                <w:szCs w:val="13"/>
                <w:color w:val="3D3935"/>
              </w:rPr>
              <w:t>2/6/2024</w:t>
            </w:r>
          </w:p>
        </w:tc>
        <w:tc>
          <w:tcPr>
            <w:tcW w:w="860" w:type="dxa"/>
            <w:vAlign w:val="bottom"/>
            <w:tcBorders>
              <w:bottom w:val="single" w:sz="8" w:color="D9D9D6"/>
            </w:tcBorders>
          </w:tcPr>
          <w:p>
            <w:pPr>
              <w:spacing w:after="0"/>
              <w:rPr>
                <w:sz w:val="18"/>
                <w:szCs w:val="18"/>
                <w:color w:val="auto"/>
              </w:rPr>
            </w:pPr>
          </w:p>
        </w:tc>
        <w:tc>
          <w:tcPr>
            <w:tcW w:w="720" w:type="dxa"/>
            <w:vAlign w:val="bottom"/>
            <w:tcBorders>
              <w:bottom w:val="single" w:sz="8" w:color="D9D9D6"/>
            </w:tcBorders>
          </w:tcPr>
          <w:p>
            <w:pPr>
              <w:spacing w:after="0"/>
              <w:rPr>
                <w:sz w:val="18"/>
                <w:szCs w:val="18"/>
                <w:color w:val="auto"/>
              </w:rPr>
            </w:pPr>
          </w:p>
        </w:tc>
        <w:tc>
          <w:tcPr>
            <w:tcW w:w="280" w:type="dxa"/>
            <w:vAlign w:val="bottom"/>
            <w:tcBorders>
              <w:bottom w:val="single" w:sz="8" w:color="D9D9D6"/>
            </w:tcBorders>
          </w:tcPr>
          <w:p>
            <w:pPr>
              <w:spacing w:after="0"/>
              <w:rPr>
                <w:sz w:val="18"/>
                <w:szCs w:val="18"/>
                <w:color w:val="auto"/>
              </w:rPr>
            </w:pPr>
          </w:p>
        </w:tc>
        <w:tc>
          <w:tcPr>
            <w:tcW w:w="660" w:type="dxa"/>
            <w:vAlign w:val="bottom"/>
            <w:tcBorders>
              <w:bottom w:val="single" w:sz="8" w:color="D9D9D6"/>
            </w:tcBorders>
          </w:tcPr>
          <w:p>
            <w:pPr>
              <w:spacing w:after="0"/>
              <w:rPr>
                <w:sz w:val="18"/>
                <w:szCs w:val="18"/>
                <w:color w:val="auto"/>
              </w:rPr>
            </w:pPr>
          </w:p>
        </w:tc>
        <w:tc>
          <w:tcPr>
            <w:tcW w:w="740" w:type="dxa"/>
            <w:vAlign w:val="bottom"/>
            <w:tcBorders>
              <w:bottom w:val="single" w:sz="8" w:color="D9D9D6"/>
            </w:tcBorders>
          </w:tcPr>
          <w:p>
            <w:pPr>
              <w:spacing w:after="0"/>
              <w:rPr>
                <w:sz w:val="18"/>
                <w:szCs w:val="18"/>
                <w:color w:val="auto"/>
              </w:rPr>
            </w:pPr>
          </w:p>
        </w:tc>
        <w:tc>
          <w:tcPr>
            <w:tcW w:w="60" w:type="dxa"/>
            <w:vAlign w:val="bottom"/>
            <w:tcBorders>
              <w:bottom w:val="single" w:sz="8" w:color="D9D9D6"/>
            </w:tcBorders>
          </w:tcPr>
          <w:p>
            <w:pPr>
              <w:spacing w:after="0"/>
              <w:rPr>
                <w:sz w:val="18"/>
                <w:szCs w:val="18"/>
                <w:color w:val="auto"/>
              </w:rPr>
            </w:pPr>
          </w:p>
        </w:tc>
        <w:tc>
          <w:tcPr>
            <w:tcW w:w="62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91,787</w:t>
            </w:r>
          </w:p>
        </w:tc>
        <w:tc>
          <w:tcPr>
            <w:tcW w:w="260" w:type="dxa"/>
            <w:vAlign w:val="bottom"/>
            <w:tcBorders>
              <w:bottom w:val="single" w:sz="8" w:color="D9D9D6"/>
            </w:tcBorders>
          </w:tcPr>
          <w:p>
            <w:pPr>
              <w:jc w:val="right"/>
              <w:ind w:right="34"/>
              <w:spacing w:after="0"/>
              <w:rPr>
                <w:sz w:val="20"/>
                <w:szCs w:val="20"/>
                <w:color w:val="auto"/>
              </w:rPr>
            </w:pPr>
            <w:r>
              <w:rPr>
                <w:rFonts w:ascii="Arial" w:cs="Arial" w:eastAsia="Arial" w:hAnsi="Arial"/>
                <w:sz w:val="9"/>
                <w:szCs w:val="9"/>
                <w:color w:val="3D3935"/>
              </w:rPr>
              <w:t>(2)</w:t>
            </w:r>
          </w:p>
        </w:tc>
        <w:tc>
          <w:tcPr>
            <w:tcW w:w="800" w:type="dxa"/>
            <w:vAlign w:val="bottom"/>
            <w:tcBorders>
              <w:bottom w:val="single" w:sz="8" w:color="D9D9D6"/>
            </w:tcBorders>
          </w:tcPr>
          <w:p>
            <w:pPr>
              <w:jc w:val="right"/>
              <w:ind w:right="75"/>
              <w:spacing w:after="0"/>
              <w:rPr>
                <w:sz w:val="20"/>
                <w:szCs w:val="20"/>
                <w:color w:val="auto"/>
              </w:rPr>
            </w:pPr>
            <w:r>
              <w:rPr>
                <w:rFonts w:ascii="Arial" w:cs="Arial" w:eastAsia="Arial" w:hAnsi="Arial"/>
                <w:sz w:val="13"/>
                <w:szCs w:val="13"/>
                <w:color w:val="3D3935"/>
              </w:rPr>
              <w:t>4,889,493</w:t>
            </w:r>
          </w:p>
        </w:tc>
        <w:tc>
          <w:tcPr>
            <w:tcW w:w="68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241,918</w:t>
            </w:r>
          </w:p>
        </w:tc>
        <w:tc>
          <w:tcPr>
            <w:tcW w:w="280" w:type="dxa"/>
            <w:vAlign w:val="bottom"/>
            <w:tcBorders>
              <w:bottom w:val="single" w:sz="8" w:color="D9D9D6"/>
            </w:tcBorders>
          </w:tcPr>
          <w:p>
            <w:pPr>
              <w:jc w:val="right"/>
              <w:ind w:right="74"/>
              <w:spacing w:after="0"/>
              <w:rPr>
                <w:sz w:val="20"/>
                <w:szCs w:val="20"/>
                <w:color w:val="auto"/>
              </w:rPr>
            </w:pPr>
            <w:r>
              <w:rPr>
                <w:rFonts w:ascii="Arial" w:cs="Arial" w:eastAsia="Arial" w:hAnsi="Arial"/>
                <w:sz w:val="9"/>
                <w:szCs w:val="9"/>
                <w:color w:val="3D3935"/>
              </w:rPr>
              <w:t>(7)</w:t>
            </w:r>
          </w:p>
        </w:tc>
        <w:tc>
          <w:tcPr>
            <w:tcW w:w="800" w:type="dxa"/>
            <w:vAlign w:val="bottom"/>
            <w:tcBorders>
              <w:bottom w:val="single" w:sz="8" w:color="D9D9D6"/>
            </w:tcBorders>
          </w:tcPr>
          <w:p>
            <w:pPr>
              <w:jc w:val="right"/>
              <w:ind w:right="15"/>
              <w:spacing w:after="0"/>
              <w:rPr>
                <w:sz w:val="20"/>
                <w:szCs w:val="20"/>
                <w:color w:val="auto"/>
              </w:rPr>
            </w:pPr>
            <w:r>
              <w:rPr>
                <w:rFonts w:ascii="Arial" w:cs="Arial" w:eastAsia="Arial" w:hAnsi="Arial"/>
                <w:sz w:val="13"/>
                <w:szCs w:val="13"/>
                <w:color w:val="3D3935"/>
              </w:rPr>
              <w:t>12,886,972</w:t>
            </w:r>
          </w:p>
        </w:tc>
        <w:tc>
          <w:tcPr>
            <w:tcW w:w="260" w:type="dxa"/>
            <w:vAlign w:val="bottom"/>
            <w:tcBorders>
              <w:bottom w:val="single" w:sz="8" w:color="D9D9D6"/>
            </w:tcBorders>
          </w:tcPr>
          <w:p>
            <w:pPr>
              <w:ind w:left="40"/>
              <w:spacing w:after="0"/>
              <w:rPr>
                <w:sz w:val="20"/>
                <w:szCs w:val="20"/>
                <w:color w:val="auto"/>
              </w:rPr>
            </w:pPr>
            <w:r>
              <w:rPr>
                <w:rFonts w:ascii="Arial" w:cs="Arial" w:eastAsia="Arial" w:hAnsi="Arial"/>
                <w:sz w:val="9"/>
                <w:szCs w:val="9"/>
                <w:color w:val="3D3935"/>
              </w:rPr>
              <w:t>(9)</w:t>
            </w:r>
          </w:p>
        </w:tc>
      </w:tr>
      <w:tr>
        <w:trPr>
          <w:trHeight w:val="205"/>
        </w:trPr>
        <w:tc>
          <w:tcPr>
            <w:tcW w:w="1200" w:type="dxa"/>
            <w:vAlign w:val="bottom"/>
          </w:tcPr>
          <w:p>
            <w:pPr>
              <w:spacing w:after="0"/>
              <w:rPr>
                <w:sz w:val="17"/>
                <w:szCs w:val="17"/>
                <w:color w:val="auto"/>
              </w:rPr>
            </w:pPr>
          </w:p>
        </w:tc>
        <w:tc>
          <w:tcPr>
            <w:tcW w:w="860" w:type="dxa"/>
            <w:vAlign w:val="bottom"/>
            <w:tcBorders>
              <w:bottom w:val="single" w:sz="8" w:color="D9D9D6"/>
            </w:tcBorders>
          </w:tcPr>
          <w:p>
            <w:pPr>
              <w:jc w:val="right"/>
              <w:ind w:right="93"/>
              <w:spacing w:after="0"/>
              <w:rPr>
                <w:sz w:val="20"/>
                <w:szCs w:val="20"/>
                <w:color w:val="auto"/>
              </w:rPr>
            </w:pPr>
            <w:r>
              <w:rPr>
                <w:rFonts w:ascii="Arial" w:cs="Arial" w:eastAsia="Arial" w:hAnsi="Arial"/>
                <w:sz w:val="13"/>
                <w:szCs w:val="13"/>
                <w:color w:val="3D3935"/>
              </w:rPr>
              <w:t>2/7/2023</w:t>
            </w:r>
          </w:p>
        </w:tc>
        <w:tc>
          <w:tcPr>
            <w:tcW w:w="860" w:type="dxa"/>
            <w:vAlign w:val="bottom"/>
            <w:tcBorders>
              <w:bottom w:val="single" w:sz="8" w:color="D9D9D6"/>
            </w:tcBorders>
          </w:tcPr>
          <w:p>
            <w:pPr>
              <w:jc w:val="right"/>
              <w:ind w:right="15"/>
              <w:spacing w:after="0"/>
              <w:rPr>
                <w:sz w:val="20"/>
                <w:szCs w:val="20"/>
                <w:color w:val="auto"/>
              </w:rPr>
            </w:pPr>
            <w:r>
              <w:rPr>
                <w:rFonts w:ascii="Arial" w:cs="Arial" w:eastAsia="Arial" w:hAnsi="Arial"/>
                <w:sz w:val="13"/>
                <w:szCs w:val="13"/>
                <w:color w:val="3D3935"/>
              </w:rPr>
              <w:t>87,683</w:t>
            </w:r>
          </w:p>
        </w:tc>
        <w:tc>
          <w:tcPr>
            <w:tcW w:w="72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175,364</w:t>
            </w:r>
          </w:p>
        </w:tc>
        <w:tc>
          <w:tcPr>
            <w:tcW w:w="280" w:type="dxa"/>
            <w:vAlign w:val="bottom"/>
            <w:tcBorders>
              <w:bottom w:val="single" w:sz="8" w:color="D9D9D6"/>
            </w:tcBorders>
          </w:tcPr>
          <w:p>
            <w:pPr>
              <w:jc w:val="right"/>
              <w:ind w:right="74"/>
              <w:spacing w:after="0"/>
              <w:rPr>
                <w:sz w:val="20"/>
                <w:szCs w:val="20"/>
                <w:color w:val="auto"/>
              </w:rPr>
            </w:pPr>
            <w:r>
              <w:rPr>
                <w:rFonts w:ascii="Arial" w:cs="Arial" w:eastAsia="Arial" w:hAnsi="Arial"/>
                <w:sz w:val="9"/>
                <w:szCs w:val="9"/>
                <w:color w:val="3D3935"/>
              </w:rPr>
              <w:t>(3)</w:t>
            </w:r>
          </w:p>
        </w:tc>
        <w:tc>
          <w:tcPr>
            <w:tcW w:w="660" w:type="dxa"/>
            <w:vAlign w:val="bottom"/>
            <w:tcBorders>
              <w:bottom w:val="single" w:sz="8" w:color="D9D9D6"/>
            </w:tcBorders>
          </w:tcPr>
          <w:p>
            <w:pPr>
              <w:jc w:val="right"/>
              <w:ind w:right="14"/>
              <w:spacing w:after="0"/>
              <w:rPr>
                <w:sz w:val="20"/>
                <w:szCs w:val="20"/>
                <w:color w:val="auto"/>
              </w:rPr>
            </w:pPr>
            <w:r>
              <w:rPr>
                <w:rFonts w:ascii="Arial" w:cs="Arial" w:eastAsia="Arial" w:hAnsi="Arial"/>
                <w:sz w:val="13"/>
                <w:szCs w:val="13"/>
                <w:color w:val="3D3935"/>
              </w:rPr>
              <w:t>41.40</w:t>
            </w:r>
          </w:p>
        </w:tc>
        <w:tc>
          <w:tcPr>
            <w:tcW w:w="740" w:type="dxa"/>
            <w:vAlign w:val="bottom"/>
            <w:tcBorders>
              <w:bottom w:val="single" w:sz="8" w:color="D9D9D6"/>
            </w:tcBorders>
          </w:tcPr>
          <w:p>
            <w:pPr>
              <w:ind w:left="80"/>
              <w:spacing w:after="0"/>
              <w:rPr>
                <w:sz w:val="20"/>
                <w:szCs w:val="20"/>
                <w:color w:val="auto"/>
              </w:rPr>
            </w:pPr>
            <w:r>
              <w:rPr>
                <w:rFonts w:ascii="Arial" w:cs="Arial" w:eastAsia="Arial" w:hAnsi="Arial"/>
                <w:sz w:val="13"/>
                <w:szCs w:val="13"/>
                <w:color w:val="3D3935"/>
              </w:rPr>
              <w:t>2/7/2033</w:t>
            </w:r>
          </w:p>
        </w:tc>
        <w:tc>
          <w:tcPr>
            <w:tcW w:w="60" w:type="dxa"/>
            <w:vAlign w:val="bottom"/>
            <w:tcBorders>
              <w:bottom w:val="single" w:sz="8" w:color="D9D9D6"/>
            </w:tcBorders>
          </w:tcPr>
          <w:p>
            <w:pPr>
              <w:spacing w:after="0"/>
              <w:rPr>
                <w:sz w:val="17"/>
                <w:szCs w:val="17"/>
                <w:color w:val="auto"/>
              </w:rPr>
            </w:pPr>
          </w:p>
        </w:tc>
        <w:tc>
          <w:tcPr>
            <w:tcW w:w="620" w:type="dxa"/>
            <w:vAlign w:val="bottom"/>
            <w:tcBorders>
              <w:bottom w:val="single" w:sz="8" w:color="D9D9D6"/>
            </w:tcBorders>
          </w:tcPr>
          <w:p>
            <w:pPr>
              <w:spacing w:after="0"/>
              <w:rPr>
                <w:sz w:val="17"/>
                <w:szCs w:val="17"/>
                <w:color w:val="auto"/>
              </w:rPr>
            </w:pPr>
          </w:p>
        </w:tc>
        <w:tc>
          <w:tcPr>
            <w:tcW w:w="260" w:type="dxa"/>
            <w:vAlign w:val="bottom"/>
            <w:tcBorders>
              <w:bottom w:val="single" w:sz="8" w:color="D9D9D6"/>
            </w:tcBorders>
          </w:tcPr>
          <w:p>
            <w:pPr>
              <w:spacing w:after="0"/>
              <w:rPr>
                <w:sz w:val="17"/>
                <w:szCs w:val="17"/>
                <w:color w:val="auto"/>
              </w:rPr>
            </w:pPr>
          </w:p>
        </w:tc>
        <w:tc>
          <w:tcPr>
            <w:tcW w:w="800" w:type="dxa"/>
            <w:vAlign w:val="bottom"/>
            <w:tcBorders>
              <w:bottom w:val="single" w:sz="8" w:color="D9D9D6"/>
            </w:tcBorders>
          </w:tcPr>
          <w:p>
            <w:pPr>
              <w:spacing w:after="0"/>
              <w:rPr>
                <w:sz w:val="17"/>
                <w:szCs w:val="17"/>
                <w:color w:val="auto"/>
              </w:rPr>
            </w:pPr>
          </w:p>
        </w:tc>
        <w:tc>
          <w:tcPr>
            <w:tcW w:w="680" w:type="dxa"/>
            <w:vAlign w:val="bottom"/>
            <w:tcBorders>
              <w:bottom w:val="single" w:sz="8" w:color="D9D9D6"/>
            </w:tcBorders>
          </w:tcPr>
          <w:p>
            <w:pPr>
              <w:ind w:left="140"/>
              <w:spacing w:after="0"/>
              <w:rPr>
                <w:sz w:val="20"/>
                <w:szCs w:val="20"/>
                <w:color w:val="auto"/>
              </w:rPr>
            </w:pPr>
            <w:r>
              <w:rPr>
                <w:rFonts w:ascii="Arial" w:cs="Arial" w:eastAsia="Arial" w:hAnsi="Arial"/>
                <w:sz w:val="13"/>
                <w:szCs w:val="13"/>
                <w:color w:val="3D3935"/>
              </w:rPr>
              <w:t>230,621</w:t>
            </w:r>
          </w:p>
        </w:tc>
        <w:tc>
          <w:tcPr>
            <w:tcW w:w="280" w:type="dxa"/>
            <w:vAlign w:val="bottom"/>
            <w:tcBorders>
              <w:bottom w:val="single" w:sz="8" w:color="D9D9D6"/>
            </w:tcBorders>
          </w:tcPr>
          <w:p>
            <w:pPr>
              <w:jc w:val="right"/>
              <w:ind w:right="74"/>
              <w:spacing w:after="0"/>
              <w:rPr>
                <w:sz w:val="20"/>
                <w:szCs w:val="20"/>
                <w:color w:val="auto"/>
              </w:rPr>
            </w:pPr>
            <w:r>
              <w:rPr>
                <w:rFonts w:ascii="Arial" w:cs="Arial" w:eastAsia="Arial" w:hAnsi="Arial"/>
                <w:sz w:val="9"/>
                <w:szCs w:val="9"/>
                <w:color w:val="3D3935"/>
              </w:rPr>
              <w:t>(8)</w:t>
            </w:r>
          </w:p>
        </w:tc>
        <w:tc>
          <w:tcPr>
            <w:tcW w:w="800" w:type="dxa"/>
            <w:vAlign w:val="bottom"/>
            <w:tcBorders>
              <w:bottom w:val="single" w:sz="8" w:color="D9D9D6"/>
            </w:tcBorders>
          </w:tcPr>
          <w:p>
            <w:pPr>
              <w:ind w:left="100"/>
              <w:spacing w:after="0"/>
              <w:rPr>
                <w:sz w:val="20"/>
                <w:szCs w:val="20"/>
                <w:color w:val="auto"/>
              </w:rPr>
            </w:pPr>
            <w:r>
              <w:rPr>
                <w:rFonts w:ascii="Arial" w:cs="Arial" w:eastAsia="Arial" w:hAnsi="Arial"/>
                <w:sz w:val="13"/>
                <w:szCs w:val="13"/>
                <w:color w:val="3D3935"/>
              </w:rPr>
              <w:t>12,285,181</w:t>
            </w:r>
          </w:p>
        </w:tc>
        <w:tc>
          <w:tcPr>
            <w:tcW w:w="260" w:type="dxa"/>
            <w:vAlign w:val="bottom"/>
            <w:tcBorders>
              <w:bottom w:val="single" w:sz="8" w:color="D9D9D6"/>
            </w:tcBorders>
          </w:tcPr>
          <w:p>
            <w:pPr>
              <w:ind w:left="40"/>
              <w:spacing w:after="0"/>
              <w:rPr>
                <w:sz w:val="20"/>
                <w:szCs w:val="20"/>
                <w:color w:val="auto"/>
              </w:rPr>
            </w:pPr>
            <w:r>
              <w:rPr>
                <w:rFonts w:ascii="Arial" w:cs="Arial" w:eastAsia="Arial" w:hAnsi="Arial"/>
                <w:sz w:val="9"/>
                <w:szCs w:val="9"/>
                <w:color w:val="3D3935"/>
              </w:rPr>
              <w:t>(10)</w:t>
            </w:r>
          </w:p>
        </w:tc>
      </w:tr>
      <w:tr>
        <w:trPr>
          <w:trHeight w:val="215"/>
        </w:trPr>
        <w:tc>
          <w:tcPr>
            <w:tcW w:w="1200" w:type="dxa"/>
            <w:vAlign w:val="bottom"/>
            <w:tcBorders>
              <w:bottom w:val="single" w:sz="8" w:color="D9D9D6"/>
            </w:tcBorders>
          </w:tcPr>
          <w:p>
            <w:pPr>
              <w:spacing w:after="0"/>
              <w:rPr>
                <w:sz w:val="18"/>
                <w:szCs w:val="18"/>
                <w:color w:val="auto"/>
              </w:rPr>
            </w:pPr>
          </w:p>
        </w:tc>
        <w:tc>
          <w:tcPr>
            <w:tcW w:w="860" w:type="dxa"/>
            <w:vAlign w:val="bottom"/>
            <w:tcBorders>
              <w:bottom w:val="single" w:sz="8" w:color="D9D9D6"/>
            </w:tcBorders>
          </w:tcPr>
          <w:p>
            <w:pPr>
              <w:jc w:val="right"/>
              <w:ind w:right="113"/>
              <w:spacing w:after="0"/>
              <w:rPr>
                <w:sz w:val="20"/>
                <w:szCs w:val="20"/>
                <w:color w:val="auto"/>
              </w:rPr>
            </w:pPr>
            <w:r>
              <w:rPr>
                <w:rFonts w:ascii="Arial" w:cs="Arial" w:eastAsia="Arial" w:hAnsi="Arial"/>
                <w:sz w:val="13"/>
                <w:szCs w:val="13"/>
                <w:color w:val="3D3935"/>
              </w:rPr>
              <w:t>2/8/2022</w:t>
            </w:r>
          </w:p>
        </w:tc>
        <w:tc>
          <w:tcPr>
            <w:tcW w:w="86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94,773</w:t>
            </w:r>
          </w:p>
        </w:tc>
        <w:tc>
          <w:tcPr>
            <w:tcW w:w="72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47,386</w:t>
            </w:r>
          </w:p>
        </w:tc>
        <w:tc>
          <w:tcPr>
            <w:tcW w:w="280" w:type="dxa"/>
            <w:vAlign w:val="bottom"/>
            <w:tcBorders>
              <w:bottom w:val="single" w:sz="8" w:color="D9D9D6"/>
            </w:tcBorders>
          </w:tcPr>
          <w:p>
            <w:pPr>
              <w:jc w:val="right"/>
              <w:ind w:right="74"/>
              <w:spacing w:after="0"/>
              <w:rPr>
                <w:sz w:val="20"/>
                <w:szCs w:val="20"/>
                <w:color w:val="auto"/>
              </w:rPr>
            </w:pPr>
            <w:r>
              <w:rPr>
                <w:rFonts w:ascii="Arial" w:cs="Arial" w:eastAsia="Arial" w:hAnsi="Arial"/>
                <w:sz w:val="9"/>
                <w:szCs w:val="9"/>
                <w:color w:val="3D3935"/>
              </w:rPr>
              <w:t>(4)</w:t>
            </w:r>
          </w:p>
        </w:tc>
        <w:tc>
          <w:tcPr>
            <w:tcW w:w="660" w:type="dxa"/>
            <w:vAlign w:val="bottom"/>
            <w:tcBorders>
              <w:bottom w:val="single" w:sz="8" w:color="D9D9D6"/>
            </w:tcBorders>
          </w:tcPr>
          <w:p>
            <w:pPr>
              <w:jc w:val="right"/>
              <w:ind w:right="34"/>
              <w:spacing w:after="0"/>
              <w:rPr>
                <w:sz w:val="20"/>
                <w:szCs w:val="20"/>
                <w:color w:val="auto"/>
              </w:rPr>
            </w:pPr>
            <w:r>
              <w:rPr>
                <w:rFonts w:ascii="Arial" w:cs="Arial" w:eastAsia="Arial" w:hAnsi="Arial"/>
                <w:sz w:val="13"/>
                <w:szCs w:val="13"/>
                <w:color w:val="3D3935"/>
              </w:rPr>
              <w:t>49.46</w:t>
            </w:r>
          </w:p>
        </w:tc>
        <w:tc>
          <w:tcPr>
            <w:tcW w:w="740" w:type="dxa"/>
            <w:vAlign w:val="bottom"/>
            <w:tcBorders>
              <w:bottom w:val="single" w:sz="8" w:color="D9D9D6"/>
            </w:tcBorders>
          </w:tcPr>
          <w:p>
            <w:pPr>
              <w:ind w:left="60"/>
              <w:spacing w:after="0"/>
              <w:rPr>
                <w:sz w:val="20"/>
                <w:szCs w:val="20"/>
                <w:color w:val="auto"/>
              </w:rPr>
            </w:pPr>
            <w:r>
              <w:rPr>
                <w:rFonts w:ascii="Arial" w:cs="Arial" w:eastAsia="Arial" w:hAnsi="Arial"/>
                <w:sz w:val="13"/>
                <w:szCs w:val="13"/>
                <w:color w:val="3D3935"/>
              </w:rPr>
              <w:t>2/8/2032</w:t>
            </w:r>
          </w:p>
        </w:tc>
        <w:tc>
          <w:tcPr>
            <w:tcW w:w="60" w:type="dxa"/>
            <w:vAlign w:val="bottom"/>
            <w:tcBorders>
              <w:bottom w:val="single" w:sz="8" w:color="D9D9D6"/>
            </w:tcBorders>
          </w:tcPr>
          <w:p>
            <w:pPr>
              <w:spacing w:after="0"/>
              <w:rPr>
                <w:sz w:val="18"/>
                <w:szCs w:val="18"/>
                <w:color w:val="auto"/>
              </w:rPr>
            </w:pPr>
          </w:p>
        </w:tc>
        <w:tc>
          <w:tcPr>
            <w:tcW w:w="880" w:type="dxa"/>
            <w:vAlign w:val="bottom"/>
            <w:tcBorders>
              <w:bottom w:val="single" w:sz="8" w:color="D9D9D6"/>
            </w:tcBorders>
            <w:gridSpan w:val="2"/>
          </w:tcPr>
          <w:p>
            <w:pPr>
              <w:jc w:val="right"/>
              <w:ind w:right="34"/>
              <w:spacing w:after="0"/>
              <w:rPr>
                <w:sz w:val="20"/>
                <w:szCs w:val="20"/>
                <w:color w:val="auto"/>
              </w:rPr>
            </w:pPr>
            <w:r>
              <w:rPr>
                <w:rFonts w:ascii="Arial" w:cs="Arial" w:eastAsia="Arial" w:hAnsi="Arial"/>
                <w:sz w:val="13"/>
                <w:szCs w:val="13"/>
                <w:color w:val="3D3935"/>
              </w:rPr>
              <w:t xml:space="preserve">117,272 </w:t>
            </w:r>
            <w:r>
              <w:rPr>
                <w:rFonts w:ascii="Arial" w:cs="Arial" w:eastAsia="Arial" w:hAnsi="Arial"/>
                <w:sz w:val="17"/>
                <w:szCs w:val="17"/>
                <w:color w:val="3D3935"/>
                <w:vertAlign w:val="superscript"/>
              </w:rPr>
              <w:t>(5)</w:t>
            </w:r>
          </w:p>
        </w:tc>
        <w:tc>
          <w:tcPr>
            <w:tcW w:w="800" w:type="dxa"/>
            <w:vAlign w:val="bottom"/>
            <w:tcBorders>
              <w:bottom w:val="single" w:sz="8" w:color="D9D9D6"/>
            </w:tcBorders>
          </w:tcPr>
          <w:p>
            <w:pPr>
              <w:jc w:val="right"/>
              <w:ind w:right="55"/>
              <w:spacing w:after="0"/>
              <w:rPr>
                <w:sz w:val="20"/>
                <w:szCs w:val="20"/>
                <w:color w:val="auto"/>
              </w:rPr>
            </w:pPr>
            <w:r>
              <w:rPr>
                <w:rFonts w:ascii="Arial" w:cs="Arial" w:eastAsia="Arial" w:hAnsi="Arial"/>
                <w:sz w:val="13"/>
                <w:szCs w:val="13"/>
                <w:color w:val="3D3935"/>
              </w:rPr>
              <w:t>6,247,079</w:t>
            </w:r>
          </w:p>
        </w:tc>
        <w:tc>
          <w:tcPr>
            <w:tcW w:w="680" w:type="dxa"/>
            <w:vAlign w:val="bottom"/>
            <w:tcBorders>
              <w:bottom w:val="single" w:sz="8" w:color="D9D9D6"/>
            </w:tcBorders>
          </w:tcPr>
          <w:p>
            <w:pPr>
              <w:spacing w:after="0"/>
              <w:rPr>
                <w:sz w:val="18"/>
                <w:szCs w:val="18"/>
                <w:color w:val="auto"/>
              </w:rPr>
            </w:pPr>
          </w:p>
        </w:tc>
        <w:tc>
          <w:tcPr>
            <w:tcW w:w="280" w:type="dxa"/>
            <w:vAlign w:val="bottom"/>
            <w:tcBorders>
              <w:bottom w:val="single" w:sz="8" w:color="D9D9D6"/>
            </w:tcBorders>
          </w:tcPr>
          <w:p>
            <w:pPr>
              <w:spacing w:after="0"/>
              <w:rPr>
                <w:sz w:val="18"/>
                <w:szCs w:val="18"/>
                <w:color w:val="auto"/>
              </w:rPr>
            </w:pPr>
          </w:p>
        </w:tc>
        <w:tc>
          <w:tcPr>
            <w:tcW w:w="800" w:type="dxa"/>
            <w:vAlign w:val="bottom"/>
            <w:tcBorders>
              <w:bottom w:val="single" w:sz="8" w:color="D9D9D6"/>
            </w:tcBorders>
          </w:tcPr>
          <w:p>
            <w:pPr>
              <w:spacing w:after="0"/>
              <w:rPr>
                <w:sz w:val="18"/>
                <w:szCs w:val="18"/>
                <w:color w:val="auto"/>
              </w:rPr>
            </w:pPr>
          </w:p>
        </w:tc>
        <w:tc>
          <w:tcPr>
            <w:tcW w:w="260" w:type="dxa"/>
            <w:vAlign w:val="bottom"/>
            <w:tcBorders>
              <w:bottom w:val="single" w:sz="8" w:color="D9D9D6"/>
            </w:tcBorders>
          </w:tcPr>
          <w:p>
            <w:pPr>
              <w:spacing w:after="0"/>
              <w:rPr>
                <w:sz w:val="18"/>
                <w:szCs w:val="18"/>
                <w:color w:val="auto"/>
              </w:rPr>
            </w:pPr>
          </w:p>
        </w:tc>
      </w:tr>
      <w:tr>
        <w:trPr>
          <w:trHeight w:val="176"/>
        </w:trPr>
        <w:tc>
          <w:tcPr>
            <w:tcW w:w="1200" w:type="dxa"/>
            <w:vAlign w:val="bottom"/>
          </w:tcPr>
          <w:p>
            <w:pPr>
              <w:ind w:left="60"/>
              <w:spacing w:after="0"/>
              <w:rPr>
                <w:sz w:val="20"/>
                <w:szCs w:val="20"/>
                <w:color w:val="auto"/>
              </w:rPr>
            </w:pPr>
            <w:r>
              <w:rPr>
                <w:rFonts w:ascii="Arial" w:cs="Arial" w:eastAsia="Arial" w:hAnsi="Arial"/>
                <w:sz w:val="13"/>
                <w:szCs w:val="13"/>
                <w:b w:val="1"/>
                <w:bCs w:val="1"/>
                <w:color w:val="0072CE"/>
              </w:rPr>
              <w:t>Michael</w:t>
            </w: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5"/>
        </w:trPr>
        <w:tc>
          <w:tcPr>
            <w:tcW w:w="1200" w:type="dxa"/>
            <w:vAlign w:val="bottom"/>
            <w:tcBorders>
              <w:bottom w:val="single" w:sz="8" w:color="D9D9D6"/>
            </w:tcBorders>
          </w:tcPr>
          <w:p>
            <w:pPr>
              <w:ind w:left="60"/>
              <w:spacing w:after="0"/>
              <w:rPr>
                <w:sz w:val="20"/>
                <w:szCs w:val="20"/>
                <w:color w:val="auto"/>
              </w:rPr>
            </w:pPr>
            <w:r>
              <w:rPr>
                <w:rFonts w:ascii="Arial" w:cs="Arial" w:eastAsia="Arial" w:hAnsi="Arial"/>
                <w:sz w:val="13"/>
                <w:szCs w:val="13"/>
                <w:b w:val="1"/>
                <w:bCs w:val="1"/>
                <w:color w:val="0072CE"/>
              </w:rPr>
              <w:t>Abbott</w:t>
            </w:r>
            <w:r>
              <w:rPr>
                <w:rFonts w:ascii="Arial" w:cs="Arial" w:eastAsia="Arial" w:hAnsi="Arial"/>
                <w:sz w:val="17"/>
                <w:szCs w:val="17"/>
                <w:b w:val="1"/>
                <w:bCs w:val="1"/>
                <w:color w:val="0072CE"/>
                <w:vertAlign w:val="superscript"/>
              </w:rPr>
              <w:t>(11)</w:t>
            </w:r>
          </w:p>
        </w:tc>
        <w:tc>
          <w:tcPr>
            <w:tcW w:w="860" w:type="dxa"/>
            <w:vAlign w:val="bottom"/>
            <w:tcBorders>
              <w:bottom w:val="single" w:sz="8" w:color="D9D9D6"/>
            </w:tcBorders>
          </w:tcPr>
          <w:p>
            <w:pPr>
              <w:spacing w:after="0"/>
              <w:rPr>
                <w:sz w:val="16"/>
                <w:szCs w:val="16"/>
                <w:color w:val="auto"/>
              </w:rPr>
            </w:pPr>
          </w:p>
        </w:tc>
        <w:tc>
          <w:tcPr>
            <w:tcW w:w="860" w:type="dxa"/>
            <w:vAlign w:val="bottom"/>
            <w:tcBorders>
              <w:bottom w:val="single" w:sz="8" w:color="D9D9D6"/>
            </w:tcBorders>
          </w:tcPr>
          <w:p>
            <w:pPr>
              <w:spacing w:after="0"/>
              <w:rPr>
                <w:sz w:val="16"/>
                <w:szCs w:val="16"/>
                <w:color w:val="auto"/>
              </w:rPr>
            </w:pPr>
          </w:p>
        </w:tc>
        <w:tc>
          <w:tcPr>
            <w:tcW w:w="720" w:type="dxa"/>
            <w:vAlign w:val="bottom"/>
            <w:tcBorders>
              <w:bottom w:val="single" w:sz="8" w:color="D9D9D6"/>
            </w:tcBorders>
          </w:tcPr>
          <w:p>
            <w:pPr>
              <w:spacing w:after="0"/>
              <w:rPr>
                <w:sz w:val="16"/>
                <w:szCs w:val="16"/>
                <w:color w:val="auto"/>
              </w:rPr>
            </w:pPr>
          </w:p>
        </w:tc>
        <w:tc>
          <w:tcPr>
            <w:tcW w:w="280" w:type="dxa"/>
            <w:vAlign w:val="bottom"/>
            <w:tcBorders>
              <w:bottom w:val="single" w:sz="8" w:color="D9D9D6"/>
            </w:tcBorders>
          </w:tcPr>
          <w:p>
            <w:pPr>
              <w:spacing w:after="0"/>
              <w:rPr>
                <w:sz w:val="16"/>
                <w:szCs w:val="16"/>
                <w:color w:val="auto"/>
              </w:rPr>
            </w:pPr>
          </w:p>
        </w:tc>
        <w:tc>
          <w:tcPr>
            <w:tcW w:w="660" w:type="dxa"/>
            <w:vAlign w:val="bottom"/>
            <w:tcBorders>
              <w:bottom w:val="single" w:sz="8" w:color="D9D9D6"/>
            </w:tcBorders>
          </w:tcPr>
          <w:p>
            <w:pPr>
              <w:spacing w:after="0"/>
              <w:rPr>
                <w:sz w:val="16"/>
                <w:szCs w:val="16"/>
                <w:color w:val="auto"/>
              </w:rPr>
            </w:pPr>
          </w:p>
        </w:tc>
        <w:tc>
          <w:tcPr>
            <w:tcW w:w="740" w:type="dxa"/>
            <w:vAlign w:val="bottom"/>
            <w:tcBorders>
              <w:bottom w:val="single" w:sz="8" w:color="D9D9D6"/>
            </w:tcBorders>
          </w:tcPr>
          <w:p>
            <w:pPr>
              <w:spacing w:after="0"/>
              <w:rPr>
                <w:sz w:val="16"/>
                <w:szCs w:val="16"/>
                <w:color w:val="auto"/>
              </w:rPr>
            </w:pPr>
          </w:p>
        </w:tc>
        <w:tc>
          <w:tcPr>
            <w:tcW w:w="60" w:type="dxa"/>
            <w:vAlign w:val="bottom"/>
            <w:tcBorders>
              <w:bottom w:val="single" w:sz="8" w:color="D9D9D6"/>
            </w:tcBorders>
          </w:tcPr>
          <w:p>
            <w:pPr>
              <w:spacing w:after="0"/>
              <w:rPr>
                <w:sz w:val="16"/>
                <w:szCs w:val="16"/>
                <w:color w:val="auto"/>
              </w:rPr>
            </w:pPr>
          </w:p>
        </w:tc>
        <w:tc>
          <w:tcPr>
            <w:tcW w:w="620" w:type="dxa"/>
            <w:vAlign w:val="bottom"/>
            <w:tcBorders>
              <w:bottom w:val="single" w:sz="8" w:color="D9D9D6"/>
            </w:tcBorders>
          </w:tcPr>
          <w:p>
            <w:pPr>
              <w:spacing w:after="0"/>
              <w:rPr>
                <w:sz w:val="16"/>
                <w:szCs w:val="16"/>
                <w:color w:val="auto"/>
              </w:rPr>
            </w:pPr>
          </w:p>
        </w:tc>
        <w:tc>
          <w:tcPr>
            <w:tcW w:w="260" w:type="dxa"/>
            <w:vAlign w:val="bottom"/>
            <w:tcBorders>
              <w:bottom w:val="single" w:sz="8" w:color="D9D9D6"/>
            </w:tcBorders>
          </w:tcPr>
          <w:p>
            <w:pPr>
              <w:spacing w:after="0"/>
              <w:rPr>
                <w:sz w:val="16"/>
                <w:szCs w:val="16"/>
                <w:color w:val="auto"/>
              </w:rPr>
            </w:pPr>
          </w:p>
        </w:tc>
        <w:tc>
          <w:tcPr>
            <w:tcW w:w="800" w:type="dxa"/>
            <w:vAlign w:val="bottom"/>
            <w:tcBorders>
              <w:bottom w:val="single" w:sz="8" w:color="D9D9D6"/>
            </w:tcBorders>
          </w:tcPr>
          <w:p>
            <w:pPr>
              <w:spacing w:after="0"/>
              <w:rPr>
                <w:sz w:val="16"/>
                <w:szCs w:val="16"/>
                <w:color w:val="auto"/>
              </w:rPr>
            </w:pPr>
          </w:p>
        </w:tc>
        <w:tc>
          <w:tcPr>
            <w:tcW w:w="680" w:type="dxa"/>
            <w:vAlign w:val="bottom"/>
            <w:tcBorders>
              <w:bottom w:val="single" w:sz="8" w:color="D9D9D6"/>
            </w:tcBorders>
          </w:tcPr>
          <w:p>
            <w:pPr>
              <w:spacing w:after="0"/>
              <w:rPr>
                <w:sz w:val="16"/>
                <w:szCs w:val="16"/>
                <w:color w:val="auto"/>
              </w:rPr>
            </w:pPr>
          </w:p>
        </w:tc>
        <w:tc>
          <w:tcPr>
            <w:tcW w:w="280" w:type="dxa"/>
            <w:vAlign w:val="bottom"/>
            <w:tcBorders>
              <w:bottom w:val="single" w:sz="8" w:color="D9D9D6"/>
            </w:tcBorders>
          </w:tcPr>
          <w:p>
            <w:pPr>
              <w:spacing w:after="0"/>
              <w:rPr>
                <w:sz w:val="16"/>
                <w:szCs w:val="16"/>
                <w:color w:val="auto"/>
              </w:rPr>
            </w:pPr>
          </w:p>
        </w:tc>
        <w:tc>
          <w:tcPr>
            <w:tcW w:w="800" w:type="dxa"/>
            <w:vAlign w:val="bottom"/>
            <w:tcBorders>
              <w:bottom w:val="single" w:sz="8" w:color="D9D9D6"/>
            </w:tcBorders>
          </w:tcPr>
          <w:p>
            <w:pPr>
              <w:spacing w:after="0"/>
              <w:rPr>
                <w:sz w:val="16"/>
                <w:szCs w:val="16"/>
                <w:color w:val="auto"/>
              </w:rPr>
            </w:pPr>
          </w:p>
        </w:tc>
        <w:tc>
          <w:tcPr>
            <w:tcW w:w="260" w:type="dxa"/>
            <w:vAlign w:val="bottom"/>
            <w:tcBorders>
              <w:bottom w:val="single" w:sz="8" w:color="D9D9D6"/>
            </w:tcBorders>
          </w:tcPr>
          <w:p>
            <w:pPr>
              <w:spacing w:after="0"/>
              <w:rPr>
                <w:sz w:val="16"/>
                <w:szCs w:val="16"/>
                <w:color w:val="auto"/>
              </w:rPr>
            </w:pPr>
          </w:p>
        </w:tc>
      </w:tr>
      <w:tr>
        <w:trPr>
          <w:trHeight w:val="209"/>
        </w:trPr>
        <w:tc>
          <w:tcPr>
            <w:tcW w:w="1200" w:type="dxa"/>
            <w:vAlign w:val="bottom"/>
          </w:tcPr>
          <w:p>
            <w:pPr>
              <w:ind w:left="60"/>
              <w:spacing w:after="0"/>
              <w:rPr>
                <w:sz w:val="20"/>
                <w:szCs w:val="20"/>
                <w:color w:val="auto"/>
              </w:rPr>
            </w:pPr>
            <w:r>
              <w:rPr>
                <w:rFonts w:ascii="Arial" w:cs="Arial" w:eastAsia="Arial" w:hAnsi="Arial"/>
                <w:sz w:val="13"/>
                <w:szCs w:val="13"/>
                <w:b w:val="1"/>
                <w:bCs w:val="1"/>
                <w:color w:val="0072CE"/>
              </w:rPr>
              <w:t>Craig B. Glidden</w:t>
            </w:r>
          </w:p>
        </w:tc>
        <w:tc>
          <w:tcPr>
            <w:tcW w:w="860" w:type="dxa"/>
            <w:vAlign w:val="bottom"/>
            <w:tcBorders>
              <w:bottom w:val="single" w:sz="8" w:color="D9D9D6"/>
            </w:tcBorders>
          </w:tcPr>
          <w:p>
            <w:pPr>
              <w:jc w:val="right"/>
              <w:ind w:right="113"/>
              <w:spacing w:after="0"/>
              <w:rPr>
                <w:sz w:val="20"/>
                <w:szCs w:val="20"/>
                <w:color w:val="auto"/>
              </w:rPr>
            </w:pPr>
            <w:r>
              <w:rPr>
                <w:rFonts w:ascii="Arial" w:cs="Arial" w:eastAsia="Arial" w:hAnsi="Arial"/>
                <w:sz w:val="13"/>
                <w:szCs w:val="13"/>
                <w:color w:val="3D3935"/>
              </w:rPr>
              <w:t>2/6/2024</w:t>
            </w:r>
          </w:p>
        </w:tc>
        <w:tc>
          <w:tcPr>
            <w:tcW w:w="860" w:type="dxa"/>
            <w:vAlign w:val="bottom"/>
            <w:tcBorders>
              <w:bottom w:val="single" w:sz="8" w:color="D9D9D6"/>
            </w:tcBorders>
          </w:tcPr>
          <w:p>
            <w:pPr>
              <w:spacing w:after="0"/>
              <w:rPr>
                <w:sz w:val="18"/>
                <w:szCs w:val="18"/>
                <w:color w:val="auto"/>
              </w:rPr>
            </w:pPr>
          </w:p>
        </w:tc>
        <w:tc>
          <w:tcPr>
            <w:tcW w:w="720" w:type="dxa"/>
            <w:vAlign w:val="bottom"/>
            <w:tcBorders>
              <w:bottom w:val="single" w:sz="8" w:color="D9D9D6"/>
            </w:tcBorders>
          </w:tcPr>
          <w:p>
            <w:pPr>
              <w:spacing w:after="0"/>
              <w:rPr>
                <w:sz w:val="18"/>
                <w:szCs w:val="18"/>
                <w:color w:val="auto"/>
              </w:rPr>
            </w:pPr>
          </w:p>
        </w:tc>
        <w:tc>
          <w:tcPr>
            <w:tcW w:w="280" w:type="dxa"/>
            <w:vAlign w:val="bottom"/>
            <w:tcBorders>
              <w:bottom w:val="single" w:sz="8" w:color="D9D9D6"/>
            </w:tcBorders>
          </w:tcPr>
          <w:p>
            <w:pPr>
              <w:spacing w:after="0"/>
              <w:rPr>
                <w:sz w:val="18"/>
                <w:szCs w:val="18"/>
                <w:color w:val="auto"/>
              </w:rPr>
            </w:pPr>
          </w:p>
        </w:tc>
        <w:tc>
          <w:tcPr>
            <w:tcW w:w="660" w:type="dxa"/>
            <w:vAlign w:val="bottom"/>
            <w:tcBorders>
              <w:bottom w:val="single" w:sz="8" w:color="D9D9D6"/>
            </w:tcBorders>
          </w:tcPr>
          <w:p>
            <w:pPr>
              <w:spacing w:after="0"/>
              <w:rPr>
                <w:sz w:val="18"/>
                <w:szCs w:val="18"/>
                <w:color w:val="auto"/>
              </w:rPr>
            </w:pPr>
          </w:p>
        </w:tc>
        <w:tc>
          <w:tcPr>
            <w:tcW w:w="740" w:type="dxa"/>
            <w:vAlign w:val="bottom"/>
            <w:tcBorders>
              <w:bottom w:val="single" w:sz="8" w:color="D9D9D6"/>
            </w:tcBorders>
          </w:tcPr>
          <w:p>
            <w:pPr>
              <w:spacing w:after="0"/>
              <w:rPr>
                <w:sz w:val="18"/>
                <w:szCs w:val="18"/>
                <w:color w:val="auto"/>
              </w:rPr>
            </w:pPr>
          </w:p>
        </w:tc>
        <w:tc>
          <w:tcPr>
            <w:tcW w:w="60" w:type="dxa"/>
            <w:vAlign w:val="bottom"/>
            <w:tcBorders>
              <w:bottom w:val="single" w:sz="8" w:color="D9D9D6"/>
            </w:tcBorders>
          </w:tcPr>
          <w:p>
            <w:pPr>
              <w:spacing w:after="0"/>
              <w:rPr>
                <w:sz w:val="18"/>
                <w:szCs w:val="18"/>
                <w:color w:val="auto"/>
              </w:rPr>
            </w:pPr>
          </w:p>
        </w:tc>
        <w:tc>
          <w:tcPr>
            <w:tcW w:w="62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46,181</w:t>
            </w:r>
          </w:p>
        </w:tc>
        <w:tc>
          <w:tcPr>
            <w:tcW w:w="260" w:type="dxa"/>
            <w:vAlign w:val="bottom"/>
            <w:tcBorders>
              <w:bottom w:val="single" w:sz="8" w:color="D9D9D6"/>
            </w:tcBorders>
          </w:tcPr>
          <w:p>
            <w:pPr>
              <w:jc w:val="right"/>
              <w:ind w:right="34"/>
              <w:spacing w:after="0"/>
              <w:rPr>
                <w:sz w:val="20"/>
                <w:szCs w:val="20"/>
                <w:color w:val="auto"/>
              </w:rPr>
            </w:pPr>
            <w:r>
              <w:rPr>
                <w:rFonts w:ascii="Arial" w:cs="Arial" w:eastAsia="Arial" w:hAnsi="Arial"/>
                <w:sz w:val="9"/>
                <w:szCs w:val="9"/>
                <w:color w:val="3D3935"/>
              </w:rPr>
              <w:t>(2)</w:t>
            </w:r>
          </w:p>
        </w:tc>
        <w:tc>
          <w:tcPr>
            <w:tcW w:w="800" w:type="dxa"/>
            <w:vAlign w:val="bottom"/>
            <w:tcBorders>
              <w:bottom w:val="single" w:sz="8" w:color="D9D9D6"/>
            </w:tcBorders>
          </w:tcPr>
          <w:p>
            <w:pPr>
              <w:jc w:val="right"/>
              <w:ind w:right="75"/>
              <w:spacing w:after="0"/>
              <w:rPr>
                <w:sz w:val="20"/>
                <w:szCs w:val="20"/>
                <w:color w:val="auto"/>
              </w:rPr>
            </w:pPr>
            <w:r>
              <w:rPr>
                <w:rFonts w:ascii="Arial" w:cs="Arial" w:eastAsia="Arial" w:hAnsi="Arial"/>
                <w:sz w:val="13"/>
                <w:szCs w:val="13"/>
                <w:color w:val="3D3935"/>
              </w:rPr>
              <w:t>2,460,062</w:t>
            </w:r>
          </w:p>
        </w:tc>
        <w:tc>
          <w:tcPr>
            <w:tcW w:w="960" w:type="dxa"/>
            <w:vAlign w:val="bottom"/>
            <w:tcBorders>
              <w:bottom w:val="single" w:sz="8" w:color="D9D9D6"/>
            </w:tcBorders>
            <w:gridSpan w:val="2"/>
          </w:tcPr>
          <w:p>
            <w:pPr>
              <w:jc w:val="right"/>
              <w:ind w:right="74"/>
              <w:spacing w:after="0"/>
              <w:rPr>
                <w:sz w:val="20"/>
                <w:szCs w:val="20"/>
                <w:color w:val="auto"/>
              </w:rPr>
            </w:pPr>
            <w:r>
              <w:rPr>
                <w:rFonts w:ascii="Arial" w:cs="Arial" w:eastAsia="Arial" w:hAnsi="Arial"/>
                <w:sz w:val="13"/>
                <w:szCs w:val="13"/>
                <w:color w:val="3D3935"/>
              </w:rPr>
              <w:t xml:space="preserve">121,717 </w:t>
            </w:r>
            <w:r>
              <w:rPr>
                <w:rFonts w:ascii="Arial" w:cs="Arial" w:eastAsia="Arial" w:hAnsi="Arial"/>
                <w:sz w:val="17"/>
                <w:szCs w:val="17"/>
                <w:color w:val="3D3935"/>
                <w:vertAlign w:val="superscript"/>
              </w:rPr>
              <w:t>(7)</w:t>
            </w:r>
          </w:p>
        </w:tc>
        <w:tc>
          <w:tcPr>
            <w:tcW w:w="800" w:type="dxa"/>
            <w:vAlign w:val="bottom"/>
            <w:tcBorders>
              <w:bottom w:val="single" w:sz="8" w:color="D9D9D6"/>
            </w:tcBorders>
          </w:tcPr>
          <w:p>
            <w:pPr>
              <w:jc w:val="right"/>
              <w:ind w:right="35"/>
              <w:spacing w:after="0"/>
              <w:rPr>
                <w:sz w:val="20"/>
                <w:szCs w:val="20"/>
                <w:color w:val="auto"/>
              </w:rPr>
            </w:pPr>
            <w:r>
              <w:rPr>
                <w:rFonts w:ascii="Arial" w:cs="Arial" w:eastAsia="Arial" w:hAnsi="Arial"/>
                <w:sz w:val="13"/>
                <w:szCs w:val="13"/>
                <w:color w:val="3D3935"/>
              </w:rPr>
              <w:t>6,483,865</w:t>
            </w:r>
          </w:p>
        </w:tc>
        <w:tc>
          <w:tcPr>
            <w:tcW w:w="260" w:type="dxa"/>
            <w:vAlign w:val="bottom"/>
            <w:tcBorders>
              <w:bottom w:val="single" w:sz="8" w:color="D9D9D6"/>
            </w:tcBorders>
          </w:tcPr>
          <w:p>
            <w:pPr>
              <w:ind w:left="40"/>
              <w:spacing w:after="0"/>
              <w:rPr>
                <w:sz w:val="20"/>
                <w:szCs w:val="20"/>
                <w:color w:val="auto"/>
              </w:rPr>
            </w:pPr>
            <w:r>
              <w:rPr>
                <w:rFonts w:ascii="Arial" w:cs="Arial" w:eastAsia="Arial" w:hAnsi="Arial"/>
                <w:sz w:val="9"/>
                <w:szCs w:val="9"/>
                <w:color w:val="3D3935"/>
              </w:rPr>
              <w:t>(9)</w:t>
            </w:r>
          </w:p>
        </w:tc>
      </w:tr>
      <w:tr>
        <w:trPr>
          <w:trHeight w:val="203"/>
        </w:trPr>
        <w:tc>
          <w:tcPr>
            <w:tcW w:w="1200" w:type="dxa"/>
            <w:vAlign w:val="bottom"/>
          </w:tcPr>
          <w:p>
            <w:pPr>
              <w:spacing w:after="0"/>
              <w:rPr>
                <w:sz w:val="17"/>
                <w:szCs w:val="17"/>
                <w:color w:val="auto"/>
              </w:rPr>
            </w:pPr>
          </w:p>
        </w:tc>
        <w:tc>
          <w:tcPr>
            <w:tcW w:w="860" w:type="dxa"/>
            <w:vAlign w:val="bottom"/>
            <w:tcBorders>
              <w:bottom w:val="single" w:sz="8" w:color="D9D9D6"/>
            </w:tcBorders>
          </w:tcPr>
          <w:p>
            <w:pPr>
              <w:jc w:val="right"/>
              <w:ind w:right="53"/>
              <w:spacing w:after="0"/>
              <w:rPr>
                <w:sz w:val="20"/>
                <w:szCs w:val="20"/>
                <w:color w:val="auto"/>
              </w:rPr>
            </w:pPr>
            <w:r>
              <w:rPr>
                <w:rFonts w:ascii="Arial" w:cs="Arial" w:eastAsia="Arial" w:hAnsi="Arial"/>
                <w:sz w:val="13"/>
                <w:szCs w:val="13"/>
                <w:color w:val="3D3935"/>
              </w:rPr>
              <w:t>12/13/2023</w:t>
            </w:r>
          </w:p>
        </w:tc>
        <w:tc>
          <w:tcPr>
            <w:tcW w:w="860" w:type="dxa"/>
            <w:vAlign w:val="bottom"/>
            <w:tcBorders>
              <w:bottom w:val="single" w:sz="8" w:color="D9D9D6"/>
            </w:tcBorders>
          </w:tcPr>
          <w:p>
            <w:pPr>
              <w:spacing w:after="0"/>
              <w:rPr>
                <w:sz w:val="17"/>
                <w:szCs w:val="17"/>
                <w:color w:val="auto"/>
              </w:rPr>
            </w:pPr>
          </w:p>
        </w:tc>
        <w:tc>
          <w:tcPr>
            <w:tcW w:w="720" w:type="dxa"/>
            <w:vAlign w:val="bottom"/>
            <w:tcBorders>
              <w:bottom w:val="single" w:sz="8" w:color="D9D9D6"/>
            </w:tcBorders>
          </w:tcPr>
          <w:p>
            <w:pPr>
              <w:spacing w:after="0"/>
              <w:rPr>
                <w:sz w:val="17"/>
                <w:szCs w:val="17"/>
                <w:color w:val="auto"/>
              </w:rPr>
            </w:pPr>
          </w:p>
        </w:tc>
        <w:tc>
          <w:tcPr>
            <w:tcW w:w="280" w:type="dxa"/>
            <w:vAlign w:val="bottom"/>
            <w:tcBorders>
              <w:bottom w:val="single" w:sz="8" w:color="D9D9D6"/>
            </w:tcBorders>
          </w:tcPr>
          <w:p>
            <w:pPr>
              <w:spacing w:after="0"/>
              <w:rPr>
                <w:sz w:val="17"/>
                <w:szCs w:val="17"/>
                <w:color w:val="auto"/>
              </w:rPr>
            </w:pPr>
          </w:p>
        </w:tc>
        <w:tc>
          <w:tcPr>
            <w:tcW w:w="660" w:type="dxa"/>
            <w:vAlign w:val="bottom"/>
            <w:tcBorders>
              <w:bottom w:val="single" w:sz="8" w:color="D9D9D6"/>
            </w:tcBorders>
          </w:tcPr>
          <w:p>
            <w:pPr>
              <w:spacing w:after="0"/>
              <w:rPr>
                <w:sz w:val="17"/>
                <w:szCs w:val="17"/>
                <w:color w:val="auto"/>
              </w:rPr>
            </w:pPr>
          </w:p>
        </w:tc>
        <w:tc>
          <w:tcPr>
            <w:tcW w:w="740" w:type="dxa"/>
            <w:vAlign w:val="bottom"/>
            <w:tcBorders>
              <w:bottom w:val="single" w:sz="8" w:color="D9D9D6"/>
            </w:tcBorders>
          </w:tcPr>
          <w:p>
            <w:pPr>
              <w:spacing w:after="0"/>
              <w:rPr>
                <w:sz w:val="17"/>
                <w:szCs w:val="17"/>
                <w:color w:val="auto"/>
              </w:rPr>
            </w:pPr>
          </w:p>
        </w:tc>
        <w:tc>
          <w:tcPr>
            <w:tcW w:w="60" w:type="dxa"/>
            <w:vAlign w:val="bottom"/>
            <w:tcBorders>
              <w:bottom w:val="single" w:sz="8" w:color="D9D9D6"/>
            </w:tcBorders>
          </w:tcPr>
          <w:p>
            <w:pPr>
              <w:spacing w:after="0"/>
              <w:rPr>
                <w:sz w:val="17"/>
                <w:szCs w:val="17"/>
                <w:color w:val="auto"/>
              </w:rPr>
            </w:pPr>
          </w:p>
        </w:tc>
        <w:tc>
          <w:tcPr>
            <w:tcW w:w="62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58,841</w:t>
            </w:r>
          </w:p>
        </w:tc>
        <w:tc>
          <w:tcPr>
            <w:tcW w:w="260" w:type="dxa"/>
            <w:vAlign w:val="bottom"/>
            <w:tcBorders>
              <w:bottom w:val="single" w:sz="8" w:color="D9D9D6"/>
            </w:tcBorders>
          </w:tcPr>
          <w:p>
            <w:pPr>
              <w:jc w:val="right"/>
              <w:ind w:right="34"/>
              <w:spacing w:after="0"/>
              <w:rPr>
                <w:sz w:val="20"/>
                <w:szCs w:val="20"/>
                <w:color w:val="auto"/>
              </w:rPr>
            </w:pPr>
            <w:r>
              <w:rPr>
                <w:rFonts w:ascii="Arial" w:cs="Arial" w:eastAsia="Arial" w:hAnsi="Arial"/>
                <w:sz w:val="9"/>
                <w:szCs w:val="9"/>
                <w:color w:val="3D3935"/>
              </w:rPr>
              <w:t>(6)</w:t>
            </w:r>
          </w:p>
        </w:tc>
        <w:tc>
          <w:tcPr>
            <w:tcW w:w="800" w:type="dxa"/>
            <w:vAlign w:val="bottom"/>
            <w:tcBorders>
              <w:bottom w:val="single" w:sz="8" w:color="D9D9D6"/>
            </w:tcBorders>
          </w:tcPr>
          <w:p>
            <w:pPr>
              <w:jc w:val="right"/>
              <w:ind w:right="55"/>
              <w:spacing w:after="0"/>
              <w:rPr>
                <w:sz w:val="20"/>
                <w:szCs w:val="20"/>
                <w:color w:val="auto"/>
              </w:rPr>
            </w:pPr>
            <w:r>
              <w:rPr>
                <w:rFonts w:ascii="Arial" w:cs="Arial" w:eastAsia="Arial" w:hAnsi="Arial"/>
                <w:sz w:val="13"/>
                <w:szCs w:val="13"/>
                <w:color w:val="3D3935"/>
              </w:rPr>
              <w:t>3,134,460</w:t>
            </w:r>
          </w:p>
        </w:tc>
        <w:tc>
          <w:tcPr>
            <w:tcW w:w="680" w:type="dxa"/>
            <w:vAlign w:val="bottom"/>
            <w:tcBorders>
              <w:bottom w:val="single" w:sz="8" w:color="D9D9D6"/>
            </w:tcBorders>
          </w:tcPr>
          <w:p>
            <w:pPr>
              <w:spacing w:after="0"/>
              <w:rPr>
                <w:sz w:val="17"/>
                <w:szCs w:val="17"/>
                <w:color w:val="auto"/>
              </w:rPr>
            </w:pPr>
          </w:p>
        </w:tc>
        <w:tc>
          <w:tcPr>
            <w:tcW w:w="280" w:type="dxa"/>
            <w:vAlign w:val="bottom"/>
            <w:tcBorders>
              <w:bottom w:val="single" w:sz="8" w:color="D9D9D6"/>
            </w:tcBorders>
          </w:tcPr>
          <w:p>
            <w:pPr>
              <w:spacing w:after="0"/>
              <w:rPr>
                <w:sz w:val="17"/>
                <w:szCs w:val="17"/>
                <w:color w:val="auto"/>
              </w:rPr>
            </w:pPr>
          </w:p>
        </w:tc>
        <w:tc>
          <w:tcPr>
            <w:tcW w:w="800" w:type="dxa"/>
            <w:vAlign w:val="bottom"/>
            <w:tcBorders>
              <w:bottom w:val="single" w:sz="8" w:color="D9D9D6"/>
            </w:tcBorders>
          </w:tcPr>
          <w:p>
            <w:pPr>
              <w:spacing w:after="0"/>
              <w:rPr>
                <w:sz w:val="17"/>
                <w:szCs w:val="17"/>
                <w:color w:val="auto"/>
              </w:rPr>
            </w:pPr>
          </w:p>
        </w:tc>
        <w:tc>
          <w:tcPr>
            <w:tcW w:w="260" w:type="dxa"/>
            <w:vAlign w:val="bottom"/>
            <w:tcBorders>
              <w:bottom w:val="single" w:sz="8" w:color="D9D9D6"/>
            </w:tcBorders>
          </w:tcPr>
          <w:p>
            <w:pPr>
              <w:spacing w:after="0"/>
              <w:rPr>
                <w:sz w:val="17"/>
                <w:szCs w:val="17"/>
                <w:color w:val="auto"/>
              </w:rPr>
            </w:pPr>
          </w:p>
        </w:tc>
      </w:tr>
      <w:tr>
        <w:trPr>
          <w:trHeight w:val="210"/>
        </w:trPr>
        <w:tc>
          <w:tcPr>
            <w:tcW w:w="1200" w:type="dxa"/>
            <w:vAlign w:val="bottom"/>
          </w:tcPr>
          <w:p>
            <w:pPr>
              <w:spacing w:after="0"/>
              <w:rPr>
                <w:sz w:val="18"/>
                <w:szCs w:val="18"/>
                <w:color w:val="auto"/>
              </w:rPr>
            </w:pPr>
          </w:p>
        </w:tc>
        <w:tc>
          <w:tcPr>
            <w:tcW w:w="860" w:type="dxa"/>
            <w:vAlign w:val="bottom"/>
            <w:tcBorders>
              <w:bottom w:val="single" w:sz="8" w:color="D9D9D6"/>
            </w:tcBorders>
          </w:tcPr>
          <w:p>
            <w:pPr>
              <w:jc w:val="right"/>
              <w:ind w:right="93"/>
              <w:spacing w:after="0"/>
              <w:rPr>
                <w:sz w:val="20"/>
                <w:szCs w:val="20"/>
                <w:color w:val="auto"/>
              </w:rPr>
            </w:pPr>
            <w:r>
              <w:rPr>
                <w:rFonts w:ascii="Arial" w:cs="Arial" w:eastAsia="Arial" w:hAnsi="Arial"/>
                <w:sz w:val="13"/>
                <w:szCs w:val="13"/>
                <w:color w:val="3D3935"/>
              </w:rPr>
              <w:t>2/7/2023</w:t>
            </w:r>
          </w:p>
        </w:tc>
        <w:tc>
          <w:tcPr>
            <w:tcW w:w="860" w:type="dxa"/>
            <w:vAlign w:val="bottom"/>
            <w:tcBorders>
              <w:bottom w:val="single" w:sz="8" w:color="D9D9D6"/>
            </w:tcBorders>
          </w:tcPr>
          <w:p>
            <w:pPr>
              <w:spacing w:after="0"/>
              <w:rPr>
                <w:sz w:val="18"/>
                <w:szCs w:val="18"/>
                <w:color w:val="auto"/>
              </w:rPr>
            </w:pPr>
          </w:p>
        </w:tc>
        <w:tc>
          <w:tcPr>
            <w:tcW w:w="720" w:type="dxa"/>
            <w:vAlign w:val="bottom"/>
            <w:tcBorders>
              <w:bottom w:val="single" w:sz="8" w:color="D9D9D6"/>
            </w:tcBorders>
          </w:tcPr>
          <w:p>
            <w:pPr>
              <w:ind w:left="240"/>
              <w:spacing w:after="0"/>
              <w:rPr>
                <w:sz w:val="20"/>
                <w:szCs w:val="20"/>
                <w:color w:val="auto"/>
              </w:rPr>
            </w:pPr>
            <w:r>
              <w:rPr>
                <w:rFonts w:ascii="Arial" w:cs="Arial" w:eastAsia="Arial" w:hAnsi="Arial"/>
                <w:sz w:val="13"/>
                <w:szCs w:val="13"/>
                <w:color w:val="3D3935"/>
              </w:rPr>
              <w:t>82,030</w:t>
            </w:r>
          </w:p>
        </w:tc>
        <w:tc>
          <w:tcPr>
            <w:tcW w:w="280" w:type="dxa"/>
            <w:vAlign w:val="bottom"/>
            <w:tcBorders>
              <w:bottom w:val="single" w:sz="8" w:color="D9D9D6"/>
            </w:tcBorders>
          </w:tcPr>
          <w:p>
            <w:pPr>
              <w:jc w:val="right"/>
              <w:ind w:right="74"/>
              <w:spacing w:after="0"/>
              <w:rPr>
                <w:sz w:val="20"/>
                <w:szCs w:val="20"/>
                <w:color w:val="auto"/>
              </w:rPr>
            </w:pPr>
            <w:r>
              <w:rPr>
                <w:rFonts w:ascii="Arial" w:cs="Arial" w:eastAsia="Arial" w:hAnsi="Arial"/>
                <w:sz w:val="9"/>
                <w:szCs w:val="9"/>
                <w:color w:val="3D3935"/>
              </w:rPr>
              <w:t>(3)</w:t>
            </w:r>
          </w:p>
        </w:tc>
        <w:tc>
          <w:tcPr>
            <w:tcW w:w="660" w:type="dxa"/>
            <w:vAlign w:val="bottom"/>
            <w:tcBorders>
              <w:bottom w:val="single" w:sz="8" w:color="D9D9D6"/>
            </w:tcBorders>
          </w:tcPr>
          <w:p>
            <w:pPr>
              <w:jc w:val="right"/>
              <w:ind w:right="14"/>
              <w:spacing w:after="0"/>
              <w:rPr>
                <w:sz w:val="20"/>
                <w:szCs w:val="20"/>
                <w:color w:val="auto"/>
              </w:rPr>
            </w:pPr>
            <w:r>
              <w:rPr>
                <w:rFonts w:ascii="Arial" w:cs="Arial" w:eastAsia="Arial" w:hAnsi="Arial"/>
                <w:sz w:val="13"/>
                <w:szCs w:val="13"/>
                <w:color w:val="3D3935"/>
              </w:rPr>
              <w:t>41.40</w:t>
            </w:r>
          </w:p>
        </w:tc>
        <w:tc>
          <w:tcPr>
            <w:tcW w:w="740" w:type="dxa"/>
            <w:vAlign w:val="bottom"/>
            <w:tcBorders>
              <w:bottom w:val="single" w:sz="8" w:color="D9D9D6"/>
            </w:tcBorders>
          </w:tcPr>
          <w:p>
            <w:pPr>
              <w:ind w:left="80"/>
              <w:spacing w:after="0"/>
              <w:rPr>
                <w:sz w:val="20"/>
                <w:szCs w:val="20"/>
                <w:color w:val="auto"/>
              </w:rPr>
            </w:pPr>
            <w:r>
              <w:rPr>
                <w:rFonts w:ascii="Arial" w:cs="Arial" w:eastAsia="Arial" w:hAnsi="Arial"/>
                <w:sz w:val="13"/>
                <w:szCs w:val="13"/>
                <w:color w:val="3D3935"/>
              </w:rPr>
              <w:t>2/7/2033</w:t>
            </w:r>
          </w:p>
        </w:tc>
        <w:tc>
          <w:tcPr>
            <w:tcW w:w="60" w:type="dxa"/>
            <w:vAlign w:val="bottom"/>
            <w:tcBorders>
              <w:bottom w:val="single" w:sz="8" w:color="D9D9D6"/>
            </w:tcBorders>
          </w:tcPr>
          <w:p>
            <w:pPr>
              <w:spacing w:after="0"/>
              <w:rPr>
                <w:sz w:val="18"/>
                <w:szCs w:val="18"/>
                <w:color w:val="auto"/>
              </w:rPr>
            </w:pPr>
          </w:p>
        </w:tc>
        <w:tc>
          <w:tcPr>
            <w:tcW w:w="620" w:type="dxa"/>
            <w:vAlign w:val="bottom"/>
            <w:tcBorders>
              <w:bottom w:val="single" w:sz="8" w:color="D9D9D6"/>
            </w:tcBorders>
          </w:tcPr>
          <w:p>
            <w:pPr>
              <w:spacing w:after="0"/>
              <w:rPr>
                <w:sz w:val="18"/>
                <w:szCs w:val="18"/>
                <w:color w:val="auto"/>
              </w:rPr>
            </w:pPr>
          </w:p>
        </w:tc>
        <w:tc>
          <w:tcPr>
            <w:tcW w:w="260" w:type="dxa"/>
            <w:vAlign w:val="bottom"/>
            <w:tcBorders>
              <w:bottom w:val="single" w:sz="8" w:color="D9D9D6"/>
            </w:tcBorders>
          </w:tcPr>
          <w:p>
            <w:pPr>
              <w:spacing w:after="0"/>
              <w:rPr>
                <w:sz w:val="18"/>
                <w:szCs w:val="18"/>
                <w:color w:val="auto"/>
              </w:rPr>
            </w:pPr>
          </w:p>
        </w:tc>
        <w:tc>
          <w:tcPr>
            <w:tcW w:w="800" w:type="dxa"/>
            <w:vAlign w:val="bottom"/>
            <w:tcBorders>
              <w:bottom w:val="single" w:sz="8" w:color="D9D9D6"/>
            </w:tcBorders>
          </w:tcPr>
          <w:p>
            <w:pPr>
              <w:spacing w:after="0"/>
              <w:rPr>
                <w:sz w:val="18"/>
                <w:szCs w:val="18"/>
                <w:color w:val="auto"/>
              </w:rPr>
            </w:pPr>
          </w:p>
        </w:tc>
        <w:tc>
          <w:tcPr>
            <w:tcW w:w="68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107,877</w:t>
            </w:r>
          </w:p>
        </w:tc>
        <w:tc>
          <w:tcPr>
            <w:tcW w:w="280" w:type="dxa"/>
            <w:vAlign w:val="bottom"/>
            <w:tcBorders>
              <w:bottom w:val="single" w:sz="8" w:color="D9D9D6"/>
            </w:tcBorders>
          </w:tcPr>
          <w:p>
            <w:pPr>
              <w:jc w:val="right"/>
              <w:ind w:right="74"/>
              <w:spacing w:after="0"/>
              <w:rPr>
                <w:sz w:val="20"/>
                <w:szCs w:val="20"/>
                <w:color w:val="auto"/>
              </w:rPr>
            </w:pPr>
            <w:r>
              <w:rPr>
                <w:rFonts w:ascii="Arial" w:cs="Arial" w:eastAsia="Arial" w:hAnsi="Arial"/>
                <w:sz w:val="9"/>
                <w:szCs w:val="9"/>
                <w:color w:val="3D3935"/>
              </w:rPr>
              <w:t>(8)</w:t>
            </w:r>
          </w:p>
        </w:tc>
        <w:tc>
          <w:tcPr>
            <w:tcW w:w="800" w:type="dxa"/>
            <w:vAlign w:val="bottom"/>
            <w:tcBorders>
              <w:bottom w:val="single" w:sz="8" w:color="D9D9D6"/>
            </w:tcBorders>
          </w:tcPr>
          <w:p>
            <w:pPr>
              <w:ind w:left="100"/>
              <w:spacing w:after="0"/>
              <w:rPr>
                <w:sz w:val="20"/>
                <w:szCs w:val="20"/>
                <w:color w:val="auto"/>
              </w:rPr>
            </w:pPr>
            <w:r>
              <w:rPr>
                <w:rFonts w:ascii="Arial" w:cs="Arial" w:eastAsia="Arial" w:hAnsi="Arial"/>
                <w:sz w:val="13"/>
                <w:szCs w:val="13"/>
                <w:color w:val="3D3935"/>
              </w:rPr>
              <w:t>5,746,608</w:t>
            </w:r>
          </w:p>
        </w:tc>
        <w:tc>
          <w:tcPr>
            <w:tcW w:w="260" w:type="dxa"/>
            <w:vAlign w:val="bottom"/>
            <w:tcBorders>
              <w:bottom w:val="single" w:sz="8" w:color="D9D9D6"/>
            </w:tcBorders>
          </w:tcPr>
          <w:p>
            <w:pPr>
              <w:ind w:left="40"/>
              <w:spacing w:after="0"/>
              <w:rPr>
                <w:sz w:val="20"/>
                <w:szCs w:val="20"/>
                <w:color w:val="auto"/>
              </w:rPr>
            </w:pPr>
            <w:r>
              <w:rPr>
                <w:rFonts w:ascii="Arial" w:cs="Arial" w:eastAsia="Arial" w:hAnsi="Arial"/>
                <w:sz w:val="9"/>
                <w:szCs w:val="9"/>
                <w:color w:val="3D3935"/>
              </w:rPr>
              <w:t>(10)</w:t>
            </w:r>
          </w:p>
        </w:tc>
      </w:tr>
      <w:tr>
        <w:trPr>
          <w:trHeight w:val="209"/>
        </w:trPr>
        <w:tc>
          <w:tcPr>
            <w:tcW w:w="1200" w:type="dxa"/>
            <w:vAlign w:val="bottom"/>
            <w:tcBorders>
              <w:bottom w:val="single" w:sz="8" w:color="D9D9D6"/>
            </w:tcBorders>
          </w:tcPr>
          <w:p>
            <w:pPr>
              <w:spacing w:after="0"/>
              <w:rPr>
                <w:sz w:val="18"/>
                <w:szCs w:val="18"/>
                <w:color w:val="auto"/>
              </w:rPr>
            </w:pPr>
          </w:p>
        </w:tc>
        <w:tc>
          <w:tcPr>
            <w:tcW w:w="860" w:type="dxa"/>
            <w:vAlign w:val="bottom"/>
            <w:tcBorders>
              <w:bottom w:val="single" w:sz="8" w:color="D9D9D6"/>
            </w:tcBorders>
          </w:tcPr>
          <w:p>
            <w:pPr>
              <w:jc w:val="right"/>
              <w:ind w:right="113"/>
              <w:spacing w:after="0"/>
              <w:rPr>
                <w:sz w:val="20"/>
                <w:szCs w:val="20"/>
                <w:color w:val="auto"/>
              </w:rPr>
            </w:pPr>
            <w:r>
              <w:rPr>
                <w:rFonts w:ascii="Arial" w:cs="Arial" w:eastAsia="Arial" w:hAnsi="Arial"/>
                <w:sz w:val="13"/>
                <w:szCs w:val="13"/>
                <w:color w:val="3D3935"/>
              </w:rPr>
              <w:t>2/8/2022</w:t>
            </w:r>
          </w:p>
        </w:tc>
        <w:tc>
          <w:tcPr>
            <w:tcW w:w="860" w:type="dxa"/>
            <w:vAlign w:val="bottom"/>
            <w:tcBorders>
              <w:bottom w:val="single" w:sz="8" w:color="D9D9D6"/>
            </w:tcBorders>
          </w:tcPr>
          <w:p>
            <w:pPr>
              <w:jc w:val="right"/>
              <w:ind w:right="15"/>
              <w:spacing w:after="0"/>
              <w:rPr>
                <w:sz w:val="20"/>
                <w:szCs w:val="20"/>
                <w:color w:val="auto"/>
              </w:rPr>
            </w:pPr>
            <w:r>
              <w:rPr>
                <w:rFonts w:ascii="Arial" w:cs="Arial" w:eastAsia="Arial" w:hAnsi="Arial"/>
                <w:sz w:val="13"/>
                <w:szCs w:val="13"/>
                <w:color w:val="3D3935"/>
              </w:rPr>
              <w:t>47,862</w:t>
            </w:r>
          </w:p>
        </w:tc>
        <w:tc>
          <w:tcPr>
            <w:tcW w:w="72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23,931</w:t>
            </w:r>
          </w:p>
        </w:tc>
        <w:tc>
          <w:tcPr>
            <w:tcW w:w="280" w:type="dxa"/>
            <w:vAlign w:val="bottom"/>
            <w:tcBorders>
              <w:bottom w:val="single" w:sz="8" w:color="D9D9D6"/>
            </w:tcBorders>
          </w:tcPr>
          <w:p>
            <w:pPr>
              <w:jc w:val="right"/>
              <w:ind w:right="74"/>
              <w:spacing w:after="0"/>
              <w:rPr>
                <w:sz w:val="20"/>
                <w:szCs w:val="20"/>
                <w:color w:val="auto"/>
              </w:rPr>
            </w:pPr>
            <w:r>
              <w:rPr>
                <w:rFonts w:ascii="Arial" w:cs="Arial" w:eastAsia="Arial" w:hAnsi="Arial"/>
                <w:sz w:val="9"/>
                <w:szCs w:val="9"/>
                <w:color w:val="3D3935"/>
              </w:rPr>
              <w:t>(4)</w:t>
            </w:r>
          </w:p>
        </w:tc>
        <w:tc>
          <w:tcPr>
            <w:tcW w:w="660" w:type="dxa"/>
            <w:vAlign w:val="bottom"/>
            <w:tcBorders>
              <w:bottom w:val="single" w:sz="8" w:color="D9D9D6"/>
            </w:tcBorders>
          </w:tcPr>
          <w:p>
            <w:pPr>
              <w:jc w:val="right"/>
              <w:ind w:right="34"/>
              <w:spacing w:after="0"/>
              <w:rPr>
                <w:sz w:val="20"/>
                <w:szCs w:val="20"/>
                <w:color w:val="auto"/>
              </w:rPr>
            </w:pPr>
            <w:r>
              <w:rPr>
                <w:rFonts w:ascii="Arial" w:cs="Arial" w:eastAsia="Arial" w:hAnsi="Arial"/>
                <w:sz w:val="13"/>
                <w:szCs w:val="13"/>
                <w:color w:val="3D3935"/>
              </w:rPr>
              <w:t>49.46</w:t>
            </w:r>
          </w:p>
        </w:tc>
        <w:tc>
          <w:tcPr>
            <w:tcW w:w="740" w:type="dxa"/>
            <w:vAlign w:val="bottom"/>
            <w:tcBorders>
              <w:bottom w:val="single" w:sz="8" w:color="D9D9D6"/>
            </w:tcBorders>
          </w:tcPr>
          <w:p>
            <w:pPr>
              <w:ind w:left="60"/>
              <w:spacing w:after="0"/>
              <w:rPr>
                <w:sz w:val="20"/>
                <w:szCs w:val="20"/>
                <w:color w:val="auto"/>
              </w:rPr>
            </w:pPr>
            <w:r>
              <w:rPr>
                <w:rFonts w:ascii="Arial" w:cs="Arial" w:eastAsia="Arial" w:hAnsi="Arial"/>
                <w:sz w:val="13"/>
                <w:szCs w:val="13"/>
                <w:color w:val="3D3935"/>
              </w:rPr>
              <w:t>2/8/2032</w:t>
            </w:r>
          </w:p>
        </w:tc>
        <w:tc>
          <w:tcPr>
            <w:tcW w:w="60" w:type="dxa"/>
            <w:vAlign w:val="bottom"/>
            <w:tcBorders>
              <w:bottom w:val="single" w:sz="8" w:color="D9D9D6"/>
            </w:tcBorders>
          </w:tcPr>
          <w:p>
            <w:pPr>
              <w:spacing w:after="0"/>
              <w:rPr>
                <w:sz w:val="18"/>
                <w:szCs w:val="18"/>
                <w:color w:val="auto"/>
              </w:rPr>
            </w:pPr>
          </w:p>
        </w:tc>
        <w:tc>
          <w:tcPr>
            <w:tcW w:w="62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59,224</w:t>
            </w:r>
          </w:p>
        </w:tc>
        <w:tc>
          <w:tcPr>
            <w:tcW w:w="260" w:type="dxa"/>
            <w:vAlign w:val="bottom"/>
            <w:tcBorders>
              <w:bottom w:val="single" w:sz="8" w:color="D9D9D6"/>
            </w:tcBorders>
          </w:tcPr>
          <w:p>
            <w:pPr>
              <w:jc w:val="right"/>
              <w:ind w:right="34"/>
              <w:spacing w:after="0"/>
              <w:rPr>
                <w:sz w:val="20"/>
                <w:szCs w:val="20"/>
                <w:color w:val="auto"/>
              </w:rPr>
            </w:pPr>
            <w:r>
              <w:rPr>
                <w:rFonts w:ascii="Arial" w:cs="Arial" w:eastAsia="Arial" w:hAnsi="Arial"/>
                <w:sz w:val="9"/>
                <w:szCs w:val="9"/>
                <w:color w:val="3D3935"/>
              </w:rPr>
              <w:t>(5)</w:t>
            </w:r>
          </w:p>
        </w:tc>
        <w:tc>
          <w:tcPr>
            <w:tcW w:w="800" w:type="dxa"/>
            <w:vAlign w:val="bottom"/>
            <w:tcBorders>
              <w:bottom w:val="single" w:sz="8" w:color="D9D9D6"/>
            </w:tcBorders>
          </w:tcPr>
          <w:p>
            <w:pPr>
              <w:jc w:val="right"/>
              <w:ind w:right="35"/>
              <w:spacing w:after="0"/>
              <w:rPr>
                <w:sz w:val="20"/>
                <w:szCs w:val="20"/>
                <w:color w:val="auto"/>
              </w:rPr>
            </w:pPr>
            <w:r>
              <w:rPr>
                <w:rFonts w:ascii="Arial" w:cs="Arial" w:eastAsia="Arial" w:hAnsi="Arial"/>
                <w:sz w:val="13"/>
                <w:szCs w:val="13"/>
                <w:color w:val="3D3935"/>
              </w:rPr>
              <w:t>3,154,862</w:t>
            </w:r>
          </w:p>
        </w:tc>
        <w:tc>
          <w:tcPr>
            <w:tcW w:w="680" w:type="dxa"/>
            <w:vAlign w:val="bottom"/>
            <w:tcBorders>
              <w:bottom w:val="single" w:sz="8" w:color="D9D9D6"/>
            </w:tcBorders>
          </w:tcPr>
          <w:p>
            <w:pPr>
              <w:spacing w:after="0"/>
              <w:rPr>
                <w:sz w:val="18"/>
                <w:szCs w:val="18"/>
                <w:color w:val="auto"/>
              </w:rPr>
            </w:pPr>
          </w:p>
        </w:tc>
        <w:tc>
          <w:tcPr>
            <w:tcW w:w="280" w:type="dxa"/>
            <w:vAlign w:val="bottom"/>
            <w:tcBorders>
              <w:bottom w:val="single" w:sz="8" w:color="D9D9D6"/>
            </w:tcBorders>
          </w:tcPr>
          <w:p>
            <w:pPr>
              <w:spacing w:after="0"/>
              <w:rPr>
                <w:sz w:val="18"/>
                <w:szCs w:val="18"/>
                <w:color w:val="auto"/>
              </w:rPr>
            </w:pPr>
          </w:p>
        </w:tc>
        <w:tc>
          <w:tcPr>
            <w:tcW w:w="800" w:type="dxa"/>
            <w:vAlign w:val="bottom"/>
            <w:tcBorders>
              <w:bottom w:val="single" w:sz="8" w:color="D9D9D6"/>
            </w:tcBorders>
          </w:tcPr>
          <w:p>
            <w:pPr>
              <w:spacing w:after="0"/>
              <w:rPr>
                <w:sz w:val="18"/>
                <w:szCs w:val="18"/>
                <w:color w:val="auto"/>
              </w:rPr>
            </w:pPr>
          </w:p>
        </w:tc>
        <w:tc>
          <w:tcPr>
            <w:tcW w:w="260" w:type="dxa"/>
            <w:vAlign w:val="bottom"/>
            <w:tcBorders>
              <w:bottom w:val="single" w:sz="8" w:color="D9D9D6"/>
            </w:tcBorders>
          </w:tcPr>
          <w:p>
            <w:pPr>
              <w:spacing w:after="0"/>
              <w:rPr>
                <w:sz w:val="18"/>
                <w:szCs w:val="18"/>
                <w:color w:val="auto"/>
              </w:rPr>
            </w:pPr>
          </w:p>
        </w:tc>
      </w:tr>
      <w:tr>
        <w:trPr>
          <w:trHeight w:val="214"/>
        </w:trPr>
        <w:tc>
          <w:tcPr>
            <w:tcW w:w="1200" w:type="dxa"/>
            <w:vAlign w:val="bottom"/>
          </w:tcPr>
          <w:p>
            <w:pPr>
              <w:ind w:left="60"/>
              <w:spacing w:after="0"/>
              <w:rPr>
                <w:sz w:val="20"/>
                <w:szCs w:val="20"/>
                <w:color w:val="auto"/>
              </w:rPr>
            </w:pPr>
            <w:r>
              <w:rPr>
                <w:rFonts w:ascii="Arial" w:cs="Arial" w:eastAsia="Arial" w:hAnsi="Arial"/>
                <w:sz w:val="13"/>
                <w:szCs w:val="13"/>
                <w:b w:val="1"/>
                <w:bCs w:val="1"/>
                <w:color w:val="0072CE"/>
              </w:rPr>
              <w:t>Rory V. Harvey</w:t>
            </w:r>
          </w:p>
        </w:tc>
        <w:tc>
          <w:tcPr>
            <w:tcW w:w="860" w:type="dxa"/>
            <w:vAlign w:val="bottom"/>
            <w:tcBorders>
              <w:bottom w:val="single" w:sz="8" w:color="D9D9D6"/>
            </w:tcBorders>
          </w:tcPr>
          <w:p>
            <w:pPr>
              <w:jc w:val="right"/>
              <w:ind w:right="113"/>
              <w:spacing w:after="0"/>
              <w:rPr>
                <w:sz w:val="20"/>
                <w:szCs w:val="20"/>
                <w:color w:val="auto"/>
              </w:rPr>
            </w:pPr>
            <w:r>
              <w:rPr>
                <w:rFonts w:ascii="Arial" w:cs="Arial" w:eastAsia="Arial" w:hAnsi="Arial"/>
                <w:sz w:val="13"/>
                <w:szCs w:val="13"/>
                <w:color w:val="3D3935"/>
              </w:rPr>
              <w:t>2/6/2024</w:t>
            </w:r>
          </w:p>
        </w:tc>
        <w:tc>
          <w:tcPr>
            <w:tcW w:w="860" w:type="dxa"/>
            <w:vAlign w:val="bottom"/>
            <w:tcBorders>
              <w:bottom w:val="single" w:sz="8" w:color="D9D9D6"/>
            </w:tcBorders>
          </w:tcPr>
          <w:p>
            <w:pPr>
              <w:spacing w:after="0"/>
              <w:rPr>
                <w:sz w:val="18"/>
                <w:szCs w:val="18"/>
                <w:color w:val="auto"/>
              </w:rPr>
            </w:pPr>
          </w:p>
        </w:tc>
        <w:tc>
          <w:tcPr>
            <w:tcW w:w="720" w:type="dxa"/>
            <w:vAlign w:val="bottom"/>
            <w:tcBorders>
              <w:bottom w:val="single" w:sz="8" w:color="D9D9D6"/>
            </w:tcBorders>
          </w:tcPr>
          <w:p>
            <w:pPr>
              <w:spacing w:after="0"/>
              <w:rPr>
                <w:sz w:val="18"/>
                <w:szCs w:val="18"/>
                <w:color w:val="auto"/>
              </w:rPr>
            </w:pPr>
          </w:p>
        </w:tc>
        <w:tc>
          <w:tcPr>
            <w:tcW w:w="280" w:type="dxa"/>
            <w:vAlign w:val="bottom"/>
            <w:tcBorders>
              <w:bottom w:val="single" w:sz="8" w:color="D9D9D6"/>
            </w:tcBorders>
          </w:tcPr>
          <w:p>
            <w:pPr>
              <w:spacing w:after="0"/>
              <w:rPr>
                <w:sz w:val="18"/>
                <w:szCs w:val="18"/>
                <w:color w:val="auto"/>
              </w:rPr>
            </w:pPr>
          </w:p>
        </w:tc>
        <w:tc>
          <w:tcPr>
            <w:tcW w:w="660" w:type="dxa"/>
            <w:vAlign w:val="bottom"/>
            <w:tcBorders>
              <w:bottom w:val="single" w:sz="8" w:color="D9D9D6"/>
            </w:tcBorders>
          </w:tcPr>
          <w:p>
            <w:pPr>
              <w:spacing w:after="0"/>
              <w:rPr>
                <w:sz w:val="18"/>
                <w:szCs w:val="18"/>
                <w:color w:val="auto"/>
              </w:rPr>
            </w:pPr>
          </w:p>
        </w:tc>
        <w:tc>
          <w:tcPr>
            <w:tcW w:w="740" w:type="dxa"/>
            <w:vAlign w:val="bottom"/>
            <w:tcBorders>
              <w:bottom w:val="single" w:sz="8" w:color="D9D9D6"/>
            </w:tcBorders>
          </w:tcPr>
          <w:p>
            <w:pPr>
              <w:spacing w:after="0"/>
              <w:rPr>
                <w:sz w:val="18"/>
                <w:szCs w:val="18"/>
                <w:color w:val="auto"/>
              </w:rPr>
            </w:pPr>
          </w:p>
        </w:tc>
        <w:tc>
          <w:tcPr>
            <w:tcW w:w="60" w:type="dxa"/>
            <w:vAlign w:val="bottom"/>
            <w:tcBorders>
              <w:bottom w:val="single" w:sz="8" w:color="D9D9D6"/>
            </w:tcBorders>
          </w:tcPr>
          <w:p>
            <w:pPr>
              <w:spacing w:after="0"/>
              <w:rPr>
                <w:sz w:val="18"/>
                <w:szCs w:val="18"/>
                <w:color w:val="auto"/>
              </w:rPr>
            </w:pPr>
          </w:p>
        </w:tc>
        <w:tc>
          <w:tcPr>
            <w:tcW w:w="62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46,592</w:t>
            </w:r>
          </w:p>
        </w:tc>
        <w:tc>
          <w:tcPr>
            <w:tcW w:w="260" w:type="dxa"/>
            <w:vAlign w:val="bottom"/>
            <w:tcBorders>
              <w:bottom w:val="single" w:sz="8" w:color="D9D9D6"/>
            </w:tcBorders>
          </w:tcPr>
          <w:p>
            <w:pPr>
              <w:jc w:val="right"/>
              <w:ind w:right="34"/>
              <w:spacing w:after="0"/>
              <w:rPr>
                <w:sz w:val="20"/>
                <w:szCs w:val="20"/>
                <w:color w:val="auto"/>
              </w:rPr>
            </w:pPr>
            <w:r>
              <w:rPr>
                <w:rFonts w:ascii="Arial" w:cs="Arial" w:eastAsia="Arial" w:hAnsi="Arial"/>
                <w:sz w:val="9"/>
                <w:szCs w:val="9"/>
                <w:color w:val="3D3935"/>
              </w:rPr>
              <w:t>(2)</w:t>
            </w:r>
          </w:p>
        </w:tc>
        <w:tc>
          <w:tcPr>
            <w:tcW w:w="800" w:type="dxa"/>
            <w:vAlign w:val="bottom"/>
            <w:tcBorders>
              <w:bottom w:val="single" w:sz="8" w:color="D9D9D6"/>
            </w:tcBorders>
          </w:tcPr>
          <w:p>
            <w:pPr>
              <w:jc w:val="right"/>
              <w:ind w:right="35"/>
              <w:spacing w:after="0"/>
              <w:rPr>
                <w:sz w:val="20"/>
                <w:szCs w:val="20"/>
                <w:color w:val="auto"/>
              </w:rPr>
            </w:pPr>
            <w:r>
              <w:rPr>
                <w:rFonts w:ascii="Arial" w:cs="Arial" w:eastAsia="Arial" w:hAnsi="Arial"/>
                <w:sz w:val="13"/>
                <w:szCs w:val="13"/>
                <w:color w:val="3D3935"/>
              </w:rPr>
              <w:t>2,481,956</w:t>
            </w:r>
          </w:p>
        </w:tc>
        <w:tc>
          <w:tcPr>
            <w:tcW w:w="680" w:type="dxa"/>
            <w:vAlign w:val="bottom"/>
            <w:tcBorders>
              <w:bottom w:val="single" w:sz="8" w:color="D9D9D6"/>
            </w:tcBorders>
          </w:tcPr>
          <w:p>
            <w:pPr>
              <w:ind w:left="120"/>
              <w:spacing w:after="0"/>
              <w:rPr>
                <w:sz w:val="20"/>
                <w:szCs w:val="20"/>
                <w:color w:val="auto"/>
              </w:rPr>
            </w:pPr>
            <w:r>
              <w:rPr>
                <w:rFonts w:ascii="Arial" w:cs="Arial" w:eastAsia="Arial" w:hAnsi="Arial"/>
                <w:sz w:val="13"/>
                <w:szCs w:val="13"/>
                <w:color w:val="3D3935"/>
              </w:rPr>
              <w:t>122,800</w:t>
            </w:r>
          </w:p>
        </w:tc>
        <w:tc>
          <w:tcPr>
            <w:tcW w:w="280" w:type="dxa"/>
            <w:vAlign w:val="bottom"/>
            <w:tcBorders>
              <w:bottom w:val="single" w:sz="8" w:color="D9D9D6"/>
            </w:tcBorders>
          </w:tcPr>
          <w:p>
            <w:pPr>
              <w:jc w:val="right"/>
              <w:ind w:right="74"/>
              <w:spacing w:after="0"/>
              <w:rPr>
                <w:sz w:val="20"/>
                <w:szCs w:val="20"/>
                <w:color w:val="auto"/>
              </w:rPr>
            </w:pPr>
            <w:r>
              <w:rPr>
                <w:rFonts w:ascii="Arial" w:cs="Arial" w:eastAsia="Arial" w:hAnsi="Arial"/>
                <w:sz w:val="9"/>
                <w:szCs w:val="9"/>
                <w:color w:val="3D3935"/>
              </w:rPr>
              <w:t>(7)</w:t>
            </w:r>
          </w:p>
        </w:tc>
        <w:tc>
          <w:tcPr>
            <w:tcW w:w="800" w:type="dxa"/>
            <w:vAlign w:val="bottom"/>
            <w:tcBorders>
              <w:bottom w:val="single" w:sz="8" w:color="D9D9D6"/>
            </w:tcBorders>
          </w:tcPr>
          <w:p>
            <w:pPr>
              <w:jc w:val="right"/>
              <w:ind w:right="15"/>
              <w:spacing w:after="0"/>
              <w:rPr>
                <w:sz w:val="20"/>
                <w:szCs w:val="20"/>
                <w:color w:val="auto"/>
              </w:rPr>
            </w:pPr>
            <w:r>
              <w:rPr>
                <w:rFonts w:ascii="Arial" w:cs="Arial" w:eastAsia="Arial" w:hAnsi="Arial"/>
                <w:sz w:val="13"/>
                <w:szCs w:val="13"/>
                <w:color w:val="3D3935"/>
              </w:rPr>
              <w:t>6,541,556</w:t>
            </w:r>
          </w:p>
        </w:tc>
        <w:tc>
          <w:tcPr>
            <w:tcW w:w="260" w:type="dxa"/>
            <w:vAlign w:val="bottom"/>
            <w:tcBorders>
              <w:bottom w:val="single" w:sz="8" w:color="D9D9D6"/>
            </w:tcBorders>
          </w:tcPr>
          <w:p>
            <w:pPr>
              <w:ind w:left="40"/>
              <w:spacing w:after="0"/>
              <w:rPr>
                <w:sz w:val="20"/>
                <w:szCs w:val="20"/>
                <w:color w:val="auto"/>
              </w:rPr>
            </w:pPr>
            <w:r>
              <w:rPr>
                <w:rFonts w:ascii="Arial" w:cs="Arial" w:eastAsia="Arial" w:hAnsi="Arial"/>
                <w:sz w:val="9"/>
                <w:szCs w:val="9"/>
                <w:color w:val="3D3935"/>
              </w:rPr>
              <w:t>(9)</w:t>
            </w:r>
          </w:p>
        </w:tc>
      </w:tr>
      <w:tr>
        <w:trPr>
          <w:trHeight w:val="206"/>
        </w:trPr>
        <w:tc>
          <w:tcPr>
            <w:tcW w:w="1200" w:type="dxa"/>
            <w:vAlign w:val="bottom"/>
          </w:tcPr>
          <w:p>
            <w:pPr>
              <w:spacing w:after="0"/>
              <w:rPr>
                <w:sz w:val="17"/>
                <w:szCs w:val="17"/>
                <w:color w:val="auto"/>
              </w:rPr>
            </w:pPr>
          </w:p>
        </w:tc>
        <w:tc>
          <w:tcPr>
            <w:tcW w:w="860" w:type="dxa"/>
            <w:vAlign w:val="bottom"/>
            <w:tcBorders>
              <w:bottom w:val="single" w:sz="8" w:color="D9D9D6"/>
            </w:tcBorders>
          </w:tcPr>
          <w:p>
            <w:pPr>
              <w:jc w:val="right"/>
              <w:ind w:right="93"/>
              <w:spacing w:after="0"/>
              <w:rPr>
                <w:sz w:val="20"/>
                <w:szCs w:val="20"/>
                <w:color w:val="auto"/>
              </w:rPr>
            </w:pPr>
            <w:r>
              <w:rPr>
                <w:rFonts w:ascii="Arial" w:cs="Arial" w:eastAsia="Arial" w:hAnsi="Arial"/>
                <w:sz w:val="13"/>
                <w:szCs w:val="13"/>
                <w:color w:val="3D3935"/>
              </w:rPr>
              <w:t>7/3/2023</w:t>
            </w:r>
          </w:p>
        </w:tc>
        <w:tc>
          <w:tcPr>
            <w:tcW w:w="860" w:type="dxa"/>
            <w:vAlign w:val="bottom"/>
            <w:tcBorders>
              <w:bottom w:val="single" w:sz="8" w:color="D9D9D6"/>
            </w:tcBorders>
          </w:tcPr>
          <w:p>
            <w:pPr>
              <w:spacing w:after="0"/>
              <w:rPr>
                <w:sz w:val="17"/>
                <w:szCs w:val="17"/>
                <w:color w:val="auto"/>
              </w:rPr>
            </w:pPr>
          </w:p>
        </w:tc>
        <w:tc>
          <w:tcPr>
            <w:tcW w:w="720" w:type="dxa"/>
            <w:vAlign w:val="bottom"/>
            <w:tcBorders>
              <w:bottom w:val="single" w:sz="8" w:color="D9D9D6"/>
            </w:tcBorders>
          </w:tcPr>
          <w:p>
            <w:pPr>
              <w:spacing w:after="0"/>
              <w:rPr>
                <w:sz w:val="17"/>
                <w:szCs w:val="17"/>
                <w:color w:val="auto"/>
              </w:rPr>
            </w:pPr>
          </w:p>
        </w:tc>
        <w:tc>
          <w:tcPr>
            <w:tcW w:w="280" w:type="dxa"/>
            <w:vAlign w:val="bottom"/>
            <w:tcBorders>
              <w:bottom w:val="single" w:sz="8" w:color="D9D9D6"/>
            </w:tcBorders>
          </w:tcPr>
          <w:p>
            <w:pPr>
              <w:spacing w:after="0"/>
              <w:rPr>
                <w:sz w:val="17"/>
                <w:szCs w:val="17"/>
                <w:color w:val="auto"/>
              </w:rPr>
            </w:pPr>
          </w:p>
        </w:tc>
        <w:tc>
          <w:tcPr>
            <w:tcW w:w="660" w:type="dxa"/>
            <w:vAlign w:val="bottom"/>
            <w:tcBorders>
              <w:bottom w:val="single" w:sz="8" w:color="D9D9D6"/>
            </w:tcBorders>
          </w:tcPr>
          <w:p>
            <w:pPr>
              <w:spacing w:after="0"/>
              <w:rPr>
                <w:sz w:val="17"/>
                <w:szCs w:val="17"/>
                <w:color w:val="auto"/>
              </w:rPr>
            </w:pPr>
          </w:p>
        </w:tc>
        <w:tc>
          <w:tcPr>
            <w:tcW w:w="740" w:type="dxa"/>
            <w:vAlign w:val="bottom"/>
            <w:tcBorders>
              <w:bottom w:val="single" w:sz="8" w:color="D9D9D6"/>
            </w:tcBorders>
          </w:tcPr>
          <w:p>
            <w:pPr>
              <w:spacing w:after="0"/>
              <w:rPr>
                <w:sz w:val="17"/>
                <w:szCs w:val="17"/>
                <w:color w:val="auto"/>
              </w:rPr>
            </w:pPr>
          </w:p>
        </w:tc>
        <w:tc>
          <w:tcPr>
            <w:tcW w:w="60" w:type="dxa"/>
            <w:vAlign w:val="bottom"/>
            <w:tcBorders>
              <w:bottom w:val="single" w:sz="8" w:color="D9D9D6"/>
            </w:tcBorders>
          </w:tcPr>
          <w:p>
            <w:pPr>
              <w:spacing w:after="0"/>
              <w:rPr>
                <w:sz w:val="17"/>
                <w:szCs w:val="17"/>
                <w:color w:val="auto"/>
              </w:rPr>
            </w:pPr>
          </w:p>
        </w:tc>
        <w:tc>
          <w:tcPr>
            <w:tcW w:w="620" w:type="dxa"/>
            <w:vAlign w:val="bottom"/>
            <w:tcBorders>
              <w:bottom w:val="single" w:sz="8" w:color="D9D9D6"/>
            </w:tcBorders>
          </w:tcPr>
          <w:p>
            <w:pPr>
              <w:spacing w:after="0"/>
              <w:rPr>
                <w:sz w:val="17"/>
                <w:szCs w:val="17"/>
                <w:color w:val="auto"/>
              </w:rPr>
            </w:pPr>
          </w:p>
        </w:tc>
        <w:tc>
          <w:tcPr>
            <w:tcW w:w="260" w:type="dxa"/>
            <w:vAlign w:val="bottom"/>
            <w:tcBorders>
              <w:bottom w:val="single" w:sz="8" w:color="D9D9D6"/>
            </w:tcBorders>
          </w:tcPr>
          <w:p>
            <w:pPr>
              <w:spacing w:after="0"/>
              <w:rPr>
                <w:sz w:val="17"/>
                <w:szCs w:val="17"/>
                <w:color w:val="auto"/>
              </w:rPr>
            </w:pPr>
          </w:p>
        </w:tc>
        <w:tc>
          <w:tcPr>
            <w:tcW w:w="800" w:type="dxa"/>
            <w:vAlign w:val="bottom"/>
            <w:tcBorders>
              <w:bottom w:val="single" w:sz="8" w:color="D9D9D6"/>
            </w:tcBorders>
          </w:tcPr>
          <w:p>
            <w:pPr>
              <w:spacing w:after="0"/>
              <w:rPr>
                <w:sz w:val="17"/>
                <w:szCs w:val="17"/>
                <w:color w:val="auto"/>
              </w:rPr>
            </w:pPr>
          </w:p>
        </w:tc>
        <w:tc>
          <w:tcPr>
            <w:tcW w:w="68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94,110</w:t>
            </w:r>
          </w:p>
        </w:tc>
        <w:tc>
          <w:tcPr>
            <w:tcW w:w="280" w:type="dxa"/>
            <w:vAlign w:val="bottom"/>
            <w:tcBorders>
              <w:bottom w:val="single" w:sz="8" w:color="D9D9D6"/>
            </w:tcBorders>
          </w:tcPr>
          <w:p>
            <w:pPr>
              <w:jc w:val="right"/>
              <w:ind w:right="74"/>
              <w:spacing w:after="0"/>
              <w:rPr>
                <w:sz w:val="20"/>
                <w:szCs w:val="20"/>
                <w:color w:val="auto"/>
              </w:rPr>
            </w:pPr>
            <w:r>
              <w:rPr>
                <w:rFonts w:ascii="Arial" w:cs="Arial" w:eastAsia="Arial" w:hAnsi="Arial"/>
                <w:sz w:val="9"/>
                <w:szCs w:val="9"/>
                <w:color w:val="3D3935"/>
              </w:rPr>
              <w:t>(8)</w:t>
            </w:r>
          </w:p>
        </w:tc>
        <w:tc>
          <w:tcPr>
            <w:tcW w:w="800" w:type="dxa"/>
            <w:vAlign w:val="bottom"/>
            <w:tcBorders>
              <w:bottom w:val="single" w:sz="8" w:color="D9D9D6"/>
            </w:tcBorders>
          </w:tcPr>
          <w:p>
            <w:pPr>
              <w:ind w:left="100"/>
              <w:spacing w:after="0"/>
              <w:rPr>
                <w:sz w:val="20"/>
                <w:szCs w:val="20"/>
                <w:color w:val="auto"/>
              </w:rPr>
            </w:pPr>
            <w:r>
              <w:rPr>
                <w:rFonts w:ascii="Arial" w:cs="Arial" w:eastAsia="Arial" w:hAnsi="Arial"/>
                <w:sz w:val="13"/>
                <w:szCs w:val="13"/>
                <w:color w:val="3D3935"/>
              </w:rPr>
              <w:t>5,013,240</w:t>
            </w:r>
          </w:p>
        </w:tc>
        <w:tc>
          <w:tcPr>
            <w:tcW w:w="260" w:type="dxa"/>
            <w:vAlign w:val="bottom"/>
            <w:tcBorders>
              <w:bottom w:val="single" w:sz="8" w:color="D9D9D6"/>
            </w:tcBorders>
          </w:tcPr>
          <w:p>
            <w:pPr>
              <w:ind w:left="40"/>
              <w:spacing w:after="0"/>
              <w:rPr>
                <w:sz w:val="20"/>
                <w:szCs w:val="20"/>
                <w:color w:val="auto"/>
              </w:rPr>
            </w:pPr>
            <w:r>
              <w:rPr>
                <w:rFonts w:ascii="Arial" w:cs="Arial" w:eastAsia="Arial" w:hAnsi="Arial"/>
                <w:sz w:val="9"/>
                <w:szCs w:val="9"/>
                <w:color w:val="3D3935"/>
              </w:rPr>
              <w:t>(10)</w:t>
            </w:r>
          </w:p>
        </w:tc>
      </w:tr>
      <w:tr>
        <w:trPr>
          <w:trHeight w:val="209"/>
        </w:trPr>
        <w:tc>
          <w:tcPr>
            <w:tcW w:w="1200" w:type="dxa"/>
            <w:vAlign w:val="bottom"/>
          </w:tcPr>
          <w:p>
            <w:pPr>
              <w:spacing w:after="0"/>
              <w:rPr>
                <w:sz w:val="18"/>
                <w:szCs w:val="18"/>
                <w:color w:val="auto"/>
              </w:rPr>
            </w:pPr>
          </w:p>
        </w:tc>
        <w:tc>
          <w:tcPr>
            <w:tcW w:w="860" w:type="dxa"/>
            <w:vAlign w:val="bottom"/>
            <w:tcBorders>
              <w:bottom w:val="single" w:sz="8" w:color="D9D9D6"/>
            </w:tcBorders>
          </w:tcPr>
          <w:p>
            <w:pPr>
              <w:jc w:val="right"/>
              <w:ind w:right="93"/>
              <w:spacing w:after="0"/>
              <w:rPr>
                <w:sz w:val="20"/>
                <w:szCs w:val="20"/>
                <w:color w:val="auto"/>
              </w:rPr>
            </w:pPr>
            <w:r>
              <w:rPr>
                <w:rFonts w:ascii="Arial" w:cs="Arial" w:eastAsia="Arial" w:hAnsi="Arial"/>
                <w:sz w:val="13"/>
                <w:szCs w:val="13"/>
                <w:color w:val="3D3935"/>
              </w:rPr>
              <w:t>2/7/2023</w:t>
            </w:r>
          </w:p>
        </w:tc>
        <w:tc>
          <w:tcPr>
            <w:tcW w:w="860" w:type="dxa"/>
            <w:vAlign w:val="bottom"/>
            <w:tcBorders>
              <w:bottom w:val="single" w:sz="8" w:color="D9D9D6"/>
            </w:tcBorders>
          </w:tcPr>
          <w:p>
            <w:pPr>
              <w:spacing w:after="0"/>
              <w:rPr>
                <w:sz w:val="18"/>
                <w:szCs w:val="18"/>
                <w:color w:val="auto"/>
              </w:rPr>
            </w:pPr>
          </w:p>
        </w:tc>
        <w:tc>
          <w:tcPr>
            <w:tcW w:w="72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11,304</w:t>
            </w:r>
          </w:p>
        </w:tc>
        <w:tc>
          <w:tcPr>
            <w:tcW w:w="280" w:type="dxa"/>
            <w:vAlign w:val="bottom"/>
            <w:tcBorders>
              <w:bottom w:val="single" w:sz="8" w:color="D9D9D6"/>
            </w:tcBorders>
          </w:tcPr>
          <w:p>
            <w:pPr>
              <w:jc w:val="right"/>
              <w:ind w:right="74"/>
              <w:spacing w:after="0"/>
              <w:rPr>
                <w:sz w:val="20"/>
                <w:szCs w:val="20"/>
                <w:color w:val="auto"/>
              </w:rPr>
            </w:pPr>
            <w:r>
              <w:rPr>
                <w:rFonts w:ascii="Arial" w:cs="Arial" w:eastAsia="Arial" w:hAnsi="Arial"/>
                <w:sz w:val="9"/>
                <w:szCs w:val="9"/>
                <w:color w:val="3D3935"/>
              </w:rPr>
              <w:t>(3)</w:t>
            </w:r>
          </w:p>
        </w:tc>
        <w:tc>
          <w:tcPr>
            <w:tcW w:w="660" w:type="dxa"/>
            <w:vAlign w:val="bottom"/>
            <w:tcBorders>
              <w:bottom w:val="single" w:sz="8" w:color="D9D9D6"/>
            </w:tcBorders>
          </w:tcPr>
          <w:p>
            <w:pPr>
              <w:jc w:val="right"/>
              <w:ind w:right="14"/>
              <w:spacing w:after="0"/>
              <w:rPr>
                <w:sz w:val="20"/>
                <w:szCs w:val="20"/>
                <w:color w:val="auto"/>
              </w:rPr>
            </w:pPr>
            <w:r>
              <w:rPr>
                <w:rFonts w:ascii="Arial" w:cs="Arial" w:eastAsia="Arial" w:hAnsi="Arial"/>
                <w:sz w:val="13"/>
                <w:szCs w:val="13"/>
                <w:color w:val="3D3935"/>
              </w:rPr>
              <w:t>41.40</w:t>
            </w:r>
          </w:p>
        </w:tc>
        <w:tc>
          <w:tcPr>
            <w:tcW w:w="740" w:type="dxa"/>
            <w:vAlign w:val="bottom"/>
            <w:tcBorders>
              <w:bottom w:val="single" w:sz="8" w:color="D9D9D6"/>
            </w:tcBorders>
          </w:tcPr>
          <w:p>
            <w:pPr>
              <w:ind w:left="80"/>
              <w:spacing w:after="0"/>
              <w:rPr>
                <w:sz w:val="20"/>
                <w:szCs w:val="20"/>
                <w:color w:val="auto"/>
              </w:rPr>
            </w:pPr>
            <w:r>
              <w:rPr>
                <w:rFonts w:ascii="Arial" w:cs="Arial" w:eastAsia="Arial" w:hAnsi="Arial"/>
                <w:sz w:val="13"/>
                <w:szCs w:val="13"/>
                <w:color w:val="3D3935"/>
              </w:rPr>
              <w:t>2/7/2033</w:t>
            </w:r>
          </w:p>
        </w:tc>
        <w:tc>
          <w:tcPr>
            <w:tcW w:w="60" w:type="dxa"/>
            <w:vAlign w:val="bottom"/>
            <w:tcBorders>
              <w:bottom w:val="single" w:sz="8" w:color="D9D9D6"/>
            </w:tcBorders>
          </w:tcPr>
          <w:p>
            <w:pPr>
              <w:spacing w:after="0"/>
              <w:rPr>
                <w:sz w:val="18"/>
                <w:szCs w:val="18"/>
                <w:color w:val="auto"/>
              </w:rPr>
            </w:pPr>
          </w:p>
        </w:tc>
        <w:tc>
          <w:tcPr>
            <w:tcW w:w="620" w:type="dxa"/>
            <w:vAlign w:val="bottom"/>
            <w:tcBorders>
              <w:bottom w:val="single" w:sz="8" w:color="D9D9D6"/>
            </w:tcBorders>
          </w:tcPr>
          <w:p>
            <w:pPr>
              <w:spacing w:after="0"/>
              <w:rPr>
                <w:sz w:val="18"/>
                <w:szCs w:val="18"/>
                <w:color w:val="auto"/>
              </w:rPr>
            </w:pPr>
          </w:p>
        </w:tc>
        <w:tc>
          <w:tcPr>
            <w:tcW w:w="260" w:type="dxa"/>
            <w:vAlign w:val="bottom"/>
            <w:tcBorders>
              <w:bottom w:val="single" w:sz="8" w:color="D9D9D6"/>
            </w:tcBorders>
          </w:tcPr>
          <w:p>
            <w:pPr>
              <w:spacing w:after="0"/>
              <w:rPr>
                <w:sz w:val="18"/>
                <w:szCs w:val="18"/>
                <w:color w:val="auto"/>
              </w:rPr>
            </w:pPr>
          </w:p>
        </w:tc>
        <w:tc>
          <w:tcPr>
            <w:tcW w:w="800" w:type="dxa"/>
            <w:vAlign w:val="bottom"/>
            <w:tcBorders>
              <w:bottom w:val="single" w:sz="8" w:color="D9D9D6"/>
            </w:tcBorders>
          </w:tcPr>
          <w:p>
            <w:pPr>
              <w:spacing w:after="0"/>
              <w:rPr>
                <w:sz w:val="18"/>
                <w:szCs w:val="18"/>
                <w:color w:val="auto"/>
              </w:rPr>
            </w:pPr>
          </w:p>
        </w:tc>
        <w:tc>
          <w:tcPr>
            <w:tcW w:w="68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14,866</w:t>
            </w:r>
          </w:p>
        </w:tc>
        <w:tc>
          <w:tcPr>
            <w:tcW w:w="280" w:type="dxa"/>
            <w:vAlign w:val="bottom"/>
            <w:tcBorders>
              <w:bottom w:val="single" w:sz="8" w:color="D9D9D6"/>
            </w:tcBorders>
          </w:tcPr>
          <w:p>
            <w:pPr>
              <w:jc w:val="right"/>
              <w:ind w:right="74"/>
              <w:spacing w:after="0"/>
              <w:rPr>
                <w:sz w:val="20"/>
                <w:szCs w:val="20"/>
                <w:color w:val="auto"/>
              </w:rPr>
            </w:pPr>
            <w:r>
              <w:rPr>
                <w:rFonts w:ascii="Arial" w:cs="Arial" w:eastAsia="Arial" w:hAnsi="Arial"/>
                <w:sz w:val="9"/>
                <w:szCs w:val="9"/>
                <w:color w:val="3D3935"/>
              </w:rPr>
              <w:t>(8)</w:t>
            </w:r>
          </w:p>
        </w:tc>
        <w:tc>
          <w:tcPr>
            <w:tcW w:w="800" w:type="dxa"/>
            <w:vAlign w:val="bottom"/>
            <w:tcBorders>
              <w:bottom w:val="single" w:sz="8" w:color="D9D9D6"/>
            </w:tcBorders>
          </w:tcPr>
          <w:p>
            <w:pPr>
              <w:jc w:val="right"/>
              <w:spacing w:after="0"/>
              <w:rPr>
                <w:sz w:val="20"/>
                <w:szCs w:val="20"/>
                <w:color w:val="auto"/>
              </w:rPr>
            </w:pPr>
            <w:r>
              <w:rPr>
                <w:rFonts w:ascii="Arial" w:cs="Arial" w:eastAsia="Arial" w:hAnsi="Arial"/>
                <w:sz w:val="13"/>
                <w:szCs w:val="13"/>
                <w:color w:val="3D3935"/>
              </w:rPr>
              <w:t>791,912</w:t>
            </w:r>
          </w:p>
        </w:tc>
        <w:tc>
          <w:tcPr>
            <w:tcW w:w="260" w:type="dxa"/>
            <w:vAlign w:val="bottom"/>
            <w:tcBorders>
              <w:bottom w:val="single" w:sz="8" w:color="D9D9D6"/>
            </w:tcBorders>
          </w:tcPr>
          <w:p>
            <w:pPr>
              <w:ind w:left="40"/>
              <w:spacing w:after="0"/>
              <w:rPr>
                <w:sz w:val="20"/>
                <w:szCs w:val="20"/>
                <w:color w:val="auto"/>
              </w:rPr>
            </w:pPr>
            <w:r>
              <w:rPr>
                <w:rFonts w:ascii="Arial" w:cs="Arial" w:eastAsia="Arial" w:hAnsi="Arial"/>
                <w:sz w:val="9"/>
                <w:szCs w:val="9"/>
                <w:color w:val="3D3935"/>
              </w:rPr>
              <w:t>(10)</w:t>
            </w:r>
          </w:p>
        </w:tc>
      </w:tr>
      <w:tr>
        <w:trPr>
          <w:trHeight w:val="209"/>
        </w:trPr>
        <w:tc>
          <w:tcPr>
            <w:tcW w:w="1200" w:type="dxa"/>
            <w:vAlign w:val="bottom"/>
            <w:tcBorders>
              <w:bottom w:val="single" w:sz="8" w:color="0072CE"/>
            </w:tcBorders>
          </w:tcPr>
          <w:p>
            <w:pPr>
              <w:spacing w:after="0"/>
              <w:rPr>
                <w:sz w:val="18"/>
                <w:szCs w:val="18"/>
                <w:color w:val="auto"/>
              </w:rPr>
            </w:pPr>
          </w:p>
        </w:tc>
        <w:tc>
          <w:tcPr>
            <w:tcW w:w="860" w:type="dxa"/>
            <w:vAlign w:val="bottom"/>
            <w:tcBorders>
              <w:bottom w:val="single" w:sz="8" w:color="0072CE"/>
            </w:tcBorders>
          </w:tcPr>
          <w:p>
            <w:pPr>
              <w:jc w:val="right"/>
              <w:ind w:right="113"/>
              <w:spacing w:after="0"/>
              <w:rPr>
                <w:sz w:val="20"/>
                <w:szCs w:val="20"/>
                <w:color w:val="auto"/>
              </w:rPr>
            </w:pPr>
            <w:r>
              <w:rPr>
                <w:rFonts w:ascii="Arial" w:cs="Arial" w:eastAsia="Arial" w:hAnsi="Arial"/>
                <w:sz w:val="13"/>
                <w:szCs w:val="13"/>
                <w:color w:val="3D3935"/>
              </w:rPr>
              <w:t>2/8/2022</w:t>
            </w:r>
          </w:p>
        </w:tc>
        <w:tc>
          <w:tcPr>
            <w:tcW w:w="860" w:type="dxa"/>
            <w:vAlign w:val="bottom"/>
            <w:tcBorders>
              <w:bottom w:val="single" w:sz="8" w:color="0072CE"/>
            </w:tcBorders>
          </w:tcPr>
          <w:p>
            <w:pPr>
              <w:spacing w:after="0"/>
              <w:rPr>
                <w:sz w:val="18"/>
                <w:szCs w:val="18"/>
                <w:color w:val="auto"/>
              </w:rPr>
            </w:pPr>
          </w:p>
        </w:tc>
        <w:tc>
          <w:tcPr>
            <w:tcW w:w="720" w:type="dxa"/>
            <w:vAlign w:val="bottom"/>
            <w:tcBorders>
              <w:bottom w:val="single" w:sz="8" w:color="0072CE"/>
            </w:tcBorders>
          </w:tcPr>
          <w:p>
            <w:pPr>
              <w:jc w:val="right"/>
              <w:spacing w:after="0"/>
              <w:rPr>
                <w:sz w:val="20"/>
                <w:szCs w:val="20"/>
                <w:color w:val="auto"/>
              </w:rPr>
            </w:pPr>
            <w:r>
              <w:rPr>
                <w:rFonts w:ascii="Arial" w:cs="Arial" w:eastAsia="Arial" w:hAnsi="Arial"/>
                <w:sz w:val="13"/>
                <w:szCs w:val="13"/>
                <w:color w:val="3D3935"/>
              </w:rPr>
              <w:t>4,459</w:t>
            </w:r>
          </w:p>
        </w:tc>
        <w:tc>
          <w:tcPr>
            <w:tcW w:w="280" w:type="dxa"/>
            <w:vAlign w:val="bottom"/>
            <w:tcBorders>
              <w:bottom w:val="single" w:sz="8" w:color="0072CE"/>
            </w:tcBorders>
          </w:tcPr>
          <w:p>
            <w:pPr>
              <w:jc w:val="right"/>
              <w:ind w:right="74"/>
              <w:spacing w:after="0"/>
              <w:rPr>
                <w:sz w:val="20"/>
                <w:szCs w:val="20"/>
                <w:color w:val="auto"/>
              </w:rPr>
            </w:pPr>
            <w:r>
              <w:rPr>
                <w:rFonts w:ascii="Arial" w:cs="Arial" w:eastAsia="Arial" w:hAnsi="Arial"/>
                <w:sz w:val="9"/>
                <w:szCs w:val="9"/>
                <w:color w:val="3D3935"/>
              </w:rPr>
              <w:t>(4)</w:t>
            </w:r>
          </w:p>
        </w:tc>
        <w:tc>
          <w:tcPr>
            <w:tcW w:w="660" w:type="dxa"/>
            <w:vAlign w:val="bottom"/>
            <w:tcBorders>
              <w:bottom w:val="single" w:sz="8" w:color="0072CE"/>
            </w:tcBorders>
          </w:tcPr>
          <w:p>
            <w:pPr>
              <w:jc w:val="right"/>
              <w:ind w:right="34"/>
              <w:spacing w:after="0"/>
              <w:rPr>
                <w:sz w:val="20"/>
                <w:szCs w:val="20"/>
                <w:color w:val="auto"/>
              </w:rPr>
            </w:pPr>
            <w:r>
              <w:rPr>
                <w:rFonts w:ascii="Arial" w:cs="Arial" w:eastAsia="Arial" w:hAnsi="Arial"/>
                <w:sz w:val="13"/>
                <w:szCs w:val="13"/>
                <w:color w:val="3D3935"/>
              </w:rPr>
              <w:t>49.46</w:t>
            </w:r>
          </w:p>
        </w:tc>
        <w:tc>
          <w:tcPr>
            <w:tcW w:w="740" w:type="dxa"/>
            <w:vAlign w:val="bottom"/>
            <w:tcBorders>
              <w:bottom w:val="single" w:sz="8" w:color="0072CE"/>
            </w:tcBorders>
          </w:tcPr>
          <w:p>
            <w:pPr>
              <w:ind w:left="60"/>
              <w:spacing w:after="0"/>
              <w:rPr>
                <w:sz w:val="20"/>
                <w:szCs w:val="20"/>
                <w:color w:val="auto"/>
              </w:rPr>
            </w:pPr>
            <w:r>
              <w:rPr>
                <w:rFonts w:ascii="Arial" w:cs="Arial" w:eastAsia="Arial" w:hAnsi="Arial"/>
                <w:sz w:val="13"/>
                <w:szCs w:val="13"/>
                <w:color w:val="3D3935"/>
              </w:rPr>
              <w:t>2/8/2032</w:t>
            </w:r>
          </w:p>
        </w:tc>
        <w:tc>
          <w:tcPr>
            <w:tcW w:w="60" w:type="dxa"/>
            <w:vAlign w:val="bottom"/>
            <w:tcBorders>
              <w:bottom w:val="single" w:sz="8" w:color="0072CE"/>
            </w:tcBorders>
          </w:tcPr>
          <w:p>
            <w:pPr>
              <w:spacing w:after="0"/>
              <w:rPr>
                <w:sz w:val="18"/>
                <w:szCs w:val="18"/>
                <w:color w:val="auto"/>
              </w:rPr>
            </w:pPr>
          </w:p>
        </w:tc>
        <w:tc>
          <w:tcPr>
            <w:tcW w:w="620" w:type="dxa"/>
            <w:vAlign w:val="bottom"/>
            <w:tcBorders>
              <w:bottom w:val="single" w:sz="8" w:color="0072CE"/>
            </w:tcBorders>
          </w:tcPr>
          <w:p>
            <w:pPr>
              <w:jc w:val="right"/>
              <w:spacing w:after="0"/>
              <w:rPr>
                <w:sz w:val="20"/>
                <w:szCs w:val="20"/>
                <w:color w:val="auto"/>
              </w:rPr>
            </w:pPr>
            <w:r>
              <w:rPr>
                <w:rFonts w:ascii="Arial" w:cs="Arial" w:eastAsia="Arial" w:hAnsi="Arial"/>
                <w:sz w:val="13"/>
                <w:szCs w:val="13"/>
                <w:color w:val="3D3935"/>
              </w:rPr>
              <w:t>11,036</w:t>
            </w:r>
          </w:p>
        </w:tc>
        <w:tc>
          <w:tcPr>
            <w:tcW w:w="260" w:type="dxa"/>
            <w:vAlign w:val="bottom"/>
            <w:tcBorders>
              <w:bottom w:val="single" w:sz="8" w:color="0072CE"/>
            </w:tcBorders>
          </w:tcPr>
          <w:p>
            <w:pPr>
              <w:jc w:val="right"/>
              <w:ind w:right="34"/>
              <w:spacing w:after="0"/>
              <w:rPr>
                <w:sz w:val="20"/>
                <w:szCs w:val="20"/>
                <w:color w:val="auto"/>
              </w:rPr>
            </w:pPr>
            <w:r>
              <w:rPr>
                <w:rFonts w:ascii="Arial" w:cs="Arial" w:eastAsia="Arial" w:hAnsi="Arial"/>
                <w:sz w:val="9"/>
                <w:szCs w:val="9"/>
                <w:color w:val="3D3935"/>
              </w:rPr>
              <w:t>(5)</w:t>
            </w:r>
          </w:p>
        </w:tc>
        <w:tc>
          <w:tcPr>
            <w:tcW w:w="800" w:type="dxa"/>
            <w:vAlign w:val="bottom"/>
            <w:tcBorders>
              <w:bottom w:val="single" w:sz="8" w:color="0072CE"/>
            </w:tcBorders>
          </w:tcPr>
          <w:p>
            <w:pPr>
              <w:jc w:val="right"/>
              <w:ind w:right="55"/>
              <w:spacing w:after="0"/>
              <w:rPr>
                <w:sz w:val="20"/>
                <w:szCs w:val="20"/>
                <w:color w:val="auto"/>
              </w:rPr>
            </w:pPr>
            <w:r>
              <w:rPr>
                <w:rFonts w:ascii="Arial" w:cs="Arial" w:eastAsia="Arial" w:hAnsi="Arial"/>
                <w:sz w:val="13"/>
                <w:szCs w:val="13"/>
                <w:color w:val="3D3935"/>
              </w:rPr>
              <w:t>587,888</w:t>
            </w:r>
          </w:p>
        </w:tc>
        <w:tc>
          <w:tcPr>
            <w:tcW w:w="680" w:type="dxa"/>
            <w:vAlign w:val="bottom"/>
            <w:tcBorders>
              <w:bottom w:val="single" w:sz="8" w:color="0072CE"/>
            </w:tcBorders>
          </w:tcPr>
          <w:p>
            <w:pPr>
              <w:spacing w:after="0"/>
              <w:rPr>
                <w:sz w:val="18"/>
                <w:szCs w:val="18"/>
                <w:color w:val="auto"/>
              </w:rPr>
            </w:pPr>
          </w:p>
        </w:tc>
        <w:tc>
          <w:tcPr>
            <w:tcW w:w="280" w:type="dxa"/>
            <w:vAlign w:val="bottom"/>
            <w:tcBorders>
              <w:bottom w:val="single" w:sz="8" w:color="0072CE"/>
            </w:tcBorders>
          </w:tcPr>
          <w:p>
            <w:pPr>
              <w:spacing w:after="0"/>
              <w:rPr>
                <w:sz w:val="18"/>
                <w:szCs w:val="18"/>
                <w:color w:val="auto"/>
              </w:rPr>
            </w:pPr>
          </w:p>
        </w:tc>
        <w:tc>
          <w:tcPr>
            <w:tcW w:w="800" w:type="dxa"/>
            <w:vAlign w:val="bottom"/>
            <w:tcBorders>
              <w:bottom w:val="single" w:sz="8" w:color="0072CE"/>
            </w:tcBorders>
          </w:tcPr>
          <w:p>
            <w:pPr>
              <w:spacing w:after="0"/>
              <w:rPr>
                <w:sz w:val="18"/>
                <w:szCs w:val="18"/>
                <w:color w:val="auto"/>
              </w:rPr>
            </w:pPr>
          </w:p>
        </w:tc>
        <w:tc>
          <w:tcPr>
            <w:tcW w:w="260" w:type="dxa"/>
            <w:vAlign w:val="bottom"/>
            <w:tcBorders>
              <w:bottom w:val="single" w:sz="8" w:color="0072CE"/>
            </w:tcBorders>
          </w:tcPr>
          <w:p>
            <w:pPr>
              <w:spacing w:after="0"/>
              <w:rPr>
                <w:sz w:val="18"/>
                <w:szCs w:val="18"/>
                <w:color w:val="auto"/>
              </w:rPr>
            </w:pPr>
          </w:p>
        </w:tc>
      </w:tr>
    </w:tbl>
    <w:p>
      <w:pPr>
        <w:spacing w:after="0" w:line="125" w:lineRule="exact"/>
        <w:rPr>
          <w:sz w:val="20"/>
          <w:szCs w:val="20"/>
          <w:color w:val="auto"/>
        </w:rPr>
      </w:pPr>
    </w:p>
    <w:p>
      <w:pPr>
        <w:ind w:left="200" w:hanging="192"/>
        <w:spacing w:after="0"/>
        <w:tabs>
          <w:tab w:leader="none" w:pos="200" w:val="left"/>
        </w:tabs>
        <w:numPr>
          <w:ilvl w:val="0"/>
          <w:numId w:val="102"/>
        </w:numPr>
        <w:rPr>
          <w:rFonts w:ascii="Arial" w:cs="Arial" w:eastAsia="Arial" w:hAnsi="Arial"/>
          <w:sz w:val="19"/>
          <w:szCs w:val="19"/>
          <w:color w:val="3D3935"/>
          <w:vertAlign w:val="superscript"/>
        </w:rPr>
      </w:pPr>
      <w:r>
        <w:rPr>
          <w:rFonts w:ascii="Arial" w:cs="Arial" w:eastAsia="Arial" w:hAnsi="Arial"/>
          <w:sz w:val="14"/>
          <w:szCs w:val="14"/>
          <w:color w:val="3D3935"/>
        </w:rPr>
        <w:t>The awards are valued based on the closing price of GM common stock on the NYSE on December 29, 2024, which was $53.27.</w:t>
      </w:r>
    </w:p>
    <w:p>
      <w:pPr>
        <w:spacing w:after="0" w:line="43" w:lineRule="exact"/>
        <w:rPr>
          <w:rFonts w:ascii="Arial" w:cs="Arial" w:eastAsia="Arial" w:hAnsi="Arial"/>
          <w:sz w:val="19"/>
          <w:szCs w:val="19"/>
          <w:color w:val="3D3935"/>
          <w:vertAlign w:val="superscript"/>
        </w:rPr>
      </w:pPr>
    </w:p>
    <w:p>
      <w:pPr>
        <w:ind w:left="200" w:hanging="192"/>
        <w:spacing w:after="0" w:line="219" w:lineRule="auto"/>
        <w:tabs>
          <w:tab w:leader="none" w:pos="200" w:val="left"/>
        </w:tabs>
        <w:numPr>
          <w:ilvl w:val="0"/>
          <w:numId w:val="102"/>
        </w:numPr>
        <w:rPr>
          <w:rFonts w:ascii="Arial" w:cs="Arial" w:eastAsia="Arial" w:hAnsi="Arial"/>
          <w:sz w:val="19"/>
          <w:szCs w:val="19"/>
          <w:color w:val="3D3935"/>
          <w:vertAlign w:val="superscript"/>
        </w:rPr>
      </w:pPr>
      <w:r>
        <w:rPr>
          <w:rFonts w:ascii="Arial" w:cs="Arial" w:eastAsia="Arial" w:hAnsi="Arial"/>
          <w:sz w:val="14"/>
          <w:szCs w:val="14"/>
          <w:color w:val="3D3935"/>
        </w:rPr>
        <w:t>RSU awards granted on February 6, 2024, and vest ratably each February 6 of 2025, 2026, and 2027.</w:t>
      </w:r>
    </w:p>
    <w:p>
      <w:pPr>
        <w:sectPr>
          <w:pgSz w:w="11900" w:h="16856" w:orient="portrait"/>
          <w:cols w:equalWidth="0" w:num="1">
            <w:col w:w="9240"/>
          </w:cols>
          <w:pgMar w:left="1400" w:top="108" w:right="1259" w:bottom="0" w:gutter="0" w:footer="0" w:header="0"/>
        </w:sectPr>
      </w:pPr>
    </w:p>
    <w:bookmarkStart w:id="66" w:name="page67"/>
    <w:bookmarkEnd w:id="66"/>
    <w:p>
      <w:pPr>
        <w:ind w:left="200" w:hanging="192"/>
        <w:spacing w:after="0"/>
        <w:tabs>
          <w:tab w:leader="none" w:pos="200" w:val="left"/>
        </w:tabs>
        <w:numPr>
          <w:ilvl w:val="0"/>
          <w:numId w:val="103"/>
        </w:numPr>
        <w:rPr>
          <w:rFonts w:ascii="Arial" w:cs="Arial" w:eastAsia="Arial" w:hAnsi="Arial"/>
          <w:sz w:val="19"/>
          <w:szCs w:val="19"/>
          <w:color w:val="3D3935"/>
          <w:vertAlign w:val="superscript"/>
        </w:rPr>
      </w:pPr>
      <w:r>
        <w:rPr>
          <w:rFonts w:ascii="Arial" w:cs="Arial" w:eastAsia="Arial" w:hAnsi="Arial"/>
          <w:sz w:val="14"/>
          <w:szCs w:val="14"/>
          <w:color w:val="3D3935"/>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32937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10375" cy="3293745"/>
                    </a:xfrm>
                    <a:prstGeom prst="rect">
                      <a:avLst/>
                    </a:prstGeom>
                    <a:noFill/>
                  </pic:spPr>
                </pic:pic>
              </a:graphicData>
            </a:graphic>
          </wp:anchor>
        </w:drawing>
        <w:t>Stock options granted on February 7, 2023, vest ratably each February 7 of 2024, 2025, and 2026.</w:t>
      </w:r>
    </w:p>
    <w:p>
      <w:pPr>
        <w:spacing w:after="0" w:line="57" w:lineRule="exact"/>
        <w:rPr>
          <w:rFonts w:ascii="Arial" w:cs="Arial" w:eastAsia="Arial" w:hAnsi="Arial"/>
          <w:sz w:val="19"/>
          <w:szCs w:val="19"/>
          <w:color w:val="3D3935"/>
          <w:vertAlign w:val="superscript"/>
        </w:rPr>
      </w:pPr>
    </w:p>
    <w:p>
      <w:pPr>
        <w:ind w:left="200" w:hanging="192"/>
        <w:spacing w:after="0" w:line="204" w:lineRule="auto"/>
        <w:tabs>
          <w:tab w:leader="none" w:pos="200" w:val="left"/>
        </w:tabs>
        <w:numPr>
          <w:ilvl w:val="0"/>
          <w:numId w:val="103"/>
        </w:numPr>
        <w:rPr>
          <w:rFonts w:ascii="Arial" w:cs="Arial" w:eastAsia="Arial" w:hAnsi="Arial"/>
          <w:sz w:val="19"/>
          <w:szCs w:val="19"/>
          <w:color w:val="3D3935"/>
          <w:vertAlign w:val="superscript"/>
        </w:rPr>
      </w:pPr>
      <w:r>
        <w:rPr>
          <w:rFonts w:ascii="Arial" w:cs="Arial" w:eastAsia="Arial" w:hAnsi="Arial"/>
          <w:sz w:val="14"/>
          <w:szCs w:val="14"/>
          <w:color w:val="3D3935"/>
        </w:rPr>
        <w:t>Stock options granted on February 8, 2022, vest ratably each February 8 of 2023, 2024, and 2025.</w:t>
      </w:r>
    </w:p>
    <w:p>
      <w:pPr>
        <w:spacing w:after="0" w:line="53" w:lineRule="exact"/>
        <w:rPr>
          <w:rFonts w:ascii="Arial" w:cs="Arial" w:eastAsia="Arial" w:hAnsi="Arial"/>
          <w:sz w:val="19"/>
          <w:szCs w:val="19"/>
          <w:color w:val="3D3935"/>
          <w:vertAlign w:val="superscript"/>
        </w:rPr>
      </w:pPr>
    </w:p>
    <w:p>
      <w:pPr>
        <w:ind w:left="200" w:right="760" w:hanging="192"/>
        <w:spacing w:after="0" w:line="257" w:lineRule="auto"/>
        <w:tabs>
          <w:tab w:leader="none" w:pos="200" w:val="left"/>
        </w:tabs>
        <w:numPr>
          <w:ilvl w:val="0"/>
          <w:numId w:val="103"/>
        </w:numPr>
        <w:rPr>
          <w:rFonts w:ascii="Arial" w:cs="Arial" w:eastAsia="Arial" w:hAnsi="Arial"/>
          <w:sz w:val="19"/>
          <w:szCs w:val="19"/>
          <w:color w:val="3D3935"/>
          <w:vertAlign w:val="superscript"/>
        </w:rPr>
      </w:pPr>
      <w:r>
        <w:rPr>
          <w:rFonts w:ascii="Arial" w:cs="Arial" w:eastAsia="Arial" w:hAnsi="Arial"/>
          <w:sz w:val="14"/>
          <w:szCs w:val="14"/>
          <w:color w:val="3D3935"/>
        </w:rPr>
        <w:t>2022-2024 PSU awards granted on February 8, 2022, cliff-vested on February 8, 2025, upon determination of results for the performance period January 1, 2022–December 31, 2024. The final performance of the 2022–2024 PSU award was 80% and is discussed on page 59.</w:t>
      </w:r>
    </w:p>
    <w:p>
      <w:pPr>
        <w:spacing w:after="0" w:line="27" w:lineRule="exact"/>
        <w:rPr>
          <w:rFonts w:ascii="Arial" w:cs="Arial" w:eastAsia="Arial" w:hAnsi="Arial"/>
          <w:sz w:val="19"/>
          <w:szCs w:val="19"/>
          <w:color w:val="3D3935"/>
          <w:vertAlign w:val="superscript"/>
        </w:rPr>
      </w:pPr>
    </w:p>
    <w:p>
      <w:pPr>
        <w:ind w:left="200" w:hanging="192"/>
        <w:spacing w:after="0"/>
        <w:tabs>
          <w:tab w:leader="none" w:pos="200" w:val="left"/>
        </w:tabs>
        <w:numPr>
          <w:ilvl w:val="0"/>
          <w:numId w:val="103"/>
        </w:numPr>
        <w:rPr>
          <w:rFonts w:ascii="Arial" w:cs="Arial" w:eastAsia="Arial" w:hAnsi="Arial"/>
          <w:sz w:val="19"/>
          <w:szCs w:val="19"/>
          <w:color w:val="3D3935"/>
          <w:vertAlign w:val="superscript"/>
        </w:rPr>
      </w:pPr>
      <w:r>
        <w:rPr>
          <w:rFonts w:ascii="Arial" w:cs="Arial" w:eastAsia="Arial" w:hAnsi="Arial"/>
          <w:sz w:val="14"/>
          <w:szCs w:val="14"/>
          <w:color w:val="3D3935"/>
        </w:rPr>
        <w:t>RSU awards granted to Mr. Glidden on December 13, 2023, vest in full on December 13, 2025.</w:t>
      </w:r>
    </w:p>
    <w:p>
      <w:pPr>
        <w:spacing w:after="0" w:line="52" w:lineRule="exact"/>
        <w:rPr>
          <w:rFonts w:ascii="Arial" w:cs="Arial" w:eastAsia="Arial" w:hAnsi="Arial"/>
          <w:sz w:val="19"/>
          <w:szCs w:val="19"/>
          <w:color w:val="3D3935"/>
          <w:vertAlign w:val="superscript"/>
        </w:rPr>
      </w:pPr>
    </w:p>
    <w:p>
      <w:pPr>
        <w:ind w:left="200" w:right="320" w:hanging="192"/>
        <w:spacing w:after="0" w:line="239" w:lineRule="auto"/>
        <w:tabs>
          <w:tab w:leader="none" w:pos="200" w:val="left"/>
        </w:tabs>
        <w:numPr>
          <w:ilvl w:val="0"/>
          <w:numId w:val="103"/>
        </w:numPr>
        <w:rPr>
          <w:rFonts w:ascii="Arial" w:cs="Arial" w:eastAsia="Arial" w:hAnsi="Arial"/>
          <w:sz w:val="19"/>
          <w:szCs w:val="19"/>
          <w:color w:val="3D3935"/>
          <w:vertAlign w:val="superscript"/>
        </w:rPr>
      </w:pPr>
      <w:r>
        <w:rPr>
          <w:rFonts w:ascii="Arial" w:cs="Arial" w:eastAsia="Arial" w:hAnsi="Arial"/>
          <w:sz w:val="14"/>
          <w:szCs w:val="14"/>
          <w:color w:val="3D3935"/>
        </w:rPr>
        <w:t>2024-2026 PSU awards granted on February 6, 2024, cliff-vest on February 6, 2027, upon determination of results for the performance period January 1, 2024 - December 31, 2026.</w:t>
      </w:r>
    </w:p>
    <w:p>
      <w:pPr>
        <w:spacing w:after="0" w:line="54" w:lineRule="exact"/>
        <w:rPr>
          <w:rFonts w:ascii="Arial" w:cs="Arial" w:eastAsia="Arial" w:hAnsi="Arial"/>
          <w:sz w:val="19"/>
          <w:szCs w:val="19"/>
          <w:color w:val="3D3935"/>
          <w:vertAlign w:val="superscript"/>
        </w:rPr>
      </w:pPr>
    </w:p>
    <w:p>
      <w:pPr>
        <w:ind w:left="200" w:right="260" w:hanging="192"/>
        <w:spacing w:after="0" w:line="239" w:lineRule="auto"/>
        <w:tabs>
          <w:tab w:leader="none" w:pos="200" w:val="left"/>
        </w:tabs>
        <w:numPr>
          <w:ilvl w:val="0"/>
          <w:numId w:val="103"/>
        </w:numPr>
        <w:rPr>
          <w:rFonts w:ascii="Arial" w:cs="Arial" w:eastAsia="Arial" w:hAnsi="Arial"/>
          <w:sz w:val="19"/>
          <w:szCs w:val="19"/>
          <w:color w:val="3D3935"/>
          <w:vertAlign w:val="superscript"/>
        </w:rPr>
      </w:pPr>
      <w:r>
        <w:rPr>
          <w:rFonts w:ascii="Arial" w:cs="Arial" w:eastAsia="Arial" w:hAnsi="Arial"/>
          <w:sz w:val="14"/>
          <w:szCs w:val="14"/>
          <w:color w:val="3D3935"/>
        </w:rPr>
        <w:t>2023-2025 PSU awards granted on February 7, 2023, and July 3, 2023, cliff-vest on February 7, 2026, upon determination of results for the performance period January 1, 2023–December 31, 2025.</w:t>
      </w:r>
    </w:p>
    <w:p>
      <w:pPr>
        <w:spacing w:after="0" w:line="67" w:lineRule="exact"/>
        <w:rPr>
          <w:rFonts w:ascii="Arial" w:cs="Arial" w:eastAsia="Arial" w:hAnsi="Arial"/>
          <w:sz w:val="19"/>
          <w:szCs w:val="19"/>
          <w:color w:val="3D3935"/>
          <w:vertAlign w:val="superscript"/>
        </w:rPr>
      </w:pPr>
    </w:p>
    <w:p>
      <w:pPr>
        <w:ind w:left="200" w:right="380" w:hanging="192"/>
        <w:spacing w:after="0" w:line="264" w:lineRule="auto"/>
        <w:tabs>
          <w:tab w:leader="none" w:pos="200" w:val="left"/>
        </w:tabs>
        <w:numPr>
          <w:ilvl w:val="0"/>
          <w:numId w:val="103"/>
        </w:numPr>
        <w:rPr>
          <w:rFonts w:ascii="Arial" w:cs="Arial" w:eastAsia="Arial" w:hAnsi="Arial"/>
          <w:sz w:val="19"/>
          <w:szCs w:val="19"/>
          <w:color w:val="3D3935"/>
          <w:vertAlign w:val="superscript"/>
        </w:rPr>
      </w:pPr>
      <w:r>
        <w:rPr>
          <w:rFonts w:ascii="Arial" w:cs="Arial" w:eastAsia="Arial" w:hAnsi="Arial"/>
          <w:sz w:val="14"/>
          <w:szCs w:val="14"/>
          <w:color w:val="3D3935"/>
        </w:rPr>
        <w:t>Assumes target-level payout of PSU awards. The number of shares (and market value of such shares) for maximum-level payout with respect to unvested 2024–2026 PSUs granted on February 6, 2024, outstanding as of December 31, 2024, for Ms. Barra is 675,726 ($35,995,924); for Mr. Jacobson is 322,270 ($17,167,323); for Mr. Reuss is 483,836 ($25,773,944); for Mr. Glidden is 243,434 ($12,967,729); and for Mr. Harvey is 245,600 and ($13,083,112).</w:t>
      </w:r>
    </w:p>
    <w:p>
      <w:pPr>
        <w:spacing w:after="0" w:line="38" w:lineRule="exact"/>
        <w:rPr>
          <w:rFonts w:ascii="Arial" w:cs="Arial" w:eastAsia="Arial" w:hAnsi="Arial"/>
          <w:sz w:val="19"/>
          <w:szCs w:val="19"/>
          <w:color w:val="3D3935"/>
          <w:vertAlign w:val="superscript"/>
        </w:rPr>
      </w:pPr>
    </w:p>
    <w:p>
      <w:pPr>
        <w:ind w:left="200" w:right="360" w:hanging="192"/>
        <w:spacing w:after="0" w:line="324" w:lineRule="auto"/>
        <w:tabs>
          <w:tab w:leader="none" w:pos="200" w:val="left"/>
        </w:tabs>
        <w:numPr>
          <w:ilvl w:val="0"/>
          <w:numId w:val="103"/>
        </w:numPr>
        <w:rPr>
          <w:rFonts w:ascii="Arial" w:cs="Arial" w:eastAsia="Arial" w:hAnsi="Arial"/>
          <w:sz w:val="16"/>
          <w:szCs w:val="16"/>
          <w:color w:val="3D3935"/>
          <w:vertAlign w:val="superscript"/>
        </w:rPr>
      </w:pPr>
      <w:r>
        <w:rPr>
          <w:rFonts w:ascii="Arial" w:cs="Arial" w:eastAsia="Arial" w:hAnsi="Arial"/>
          <w:sz w:val="12"/>
          <w:szCs w:val="12"/>
          <w:color w:val="3D3935"/>
        </w:rPr>
        <w:t>Assumes target-level payout of PSU awards. The number of shares (and market value of such shares) for maximum-level payout with respect to unvested 2023–2025 PSUs granted on February 7, 2023, and July 3, 2023, outstanding as of December 31, 2024, for Ms. Barra is 644,170 ($34,314,936); for Mr. Jacobson is 272,534 ($14,517,886); for Mr. Reuss is 461,242 ($24,570,361); for Mr. Glidden is 215,754 ($11,493,216); and for Mr. Harvey is 217,952 ($11,610,303).</w:t>
      </w:r>
    </w:p>
    <w:p>
      <w:pPr>
        <w:spacing w:after="0" w:line="16" w:lineRule="exact"/>
        <w:rPr>
          <w:rFonts w:ascii="Arial" w:cs="Arial" w:eastAsia="Arial" w:hAnsi="Arial"/>
          <w:sz w:val="16"/>
          <w:szCs w:val="16"/>
          <w:color w:val="3D3935"/>
          <w:vertAlign w:val="superscript"/>
        </w:rPr>
      </w:pPr>
    </w:p>
    <w:p>
      <w:pPr>
        <w:ind w:left="200" w:hanging="192"/>
        <w:spacing w:after="0"/>
        <w:tabs>
          <w:tab w:leader="none" w:pos="200" w:val="left"/>
        </w:tabs>
        <w:numPr>
          <w:ilvl w:val="0"/>
          <w:numId w:val="103"/>
        </w:numPr>
        <w:rPr>
          <w:rFonts w:ascii="Arial" w:cs="Arial" w:eastAsia="Arial" w:hAnsi="Arial"/>
          <w:sz w:val="16"/>
          <w:szCs w:val="16"/>
          <w:color w:val="3D3935"/>
          <w:vertAlign w:val="superscript"/>
        </w:rPr>
      </w:pPr>
      <w:r>
        <w:rPr>
          <w:rFonts w:ascii="Arial" w:cs="Arial" w:eastAsia="Arial" w:hAnsi="Arial"/>
          <w:sz w:val="12"/>
          <w:szCs w:val="12"/>
          <w:color w:val="3D3935"/>
        </w:rPr>
        <w:t>Upon his resignation, Mr. Abbott forfeited all outstanding equity awards.</w:t>
      </w:r>
    </w:p>
    <w:p>
      <w:pPr>
        <w:spacing w:after="0" w:line="200" w:lineRule="exact"/>
        <w:rPr>
          <w:sz w:val="20"/>
          <w:szCs w:val="20"/>
          <w:color w:val="auto"/>
        </w:rPr>
      </w:pPr>
    </w:p>
    <w:p>
      <w:pPr>
        <w:spacing w:after="0" w:line="372"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70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3D3935"/>
              </w:rPr>
              <w:t>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7139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10375" cy="7139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Option Exercises and Stock Vested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900" w:type="dxa"/>
            <w:vAlign w:val="bottom"/>
            <w:shd w:val="clear" w:color="auto" w:fill="F0F3F5"/>
          </w:tcPr>
          <w:p>
            <w:pPr>
              <w:spacing w:after="0"/>
              <w:rPr>
                <w:sz w:val="22"/>
                <w:szCs w:val="22"/>
                <w:color w:val="auto"/>
              </w:rPr>
            </w:pPr>
          </w:p>
        </w:tc>
        <w:tc>
          <w:tcPr>
            <w:tcW w:w="2160" w:type="dxa"/>
            <w:vAlign w:val="bottom"/>
            <w:gridSpan w:val="3"/>
            <w:shd w:val="clear" w:color="auto" w:fill="F0F3F5"/>
          </w:tcPr>
          <w:p>
            <w:pPr>
              <w:ind w:left="460"/>
              <w:spacing w:after="0"/>
              <w:rPr>
                <w:sz w:val="20"/>
                <w:szCs w:val="20"/>
                <w:color w:val="auto"/>
              </w:rPr>
            </w:pPr>
            <w:r>
              <w:rPr>
                <w:rFonts w:ascii="Arial" w:cs="Arial" w:eastAsia="Arial" w:hAnsi="Arial"/>
                <w:sz w:val="14"/>
                <w:szCs w:val="14"/>
                <w:b w:val="1"/>
                <w:bCs w:val="1"/>
                <w:color w:val="3D3935"/>
              </w:rPr>
              <w:t>Option Awards</w:t>
            </w:r>
            <w:r>
              <w:rPr>
                <w:rFonts w:ascii="Arial" w:cs="Arial" w:eastAsia="Arial" w:hAnsi="Arial"/>
                <w:sz w:val="18"/>
                <w:szCs w:val="18"/>
                <w:b w:val="1"/>
                <w:bCs w:val="1"/>
                <w:color w:val="3D3935"/>
                <w:vertAlign w:val="superscript"/>
              </w:rPr>
              <w:t>(1)</w:t>
            </w:r>
          </w:p>
        </w:tc>
        <w:tc>
          <w:tcPr>
            <w:tcW w:w="2020" w:type="dxa"/>
            <w:vAlign w:val="bottom"/>
            <w:gridSpan w:val="2"/>
            <w:shd w:val="clear" w:color="auto" w:fill="F0F3F5"/>
          </w:tcPr>
          <w:p>
            <w:pPr>
              <w:jc w:val="right"/>
              <w:ind w:right="403"/>
              <w:spacing w:after="0"/>
              <w:rPr>
                <w:sz w:val="20"/>
                <w:szCs w:val="20"/>
                <w:color w:val="auto"/>
              </w:rPr>
            </w:pPr>
            <w:r>
              <w:rPr>
                <w:rFonts w:ascii="Arial" w:cs="Arial" w:eastAsia="Arial" w:hAnsi="Arial"/>
                <w:sz w:val="14"/>
                <w:szCs w:val="14"/>
                <w:b w:val="1"/>
                <w:bCs w:val="1"/>
                <w:color w:val="3D3935"/>
              </w:rPr>
              <w:t>Stock Awards</w:t>
            </w:r>
            <w:r>
              <w:rPr>
                <w:rFonts w:ascii="Arial" w:cs="Arial" w:eastAsia="Arial" w:hAnsi="Arial"/>
                <w:sz w:val="18"/>
                <w:szCs w:val="18"/>
                <w:b w:val="1"/>
                <w:bCs w:val="1"/>
                <w:color w:val="3D3935"/>
                <w:vertAlign w:val="superscript"/>
              </w:rPr>
              <w:t>(2)</w:t>
            </w:r>
          </w:p>
        </w:tc>
      </w:tr>
      <w:tr>
        <w:trPr>
          <w:trHeight w:val="200"/>
        </w:trPr>
        <w:tc>
          <w:tcPr>
            <w:tcW w:w="4900" w:type="dxa"/>
            <w:vAlign w:val="bottom"/>
            <w:tcBorders>
              <w:top w:val="single" w:sz="8" w:color="F0F3F5"/>
            </w:tcBorders>
            <w:shd w:val="clear" w:color="auto" w:fill="F0F3F5"/>
          </w:tcPr>
          <w:p>
            <w:pPr>
              <w:spacing w:after="0"/>
              <w:rPr>
                <w:sz w:val="17"/>
                <w:szCs w:val="17"/>
                <w:color w:val="auto"/>
              </w:rPr>
            </w:pPr>
          </w:p>
        </w:tc>
        <w:tc>
          <w:tcPr>
            <w:tcW w:w="1080" w:type="dxa"/>
            <w:vAlign w:val="bottom"/>
            <w:tcBorders>
              <w:top w:val="single" w:sz="8" w:color="0072CE"/>
            </w:tcBorders>
            <w:shd w:val="clear" w:color="auto" w:fill="F0F3F5"/>
          </w:tcPr>
          <w:p>
            <w:pPr>
              <w:jc w:val="right"/>
              <w:ind w:right="64"/>
              <w:spacing w:after="0"/>
              <w:rPr>
                <w:sz w:val="20"/>
                <w:szCs w:val="20"/>
                <w:color w:val="auto"/>
              </w:rPr>
            </w:pPr>
            <w:r>
              <w:rPr>
                <w:rFonts w:ascii="Arial" w:cs="Arial" w:eastAsia="Arial" w:hAnsi="Arial"/>
                <w:sz w:val="14"/>
                <w:szCs w:val="14"/>
                <w:b w:val="1"/>
                <w:bCs w:val="1"/>
                <w:color w:val="3D3935"/>
              </w:rPr>
              <w:t>Number of</w:t>
            </w:r>
          </w:p>
        </w:tc>
        <w:tc>
          <w:tcPr>
            <w:tcW w:w="940" w:type="dxa"/>
            <w:vAlign w:val="bottom"/>
            <w:tcBorders>
              <w:top w:val="single" w:sz="8" w:color="0072CE"/>
            </w:tcBorders>
            <w:shd w:val="clear" w:color="auto" w:fill="F0F3F5"/>
          </w:tcPr>
          <w:p>
            <w:pPr>
              <w:spacing w:after="0"/>
              <w:rPr>
                <w:sz w:val="17"/>
                <w:szCs w:val="17"/>
                <w:color w:val="auto"/>
              </w:rPr>
            </w:pPr>
          </w:p>
        </w:tc>
        <w:tc>
          <w:tcPr>
            <w:tcW w:w="140" w:type="dxa"/>
            <w:vAlign w:val="bottom"/>
            <w:tcBorders>
              <w:top w:val="single" w:sz="8" w:color="F0F3F5"/>
            </w:tcBorders>
            <w:shd w:val="clear" w:color="auto" w:fill="F0F3F5"/>
          </w:tcPr>
          <w:p>
            <w:pPr>
              <w:spacing w:after="0"/>
              <w:rPr>
                <w:sz w:val="17"/>
                <w:szCs w:val="17"/>
                <w:color w:val="auto"/>
              </w:rPr>
            </w:pPr>
          </w:p>
        </w:tc>
        <w:tc>
          <w:tcPr>
            <w:tcW w:w="1100" w:type="dxa"/>
            <w:vAlign w:val="bottom"/>
            <w:tcBorders>
              <w:top w:val="single" w:sz="8" w:color="0072CE"/>
            </w:tcBorders>
            <w:shd w:val="clear" w:color="auto" w:fill="F0F3F5"/>
          </w:tcPr>
          <w:p>
            <w:pPr>
              <w:jc w:val="right"/>
              <w:ind w:right="84"/>
              <w:spacing w:after="0"/>
              <w:rPr>
                <w:sz w:val="20"/>
                <w:szCs w:val="20"/>
                <w:color w:val="auto"/>
              </w:rPr>
            </w:pPr>
            <w:r>
              <w:rPr>
                <w:rFonts w:ascii="Arial" w:cs="Arial" w:eastAsia="Arial" w:hAnsi="Arial"/>
                <w:sz w:val="14"/>
                <w:szCs w:val="14"/>
                <w:b w:val="1"/>
                <w:bCs w:val="1"/>
                <w:color w:val="3D3935"/>
              </w:rPr>
              <w:t>Number of</w:t>
            </w:r>
          </w:p>
        </w:tc>
        <w:tc>
          <w:tcPr>
            <w:tcW w:w="920" w:type="dxa"/>
            <w:vAlign w:val="bottom"/>
            <w:tcBorders>
              <w:top w:val="single" w:sz="8" w:color="0072CE"/>
            </w:tcBorders>
            <w:shd w:val="clear" w:color="auto" w:fill="F0F3F5"/>
          </w:tcPr>
          <w:p>
            <w:pPr>
              <w:spacing w:after="0"/>
              <w:rPr>
                <w:sz w:val="17"/>
                <w:szCs w:val="17"/>
                <w:color w:val="auto"/>
              </w:rPr>
            </w:pPr>
          </w:p>
        </w:tc>
      </w:tr>
      <w:tr>
        <w:trPr>
          <w:trHeight w:val="162"/>
        </w:trPr>
        <w:tc>
          <w:tcPr>
            <w:tcW w:w="4900" w:type="dxa"/>
            <w:vAlign w:val="bottom"/>
            <w:shd w:val="clear" w:color="auto" w:fill="F0F3F5"/>
          </w:tcPr>
          <w:p>
            <w:pPr>
              <w:spacing w:after="0"/>
              <w:rPr>
                <w:sz w:val="14"/>
                <w:szCs w:val="14"/>
                <w:color w:val="auto"/>
              </w:rPr>
            </w:pPr>
          </w:p>
        </w:tc>
        <w:tc>
          <w:tcPr>
            <w:tcW w:w="1080" w:type="dxa"/>
            <w:vAlign w:val="bottom"/>
            <w:shd w:val="clear" w:color="auto" w:fill="F0F3F5"/>
          </w:tcPr>
          <w:p>
            <w:pPr>
              <w:jc w:val="right"/>
              <w:ind w:right="64"/>
              <w:spacing w:after="0"/>
              <w:rPr>
                <w:sz w:val="20"/>
                <w:szCs w:val="20"/>
                <w:color w:val="auto"/>
              </w:rPr>
            </w:pPr>
            <w:r>
              <w:rPr>
                <w:rFonts w:ascii="Arial" w:cs="Arial" w:eastAsia="Arial" w:hAnsi="Arial"/>
                <w:sz w:val="14"/>
                <w:szCs w:val="14"/>
                <w:b w:val="1"/>
                <w:bCs w:val="1"/>
                <w:color w:val="3D3935"/>
              </w:rPr>
              <w:t>Shares</w:t>
            </w:r>
          </w:p>
        </w:tc>
        <w:tc>
          <w:tcPr>
            <w:tcW w:w="1080" w:type="dxa"/>
            <w:vAlign w:val="bottom"/>
            <w:gridSpan w:val="2"/>
            <w:shd w:val="clear" w:color="auto" w:fill="F0F3F5"/>
          </w:tcPr>
          <w:p>
            <w:pPr>
              <w:jc w:val="right"/>
              <w:ind w:right="200"/>
              <w:spacing w:after="0"/>
              <w:rPr>
                <w:sz w:val="20"/>
                <w:szCs w:val="20"/>
                <w:color w:val="auto"/>
              </w:rPr>
            </w:pPr>
            <w:r>
              <w:rPr>
                <w:rFonts w:ascii="Arial" w:cs="Arial" w:eastAsia="Arial" w:hAnsi="Arial"/>
                <w:sz w:val="14"/>
                <w:szCs w:val="14"/>
                <w:b w:val="1"/>
                <w:bCs w:val="1"/>
                <w:color w:val="3D3935"/>
              </w:rPr>
              <w:t>Value</w:t>
            </w:r>
          </w:p>
        </w:tc>
        <w:tc>
          <w:tcPr>
            <w:tcW w:w="1100" w:type="dxa"/>
            <w:vAlign w:val="bottom"/>
            <w:shd w:val="clear" w:color="auto" w:fill="F0F3F5"/>
          </w:tcPr>
          <w:p>
            <w:pPr>
              <w:jc w:val="right"/>
              <w:ind w:right="84"/>
              <w:spacing w:after="0"/>
              <w:rPr>
                <w:sz w:val="20"/>
                <w:szCs w:val="20"/>
                <w:color w:val="auto"/>
              </w:rPr>
            </w:pPr>
            <w:r>
              <w:rPr>
                <w:rFonts w:ascii="Arial" w:cs="Arial" w:eastAsia="Arial" w:hAnsi="Arial"/>
                <w:sz w:val="14"/>
                <w:szCs w:val="14"/>
                <w:b w:val="1"/>
                <w:bCs w:val="1"/>
                <w:color w:val="3D3935"/>
              </w:rPr>
              <w:t>Shares</w:t>
            </w:r>
          </w:p>
        </w:tc>
        <w:tc>
          <w:tcPr>
            <w:tcW w:w="920" w:type="dxa"/>
            <w:vAlign w:val="bottom"/>
            <w:shd w:val="clear" w:color="auto" w:fill="F0F3F5"/>
          </w:tcPr>
          <w:p>
            <w:pPr>
              <w:jc w:val="right"/>
              <w:spacing w:after="0"/>
              <w:rPr>
                <w:sz w:val="20"/>
                <w:szCs w:val="20"/>
                <w:color w:val="auto"/>
              </w:rPr>
            </w:pPr>
            <w:r>
              <w:rPr>
                <w:rFonts w:ascii="Arial" w:cs="Arial" w:eastAsia="Arial" w:hAnsi="Arial"/>
                <w:sz w:val="14"/>
                <w:szCs w:val="14"/>
                <w:b w:val="1"/>
                <w:bCs w:val="1"/>
                <w:color w:val="3D3935"/>
              </w:rPr>
              <w:t>Value</w:t>
            </w:r>
          </w:p>
        </w:tc>
      </w:tr>
      <w:tr>
        <w:trPr>
          <w:trHeight w:val="175"/>
        </w:trPr>
        <w:tc>
          <w:tcPr>
            <w:tcW w:w="4900" w:type="dxa"/>
            <w:vAlign w:val="bottom"/>
            <w:shd w:val="clear" w:color="auto" w:fill="F0F3F5"/>
          </w:tcPr>
          <w:p>
            <w:pPr>
              <w:spacing w:after="0"/>
              <w:rPr>
                <w:sz w:val="15"/>
                <w:szCs w:val="15"/>
                <w:color w:val="auto"/>
              </w:rPr>
            </w:pPr>
          </w:p>
        </w:tc>
        <w:tc>
          <w:tcPr>
            <w:tcW w:w="1080" w:type="dxa"/>
            <w:vAlign w:val="bottom"/>
            <w:shd w:val="clear" w:color="auto" w:fill="F0F3F5"/>
          </w:tcPr>
          <w:p>
            <w:pPr>
              <w:jc w:val="right"/>
              <w:ind w:right="64"/>
              <w:spacing w:after="0"/>
              <w:rPr>
                <w:sz w:val="20"/>
                <w:szCs w:val="20"/>
                <w:color w:val="auto"/>
              </w:rPr>
            </w:pPr>
            <w:r>
              <w:rPr>
                <w:rFonts w:ascii="Arial" w:cs="Arial" w:eastAsia="Arial" w:hAnsi="Arial"/>
                <w:sz w:val="14"/>
                <w:szCs w:val="14"/>
                <w:b w:val="1"/>
                <w:bCs w:val="1"/>
                <w:color w:val="3D3935"/>
              </w:rPr>
              <w:t>Acquired</w:t>
            </w:r>
          </w:p>
        </w:tc>
        <w:tc>
          <w:tcPr>
            <w:tcW w:w="1080" w:type="dxa"/>
            <w:vAlign w:val="bottom"/>
            <w:gridSpan w:val="2"/>
            <w:shd w:val="clear" w:color="auto" w:fill="F0F3F5"/>
          </w:tcPr>
          <w:p>
            <w:pPr>
              <w:jc w:val="right"/>
              <w:ind w:right="180"/>
              <w:spacing w:after="0"/>
              <w:rPr>
                <w:sz w:val="20"/>
                <w:szCs w:val="20"/>
                <w:color w:val="auto"/>
              </w:rPr>
            </w:pPr>
            <w:r>
              <w:rPr>
                <w:rFonts w:ascii="Arial" w:cs="Arial" w:eastAsia="Arial" w:hAnsi="Arial"/>
                <w:sz w:val="14"/>
                <w:szCs w:val="14"/>
                <w:b w:val="1"/>
                <w:bCs w:val="1"/>
                <w:color w:val="3D3935"/>
              </w:rPr>
              <w:t>Realized on</w:t>
            </w:r>
          </w:p>
        </w:tc>
        <w:tc>
          <w:tcPr>
            <w:tcW w:w="1100" w:type="dxa"/>
            <w:vAlign w:val="bottom"/>
            <w:shd w:val="clear" w:color="auto" w:fill="F0F3F5"/>
          </w:tcPr>
          <w:p>
            <w:pPr>
              <w:jc w:val="right"/>
              <w:ind w:right="84"/>
              <w:spacing w:after="0"/>
              <w:rPr>
                <w:sz w:val="20"/>
                <w:szCs w:val="20"/>
                <w:color w:val="auto"/>
              </w:rPr>
            </w:pPr>
            <w:r>
              <w:rPr>
                <w:rFonts w:ascii="Arial" w:cs="Arial" w:eastAsia="Arial" w:hAnsi="Arial"/>
                <w:sz w:val="14"/>
                <w:szCs w:val="14"/>
                <w:b w:val="1"/>
                <w:bCs w:val="1"/>
                <w:color w:val="3D3935"/>
              </w:rPr>
              <w:t>Acquired</w:t>
            </w:r>
          </w:p>
        </w:tc>
        <w:tc>
          <w:tcPr>
            <w:tcW w:w="920" w:type="dxa"/>
            <w:vAlign w:val="bottom"/>
            <w:shd w:val="clear" w:color="auto" w:fill="F0F3F5"/>
          </w:tcPr>
          <w:p>
            <w:pPr>
              <w:ind w:left="80"/>
              <w:spacing w:after="0"/>
              <w:rPr>
                <w:sz w:val="20"/>
                <w:szCs w:val="20"/>
                <w:color w:val="auto"/>
              </w:rPr>
            </w:pPr>
            <w:r>
              <w:rPr>
                <w:rFonts w:ascii="Arial" w:cs="Arial" w:eastAsia="Arial" w:hAnsi="Arial"/>
                <w:sz w:val="14"/>
                <w:szCs w:val="14"/>
                <w:b w:val="1"/>
                <w:bCs w:val="1"/>
                <w:color w:val="3D3935"/>
              </w:rPr>
              <w:t>Realized on</w:t>
            </w:r>
          </w:p>
        </w:tc>
      </w:tr>
      <w:tr>
        <w:trPr>
          <w:trHeight w:val="175"/>
        </w:trPr>
        <w:tc>
          <w:tcPr>
            <w:tcW w:w="4900" w:type="dxa"/>
            <w:vAlign w:val="bottom"/>
            <w:shd w:val="clear" w:color="auto" w:fill="F0F3F5"/>
          </w:tcPr>
          <w:p>
            <w:pPr>
              <w:spacing w:after="0"/>
              <w:rPr>
                <w:sz w:val="15"/>
                <w:szCs w:val="15"/>
                <w:color w:val="auto"/>
              </w:rPr>
            </w:pPr>
          </w:p>
        </w:tc>
        <w:tc>
          <w:tcPr>
            <w:tcW w:w="1080" w:type="dxa"/>
            <w:vAlign w:val="bottom"/>
            <w:shd w:val="clear" w:color="auto" w:fill="F0F3F5"/>
          </w:tcPr>
          <w:p>
            <w:pPr>
              <w:jc w:val="right"/>
              <w:ind w:right="44"/>
              <w:spacing w:after="0"/>
              <w:rPr>
                <w:sz w:val="20"/>
                <w:szCs w:val="20"/>
                <w:color w:val="auto"/>
              </w:rPr>
            </w:pPr>
            <w:r>
              <w:rPr>
                <w:rFonts w:ascii="Arial" w:cs="Arial" w:eastAsia="Arial" w:hAnsi="Arial"/>
                <w:sz w:val="14"/>
                <w:szCs w:val="14"/>
                <w:b w:val="1"/>
                <w:bCs w:val="1"/>
                <w:color w:val="3D3935"/>
              </w:rPr>
              <w:t>on Exercise</w:t>
            </w:r>
          </w:p>
        </w:tc>
        <w:tc>
          <w:tcPr>
            <w:tcW w:w="1080" w:type="dxa"/>
            <w:vAlign w:val="bottom"/>
            <w:gridSpan w:val="2"/>
            <w:shd w:val="clear" w:color="auto" w:fill="F0F3F5"/>
          </w:tcPr>
          <w:p>
            <w:pPr>
              <w:jc w:val="right"/>
              <w:ind w:right="180"/>
              <w:spacing w:after="0"/>
              <w:rPr>
                <w:sz w:val="20"/>
                <w:szCs w:val="20"/>
                <w:color w:val="auto"/>
              </w:rPr>
            </w:pPr>
            <w:r>
              <w:rPr>
                <w:rFonts w:ascii="Arial" w:cs="Arial" w:eastAsia="Arial" w:hAnsi="Arial"/>
                <w:sz w:val="14"/>
                <w:szCs w:val="14"/>
                <w:b w:val="1"/>
                <w:bCs w:val="1"/>
                <w:color w:val="3D3935"/>
              </w:rPr>
              <w:t>Exercise</w:t>
            </w:r>
          </w:p>
        </w:tc>
        <w:tc>
          <w:tcPr>
            <w:tcW w:w="1100" w:type="dxa"/>
            <w:vAlign w:val="bottom"/>
            <w:shd w:val="clear" w:color="auto" w:fill="F0F3F5"/>
          </w:tcPr>
          <w:p>
            <w:pPr>
              <w:jc w:val="right"/>
              <w:ind w:right="84"/>
              <w:spacing w:after="0"/>
              <w:rPr>
                <w:sz w:val="20"/>
                <w:szCs w:val="20"/>
                <w:color w:val="auto"/>
              </w:rPr>
            </w:pPr>
            <w:r>
              <w:rPr>
                <w:rFonts w:ascii="Arial" w:cs="Arial" w:eastAsia="Arial" w:hAnsi="Arial"/>
                <w:sz w:val="14"/>
                <w:szCs w:val="14"/>
                <w:b w:val="1"/>
                <w:bCs w:val="1"/>
                <w:color w:val="3D3935"/>
              </w:rPr>
              <w:t>on Vesting</w:t>
            </w:r>
          </w:p>
        </w:tc>
        <w:tc>
          <w:tcPr>
            <w:tcW w:w="920" w:type="dxa"/>
            <w:vAlign w:val="bottom"/>
            <w:shd w:val="clear" w:color="auto" w:fill="F0F3F5"/>
          </w:tcPr>
          <w:p>
            <w:pPr>
              <w:jc w:val="right"/>
              <w:spacing w:after="0"/>
              <w:rPr>
                <w:sz w:val="20"/>
                <w:szCs w:val="20"/>
                <w:color w:val="auto"/>
              </w:rPr>
            </w:pPr>
            <w:r>
              <w:rPr>
                <w:rFonts w:ascii="Arial" w:cs="Arial" w:eastAsia="Arial" w:hAnsi="Arial"/>
                <w:sz w:val="14"/>
                <w:szCs w:val="14"/>
                <w:b w:val="1"/>
                <w:bCs w:val="1"/>
                <w:color w:val="3D3935"/>
              </w:rPr>
              <w:t>Vesting</w:t>
            </w:r>
          </w:p>
        </w:tc>
      </w:tr>
      <w:tr>
        <w:trPr>
          <w:trHeight w:val="197"/>
        </w:trPr>
        <w:tc>
          <w:tcPr>
            <w:tcW w:w="4900" w:type="dxa"/>
            <w:vAlign w:val="bottom"/>
            <w:tcBorders>
              <w:bottom w:val="single" w:sz="8" w:color="0072CE"/>
            </w:tcBorders>
            <w:shd w:val="clear" w:color="auto" w:fill="F0F3F5"/>
          </w:tcPr>
          <w:p>
            <w:pPr>
              <w:ind w:left="60"/>
              <w:spacing w:after="0"/>
              <w:rPr>
                <w:sz w:val="20"/>
                <w:szCs w:val="20"/>
                <w:color w:val="auto"/>
              </w:rPr>
            </w:pPr>
            <w:r>
              <w:rPr>
                <w:rFonts w:ascii="Arial" w:cs="Arial" w:eastAsia="Arial" w:hAnsi="Arial"/>
                <w:sz w:val="14"/>
                <w:szCs w:val="14"/>
                <w:b w:val="1"/>
                <w:bCs w:val="1"/>
                <w:color w:val="3D3935"/>
              </w:rPr>
              <w:t>Name</w:t>
            </w:r>
          </w:p>
        </w:tc>
        <w:tc>
          <w:tcPr>
            <w:tcW w:w="1080" w:type="dxa"/>
            <w:vAlign w:val="bottom"/>
            <w:tcBorders>
              <w:bottom w:val="single" w:sz="8" w:color="0072CE"/>
            </w:tcBorders>
            <w:shd w:val="clear" w:color="auto" w:fill="F0F3F5"/>
          </w:tcPr>
          <w:p>
            <w:pPr>
              <w:jc w:val="right"/>
              <w:ind w:right="104"/>
              <w:spacing w:after="0"/>
              <w:rPr>
                <w:sz w:val="20"/>
                <w:szCs w:val="20"/>
                <w:color w:val="auto"/>
              </w:rPr>
            </w:pPr>
            <w:r>
              <w:rPr>
                <w:rFonts w:ascii="Arial" w:cs="Arial" w:eastAsia="Arial" w:hAnsi="Arial"/>
                <w:sz w:val="14"/>
                <w:szCs w:val="14"/>
                <w:b w:val="1"/>
                <w:bCs w:val="1"/>
                <w:color w:val="3D3935"/>
              </w:rPr>
              <w:t>(#)</w:t>
            </w:r>
          </w:p>
        </w:tc>
        <w:tc>
          <w:tcPr>
            <w:tcW w:w="940" w:type="dxa"/>
            <w:vAlign w:val="bottom"/>
            <w:tcBorders>
              <w:bottom w:val="single" w:sz="8" w:color="0072CE"/>
            </w:tcBorders>
            <w:shd w:val="clear" w:color="auto" w:fill="F0F3F5"/>
          </w:tcPr>
          <w:p>
            <w:pPr>
              <w:jc w:val="right"/>
              <w:spacing w:after="0"/>
              <w:rPr>
                <w:sz w:val="20"/>
                <w:szCs w:val="20"/>
                <w:color w:val="auto"/>
              </w:rPr>
            </w:pPr>
            <w:r>
              <w:rPr>
                <w:rFonts w:ascii="Arial" w:cs="Arial" w:eastAsia="Arial" w:hAnsi="Arial"/>
                <w:sz w:val="14"/>
                <w:szCs w:val="14"/>
                <w:b w:val="1"/>
                <w:bCs w:val="1"/>
                <w:color w:val="3D3935"/>
              </w:rPr>
              <w:t>($)</w:t>
            </w:r>
          </w:p>
        </w:tc>
        <w:tc>
          <w:tcPr>
            <w:tcW w:w="140" w:type="dxa"/>
            <w:vAlign w:val="bottom"/>
            <w:tcBorders>
              <w:bottom w:val="single" w:sz="8" w:color="0072CE"/>
            </w:tcBorders>
            <w:shd w:val="clear" w:color="auto" w:fill="F0F3F5"/>
          </w:tcPr>
          <w:p>
            <w:pPr>
              <w:spacing w:after="0"/>
              <w:rPr>
                <w:sz w:val="17"/>
                <w:szCs w:val="17"/>
                <w:color w:val="auto"/>
              </w:rPr>
            </w:pPr>
          </w:p>
        </w:tc>
        <w:tc>
          <w:tcPr>
            <w:tcW w:w="1100" w:type="dxa"/>
            <w:vAlign w:val="bottom"/>
            <w:tcBorders>
              <w:bottom w:val="single" w:sz="8" w:color="0072CE"/>
            </w:tcBorders>
            <w:shd w:val="clear" w:color="auto" w:fill="F0F3F5"/>
          </w:tcPr>
          <w:p>
            <w:pPr>
              <w:jc w:val="right"/>
              <w:ind w:right="124"/>
              <w:spacing w:after="0"/>
              <w:rPr>
                <w:sz w:val="20"/>
                <w:szCs w:val="20"/>
                <w:color w:val="auto"/>
              </w:rPr>
            </w:pPr>
            <w:r>
              <w:rPr>
                <w:rFonts w:ascii="Arial" w:cs="Arial" w:eastAsia="Arial" w:hAnsi="Arial"/>
                <w:sz w:val="14"/>
                <w:szCs w:val="14"/>
                <w:b w:val="1"/>
                <w:bCs w:val="1"/>
                <w:color w:val="3D3935"/>
              </w:rPr>
              <w:t>(#)</w:t>
            </w:r>
          </w:p>
        </w:tc>
        <w:tc>
          <w:tcPr>
            <w:tcW w:w="920" w:type="dxa"/>
            <w:vAlign w:val="bottom"/>
            <w:tcBorders>
              <w:bottom w:val="single" w:sz="8" w:color="0072CE"/>
            </w:tcBorders>
            <w:shd w:val="clear" w:color="auto" w:fill="F0F3F5"/>
          </w:tcPr>
          <w:p>
            <w:pPr>
              <w:jc w:val="right"/>
              <w:spacing w:after="0"/>
              <w:rPr>
                <w:sz w:val="20"/>
                <w:szCs w:val="20"/>
                <w:color w:val="auto"/>
              </w:rPr>
            </w:pPr>
            <w:r>
              <w:rPr>
                <w:rFonts w:ascii="Arial" w:cs="Arial" w:eastAsia="Arial" w:hAnsi="Arial"/>
                <w:sz w:val="14"/>
                <w:szCs w:val="14"/>
                <w:b w:val="1"/>
                <w:bCs w:val="1"/>
                <w:color w:val="3D3935"/>
              </w:rPr>
              <w:t>($)</w:t>
            </w:r>
          </w:p>
        </w:tc>
      </w:tr>
      <w:tr>
        <w:trPr>
          <w:trHeight w:val="250"/>
        </w:trPr>
        <w:tc>
          <w:tcPr>
            <w:tcW w:w="49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Mary T. Barra</w:t>
            </w:r>
          </w:p>
        </w:tc>
        <w:tc>
          <w:tcPr>
            <w:tcW w:w="1080" w:type="dxa"/>
            <w:vAlign w:val="bottom"/>
            <w:tcBorders>
              <w:bottom w:val="single" w:sz="8" w:color="D9D9D6"/>
            </w:tcBorders>
          </w:tcPr>
          <w:p>
            <w:pPr>
              <w:jc w:val="right"/>
              <w:ind w:right="84"/>
              <w:spacing w:after="0"/>
              <w:rPr>
                <w:sz w:val="20"/>
                <w:szCs w:val="20"/>
                <w:color w:val="auto"/>
              </w:rPr>
            </w:pPr>
            <w:r>
              <w:rPr>
                <w:rFonts w:ascii="Arial" w:cs="Arial" w:eastAsia="Arial" w:hAnsi="Arial"/>
                <w:sz w:val="16"/>
                <w:szCs w:val="16"/>
                <w:color w:val="3D3935"/>
              </w:rPr>
              <w:t>1,066,269</w:t>
            </w:r>
          </w:p>
        </w:tc>
        <w:tc>
          <w:tcPr>
            <w:tcW w:w="9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13,336,126</w:t>
            </w:r>
          </w:p>
        </w:tc>
        <w:tc>
          <w:tcPr>
            <w:tcW w:w="140" w:type="dxa"/>
            <w:vAlign w:val="bottom"/>
            <w:tcBorders>
              <w:bottom w:val="single" w:sz="8" w:color="D9D9D6"/>
            </w:tcBorders>
          </w:tcPr>
          <w:p>
            <w:pPr>
              <w:spacing w:after="0"/>
              <w:rPr>
                <w:sz w:val="21"/>
                <w:szCs w:val="21"/>
                <w:color w:val="auto"/>
              </w:rPr>
            </w:pPr>
          </w:p>
        </w:tc>
        <w:tc>
          <w:tcPr>
            <w:tcW w:w="1100" w:type="dxa"/>
            <w:vAlign w:val="bottom"/>
            <w:tcBorders>
              <w:bottom w:val="single" w:sz="8" w:color="D9D9D6"/>
            </w:tcBorders>
          </w:tcPr>
          <w:p>
            <w:pPr>
              <w:jc w:val="right"/>
              <w:ind w:right="84"/>
              <w:spacing w:after="0"/>
              <w:rPr>
                <w:sz w:val="20"/>
                <w:szCs w:val="20"/>
                <w:color w:val="auto"/>
              </w:rPr>
            </w:pPr>
            <w:r>
              <w:rPr>
                <w:rFonts w:ascii="Arial" w:cs="Arial" w:eastAsia="Arial" w:hAnsi="Arial"/>
                <w:sz w:val="16"/>
                <w:szCs w:val="16"/>
                <w:color w:val="3D3935"/>
              </w:rPr>
              <w:t>167,586</w:t>
            </w:r>
          </w:p>
        </w:tc>
        <w:tc>
          <w:tcPr>
            <w:tcW w:w="920" w:type="dxa"/>
            <w:vAlign w:val="bottom"/>
            <w:tcBorders>
              <w:bottom w:val="single" w:sz="8" w:color="D9D9D6"/>
            </w:tcBorders>
          </w:tcPr>
          <w:p>
            <w:pPr>
              <w:ind w:left="100"/>
              <w:spacing w:after="0"/>
              <w:rPr>
                <w:sz w:val="20"/>
                <w:szCs w:val="20"/>
                <w:color w:val="auto"/>
              </w:rPr>
            </w:pPr>
            <w:r>
              <w:rPr>
                <w:rFonts w:ascii="Arial" w:cs="Arial" w:eastAsia="Arial" w:hAnsi="Arial"/>
                <w:sz w:val="16"/>
                <w:szCs w:val="16"/>
                <w:color w:val="3D3935"/>
              </w:rPr>
              <w:t>6,485,578</w:t>
            </w:r>
          </w:p>
        </w:tc>
      </w:tr>
      <w:tr>
        <w:trPr>
          <w:trHeight w:val="250"/>
        </w:trPr>
        <w:tc>
          <w:tcPr>
            <w:tcW w:w="49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Paul A. Jacobson</w:t>
            </w:r>
          </w:p>
        </w:tc>
        <w:tc>
          <w:tcPr>
            <w:tcW w:w="1080" w:type="dxa"/>
            <w:vAlign w:val="bottom"/>
            <w:tcBorders>
              <w:bottom w:val="single" w:sz="8" w:color="D9D9D6"/>
            </w:tcBorders>
          </w:tcPr>
          <w:p>
            <w:pPr>
              <w:jc w:val="right"/>
              <w:ind w:right="4"/>
              <w:spacing w:after="0"/>
              <w:rPr>
                <w:sz w:val="20"/>
                <w:szCs w:val="20"/>
                <w:color w:val="auto"/>
              </w:rPr>
            </w:pPr>
            <w:r>
              <w:rPr>
                <w:rFonts w:ascii="Arial" w:cs="Arial" w:eastAsia="Arial" w:hAnsi="Arial"/>
                <w:sz w:val="16"/>
                <w:szCs w:val="16"/>
                <w:color w:val="3D3935"/>
              </w:rPr>
              <w:t>—</w:t>
            </w:r>
          </w:p>
        </w:tc>
        <w:tc>
          <w:tcPr>
            <w:tcW w:w="1080" w:type="dxa"/>
            <w:vAlign w:val="bottom"/>
            <w:tcBorders>
              <w:bottom w:val="single" w:sz="8" w:color="D9D9D6"/>
            </w:tcBorders>
            <w:gridSpan w:val="2"/>
          </w:tcPr>
          <w:p>
            <w:pPr>
              <w:ind w:left="780"/>
              <w:spacing w:after="0"/>
              <w:rPr>
                <w:sz w:val="20"/>
                <w:szCs w:val="20"/>
                <w:color w:val="auto"/>
              </w:rPr>
            </w:pPr>
            <w:r>
              <w:rPr>
                <w:rFonts w:ascii="Arial" w:cs="Arial" w:eastAsia="Arial" w:hAnsi="Arial"/>
                <w:sz w:val="16"/>
                <w:szCs w:val="16"/>
                <w:color w:val="3D3935"/>
              </w:rPr>
              <w:t>—</w:t>
            </w:r>
          </w:p>
        </w:tc>
        <w:tc>
          <w:tcPr>
            <w:tcW w:w="1100" w:type="dxa"/>
            <w:vAlign w:val="bottom"/>
            <w:tcBorders>
              <w:bottom w:val="single" w:sz="8" w:color="D9D9D6"/>
            </w:tcBorders>
          </w:tcPr>
          <w:p>
            <w:pPr>
              <w:jc w:val="right"/>
              <w:ind w:right="124"/>
              <w:spacing w:after="0"/>
              <w:rPr>
                <w:sz w:val="20"/>
                <w:szCs w:val="20"/>
                <w:color w:val="auto"/>
              </w:rPr>
            </w:pPr>
            <w:r>
              <w:rPr>
                <w:rFonts w:ascii="Arial" w:cs="Arial" w:eastAsia="Arial" w:hAnsi="Arial"/>
                <w:sz w:val="16"/>
                <w:szCs w:val="16"/>
                <w:color w:val="3D3935"/>
              </w:rPr>
              <w:t>55,862</w:t>
            </w:r>
          </w:p>
        </w:tc>
        <w:tc>
          <w:tcPr>
            <w:tcW w:w="92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2,161,859</w:t>
            </w:r>
          </w:p>
        </w:tc>
      </w:tr>
      <w:tr>
        <w:trPr>
          <w:trHeight w:val="250"/>
        </w:trPr>
        <w:tc>
          <w:tcPr>
            <w:tcW w:w="49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Mark L. Reuss</w:t>
            </w:r>
          </w:p>
        </w:tc>
        <w:tc>
          <w:tcPr>
            <w:tcW w:w="1080" w:type="dxa"/>
            <w:vAlign w:val="bottom"/>
            <w:tcBorders>
              <w:bottom w:val="single" w:sz="8" w:color="D9D9D6"/>
            </w:tcBorders>
          </w:tcPr>
          <w:p>
            <w:pPr>
              <w:jc w:val="right"/>
              <w:ind w:right="84"/>
              <w:spacing w:after="0"/>
              <w:rPr>
                <w:sz w:val="20"/>
                <w:szCs w:val="20"/>
                <w:color w:val="auto"/>
              </w:rPr>
            </w:pPr>
            <w:r>
              <w:rPr>
                <w:rFonts w:ascii="Arial" w:cs="Arial" w:eastAsia="Arial" w:hAnsi="Arial"/>
                <w:sz w:val="16"/>
                <w:szCs w:val="16"/>
                <w:color w:val="3D3935"/>
              </w:rPr>
              <w:t>122,283</w:t>
            </w:r>
          </w:p>
        </w:tc>
        <w:tc>
          <w:tcPr>
            <w:tcW w:w="9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1,682,971</w:t>
            </w:r>
          </w:p>
        </w:tc>
        <w:tc>
          <w:tcPr>
            <w:tcW w:w="140" w:type="dxa"/>
            <w:vAlign w:val="bottom"/>
            <w:tcBorders>
              <w:bottom w:val="single" w:sz="8" w:color="D9D9D6"/>
            </w:tcBorders>
          </w:tcPr>
          <w:p>
            <w:pPr>
              <w:spacing w:after="0"/>
              <w:rPr>
                <w:sz w:val="21"/>
                <w:szCs w:val="21"/>
                <w:color w:val="auto"/>
              </w:rPr>
            </w:pPr>
          </w:p>
        </w:tc>
        <w:tc>
          <w:tcPr>
            <w:tcW w:w="1100" w:type="dxa"/>
            <w:vAlign w:val="bottom"/>
            <w:tcBorders>
              <w:bottom w:val="single" w:sz="8" w:color="D9D9D6"/>
            </w:tcBorders>
          </w:tcPr>
          <w:p>
            <w:pPr>
              <w:jc w:val="right"/>
              <w:ind w:right="84"/>
              <w:spacing w:after="0"/>
              <w:rPr>
                <w:sz w:val="20"/>
                <w:szCs w:val="20"/>
                <w:color w:val="auto"/>
              </w:rPr>
            </w:pPr>
            <w:r>
              <w:rPr>
                <w:rFonts w:ascii="Arial" w:cs="Arial" w:eastAsia="Arial" w:hAnsi="Arial"/>
                <w:sz w:val="16"/>
                <w:szCs w:val="16"/>
                <w:color w:val="3D3935"/>
              </w:rPr>
              <w:t>71,025</w:t>
            </w:r>
          </w:p>
        </w:tc>
        <w:tc>
          <w:tcPr>
            <w:tcW w:w="920" w:type="dxa"/>
            <w:vAlign w:val="bottom"/>
            <w:tcBorders>
              <w:bottom w:val="single" w:sz="8" w:color="D9D9D6"/>
            </w:tcBorders>
          </w:tcPr>
          <w:p>
            <w:pPr>
              <w:ind w:left="100"/>
              <w:spacing w:after="0"/>
              <w:rPr>
                <w:sz w:val="20"/>
                <w:szCs w:val="20"/>
                <w:color w:val="auto"/>
              </w:rPr>
            </w:pPr>
            <w:r>
              <w:rPr>
                <w:rFonts w:ascii="Arial" w:cs="Arial" w:eastAsia="Arial" w:hAnsi="Arial"/>
                <w:sz w:val="16"/>
                <w:szCs w:val="16"/>
                <w:color w:val="3D3935"/>
              </w:rPr>
              <w:t>2,748,668</w:t>
            </w:r>
          </w:p>
        </w:tc>
      </w:tr>
      <w:tr>
        <w:trPr>
          <w:trHeight w:val="251"/>
        </w:trPr>
        <w:tc>
          <w:tcPr>
            <w:tcW w:w="49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Michael Abbott</w:t>
            </w:r>
            <w:r>
              <w:rPr>
                <w:rFonts w:ascii="Arial" w:cs="Arial" w:eastAsia="Arial" w:hAnsi="Arial"/>
                <w:sz w:val="21"/>
                <w:szCs w:val="21"/>
                <w:b w:val="1"/>
                <w:bCs w:val="1"/>
                <w:color w:val="0072CE"/>
                <w:vertAlign w:val="superscript"/>
              </w:rPr>
              <w:t>(3)</w:t>
            </w:r>
          </w:p>
        </w:tc>
        <w:tc>
          <w:tcPr>
            <w:tcW w:w="1080" w:type="dxa"/>
            <w:vAlign w:val="bottom"/>
            <w:tcBorders>
              <w:bottom w:val="single" w:sz="8" w:color="D9D9D6"/>
            </w:tcBorders>
          </w:tcPr>
          <w:p>
            <w:pPr>
              <w:jc w:val="right"/>
              <w:ind w:right="4"/>
              <w:spacing w:after="0"/>
              <w:rPr>
                <w:sz w:val="20"/>
                <w:szCs w:val="20"/>
                <w:color w:val="auto"/>
              </w:rPr>
            </w:pPr>
            <w:r>
              <w:rPr>
                <w:rFonts w:ascii="Arial" w:cs="Arial" w:eastAsia="Arial" w:hAnsi="Arial"/>
                <w:sz w:val="16"/>
                <w:szCs w:val="16"/>
                <w:color w:val="3D3935"/>
              </w:rPr>
              <w:t>—</w:t>
            </w:r>
          </w:p>
        </w:tc>
        <w:tc>
          <w:tcPr>
            <w:tcW w:w="1080" w:type="dxa"/>
            <w:vAlign w:val="bottom"/>
            <w:tcBorders>
              <w:bottom w:val="single" w:sz="8" w:color="D9D9D6"/>
            </w:tcBorders>
            <w:gridSpan w:val="2"/>
          </w:tcPr>
          <w:p>
            <w:pPr>
              <w:ind w:left="780"/>
              <w:spacing w:after="0"/>
              <w:rPr>
                <w:sz w:val="20"/>
                <w:szCs w:val="20"/>
                <w:color w:val="auto"/>
              </w:rPr>
            </w:pPr>
            <w:r>
              <w:rPr>
                <w:rFonts w:ascii="Arial" w:cs="Arial" w:eastAsia="Arial" w:hAnsi="Arial"/>
                <w:sz w:val="16"/>
                <w:szCs w:val="16"/>
                <w:color w:val="3D3935"/>
              </w:rPr>
              <w:t>—</w:t>
            </w:r>
          </w:p>
        </w:tc>
        <w:tc>
          <w:tcPr>
            <w:tcW w:w="1100" w:type="dxa"/>
            <w:vAlign w:val="bottom"/>
            <w:tcBorders>
              <w:bottom w:val="single" w:sz="8" w:color="D9D9D6"/>
            </w:tcBorders>
          </w:tcPr>
          <w:p>
            <w:pPr>
              <w:jc w:val="right"/>
              <w:ind w:right="24"/>
              <w:spacing w:after="0"/>
              <w:rPr>
                <w:sz w:val="20"/>
                <w:szCs w:val="20"/>
                <w:color w:val="auto"/>
              </w:rPr>
            </w:pPr>
            <w:r>
              <w:rPr>
                <w:rFonts w:ascii="Arial" w:cs="Arial" w:eastAsia="Arial" w:hAnsi="Arial"/>
                <w:sz w:val="16"/>
                <w:szCs w:val="16"/>
                <w:color w:val="3D3935"/>
              </w:rPr>
              <w:t>—</w:t>
            </w:r>
          </w:p>
        </w:tc>
        <w:tc>
          <w:tcPr>
            <w:tcW w:w="92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r>
      <w:tr>
        <w:trPr>
          <w:trHeight w:val="249"/>
        </w:trPr>
        <w:tc>
          <w:tcPr>
            <w:tcW w:w="49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Craig B. Glidden</w:t>
            </w:r>
          </w:p>
        </w:tc>
        <w:tc>
          <w:tcPr>
            <w:tcW w:w="1080" w:type="dxa"/>
            <w:vAlign w:val="bottom"/>
            <w:tcBorders>
              <w:bottom w:val="single" w:sz="8" w:color="D9D9D6"/>
            </w:tcBorders>
          </w:tcPr>
          <w:p>
            <w:pPr>
              <w:jc w:val="right"/>
              <w:ind w:right="44"/>
              <w:spacing w:after="0"/>
              <w:rPr>
                <w:sz w:val="20"/>
                <w:szCs w:val="20"/>
                <w:color w:val="auto"/>
              </w:rPr>
            </w:pPr>
            <w:r>
              <w:rPr>
                <w:rFonts w:ascii="Arial" w:cs="Arial" w:eastAsia="Arial" w:hAnsi="Arial"/>
                <w:sz w:val="16"/>
                <w:szCs w:val="16"/>
                <w:color w:val="3D3935"/>
              </w:rPr>
              <w:t>331,561</w:t>
            </w:r>
          </w:p>
        </w:tc>
        <w:tc>
          <w:tcPr>
            <w:tcW w:w="940" w:type="dxa"/>
            <w:vAlign w:val="bottom"/>
            <w:tcBorders>
              <w:bottom w:val="single" w:sz="8" w:color="D9D9D6"/>
            </w:tcBorders>
          </w:tcPr>
          <w:p>
            <w:pPr>
              <w:jc w:val="right"/>
              <w:ind w:right="23"/>
              <w:spacing w:after="0"/>
              <w:rPr>
                <w:sz w:val="20"/>
                <w:szCs w:val="20"/>
                <w:color w:val="auto"/>
              </w:rPr>
            </w:pPr>
            <w:r>
              <w:rPr>
                <w:rFonts w:ascii="Arial" w:cs="Arial" w:eastAsia="Arial" w:hAnsi="Arial"/>
                <w:sz w:val="16"/>
                <w:szCs w:val="16"/>
                <w:color w:val="3D3935"/>
              </w:rPr>
              <w:t>6,055,279</w:t>
            </w:r>
          </w:p>
        </w:tc>
        <w:tc>
          <w:tcPr>
            <w:tcW w:w="140" w:type="dxa"/>
            <w:vAlign w:val="bottom"/>
            <w:tcBorders>
              <w:bottom w:val="single" w:sz="8" w:color="D9D9D6"/>
            </w:tcBorders>
          </w:tcPr>
          <w:p>
            <w:pPr>
              <w:spacing w:after="0"/>
              <w:rPr>
                <w:sz w:val="21"/>
                <w:szCs w:val="21"/>
                <w:color w:val="auto"/>
              </w:rPr>
            </w:pPr>
          </w:p>
        </w:tc>
        <w:tc>
          <w:tcPr>
            <w:tcW w:w="1100" w:type="dxa"/>
            <w:vAlign w:val="bottom"/>
            <w:tcBorders>
              <w:bottom w:val="single" w:sz="8" w:color="D9D9D6"/>
            </w:tcBorders>
          </w:tcPr>
          <w:p>
            <w:pPr>
              <w:jc w:val="right"/>
              <w:ind w:right="124"/>
              <w:spacing w:after="0"/>
              <w:rPr>
                <w:sz w:val="20"/>
                <w:szCs w:val="20"/>
                <w:color w:val="auto"/>
              </w:rPr>
            </w:pPr>
            <w:r>
              <w:rPr>
                <w:rFonts w:ascii="Arial" w:cs="Arial" w:eastAsia="Arial" w:hAnsi="Arial"/>
                <w:sz w:val="16"/>
                <w:szCs w:val="16"/>
                <w:color w:val="3D3935"/>
              </w:rPr>
              <w:t>39,903</w:t>
            </w:r>
          </w:p>
        </w:tc>
        <w:tc>
          <w:tcPr>
            <w:tcW w:w="920" w:type="dxa"/>
            <w:vAlign w:val="bottom"/>
            <w:tcBorders>
              <w:bottom w:val="single" w:sz="8" w:color="D9D9D6"/>
            </w:tcBorders>
          </w:tcPr>
          <w:p>
            <w:pPr>
              <w:ind w:left="100"/>
              <w:spacing w:after="0"/>
              <w:rPr>
                <w:sz w:val="20"/>
                <w:szCs w:val="20"/>
                <w:color w:val="auto"/>
              </w:rPr>
            </w:pPr>
            <w:r>
              <w:rPr>
                <w:rFonts w:ascii="Arial" w:cs="Arial" w:eastAsia="Arial" w:hAnsi="Arial"/>
                <w:sz w:val="16"/>
                <w:szCs w:val="16"/>
                <w:color w:val="3D3935"/>
              </w:rPr>
              <w:t>1,544,246</w:t>
            </w:r>
          </w:p>
        </w:tc>
      </w:tr>
      <w:tr>
        <w:trPr>
          <w:trHeight w:val="250"/>
        </w:trPr>
        <w:tc>
          <w:tcPr>
            <w:tcW w:w="4900" w:type="dxa"/>
            <w:vAlign w:val="bottom"/>
            <w:tcBorders>
              <w:bottom w:val="single" w:sz="8" w:color="0072CE"/>
            </w:tcBorders>
          </w:tcPr>
          <w:p>
            <w:pPr>
              <w:ind w:left="60"/>
              <w:spacing w:after="0"/>
              <w:rPr>
                <w:sz w:val="20"/>
                <w:szCs w:val="20"/>
                <w:color w:val="auto"/>
              </w:rPr>
            </w:pPr>
            <w:r>
              <w:rPr>
                <w:rFonts w:ascii="Arial" w:cs="Arial" w:eastAsia="Arial" w:hAnsi="Arial"/>
                <w:sz w:val="16"/>
                <w:szCs w:val="16"/>
                <w:b w:val="1"/>
                <w:bCs w:val="1"/>
                <w:color w:val="0072CE"/>
              </w:rPr>
              <w:t>Rory V. Harvey</w:t>
            </w:r>
          </w:p>
        </w:tc>
        <w:tc>
          <w:tcPr>
            <w:tcW w:w="1080" w:type="dxa"/>
            <w:vAlign w:val="bottom"/>
            <w:tcBorders>
              <w:bottom w:val="single" w:sz="8" w:color="0072CE"/>
            </w:tcBorders>
          </w:tcPr>
          <w:p>
            <w:pPr>
              <w:jc w:val="right"/>
              <w:ind w:right="64"/>
              <w:spacing w:after="0"/>
              <w:rPr>
                <w:sz w:val="20"/>
                <w:szCs w:val="20"/>
                <w:color w:val="auto"/>
              </w:rPr>
            </w:pPr>
            <w:r>
              <w:rPr>
                <w:rFonts w:ascii="Arial" w:cs="Arial" w:eastAsia="Arial" w:hAnsi="Arial"/>
                <w:sz w:val="16"/>
                <w:szCs w:val="16"/>
                <w:color w:val="3D3935"/>
              </w:rPr>
              <w:t>29,178</w:t>
            </w:r>
          </w:p>
        </w:tc>
        <w:tc>
          <w:tcPr>
            <w:tcW w:w="940" w:type="dxa"/>
            <w:vAlign w:val="bottom"/>
            <w:tcBorders>
              <w:bottom w:val="single" w:sz="8" w:color="0072CE"/>
            </w:tcBorders>
          </w:tcPr>
          <w:p>
            <w:pPr>
              <w:jc w:val="right"/>
              <w:ind w:right="23"/>
              <w:spacing w:after="0"/>
              <w:rPr>
                <w:sz w:val="20"/>
                <w:szCs w:val="20"/>
                <w:color w:val="auto"/>
              </w:rPr>
            </w:pPr>
            <w:r>
              <w:rPr>
                <w:rFonts w:ascii="Arial" w:cs="Arial" w:eastAsia="Arial" w:hAnsi="Arial"/>
                <w:sz w:val="16"/>
                <w:szCs w:val="16"/>
                <w:color w:val="3D3935"/>
              </w:rPr>
              <w:t>368,632</w:t>
            </w:r>
          </w:p>
        </w:tc>
        <w:tc>
          <w:tcPr>
            <w:tcW w:w="140" w:type="dxa"/>
            <w:vAlign w:val="bottom"/>
            <w:tcBorders>
              <w:bottom w:val="single" w:sz="8" w:color="0072CE"/>
            </w:tcBorders>
          </w:tcPr>
          <w:p>
            <w:pPr>
              <w:spacing w:after="0"/>
              <w:rPr>
                <w:sz w:val="21"/>
                <w:szCs w:val="21"/>
                <w:color w:val="auto"/>
              </w:rPr>
            </w:pPr>
          </w:p>
        </w:tc>
        <w:tc>
          <w:tcPr>
            <w:tcW w:w="1100" w:type="dxa"/>
            <w:vAlign w:val="bottom"/>
            <w:tcBorders>
              <w:bottom w:val="single" w:sz="8" w:color="0072CE"/>
            </w:tcBorders>
          </w:tcPr>
          <w:p>
            <w:pPr>
              <w:jc w:val="right"/>
              <w:ind w:right="124"/>
              <w:spacing w:after="0"/>
              <w:rPr>
                <w:sz w:val="20"/>
                <w:szCs w:val="20"/>
                <w:color w:val="auto"/>
              </w:rPr>
            </w:pPr>
            <w:r>
              <w:rPr>
                <w:rFonts w:ascii="Arial" w:cs="Arial" w:eastAsia="Arial" w:hAnsi="Arial"/>
                <w:sz w:val="16"/>
                <w:szCs w:val="16"/>
                <w:color w:val="3D3935"/>
              </w:rPr>
              <w:t>5,683</w:t>
            </w:r>
          </w:p>
        </w:tc>
        <w:tc>
          <w:tcPr>
            <w:tcW w:w="920" w:type="dxa"/>
            <w:vAlign w:val="bottom"/>
            <w:tcBorders>
              <w:bottom w:val="single" w:sz="8" w:color="0072CE"/>
            </w:tcBorders>
          </w:tcPr>
          <w:p>
            <w:pPr>
              <w:jc w:val="right"/>
              <w:ind w:right="3"/>
              <w:spacing w:after="0"/>
              <w:rPr>
                <w:sz w:val="20"/>
                <w:szCs w:val="20"/>
                <w:color w:val="auto"/>
              </w:rPr>
            </w:pPr>
            <w:r>
              <w:rPr>
                <w:rFonts w:ascii="Arial" w:cs="Arial" w:eastAsia="Arial" w:hAnsi="Arial"/>
                <w:sz w:val="16"/>
                <w:szCs w:val="16"/>
                <w:color w:val="3D3935"/>
              </w:rPr>
              <w:t>219,932</w:t>
            </w:r>
          </w:p>
        </w:tc>
      </w:tr>
    </w:tbl>
    <w:p>
      <w:pPr>
        <w:spacing w:after="0" w:line="153" w:lineRule="exact"/>
        <w:rPr>
          <w:sz w:val="20"/>
          <w:szCs w:val="20"/>
          <w:color w:val="auto"/>
        </w:rPr>
      </w:pPr>
    </w:p>
    <w:p>
      <w:pPr>
        <w:ind w:left="200" w:right="720" w:hanging="192"/>
        <w:spacing w:after="0" w:line="239" w:lineRule="auto"/>
        <w:tabs>
          <w:tab w:leader="none" w:pos="200" w:val="left"/>
        </w:tabs>
        <w:numPr>
          <w:ilvl w:val="0"/>
          <w:numId w:val="104"/>
        </w:numPr>
        <w:rPr>
          <w:rFonts w:ascii="Arial" w:cs="Arial" w:eastAsia="Arial" w:hAnsi="Arial"/>
          <w:sz w:val="19"/>
          <w:szCs w:val="19"/>
          <w:color w:val="3D3935"/>
          <w:vertAlign w:val="superscript"/>
        </w:rPr>
      </w:pPr>
      <w:r>
        <w:rPr>
          <w:rFonts w:ascii="Arial" w:cs="Arial" w:eastAsia="Arial" w:hAnsi="Arial"/>
          <w:sz w:val="14"/>
          <w:szCs w:val="14"/>
          <w:color w:val="3D3935"/>
        </w:rPr>
        <w:t>The aggregate dollar value realized upon exercise is computed by multiplying the number of shares at exercise by the difference between the market price of GM common stock and the exercise price of the options.</w:t>
      </w:r>
    </w:p>
    <w:p>
      <w:pPr>
        <w:spacing w:after="0" w:line="67" w:lineRule="exact"/>
        <w:rPr>
          <w:rFonts w:ascii="Arial" w:cs="Arial" w:eastAsia="Arial" w:hAnsi="Arial"/>
          <w:sz w:val="19"/>
          <w:szCs w:val="19"/>
          <w:color w:val="3D3935"/>
          <w:vertAlign w:val="superscript"/>
        </w:rPr>
      </w:pPr>
    </w:p>
    <w:p>
      <w:pPr>
        <w:ind w:left="200" w:right="740" w:hanging="192"/>
        <w:spacing w:after="0" w:line="239" w:lineRule="auto"/>
        <w:tabs>
          <w:tab w:leader="none" w:pos="200" w:val="left"/>
        </w:tabs>
        <w:numPr>
          <w:ilvl w:val="0"/>
          <w:numId w:val="104"/>
        </w:numPr>
        <w:rPr>
          <w:rFonts w:ascii="Arial" w:cs="Arial" w:eastAsia="Arial" w:hAnsi="Arial"/>
          <w:sz w:val="19"/>
          <w:szCs w:val="19"/>
          <w:color w:val="3D3935"/>
          <w:vertAlign w:val="superscript"/>
        </w:rPr>
      </w:pPr>
      <w:r>
        <w:rPr>
          <w:rFonts w:ascii="Arial" w:cs="Arial" w:eastAsia="Arial" w:hAnsi="Arial"/>
          <w:sz w:val="14"/>
          <w:szCs w:val="14"/>
          <w:color w:val="3D3935"/>
        </w:rPr>
        <w:t>The aggregate dollar value realized upon vesting is computed by multiplying the number of shares vested by the closing price of GM common stock on the vesting date.</w:t>
      </w:r>
    </w:p>
    <w:p>
      <w:pPr>
        <w:spacing w:after="0" w:line="25" w:lineRule="exact"/>
        <w:rPr>
          <w:rFonts w:ascii="Arial" w:cs="Arial" w:eastAsia="Arial" w:hAnsi="Arial"/>
          <w:sz w:val="19"/>
          <w:szCs w:val="19"/>
          <w:color w:val="3D3935"/>
          <w:vertAlign w:val="superscript"/>
        </w:rPr>
      </w:pPr>
    </w:p>
    <w:p>
      <w:pPr>
        <w:ind w:left="200" w:hanging="192"/>
        <w:spacing w:after="0"/>
        <w:tabs>
          <w:tab w:leader="none" w:pos="200" w:val="left"/>
        </w:tabs>
        <w:numPr>
          <w:ilvl w:val="0"/>
          <w:numId w:val="104"/>
        </w:numPr>
        <w:rPr>
          <w:rFonts w:ascii="Arial" w:cs="Arial" w:eastAsia="Arial" w:hAnsi="Arial"/>
          <w:sz w:val="19"/>
          <w:szCs w:val="19"/>
          <w:color w:val="3D3935"/>
          <w:vertAlign w:val="superscript"/>
        </w:rPr>
      </w:pPr>
      <w:r>
        <w:rPr>
          <w:rFonts w:ascii="Arial" w:cs="Arial" w:eastAsia="Arial" w:hAnsi="Arial"/>
          <w:sz w:val="14"/>
          <w:szCs w:val="14"/>
          <w:color w:val="3D3935"/>
        </w:rPr>
        <w:t>Upon his resignation, Mr. Abbott forfeited all outstanding equity awards.</w:t>
      </w:r>
    </w:p>
    <w:p>
      <w:pPr>
        <w:sectPr>
          <w:pgSz w:w="11900" w:h="16838" w:orient="portrait"/>
          <w:cols w:equalWidth="0" w:num="1">
            <w:col w:w="9080"/>
          </w:cols>
          <w:pgMar w:left="1400" w:top="116" w:right="1419" w:bottom="1440" w:gutter="0" w:footer="0" w:header="0"/>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17164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10375" cy="1716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87172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10375" cy="871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Pension Benefits</w:t>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GM Salaried Retirement Plan</w:t>
      </w:r>
    </w:p>
    <w:p>
      <w:pPr>
        <w:spacing w:after="0" w:line="114"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b w:val="1"/>
          <w:bCs w:val="1"/>
          <w:color w:val="0072CE"/>
        </w:rPr>
        <w:t xml:space="preserve">Eligibility and Vesting: </w:t>
      </w:r>
      <w:r>
        <w:rPr>
          <w:rFonts w:ascii="Arial" w:cs="Arial" w:eastAsia="Arial" w:hAnsi="Arial"/>
          <w:sz w:val="16"/>
          <w:szCs w:val="16"/>
          <w:color w:val="3D3935"/>
        </w:rPr>
        <w:t>The SRP is a funded, tax-qualified retirement plan that covers eligible employees hired prior to</w:t>
      </w:r>
      <w:r>
        <w:rPr>
          <w:rFonts w:ascii="Arial" w:cs="Arial" w:eastAsia="Arial" w:hAnsi="Arial"/>
          <w:sz w:val="16"/>
          <w:szCs w:val="16"/>
          <w:b w:val="1"/>
          <w:bCs w:val="1"/>
          <w:color w:val="0072CE"/>
        </w:rPr>
        <w:t xml:space="preserve"> </w:t>
      </w:r>
      <w:r>
        <w:rPr>
          <w:rFonts w:ascii="Arial" w:cs="Arial" w:eastAsia="Arial" w:hAnsi="Arial"/>
          <w:sz w:val="16"/>
          <w:szCs w:val="16"/>
          <w:color w:val="3D3935"/>
        </w:rPr>
        <w:t>January 1, 2007. Employees who commenced service on or after January 1, 2007, are eligible to participate only in DC plans. Employees are vested in the SRP after five years of qualifying service. The plan permitted employee contributions, which vested immediately, until December 31, 2006. All DB accruals were frozen on September 30, 2012, with service continuing towards eligibility to retire.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3D3935"/>
        </w:rPr>
        <w:t>Benefit Formula:</w:t>
      </w:r>
    </w:p>
    <w:p>
      <w:pPr>
        <w:spacing w:after="0" w:line="181" w:lineRule="exact"/>
        <w:rPr>
          <w:sz w:val="20"/>
          <w:szCs w:val="20"/>
          <w:color w:val="auto"/>
        </w:rPr>
      </w:pPr>
    </w:p>
    <w:p>
      <w:pPr>
        <w:ind w:right="500"/>
        <w:spacing w:after="0" w:line="291" w:lineRule="auto"/>
        <w:rPr>
          <w:sz w:val="20"/>
          <w:szCs w:val="20"/>
          <w:color w:val="auto"/>
        </w:rPr>
      </w:pPr>
      <w:r>
        <w:rPr>
          <w:rFonts w:ascii="Arial" w:cs="Arial" w:eastAsia="Arial" w:hAnsi="Arial"/>
          <w:sz w:val="16"/>
          <w:szCs w:val="16"/>
          <w:b w:val="1"/>
          <w:bCs w:val="1"/>
          <w:color w:val="0072CE"/>
        </w:rPr>
        <w:t xml:space="preserve">Service Prior to January 1, 2001: </w:t>
      </w:r>
      <w:r>
        <w:rPr>
          <w:rFonts w:ascii="Arial" w:cs="Arial" w:eastAsia="Arial" w:hAnsi="Arial"/>
          <w:sz w:val="16"/>
          <w:szCs w:val="16"/>
          <w:color w:val="3D3935"/>
        </w:rPr>
        <w:t>The plan provided benefits on both a contributory and noncontributory formula. The</w:t>
      </w:r>
      <w:r>
        <w:rPr>
          <w:rFonts w:ascii="Arial" w:cs="Arial" w:eastAsia="Arial" w:hAnsi="Arial"/>
          <w:sz w:val="16"/>
          <w:szCs w:val="16"/>
          <w:b w:val="1"/>
          <w:bCs w:val="1"/>
          <w:color w:val="0072CE"/>
        </w:rPr>
        <w:t xml:space="preserve"> </w:t>
      </w:r>
      <w:r>
        <w:rPr>
          <w:rFonts w:ascii="Arial" w:cs="Arial" w:eastAsia="Arial" w:hAnsi="Arial"/>
          <w:sz w:val="16"/>
          <w:szCs w:val="16"/>
          <w:color w:val="3D3935"/>
        </w:rPr>
        <w:t>contributory formula factors the contributions of the employee and earnings for each fiscal year. The formulas were frozen effective December 31, 2006, and effective January 1, 2007, employees continued to participate in the SRP under a new formula that provided a pension accrual equal to 1.25 percent of the employee’s eligible earnings up to the IRS-prescribed limits for tax-qualified plans. The 1.25 percent accruals were frozen September 30, 2012.</w:t>
      </w:r>
    </w:p>
    <w:p>
      <w:pPr>
        <w:spacing w:after="0" w:line="113" w:lineRule="exact"/>
        <w:rPr>
          <w:sz w:val="20"/>
          <w:szCs w:val="20"/>
          <w:color w:val="auto"/>
        </w:rPr>
      </w:pPr>
    </w:p>
    <w:p>
      <w:pPr>
        <w:ind w:right="340"/>
        <w:spacing w:after="0" w:line="292" w:lineRule="auto"/>
        <w:rPr>
          <w:sz w:val="20"/>
          <w:szCs w:val="20"/>
          <w:color w:val="auto"/>
        </w:rPr>
      </w:pPr>
      <w:r>
        <w:rPr>
          <w:rFonts w:ascii="Arial" w:cs="Arial" w:eastAsia="Arial" w:hAnsi="Arial"/>
          <w:sz w:val="16"/>
          <w:szCs w:val="16"/>
          <w:b w:val="1"/>
          <w:bCs w:val="1"/>
          <w:color w:val="0072CE"/>
        </w:rPr>
        <w:t xml:space="preserve">Service from January 1, 2001, to December 31, 2006: </w:t>
      </w:r>
      <w:r>
        <w:rPr>
          <w:rFonts w:ascii="Arial" w:cs="Arial" w:eastAsia="Arial" w:hAnsi="Arial"/>
          <w:sz w:val="16"/>
          <w:szCs w:val="16"/>
          <w:color w:val="3D3935"/>
        </w:rPr>
        <w:t>The plan provided benefits under a cash balance formula with pay</w:t>
      </w:r>
      <w:r>
        <w:rPr>
          <w:rFonts w:ascii="Arial" w:cs="Arial" w:eastAsia="Arial" w:hAnsi="Arial"/>
          <w:sz w:val="16"/>
          <w:szCs w:val="16"/>
          <w:b w:val="1"/>
          <w:bCs w:val="1"/>
          <w:color w:val="0072CE"/>
        </w:rPr>
        <w:t xml:space="preserve"> </w:t>
      </w:r>
      <w:r>
        <w:rPr>
          <w:rFonts w:ascii="Arial" w:cs="Arial" w:eastAsia="Arial" w:hAnsi="Arial"/>
          <w:sz w:val="16"/>
          <w:szCs w:val="16"/>
          <w:color w:val="3D3935"/>
        </w:rPr>
        <w:t>credits based on age through December 31, 2006, when the formula was frozen, with balances continuing to earn interest credits thereafter.</w:t>
      </w:r>
    </w:p>
    <w:p>
      <w:pPr>
        <w:spacing w:after="0" w:line="111"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b w:val="1"/>
          <w:bCs w:val="1"/>
          <w:color w:val="0072CE"/>
        </w:rPr>
        <w:t xml:space="preserve">Time and Form of Payment: </w:t>
      </w:r>
      <w:r>
        <w:rPr>
          <w:rFonts w:ascii="Arial" w:cs="Arial" w:eastAsia="Arial" w:hAnsi="Arial"/>
          <w:sz w:val="16"/>
          <w:szCs w:val="16"/>
          <w:color w:val="3D3935"/>
        </w:rPr>
        <w:t>For employees hired prior to January 1, 2001, the accumulated benefit an employee earns</w:t>
      </w:r>
      <w:r>
        <w:rPr>
          <w:rFonts w:ascii="Arial" w:cs="Arial" w:eastAsia="Arial" w:hAnsi="Arial"/>
          <w:sz w:val="16"/>
          <w:szCs w:val="16"/>
          <w:b w:val="1"/>
          <w:bCs w:val="1"/>
          <w:color w:val="0072CE"/>
        </w:rPr>
        <w:t xml:space="preserve"> </w:t>
      </w:r>
      <w:r>
        <w:rPr>
          <w:rFonts w:ascii="Arial" w:cs="Arial" w:eastAsia="Arial" w:hAnsi="Arial"/>
          <w:sz w:val="16"/>
          <w:szCs w:val="16"/>
          <w:color w:val="3D3935"/>
        </w:rPr>
        <w:t>over his or her career with the Company is payable starting after retirement. Normal retirement age is defined as age 65. Employees who commenced service prior to 1988 may elect early retirement after 30 years of credited service or 85 points, based on combined age and service, or age 60 and 10 or more years of service, with certain age-reduction factors applied. As of December 31, 2024, Ms. Barra and Mr. Reuss were eligible for early retirement. The plan also provides Social Security supplements for those hired prior to 1988. For employees hired on or after January 1, 1988, and prior to December 31, 2000, Social Security supplements are not payable and age-reduction factors are greater for retirements prior to age 62. The plan provides a single-life annuity, a spousal joint and survivor annuity, a contingent annuitant optional form of payment, or a 100 percent lump sum option. For employees hired from January 1, 2001, to December 31, 2006, the plan provides a single-life annuity, a contingent annuitant optional form of payment, or a 100 percent lump sum option.</w:t>
      </w:r>
    </w:p>
    <w:p>
      <w:pPr>
        <w:spacing w:after="0" w:line="103" w:lineRule="exact"/>
        <w:rPr>
          <w:sz w:val="20"/>
          <w:szCs w:val="20"/>
          <w:color w:val="auto"/>
        </w:rPr>
      </w:pPr>
    </w:p>
    <w:p>
      <w:pPr>
        <w:ind w:right="400"/>
        <w:spacing w:after="0" w:line="329" w:lineRule="auto"/>
        <w:rPr>
          <w:sz w:val="20"/>
          <w:szCs w:val="20"/>
          <w:color w:val="auto"/>
        </w:rPr>
      </w:pPr>
      <w:r>
        <w:rPr>
          <w:rFonts w:ascii="Arial" w:cs="Arial" w:eastAsia="Arial" w:hAnsi="Arial"/>
          <w:sz w:val="15"/>
          <w:szCs w:val="15"/>
          <w:b w:val="1"/>
          <w:bCs w:val="1"/>
          <w:color w:val="0072CE"/>
        </w:rPr>
        <w:t xml:space="preserve">Tax Code Limitations on Benefits: </w:t>
      </w:r>
      <w:r>
        <w:rPr>
          <w:rFonts w:ascii="Arial" w:cs="Arial" w:eastAsia="Arial" w:hAnsi="Arial"/>
          <w:sz w:val="15"/>
          <w:szCs w:val="15"/>
          <w:color w:val="3D3935"/>
        </w:rPr>
        <w:t>Section 415(b)(1)(A) of the IRC limits the benefits payable under the SRP. For 2024, the</w:t>
      </w:r>
      <w:r>
        <w:rPr>
          <w:rFonts w:ascii="Arial" w:cs="Arial" w:eastAsia="Arial" w:hAnsi="Arial"/>
          <w:sz w:val="15"/>
          <w:szCs w:val="15"/>
          <w:b w:val="1"/>
          <w:bCs w:val="1"/>
          <w:color w:val="0072CE"/>
        </w:rPr>
        <w:t xml:space="preserve"> </w:t>
      </w:r>
      <w:r>
        <w:rPr>
          <w:rFonts w:ascii="Arial" w:cs="Arial" w:eastAsia="Arial" w:hAnsi="Arial"/>
          <w:sz w:val="15"/>
          <w:szCs w:val="15"/>
          <w:color w:val="3D3935"/>
        </w:rPr>
        <w:t>maximum single life annuity an NEO could have received under these limits was $275,000 per year. This ceiling is actuarially adjusted in accordance with IRS rules to reflect employee contributions, actual forms of distribution, and actual retirement dates.</w:t>
      </w:r>
    </w:p>
    <w:p>
      <w:pPr>
        <w:spacing w:after="0" w:line="63"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GM Executive Retirement Plan</w:t>
      </w:r>
    </w:p>
    <w:p>
      <w:pPr>
        <w:spacing w:after="0" w:line="114" w:lineRule="exact"/>
        <w:rPr>
          <w:sz w:val="20"/>
          <w:szCs w:val="20"/>
          <w:color w:val="auto"/>
        </w:rPr>
      </w:pPr>
    </w:p>
    <w:p>
      <w:pPr>
        <w:ind w:right="600"/>
        <w:spacing w:after="0" w:line="321" w:lineRule="auto"/>
        <w:rPr>
          <w:sz w:val="20"/>
          <w:szCs w:val="20"/>
          <w:color w:val="auto"/>
        </w:rPr>
      </w:pPr>
      <w:r>
        <w:rPr>
          <w:rFonts w:ascii="Arial" w:cs="Arial" w:eastAsia="Arial" w:hAnsi="Arial"/>
          <w:sz w:val="16"/>
          <w:szCs w:val="16"/>
          <w:b w:val="1"/>
          <w:bCs w:val="1"/>
          <w:color w:val="0072CE"/>
        </w:rPr>
        <w:t xml:space="preserve">Eligibility and Vesting: </w:t>
      </w:r>
      <w:r>
        <w:rPr>
          <w:rFonts w:ascii="Arial" w:cs="Arial" w:eastAsia="Arial" w:hAnsi="Arial"/>
          <w:sz w:val="16"/>
          <w:szCs w:val="16"/>
          <w:color w:val="3D3935"/>
        </w:rPr>
        <w:t>The DB ERP is an unfunded, non-tax-qualified retirement plan that covers eligible executives to</w:t>
      </w:r>
      <w:r>
        <w:rPr>
          <w:rFonts w:ascii="Arial" w:cs="Arial" w:eastAsia="Arial" w:hAnsi="Arial"/>
          <w:sz w:val="16"/>
          <w:szCs w:val="16"/>
          <w:b w:val="1"/>
          <w:bCs w:val="1"/>
          <w:color w:val="0072CE"/>
        </w:rPr>
        <w:t xml:space="preserve"> </w:t>
      </w:r>
      <w:r>
        <w:rPr>
          <w:rFonts w:ascii="Arial" w:cs="Arial" w:eastAsia="Arial" w:hAnsi="Arial"/>
          <w:sz w:val="16"/>
          <w:szCs w:val="16"/>
          <w:color w:val="3D3935"/>
        </w:rPr>
        <w:t>provide retirement benefits above amounts available under our other pension programs.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3D3935"/>
        </w:rPr>
        <w:t>Benefit Formula:</w:t>
      </w:r>
    </w:p>
    <w:p>
      <w:pPr>
        <w:spacing w:after="0" w:line="181" w:lineRule="exact"/>
        <w:rPr>
          <w:sz w:val="20"/>
          <w:szCs w:val="20"/>
          <w:color w:val="auto"/>
        </w:rPr>
      </w:pPr>
    </w:p>
    <w:p>
      <w:pPr>
        <w:ind w:right="340"/>
        <w:spacing w:after="0" w:line="284" w:lineRule="auto"/>
        <w:rPr>
          <w:sz w:val="20"/>
          <w:szCs w:val="20"/>
          <w:color w:val="auto"/>
        </w:rPr>
      </w:pPr>
      <w:r>
        <w:rPr>
          <w:rFonts w:ascii="Arial" w:cs="Arial" w:eastAsia="Arial" w:hAnsi="Arial"/>
          <w:sz w:val="16"/>
          <w:szCs w:val="16"/>
          <w:b w:val="1"/>
          <w:bCs w:val="1"/>
          <w:color w:val="0072CE"/>
        </w:rPr>
        <w:t xml:space="preserve">Service Prior to January 1, 2007: </w:t>
      </w:r>
      <w:r>
        <w:rPr>
          <w:rFonts w:ascii="Arial" w:cs="Arial" w:eastAsia="Arial" w:hAnsi="Arial"/>
          <w:sz w:val="16"/>
          <w:szCs w:val="16"/>
          <w:color w:val="3D3935"/>
        </w:rPr>
        <w:t>The supplemental pension equals the greater of (a) 2 percent of the average monthly</w:t>
      </w:r>
      <w:r>
        <w:rPr>
          <w:rFonts w:ascii="Arial" w:cs="Arial" w:eastAsia="Arial" w:hAnsi="Arial"/>
          <w:sz w:val="16"/>
          <w:szCs w:val="16"/>
          <w:b w:val="1"/>
          <w:bCs w:val="1"/>
          <w:color w:val="0072CE"/>
        </w:rPr>
        <w:t xml:space="preserve"> </w:t>
      </w:r>
      <w:r>
        <w:rPr>
          <w:rFonts w:ascii="Arial" w:cs="Arial" w:eastAsia="Arial" w:hAnsi="Arial"/>
          <w:sz w:val="16"/>
          <w:szCs w:val="16"/>
          <w:color w:val="3D3935"/>
        </w:rPr>
        <w:t>salary multiplied by all years of contributory service less the sum of all benefits payable under the SRP plus the maximum Social Security benefit as of January 2007 multiplied by all years of contributory service or (b) 1.5 percent of the average monthly salary plus STIP compensation multiplied by all years of contributory service, up to a maximum of 35 years, less the sum of all benefits payable under the SRP plus 100 percent of the maximum Social Security benefit as of January 2007. In both cases, the salary and STIP payments are determined using the highest 60 months out of the last 120 months as of December 31, 2006. These DB accruals were frozen on December 31, 2006, with service continuing towards eligibility to retire.</w:t>
      </w:r>
    </w:p>
    <w:p>
      <w:pPr>
        <w:spacing w:after="0" w:line="121" w:lineRule="exact"/>
        <w:rPr>
          <w:sz w:val="20"/>
          <w:szCs w:val="20"/>
          <w:color w:val="auto"/>
        </w:rPr>
      </w:pPr>
    </w:p>
    <w:p>
      <w:pPr>
        <w:ind w:right="380"/>
        <w:spacing w:after="0" w:line="295" w:lineRule="auto"/>
        <w:rPr>
          <w:sz w:val="20"/>
          <w:szCs w:val="20"/>
          <w:color w:val="auto"/>
        </w:rPr>
      </w:pPr>
      <w:r>
        <w:rPr>
          <w:rFonts w:ascii="Arial" w:cs="Arial" w:eastAsia="Arial" w:hAnsi="Arial"/>
          <w:sz w:val="16"/>
          <w:szCs w:val="16"/>
          <w:b w:val="1"/>
          <w:bCs w:val="1"/>
          <w:color w:val="0072CE"/>
        </w:rPr>
        <w:t xml:space="preserve">Service from January 1, 2007, to September 30, 2012: </w:t>
      </w:r>
      <w:r>
        <w:rPr>
          <w:rFonts w:ascii="Arial" w:cs="Arial" w:eastAsia="Arial" w:hAnsi="Arial"/>
          <w:sz w:val="16"/>
          <w:szCs w:val="16"/>
          <w:color w:val="3D3935"/>
        </w:rPr>
        <w:t>For employees hired prior to January 1, 2001, the supplemental</w:t>
      </w:r>
      <w:r>
        <w:rPr>
          <w:rFonts w:ascii="Arial" w:cs="Arial" w:eastAsia="Arial" w:hAnsi="Arial"/>
          <w:sz w:val="16"/>
          <w:szCs w:val="16"/>
          <w:b w:val="1"/>
          <w:bCs w:val="1"/>
          <w:color w:val="0072CE"/>
        </w:rPr>
        <w:t xml:space="preserve"> </w:t>
      </w:r>
      <w:r>
        <w:rPr>
          <w:rFonts w:ascii="Arial" w:cs="Arial" w:eastAsia="Arial" w:hAnsi="Arial"/>
          <w:sz w:val="16"/>
          <w:szCs w:val="16"/>
          <w:color w:val="3D3935"/>
        </w:rPr>
        <w:t>pension equals 1.25 percent of annual salary plus short-term incentive payments and is applicable to amounts in excess of the IRS-prescribed limit applicable to tax-qualified plans. These DB accruals were frozen on September 30, 2012, with service continuing towards eligibility to retire.</w:t>
      </w:r>
    </w:p>
    <w:p>
      <w:pPr>
        <w:sectPr>
          <w:pgSz w:w="11900" w:h="16838" w:orient="portrait"/>
          <w:cols w:equalWidth="0" w:num="1">
            <w:col w:w="9240"/>
          </w:cols>
          <w:pgMar w:left="1400" w:top="1440" w:right="1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000"/>
        <w:spacing w:after="0"/>
        <w:tabs>
          <w:tab w:leader="none" w:pos="8840" w:val="left"/>
        </w:tabs>
        <w:rPr>
          <w:sz w:val="20"/>
          <w:szCs w:val="20"/>
          <w:color w:val="auto"/>
        </w:rPr>
      </w:pPr>
      <w:r>
        <w:rPr>
          <w:rFonts w:ascii="Arial" w:cs="Arial" w:eastAsia="Arial" w:hAnsi="Arial"/>
          <w:sz w:val="14"/>
          <w:szCs w:val="14"/>
          <w:b w:val="1"/>
          <w:bCs w:val="1"/>
          <w:color w:val="0072CE"/>
        </w:rPr>
        <w:t>2025 Proxy Statement</w:t>
      </w:r>
      <w:r>
        <w:rPr>
          <w:sz w:val="20"/>
          <w:szCs w:val="20"/>
          <w:color w:val="auto"/>
        </w:rPr>
        <w:tab/>
      </w:r>
      <w:r>
        <w:rPr>
          <w:rFonts w:ascii="Arial" w:cs="Arial" w:eastAsia="Arial" w:hAnsi="Arial"/>
          <w:sz w:val="14"/>
          <w:szCs w:val="14"/>
          <w:b w:val="1"/>
          <w:bCs w:val="1"/>
          <w:color w:val="3D3935"/>
        </w:rPr>
        <w:t>73</w:t>
      </w:r>
    </w:p>
    <w:p>
      <w:pPr>
        <w:sectPr>
          <w:pgSz w:w="11900" w:h="16838" w:orient="portrait"/>
          <w:cols w:equalWidth="0" w:num="1">
            <w:col w:w="9240"/>
          </w:cols>
          <w:pgMar w:left="1400" w:top="1440" w:right="1259" w:bottom="0" w:gutter="0" w:footer="0" w:header="0"/>
          <w:type w:val="continuous"/>
        </w:sectPr>
      </w:pPr>
    </w:p>
    <w:bookmarkStart w:id="68" w:name="page69"/>
    <w:bookmarkEnd w:id="68"/>
    <w:p>
      <w:pPr>
        <w:spacing w:after="0"/>
        <w:rPr>
          <w:sz w:val="20"/>
          <w:szCs w:val="20"/>
          <w:color w:val="auto"/>
        </w:rPr>
      </w:pPr>
      <w:r>
        <w:rPr>
          <w:rFonts w:ascii="Arial" w:cs="Arial" w:eastAsia="Arial" w:hAnsi="Arial"/>
          <w:sz w:val="14"/>
          <w:szCs w:val="14"/>
          <w:b w:val="1"/>
          <w:bCs w:val="1"/>
          <w:color w:val="0072CE"/>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90887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10375" cy="9088755"/>
                    </a:xfrm>
                    <a:prstGeom prst="rect">
                      <a:avLst/>
                    </a:prstGeom>
                    <a:noFill/>
                  </pic:spPr>
                </pic:pic>
              </a:graphicData>
            </a:graphic>
          </wp:anchor>
        </w:drawing>
        <w:t>ITEM 3 Proposal to Approve, on an Advisory Basis, Named Executive Officer Compensation</w:t>
      </w:r>
    </w:p>
    <w:p>
      <w:pPr>
        <w:spacing w:after="0" w:line="200" w:lineRule="exact"/>
        <w:rPr>
          <w:sz w:val="20"/>
          <w:szCs w:val="20"/>
          <w:color w:val="auto"/>
        </w:rPr>
      </w:pPr>
    </w:p>
    <w:p>
      <w:pPr>
        <w:spacing w:after="0" w:line="377" w:lineRule="exact"/>
        <w:rPr>
          <w:sz w:val="20"/>
          <w:szCs w:val="20"/>
          <w:color w:val="auto"/>
        </w:rPr>
      </w:pPr>
    </w:p>
    <w:p>
      <w:pPr>
        <w:ind w:right="300"/>
        <w:spacing w:after="0" w:line="289" w:lineRule="auto"/>
        <w:rPr>
          <w:sz w:val="20"/>
          <w:szCs w:val="20"/>
          <w:color w:val="auto"/>
        </w:rPr>
      </w:pPr>
      <w:r>
        <w:rPr>
          <w:rFonts w:ascii="Arial" w:cs="Arial" w:eastAsia="Arial" w:hAnsi="Arial"/>
          <w:sz w:val="16"/>
          <w:szCs w:val="16"/>
          <w:b w:val="1"/>
          <w:bCs w:val="1"/>
          <w:color w:val="0072CE"/>
        </w:rPr>
        <w:t xml:space="preserve">Time and Form of Payment: </w:t>
      </w:r>
      <w:r>
        <w:rPr>
          <w:rFonts w:ascii="Arial" w:cs="Arial" w:eastAsia="Arial" w:hAnsi="Arial"/>
          <w:sz w:val="16"/>
          <w:szCs w:val="16"/>
          <w:color w:val="3D3935"/>
        </w:rPr>
        <w:t>Normal retirement age under the plan is age 65; however, employees who commenced service</w:t>
      </w:r>
      <w:r>
        <w:rPr>
          <w:rFonts w:ascii="Arial" w:cs="Arial" w:eastAsia="Arial" w:hAnsi="Arial"/>
          <w:sz w:val="16"/>
          <w:szCs w:val="16"/>
          <w:b w:val="1"/>
          <w:bCs w:val="1"/>
          <w:color w:val="0072CE"/>
        </w:rPr>
        <w:t xml:space="preserve"> </w:t>
      </w:r>
      <w:r>
        <w:rPr>
          <w:rFonts w:ascii="Arial" w:cs="Arial" w:eastAsia="Arial" w:hAnsi="Arial"/>
          <w:sz w:val="16"/>
          <w:szCs w:val="16"/>
          <w:color w:val="3D3935"/>
        </w:rPr>
        <w:t>prior to January 1, 2007, may retire at age 60 with 10 or more years of service without any reduction in benefits. Employees may also retire at age 55 with 10 or more years of service with benefits reduced using the same factors as are utilized for early retirement under the SRP. As of December 31, 2024, Ms. Barra and Mr. Reuss were eligible for early retirement. The DB ERP is payable as a five-year certain annuity, with payments starting upon the retirement of the executive and continuing for 60 months.</w:t>
      </w:r>
    </w:p>
    <w:p>
      <w:pPr>
        <w:spacing w:after="0" w:line="78" w:lineRule="exact"/>
        <w:rPr>
          <w:sz w:val="20"/>
          <w:szCs w:val="20"/>
          <w:color w:val="auto"/>
        </w:rPr>
      </w:pPr>
    </w:p>
    <w:p>
      <w:pPr>
        <w:spacing w:after="0"/>
        <w:rPr>
          <w:sz w:val="20"/>
          <w:szCs w:val="20"/>
          <w:color w:val="auto"/>
        </w:rPr>
      </w:pPr>
      <w:r>
        <w:rPr>
          <w:rFonts w:ascii="Arial" w:cs="Arial" w:eastAsia="Arial" w:hAnsi="Arial"/>
          <w:sz w:val="25"/>
          <w:szCs w:val="25"/>
          <w:b w:val="1"/>
          <w:bCs w:val="1"/>
          <w:color w:val="0072CE"/>
        </w:rPr>
        <w:t>UK VML Pension Plan</w:t>
      </w:r>
    </w:p>
    <w:p>
      <w:pPr>
        <w:spacing w:after="0" w:line="128" w:lineRule="exact"/>
        <w:rPr>
          <w:sz w:val="20"/>
          <w:szCs w:val="20"/>
          <w:color w:val="auto"/>
        </w:rPr>
      </w:pPr>
    </w:p>
    <w:p>
      <w:pPr>
        <w:ind w:right="620"/>
        <w:spacing w:after="0" w:line="321" w:lineRule="auto"/>
        <w:rPr>
          <w:sz w:val="20"/>
          <w:szCs w:val="20"/>
          <w:color w:val="auto"/>
        </w:rPr>
      </w:pPr>
      <w:r>
        <w:rPr>
          <w:rFonts w:ascii="Arial" w:cs="Arial" w:eastAsia="Arial" w:hAnsi="Arial"/>
          <w:sz w:val="16"/>
          <w:szCs w:val="16"/>
          <w:b w:val="1"/>
          <w:bCs w:val="1"/>
          <w:color w:val="0072CE"/>
        </w:rPr>
        <w:t xml:space="preserve">Eligibility and Vesting: </w:t>
      </w:r>
      <w:r>
        <w:rPr>
          <w:rFonts w:ascii="Arial" w:cs="Arial" w:eastAsia="Arial" w:hAnsi="Arial"/>
          <w:sz w:val="16"/>
          <w:szCs w:val="16"/>
          <w:color w:val="3D3935"/>
        </w:rPr>
        <w:t>The Vauxhall Motors Pension Plan (“UK VML Plan”) is a funded defined benefit plan open to all</w:t>
      </w:r>
      <w:r>
        <w:rPr>
          <w:rFonts w:ascii="Arial" w:cs="Arial" w:eastAsia="Arial" w:hAnsi="Arial"/>
          <w:sz w:val="16"/>
          <w:szCs w:val="16"/>
          <w:b w:val="1"/>
          <w:bCs w:val="1"/>
          <w:color w:val="0072CE"/>
        </w:rPr>
        <w:t xml:space="preserve"> </w:t>
      </w:r>
      <w:r>
        <w:rPr>
          <w:rFonts w:ascii="Arial" w:cs="Arial" w:eastAsia="Arial" w:hAnsi="Arial"/>
          <w:sz w:val="16"/>
          <w:szCs w:val="16"/>
          <w:color w:val="3D3935"/>
        </w:rPr>
        <w:t>GM United Kingdom employees prior to October 2012, when it closed to new entrants.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3D3935"/>
        </w:rPr>
        <w:t>Benefit Formula:</w:t>
      </w:r>
    </w:p>
    <w:p>
      <w:pPr>
        <w:spacing w:after="0" w:line="181" w:lineRule="exact"/>
        <w:rPr>
          <w:sz w:val="20"/>
          <w:szCs w:val="20"/>
          <w:color w:val="auto"/>
        </w:rPr>
      </w:pPr>
    </w:p>
    <w:p>
      <w:pPr>
        <w:ind w:right="320"/>
        <w:spacing w:after="0" w:line="321" w:lineRule="auto"/>
        <w:rPr>
          <w:sz w:val="20"/>
          <w:szCs w:val="20"/>
          <w:color w:val="auto"/>
        </w:rPr>
      </w:pPr>
      <w:r>
        <w:rPr>
          <w:rFonts w:ascii="Arial" w:cs="Arial" w:eastAsia="Arial" w:hAnsi="Arial"/>
          <w:sz w:val="16"/>
          <w:szCs w:val="16"/>
          <w:b w:val="1"/>
          <w:bCs w:val="1"/>
          <w:color w:val="0072CE"/>
        </w:rPr>
        <w:t xml:space="preserve">Service Prior to May 31, 2009: </w:t>
      </w:r>
      <w:r>
        <w:rPr>
          <w:rFonts w:ascii="Arial" w:cs="Arial" w:eastAsia="Arial" w:hAnsi="Arial"/>
          <w:sz w:val="16"/>
          <w:szCs w:val="16"/>
          <w:color w:val="3D3935"/>
        </w:rPr>
        <w:t>The UK VML Plan gave an annual pension equal to 1/55th times pensionable service times</w:t>
      </w:r>
      <w:r>
        <w:rPr>
          <w:rFonts w:ascii="Arial" w:cs="Arial" w:eastAsia="Arial" w:hAnsi="Arial"/>
          <w:sz w:val="16"/>
          <w:szCs w:val="16"/>
          <w:b w:val="1"/>
          <w:bCs w:val="1"/>
          <w:color w:val="0072CE"/>
        </w:rPr>
        <w:t xml:space="preserve"> </w:t>
      </w:r>
      <w:r>
        <w:rPr>
          <w:rFonts w:ascii="Arial" w:cs="Arial" w:eastAsia="Arial" w:hAnsi="Arial"/>
          <w:sz w:val="16"/>
          <w:szCs w:val="16"/>
          <w:color w:val="3D3935"/>
        </w:rPr>
        <w:t>Final Pensionable Pay. Pensionable Pay is defined as basic pay less the lower earnings limit.</w:t>
      </w:r>
    </w:p>
    <w:p>
      <w:pPr>
        <w:spacing w:after="0" w:line="75" w:lineRule="exact"/>
        <w:rPr>
          <w:sz w:val="20"/>
          <w:szCs w:val="20"/>
          <w:color w:val="auto"/>
        </w:rPr>
      </w:pPr>
    </w:p>
    <w:p>
      <w:pPr>
        <w:ind w:right="420"/>
        <w:spacing w:after="0" w:line="301" w:lineRule="auto"/>
        <w:rPr>
          <w:sz w:val="20"/>
          <w:szCs w:val="20"/>
          <w:color w:val="auto"/>
        </w:rPr>
      </w:pPr>
      <w:r>
        <w:rPr>
          <w:rFonts w:ascii="Arial" w:cs="Arial" w:eastAsia="Arial" w:hAnsi="Arial"/>
          <w:sz w:val="16"/>
          <w:szCs w:val="16"/>
          <w:b w:val="1"/>
          <w:bCs w:val="1"/>
          <w:color w:val="0072CE"/>
        </w:rPr>
        <w:t xml:space="preserve">Service from June 1, 2009: </w:t>
      </w:r>
      <w:r>
        <w:rPr>
          <w:rFonts w:ascii="Arial" w:cs="Arial" w:eastAsia="Arial" w:hAnsi="Arial"/>
          <w:sz w:val="16"/>
          <w:szCs w:val="16"/>
          <w:color w:val="3D3935"/>
        </w:rPr>
        <w:t>An annual pension equal to 1/60th times pensionable service times Final Pensionable Pay.</w:t>
      </w:r>
      <w:r>
        <w:rPr>
          <w:rFonts w:ascii="Arial" w:cs="Arial" w:eastAsia="Arial" w:hAnsi="Arial"/>
          <w:sz w:val="16"/>
          <w:szCs w:val="16"/>
          <w:b w:val="1"/>
          <w:bCs w:val="1"/>
          <w:color w:val="0072CE"/>
        </w:rPr>
        <w:t xml:space="preserve"> </w:t>
      </w:r>
      <w:r>
        <w:rPr>
          <w:rFonts w:ascii="Arial" w:cs="Arial" w:eastAsia="Arial" w:hAnsi="Arial"/>
          <w:sz w:val="16"/>
          <w:szCs w:val="16"/>
          <w:color w:val="3D3935"/>
        </w:rPr>
        <w:t>Increases in pensionable pay is limited to the rate of retail price index inflation annually other than for one off increases due to promotions.</w:t>
      </w:r>
    </w:p>
    <w:p>
      <w:pPr>
        <w:spacing w:after="0" w:line="104" w:lineRule="exact"/>
        <w:rPr>
          <w:sz w:val="20"/>
          <w:szCs w:val="20"/>
          <w:color w:val="auto"/>
        </w:rPr>
      </w:pPr>
    </w:p>
    <w:p>
      <w:pPr>
        <w:ind w:right="280"/>
        <w:spacing w:after="0" w:line="304" w:lineRule="auto"/>
        <w:rPr>
          <w:sz w:val="20"/>
          <w:szCs w:val="20"/>
          <w:color w:val="auto"/>
        </w:rPr>
      </w:pPr>
      <w:r>
        <w:rPr>
          <w:rFonts w:ascii="Arial" w:cs="Arial" w:eastAsia="Arial" w:hAnsi="Arial"/>
          <w:sz w:val="16"/>
          <w:szCs w:val="16"/>
          <w:b w:val="1"/>
          <w:bCs w:val="1"/>
          <w:color w:val="0072CE"/>
        </w:rPr>
        <w:t>Time and Form of Payment:</w:t>
      </w:r>
      <w:r>
        <w:rPr>
          <w:rFonts w:ascii="Arial" w:cs="Arial" w:eastAsia="Arial" w:hAnsi="Arial"/>
          <w:sz w:val="16"/>
          <w:szCs w:val="16"/>
          <w:color w:val="3D3935"/>
        </w:rPr>
        <w:t>Normal retirement age under the plan is age 65. Deferred members can take their pension from</w:t>
      </w:r>
      <w:r>
        <w:rPr>
          <w:rFonts w:ascii="Arial" w:cs="Arial" w:eastAsia="Arial" w:hAnsi="Arial"/>
          <w:sz w:val="16"/>
          <w:szCs w:val="16"/>
          <w:b w:val="1"/>
          <w:bCs w:val="1"/>
          <w:color w:val="0072CE"/>
        </w:rPr>
        <w:t xml:space="preserve"> </w:t>
      </w:r>
      <w:r>
        <w:rPr>
          <w:rFonts w:ascii="Arial" w:cs="Arial" w:eastAsia="Arial" w:hAnsi="Arial"/>
          <w:sz w:val="16"/>
          <w:szCs w:val="16"/>
          <w:color w:val="3D3935"/>
        </w:rPr>
        <w:t>age 55 subject to a reduction, using the plan’s early retirement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13449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10375" cy="134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3D3935"/>
        </w:rPr>
        <w:t>The table below reflects pension benefits as of December 31, 2024, provided by the respective plans.</w:t>
      </w:r>
    </w:p>
    <w:p>
      <w:pPr>
        <w:sectPr>
          <w:pgSz w:w="11900" w:h="16838" w:orient="portrait"/>
          <w:cols w:equalWidth="0" w:num="1">
            <w:col w:w="9240"/>
          </w:cols>
          <w:pgMar w:left="1400" w:top="873" w:right="1259" w:bottom="0" w:gutter="0" w:footer="0" w:header="0"/>
        </w:sectPr>
      </w:pPr>
    </w:p>
    <w:p>
      <w:pPr>
        <w:spacing w:after="0" w:line="320"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3D3935"/>
        </w:rPr>
        <w:t>Present</w:t>
      </w:r>
    </w:p>
    <w:p>
      <w:pPr>
        <w:spacing w:after="0" w:line="29" w:lineRule="exact"/>
        <w:rPr>
          <w:sz w:val="20"/>
          <w:szCs w:val="20"/>
          <w:color w:val="auto"/>
        </w:rPr>
      </w:pPr>
    </w:p>
    <w:p>
      <w:pPr>
        <w:ind w:left="5700"/>
        <w:spacing w:after="0"/>
        <w:tabs>
          <w:tab w:leader="none" w:pos="7420" w:val="left"/>
          <w:tab w:leader="none" w:pos="8340" w:val="left"/>
        </w:tabs>
        <w:rPr>
          <w:sz w:val="20"/>
          <w:szCs w:val="20"/>
          <w:color w:val="auto"/>
        </w:rPr>
      </w:pPr>
      <w:r>
        <w:rPr>
          <w:rFonts w:ascii="Arial" w:cs="Arial" w:eastAsia="Arial" w:hAnsi="Arial"/>
          <w:sz w:val="14"/>
          <w:szCs w:val="14"/>
          <w:b w:val="1"/>
          <w:bCs w:val="1"/>
          <w:color w:val="3D3935"/>
        </w:rPr>
        <w:t>Number of Years</w:t>
      </w:r>
      <w:r>
        <w:rPr>
          <w:sz w:val="20"/>
          <w:szCs w:val="20"/>
          <w:color w:val="auto"/>
        </w:rPr>
        <w:tab/>
      </w:r>
      <w:r>
        <w:rPr>
          <w:rFonts w:ascii="Arial" w:cs="Arial" w:eastAsia="Arial" w:hAnsi="Arial"/>
          <w:sz w:val="14"/>
          <w:szCs w:val="14"/>
          <w:b w:val="1"/>
          <w:bCs w:val="1"/>
          <w:color w:val="3D3935"/>
        </w:rPr>
        <w:t>Value of</w:t>
      </w:r>
      <w:r>
        <w:rPr>
          <w:sz w:val="20"/>
          <w:szCs w:val="20"/>
          <w:color w:val="auto"/>
        </w:rPr>
        <w:tab/>
      </w:r>
      <w:r>
        <w:rPr>
          <w:rFonts w:ascii="Arial" w:cs="Arial" w:eastAsia="Arial" w:hAnsi="Arial"/>
          <w:sz w:val="14"/>
          <w:szCs w:val="14"/>
          <w:b w:val="1"/>
          <w:bCs w:val="1"/>
          <w:color w:val="3D3935"/>
        </w:rPr>
        <w:t>Payments</w:t>
      </w:r>
    </w:p>
    <w:p>
      <w:pPr>
        <w:sectPr>
          <w:pgSz w:w="11900" w:h="16838" w:orient="portrait"/>
          <w:cols w:equalWidth="0" w:num="1">
            <w:col w:w="9240"/>
          </w:cols>
          <w:pgMar w:left="1400" w:top="873" w:right="1259" w:bottom="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150"/>
        </w:trPr>
        <w:tc>
          <w:tcPr>
            <w:tcW w:w="4220" w:type="dxa"/>
            <w:vAlign w:val="bottom"/>
            <w:shd w:val="clear" w:color="auto" w:fill="F0F3F5"/>
          </w:tcPr>
          <w:p>
            <w:pPr>
              <w:spacing w:after="0"/>
              <w:rPr>
                <w:sz w:val="13"/>
                <w:szCs w:val="13"/>
                <w:color w:val="auto"/>
              </w:rPr>
            </w:pPr>
          </w:p>
        </w:tc>
        <w:tc>
          <w:tcPr>
            <w:tcW w:w="1100" w:type="dxa"/>
            <w:vAlign w:val="bottom"/>
            <w:shd w:val="clear" w:color="auto" w:fill="F0F3F5"/>
          </w:tcPr>
          <w:p>
            <w:pPr>
              <w:spacing w:after="0"/>
              <w:rPr>
                <w:sz w:val="13"/>
                <w:szCs w:val="13"/>
                <w:color w:val="auto"/>
              </w:rPr>
            </w:pPr>
          </w:p>
        </w:tc>
        <w:tc>
          <w:tcPr>
            <w:tcW w:w="1680" w:type="dxa"/>
            <w:vAlign w:val="bottom"/>
            <w:shd w:val="clear" w:color="auto" w:fill="F0F3F5"/>
          </w:tcPr>
          <w:p>
            <w:pPr>
              <w:jc w:val="right"/>
              <w:ind w:right="41"/>
              <w:spacing w:after="0" w:line="150" w:lineRule="exact"/>
              <w:rPr>
                <w:sz w:val="20"/>
                <w:szCs w:val="20"/>
                <w:color w:val="auto"/>
              </w:rPr>
            </w:pPr>
            <w:r>
              <w:rPr>
                <w:rFonts w:ascii="Arial" w:cs="Arial" w:eastAsia="Arial" w:hAnsi="Arial"/>
                <w:sz w:val="14"/>
                <w:szCs w:val="14"/>
                <w:b w:val="1"/>
                <w:bCs w:val="1"/>
                <w:color w:val="3D3935"/>
              </w:rPr>
              <w:t>of Eligible Credited</w:t>
            </w:r>
          </w:p>
        </w:tc>
        <w:tc>
          <w:tcPr>
            <w:tcW w:w="1140" w:type="dxa"/>
            <w:vAlign w:val="bottom"/>
            <w:gridSpan w:val="2"/>
            <w:shd w:val="clear" w:color="auto" w:fill="F0F3F5"/>
          </w:tcPr>
          <w:p>
            <w:pPr>
              <w:jc w:val="right"/>
              <w:ind w:right="68"/>
              <w:spacing w:after="0" w:line="150" w:lineRule="exact"/>
              <w:rPr>
                <w:sz w:val="20"/>
                <w:szCs w:val="20"/>
                <w:color w:val="auto"/>
              </w:rPr>
            </w:pPr>
            <w:r>
              <w:rPr>
                <w:rFonts w:ascii="Arial" w:cs="Arial" w:eastAsia="Arial" w:hAnsi="Arial"/>
                <w:sz w:val="14"/>
                <w:szCs w:val="14"/>
                <w:b w:val="1"/>
                <w:bCs w:val="1"/>
                <w:color w:val="3D3935"/>
              </w:rPr>
              <w:t>Accumulated</w:t>
            </w:r>
          </w:p>
        </w:tc>
        <w:tc>
          <w:tcPr>
            <w:tcW w:w="940" w:type="dxa"/>
            <w:vAlign w:val="bottom"/>
            <w:shd w:val="clear" w:color="auto" w:fill="F0F3F5"/>
          </w:tcPr>
          <w:p>
            <w:pPr>
              <w:ind w:left="100"/>
              <w:spacing w:after="0" w:line="150" w:lineRule="exact"/>
              <w:rPr>
                <w:sz w:val="20"/>
                <w:szCs w:val="20"/>
                <w:color w:val="auto"/>
              </w:rPr>
            </w:pPr>
            <w:r>
              <w:rPr>
                <w:rFonts w:ascii="Arial" w:cs="Arial" w:eastAsia="Arial" w:hAnsi="Arial"/>
                <w:sz w:val="14"/>
                <w:szCs w:val="14"/>
                <w:b w:val="1"/>
                <w:bCs w:val="1"/>
                <w:color w:val="3D3935"/>
              </w:rPr>
              <w:t>During Last</w:t>
            </w:r>
          </w:p>
        </w:tc>
        <w:tc>
          <w:tcPr>
            <w:tcW w:w="0" w:type="dxa"/>
            <w:vAlign w:val="bottom"/>
          </w:tcPr>
          <w:p>
            <w:pPr>
              <w:spacing w:after="0"/>
              <w:rPr>
                <w:sz w:val="1"/>
                <w:szCs w:val="1"/>
                <w:color w:val="auto"/>
              </w:rPr>
            </w:pPr>
          </w:p>
        </w:tc>
      </w:tr>
      <w:tr>
        <w:trPr>
          <w:trHeight w:val="127"/>
        </w:trPr>
        <w:tc>
          <w:tcPr>
            <w:tcW w:w="4220" w:type="dxa"/>
            <w:vAlign w:val="bottom"/>
            <w:shd w:val="clear" w:color="auto" w:fill="F0F3F5"/>
          </w:tcPr>
          <w:p>
            <w:pPr>
              <w:spacing w:after="0"/>
              <w:rPr>
                <w:sz w:val="11"/>
                <w:szCs w:val="11"/>
                <w:color w:val="auto"/>
              </w:rPr>
            </w:pPr>
          </w:p>
        </w:tc>
        <w:tc>
          <w:tcPr>
            <w:tcW w:w="1100" w:type="dxa"/>
            <w:vAlign w:val="bottom"/>
            <w:shd w:val="clear" w:color="auto" w:fill="F0F3F5"/>
          </w:tcPr>
          <w:p>
            <w:pPr>
              <w:spacing w:after="0"/>
              <w:rPr>
                <w:sz w:val="11"/>
                <w:szCs w:val="11"/>
                <w:color w:val="auto"/>
              </w:rPr>
            </w:pPr>
          </w:p>
        </w:tc>
        <w:tc>
          <w:tcPr>
            <w:tcW w:w="1680" w:type="dxa"/>
            <w:vAlign w:val="bottom"/>
            <w:vMerge w:val="restart"/>
            <w:shd w:val="clear" w:color="auto" w:fill="F0F3F5"/>
          </w:tcPr>
          <w:p>
            <w:pPr>
              <w:jc w:val="right"/>
              <w:ind w:right="61"/>
              <w:spacing w:after="0" w:line="154" w:lineRule="exact"/>
              <w:rPr>
                <w:sz w:val="20"/>
                <w:szCs w:val="20"/>
                <w:color w:val="auto"/>
              </w:rPr>
            </w:pPr>
            <w:r>
              <w:rPr>
                <w:rFonts w:ascii="Arial" w:cs="Arial" w:eastAsia="Arial" w:hAnsi="Arial"/>
                <w:sz w:val="14"/>
                <w:szCs w:val="14"/>
                <w:b w:val="1"/>
                <w:bCs w:val="1"/>
                <w:color w:val="3D3935"/>
              </w:rPr>
              <w:t>Service as of</w:t>
            </w:r>
          </w:p>
        </w:tc>
        <w:tc>
          <w:tcPr>
            <w:tcW w:w="860" w:type="dxa"/>
            <w:vAlign w:val="bottom"/>
            <w:vMerge w:val="restart"/>
            <w:shd w:val="clear" w:color="auto" w:fill="F0F3F5"/>
          </w:tcPr>
          <w:p>
            <w:pPr>
              <w:ind w:left="300"/>
              <w:spacing w:after="0" w:line="154" w:lineRule="exact"/>
              <w:rPr>
                <w:sz w:val="20"/>
                <w:szCs w:val="20"/>
                <w:color w:val="auto"/>
              </w:rPr>
            </w:pPr>
            <w:r>
              <w:rPr>
                <w:rFonts w:ascii="Arial" w:cs="Arial" w:eastAsia="Arial" w:hAnsi="Arial"/>
                <w:sz w:val="14"/>
                <w:szCs w:val="14"/>
                <w:b w:val="1"/>
                <w:bCs w:val="1"/>
                <w:color w:val="3D3935"/>
                <w:w w:val="97"/>
              </w:rPr>
              <w:t>Benefits</w:t>
            </w:r>
          </w:p>
        </w:tc>
        <w:tc>
          <w:tcPr>
            <w:tcW w:w="280" w:type="dxa"/>
            <w:vAlign w:val="bottom"/>
            <w:shd w:val="clear" w:color="auto" w:fill="F0F3F5"/>
          </w:tcPr>
          <w:p>
            <w:pPr>
              <w:jc w:val="right"/>
              <w:ind w:right="88"/>
              <w:spacing w:after="0"/>
              <w:rPr>
                <w:sz w:val="20"/>
                <w:szCs w:val="20"/>
                <w:color w:val="auto"/>
              </w:rPr>
            </w:pPr>
            <w:r>
              <w:rPr>
                <w:rFonts w:ascii="Arial" w:cs="Arial" w:eastAsia="Arial" w:hAnsi="Arial"/>
                <w:sz w:val="9"/>
                <w:szCs w:val="9"/>
                <w:b w:val="1"/>
                <w:bCs w:val="1"/>
                <w:color w:val="3D3935"/>
                <w:w w:val="90"/>
              </w:rPr>
              <w:t>(2)</w:t>
            </w:r>
          </w:p>
        </w:tc>
        <w:tc>
          <w:tcPr>
            <w:tcW w:w="940" w:type="dxa"/>
            <w:vAlign w:val="bottom"/>
            <w:vMerge w:val="restart"/>
            <w:shd w:val="clear" w:color="auto" w:fill="F0F3F5"/>
          </w:tcPr>
          <w:p>
            <w:pPr>
              <w:ind w:left="140"/>
              <w:spacing w:after="0" w:line="154" w:lineRule="exact"/>
              <w:rPr>
                <w:sz w:val="20"/>
                <w:szCs w:val="20"/>
                <w:color w:val="auto"/>
              </w:rPr>
            </w:pPr>
            <w:r>
              <w:rPr>
                <w:rFonts w:ascii="Arial" w:cs="Arial" w:eastAsia="Arial" w:hAnsi="Arial"/>
                <w:sz w:val="14"/>
                <w:szCs w:val="14"/>
                <w:b w:val="1"/>
                <w:bCs w:val="1"/>
                <w:color w:val="3D3935"/>
              </w:rPr>
              <w:t>Fiscal Year</w:t>
            </w:r>
          </w:p>
        </w:tc>
        <w:tc>
          <w:tcPr>
            <w:tcW w:w="0" w:type="dxa"/>
            <w:vAlign w:val="bottom"/>
          </w:tcPr>
          <w:p>
            <w:pPr>
              <w:spacing w:after="0"/>
              <w:rPr>
                <w:sz w:val="1"/>
                <w:szCs w:val="1"/>
                <w:color w:val="auto"/>
              </w:rPr>
            </w:pPr>
          </w:p>
        </w:tc>
      </w:tr>
      <w:tr>
        <w:trPr>
          <w:trHeight w:val="27"/>
        </w:trPr>
        <w:tc>
          <w:tcPr>
            <w:tcW w:w="4220" w:type="dxa"/>
            <w:vAlign w:val="bottom"/>
            <w:shd w:val="clear" w:color="auto" w:fill="F0F3F5"/>
          </w:tcPr>
          <w:p>
            <w:pPr>
              <w:spacing w:after="0"/>
              <w:rPr>
                <w:sz w:val="2"/>
                <w:szCs w:val="2"/>
                <w:color w:val="auto"/>
              </w:rPr>
            </w:pPr>
          </w:p>
        </w:tc>
        <w:tc>
          <w:tcPr>
            <w:tcW w:w="1100" w:type="dxa"/>
            <w:vAlign w:val="bottom"/>
            <w:shd w:val="clear" w:color="auto" w:fill="F0F3F5"/>
          </w:tcPr>
          <w:p>
            <w:pPr>
              <w:spacing w:after="0"/>
              <w:rPr>
                <w:sz w:val="2"/>
                <w:szCs w:val="2"/>
                <w:color w:val="auto"/>
              </w:rPr>
            </w:pPr>
          </w:p>
        </w:tc>
        <w:tc>
          <w:tcPr>
            <w:tcW w:w="1680" w:type="dxa"/>
            <w:vAlign w:val="bottom"/>
            <w:vMerge w:val="continue"/>
            <w:shd w:val="clear" w:color="auto" w:fill="F0F3F5"/>
          </w:tcPr>
          <w:p>
            <w:pPr>
              <w:spacing w:after="0"/>
              <w:rPr>
                <w:sz w:val="2"/>
                <w:szCs w:val="2"/>
                <w:color w:val="auto"/>
              </w:rPr>
            </w:pPr>
          </w:p>
        </w:tc>
        <w:tc>
          <w:tcPr>
            <w:tcW w:w="860" w:type="dxa"/>
            <w:vAlign w:val="bottom"/>
            <w:vMerge w:val="continue"/>
            <w:shd w:val="clear" w:color="auto" w:fill="F0F3F5"/>
          </w:tcPr>
          <w:p>
            <w:pPr>
              <w:spacing w:after="0"/>
              <w:rPr>
                <w:sz w:val="2"/>
                <w:szCs w:val="2"/>
                <w:color w:val="auto"/>
              </w:rPr>
            </w:pPr>
          </w:p>
        </w:tc>
        <w:tc>
          <w:tcPr>
            <w:tcW w:w="280" w:type="dxa"/>
            <w:vAlign w:val="bottom"/>
            <w:shd w:val="clear" w:color="auto" w:fill="F0F3F5"/>
          </w:tcPr>
          <w:p>
            <w:pPr>
              <w:spacing w:after="0"/>
              <w:rPr>
                <w:sz w:val="2"/>
                <w:szCs w:val="2"/>
                <w:color w:val="auto"/>
              </w:rPr>
            </w:pPr>
          </w:p>
        </w:tc>
        <w:tc>
          <w:tcPr>
            <w:tcW w:w="940" w:type="dxa"/>
            <w:vAlign w:val="bottom"/>
            <w:vMerge w:val="continue"/>
            <w:shd w:val="clear" w:color="auto" w:fill="F0F3F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4220" w:type="dxa"/>
            <w:vAlign w:val="bottom"/>
            <w:shd w:val="clear" w:color="auto" w:fill="F0F3F5"/>
          </w:tcPr>
          <w:p>
            <w:pPr>
              <w:ind w:left="60"/>
              <w:spacing w:after="0"/>
              <w:rPr>
                <w:sz w:val="20"/>
                <w:szCs w:val="20"/>
                <w:color w:val="auto"/>
              </w:rPr>
            </w:pPr>
            <w:r>
              <w:rPr>
                <w:rFonts w:ascii="Arial" w:cs="Arial" w:eastAsia="Arial" w:hAnsi="Arial"/>
                <w:sz w:val="14"/>
                <w:szCs w:val="14"/>
                <w:b w:val="1"/>
                <w:bCs w:val="1"/>
                <w:color w:val="3D3935"/>
              </w:rPr>
              <w:t>Name</w:t>
            </w:r>
          </w:p>
        </w:tc>
        <w:tc>
          <w:tcPr>
            <w:tcW w:w="1100" w:type="dxa"/>
            <w:vAlign w:val="bottom"/>
            <w:shd w:val="clear" w:color="auto" w:fill="F0F3F5"/>
          </w:tcPr>
          <w:p>
            <w:pPr>
              <w:jc w:val="right"/>
              <w:ind w:right="80"/>
              <w:spacing w:after="0"/>
              <w:rPr>
                <w:sz w:val="20"/>
                <w:szCs w:val="20"/>
                <w:color w:val="auto"/>
              </w:rPr>
            </w:pPr>
            <w:r>
              <w:rPr>
                <w:rFonts w:ascii="Arial" w:cs="Arial" w:eastAsia="Arial" w:hAnsi="Arial"/>
                <w:sz w:val="14"/>
                <w:szCs w:val="14"/>
                <w:b w:val="1"/>
                <w:bCs w:val="1"/>
                <w:color w:val="3D3935"/>
              </w:rPr>
              <w:t>Plan Name</w:t>
            </w:r>
          </w:p>
        </w:tc>
        <w:tc>
          <w:tcPr>
            <w:tcW w:w="1680" w:type="dxa"/>
            <w:vAlign w:val="bottom"/>
            <w:shd w:val="clear" w:color="auto" w:fill="F0F3F5"/>
          </w:tcPr>
          <w:p>
            <w:pPr>
              <w:jc w:val="right"/>
              <w:ind w:right="61"/>
              <w:spacing w:after="0"/>
              <w:rPr>
                <w:sz w:val="20"/>
                <w:szCs w:val="20"/>
                <w:color w:val="auto"/>
              </w:rPr>
            </w:pPr>
            <w:r>
              <w:rPr>
                <w:rFonts w:ascii="Arial" w:cs="Arial" w:eastAsia="Arial" w:hAnsi="Arial"/>
                <w:sz w:val="14"/>
                <w:szCs w:val="14"/>
                <w:b w:val="1"/>
                <w:bCs w:val="1"/>
                <w:color w:val="3D3935"/>
              </w:rPr>
              <w:t xml:space="preserve">December 31, 2024 </w:t>
            </w:r>
            <w:r>
              <w:rPr>
                <w:rFonts w:ascii="Arial" w:cs="Arial" w:eastAsia="Arial" w:hAnsi="Arial"/>
                <w:sz w:val="18"/>
                <w:szCs w:val="18"/>
                <w:b w:val="1"/>
                <w:bCs w:val="1"/>
                <w:color w:val="3D3935"/>
                <w:vertAlign w:val="superscript"/>
              </w:rPr>
              <w:t>(1)</w:t>
            </w:r>
          </w:p>
        </w:tc>
        <w:tc>
          <w:tcPr>
            <w:tcW w:w="1140" w:type="dxa"/>
            <w:vAlign w:val="bottom"/>
            <w:gridSpan w:val="2"/>
            <w:shd w:val="clear" w:color="auto" w:fill="F0F3F5"/>
          </w:tcPr>
          <w:p>
            <w:pPr>
              <w:jc w:val="right"/>
              <w:ind w:right="88"/>
              <w:spacing w:after="0"/>
              <w:rPr>
                <w:sz w:val="20"/>
                <w:szCs w:val="20"/>
                <w:color w:val="auto"/>
              </w:rPr>
            </w:pPr>
            <w:r>
              <w:rPr>
                <w:rFonts w:ascii="Arial" w:cs="Arial" w:eastAsia="Arial" w:hAnsi="Arial"/>
                <w:sz w:val="14"/>
                <w:szCs w:val="14"/>
                <w:b w:val="1"/>
                <w:bCs w:val="1"/>
                <w:color w:val="3D3935"/>
              </w:rPr>
              <w:t>($)</w:t>
            </w:r>
          </w:p>
        </w:tc>
        <w:tc>
          <w:tcPr>
            <w:tcW w:w="940" w:type="dxa"/>
            <w:vAlign w:val="bottom"/>
            <w:shd w:val="clear" w:color="auto" w:fill="F0F3F5"/>
          </w:tcPr>
          <w:p>
            <w:pPr>
              <w:ind w:left="700"/>
              <w:spacing w:after="0"/>
              <w:rPr>
                <w:sz w:val="20"/>
                <w:szCs w:val="20"/>
                <w:color w:val="auto"/>
              </w:rPr>
            </w:pPr>
            <w:r>
              <w:rPr>
                <w:rFonts w:ascii="Arial" w:cs="Arial" w:eastAsia="Arial" w:hAnsi="Arial"/>
                <w:sz w:val="14"/>
                <w:szCs w:val="14"/>
                <w:b w:val="1"/>
                <w:bCs w:val="1"/>
                <w:color w:val="3D3935"/>
              </w:rPr>
              <w:t>($)</w:t>
            </w:r>
          </w:p>
        </w:tc>
        <w:tc>
          <w:tcPr>
            <w:tcW w:w="0" w:type="dxa"/>
            <w:vAlign w:val="bottom"/>
          </w:tcPr>
          <w:p>
            <w:pPr>
              <w:spacing w:after="0"/>
              <w:rPr>
                <w:sz w:val="1"/>
                <w:szCs w:val="1"/>
                <w:color w:val="auto"/>
              </w:rPr>
            </w:pPr>
          </w:p>
        </w:tc>
      </w:tr>
      <w:tr>
        <w:trPr>
          <w:trHeight w:val="228"/>
        </w:trPr>
        <w:tc>
          <w:tcPr>
            <w:tcW w:w="4220" w:type="dxa"/>
            <w:vAlign w:val="bottom"/>
            <w:shd w:val="clear" w:color="auto" w:fill="F0F3F5"/>
          </w:tcPr>
          <w:p>
            <w:pPr>
              <w:ind w:left="60"/>
              <w:spacing w:after="0"/>
              <w:rPr>
                <w:sz w:val="20"/>
                <w:szCs w:val="20"/>
                <w:color w:val="auto"/>
              </w:rPr>
            </w:pPr>
            <w:r>
              <w:rPr>
                <w:rFonts w:ascii="Arial" w:cs="Arial" w:eastAsia="Arial" w:hAnsi="Arial"/>
                <w:sz w:val="16"/>
                <w:szCs w:val="16"/>
                <w:b w:val="1"/>
                <w:bCs w:val="1"/>
                <w:color w:val="0072CE"/>
              </w:rPr>
              <w:t>Mary T. Barra</w:t>
            </w:r>
          </w:p>
        </w:tc>
        <w:tc>
          <w:tcPr>
            <w:tcW w:w="1100" w:type="dxa"/>
            <w:vAlign w:val="bottom"/>
            <w:shd w:val="clear" w:color="auto" w:fill="F0F3F5"/>
          </w:tcPr>
          <w:p>
            <w:pPr>
              <w:ind w:left="620"/>
              <w:spacing w:after="0"/>
              <w:rPr>
                <w:sz w:val="20"/>
                <w:szCs w:val="20"/>
                <w:color w:val="auto"/>
              </w:rPr>
            </w:pPr>
            <w:r>
              <w:rPr>
                <w:rFonts w:ascii="Arial" w:cs="Arial" w:eastAsia="Arial" w:hAnsi="Arial"/>
                <w:sz w:val="16"/>
                <w:szCs w:val="16"/>
                <w:color w:val="3D3935"/>
              </w:rPr>
              <w:t>SRP</w:t>
            </w:r>
          </w:p>
        </w:tc>
        <w:tc>
          <w:tcPr>
            <w:tcW w:w="1680" w:type="dxa"/>
            <w:vAlign w:val="bottom"/>
            <w:shd w:val="clear" w:color="auto" w:fill="F0F3F5"/>
          </w:tcPr>
          <w:p>
            <w:pPr>
              <w:jc w:val="right"/>
              <w:ind w:right="101"/>
              <w:spacing w:after="0"/>
              <w:rPr>
                <w:sz w:val="20"/>
                <w:szCs w:val="20"/>
                <w:color w:val="auto"/>
              </w:rPr>
            </w:pPr>
            <w:r>
              <w:rPr>
                <w:rFonts w:ascii="Arial" w:cs="Arial" w:eastAsia="Arial" w:hAnsi="Arial"/>
                <w:sz w:val="16"/>
                <w:szCs w:val="16"/>
                <w:color w:val="3D3935"/>
              </w:rPr>
              <w:t>42.3</w:t>
            </w:r>
          </w:p>
        </w:tc>
        <w:tc>
          <w:tcPr>
            <w:tcW w:w="1140" w:type="dxa"/>
            <w:vAlign w:val="bottom"/>
            <w:gridSpan w:val="2"/>
            <w:shd w:val="clear" w:color="auto" w:fill="F0F3F5"/>
          </w:tcPr>
          <w:p>
            <w:pPr>
              <w:jc w:val="right"/>
              <w:ind w:right="48"/>
              <w:spacing w:after="0"/>
              <w:rPr>
                <w:sz w:val="20"/>
                <w:szCs w:val="20"/>
                <w:color w:val="auto"/>
              </w:rPr>
            </w:pPr>
            <w:r>
              <w:rPr>
                <w:rFonts w:ascii="Arial" w:cs="Arial" w:eastAsia="Arial" w:hAnsi="Arial"/>
                <w:sz w:val="16"/>
                <w:szCs w:val="16"/>
                <w:color w:val="3D3935"/>
              </w:rPr>
              <w:t>1,128,779</w:t>
            </w:r>
          </w:p>
        </w:tc>
        <w:tc>
          <w:tcPr>
            <w:tcW w:w="940" w:type="dxa"/>
            <w:vAlign w:val="bottom"/>
            <w:shd w:val="clear" w:color="auto" w:fill="F0F3F5"/>
          </w:tcPr>
          <w:p>
            <w:pPr>
              <w:ind w:left="780"/>
              <w:spacing w:after="0"/>
              <w:rPr>
                <w:sz w:val="20"/>
                <w:szCs w:val="20"/>
                <w:color w:val="auto"/>
              </w:rPr>
            </w:pPr>
            <w:r>
              <w:rPr>
                <w:rFonts w:ascii="Arial" w:cs="Arial" w:eastAsia="Arial" w:hAnsi="Arial"/>
                <w:sz w:val="16"/>
                <w:szCs w:val="16"/>
                <w:color w:val="3D3935"/>
                <w:w w:val="87"/>
              </w:rPr>
              <w:t>—</w:t>
            </w:r>
          </w:p>
        </w:tc>
        <w:tc>
          <w:tcPr>
            <w:tcW w:w="0" w:type="dxa"/>
            <w:vAlign w:val="bottom"/>
          </w:tcPr>
          <w:p>
            <w:pPr>
              <w:spacing w:after="0"/>
              <w:rPr>
                <w:sz w:val="1"/>
                <w:szCs w:val="1"/>
                <w:color w:val="auto"/>
              </w:rPr>
            </w:pPr>
          </w:p>
        </w:tc>
      </w:tr>
      <w:tr>
        <w:trPr>
          <w:trHeight w:val="279"/>
        </w:trPr>
        <w:tc>
          <w:tcPr>
            <w:tcW w:w="4220" w:type="dxa"/>
            <w:vAlign w:val="bottom"/>
            <w:tcBorders>
              <w:bottom w:val="single" w:sz="8" w:color="0072CE"/>
            </w:tcBorders>
            <w:shd w:val="clear" w:color="auto" w:fill="F0F3F5"/>
          </w:tcPr>
          <w:p>
            <w:pPr>
              <w:spacing w:after="0"/>
              <w:rPr>
                <w:sz w:val="24"/>
                <w:szCs w:val="24"/>
                <w:color w:val="auto"/>
              </w:rPr>
            </w:pPr>
          </w:p>
        </w:tc>
        <w:tc>
          <w:tcPr>
            <w:tcW w:w="1100" w:type="dxa"/>
            <w:vAlign w:val="bottom"/>
            <w:tcBorders>
              <w:bottom w:val="single" w:sz="8" w:color="0072CE"/>
            </w:tcBorders>
            <w:shd w:val="clear" w:color="auto" w:fill="F0F3F5"/>
          </w:tcPr>
          <w:p>
            <w:pPr>
              <w:ind w:left="380"/>
              <w:spacing w:after="0"/>
              <w:rPr>
                <w:sz w:val="20"/>
                <w:szCs w:val="20"/>
                <w:color w:val="auto"/>
              </w:rPr>
            </w:pPr>
            <w:r>
              <w:rPr>
                <w:rFonts w:ascii="Arial" w:cs="Arial" w:eastAsia="Arial" w:hAnsi="Arial"/>
                <w:sz w:val="16"/>
                <w:szCs w:val="16"/>
                <w:color w:val="3D3935"/>
              </w:rPr>
              <w:t>DB ERP</w:t>
            </w:r>
          </w:p>
        </w:tc>
        <w:tc>
          <w:tcPr>
            <w:tcW w:w="1680" w:type="dxa"/>
            <w:vAlign w:val="bottom"/>
            <w:tcBorders>
              <w:bottom w:val="single" w:sz="8" w:color="0072CE"/>
            </w:tcBorders>
            <w:shd w:val="clear" w:color="auto" w:fill="F0F3F5"/>
          </w:tcPr>
          <w:p>
            <w:pPr>
              <w:jc w:val="right"/>
              <w:ind w:right="101"/>
              <w:spacing w:after="0"/>
              <w:rPr>
                <w:sz w:val="20"/>
                <w:szCs w:val="20"/>
                <w:color w:val="auto"/>
              </w:rPr>
            </w:pPr>
            <w:r>
              <w:rPr>
                <w:rFonts w:ascii="Arial" w:cs="Arial" w:eastAsia="Arial" w:hAnsi="Arial"/>
                <w:sz w:val="16"/>
                <w:szCs w:val="16"/>
                <w:color w:val="3D3935"/>
              </w:rPr>
              <w:t>42.3</w:t>
            </w:r>
          </w:p>
        </w:tc>
        <w:tc>
          <w:tcPr>
            <w:tcW w:w="1140" w:type="dxa"/>
            <w:vAlign w:val="bottom"/>
            <w:tcBorders>
              <w:bottom w:val="single" w:sz="8" w:color="0072CE"/>
            </w:tcBorders>
            <w:gridSpan w:val="2"/>
            <w:shd w:val="clear" w:color="auto" w:fill="F0F3F5"/>
          </w:tcPr>
          <w:p>
            <w:pPr>
              <w:jc w:val="right"/>
              <w:ind w:right="148"/>
              <w:spacing w:after="0"/>
              <w:rPr>
                <w:sz w:val="20"/>
                <w:szCs w:val="20"/>
                <w:color w:val="auto"/>
              </w:rPr>
            </w:pPr>
            <w:r>
              <w:rPr>
                <w:rFonts w:ascii="Arial" w:cs="Arial" w:eastAsia="Arial" w:hAnsi="Arial"/>
                <w:sz w:val="16"/>
                <w:szCs w:val="16"/>
                <w:color w:val="3D3935"/>
              </w:rPr>
              <w:t>846,955</w:t>
            </w:r>
          </w:p>
        </w:tc>
        <w:tc>
          <w:tcPr>
            <w:tcW w:w="940" w:type="dxa"/>
            <w:vAlign w:val="bottom"/>
            <w:tcBorders>
              <w:bottom w:val="single" w:sz="8" w:color="0072CE"/>
            </w:tcBorders>
            <w:shd w:val="clear" w:color="auto" w:fill="F0F3F5"/>
          </w:tcPr>
          <w:p>
            <w:pPr>
              <w:ind w:left="780"/>
              <w:spacing w:after="0"/>
              <w:rPr>
                <w:sz w:val="20"/>
                <w:szCs w:val="20"/>
                <w:color w:val="auto"/>
              </w:rPr>
            </w:pPr>
            <w:r>
              <w:rPr>
                <w:rFonts w:ascii="Arial" w:cs="Arial" w:eastAsia="Arial" w:hAnsi="Arial"/>
                <w:sz w:val="16"/>
                <w:szCs w:val="16"/>
                <w:color w:val="3D3935"/>
                <w:w w:val="87"/>
              </w:rPr>
              <w:t>—</w:t>
            </w:r>
          </w:p>
        </w:tc>
        <w:tc>
          <w:tcPr>
            <w:tcW w:w="0" w:type="dxa"/>
            <w:vAlign w:val="bottom"/>
          </w:tcPr>
          <w:p>
            <w:pPr>
              <w:spacing w:after="0"/>
              <w:rPr>
                <w:sz w:val="1"/>
                <w:szCs w:val="1"/>
                <w:color w:val="auto"/>
              </w:rPr>
            </w:pPr>
          </w:p>
        </w:tc>
      </w:tr>
      <w:tr>
        <w:trPr>
          <w:trHeight w:val="108"/>
        </w:trPr>
        <w:tc>
          <w:tcPr>
            <w:tcW w:w="4220" w:type="dxa"/>
            <w:vAlign w:val="bottom"/>
          </w:tcPr>
          <w:p>
            <w:pPr>
              <w:ind w:left="1360"/>
              <w:spacing w:after="0" w:line="108" w:lineRule="exact"/>
              <w:rPr>
                <w:sz w:val="20"/>
                <w:szCs w:val="20"/>
                <w:color w:val="auto"/>
              </w:rPr>
            </w:pPr>
            <w:r>
              <w:rPr>
                <w:rFonts w:ascii="Arial" w:cs="Arial" w:eastAsia="Arial" w:hAnsi="Arial"/>
                <w:sz w:val="11"/>
                <w:szCs w:val="11"/>
                <w:b w:val="1"/>
                <w:bCs w:val="1"/>
                <w:color w:val="0072CE"/>
              </w:rPr>
              <w:t>(3)</w:t>
            </w:r>
          </w:p>
        </w:tc>
        <w:tc>
          <w:tcPr>
            <w:tcW w:w="1100" w:type="dxa"/>
            <w:vAlign w:val="bottom"/>
            <w:vMerge w:val="restart"/>
          </w:tcPr>
          <w:p>
            <w:pPr>
              <w:ind w:left="840"/>
              <w:spacing w:after="0"/>
              <w:rPr>
                <w:sz w:val="20"/>
                <w:szCs w:val="20"/>
                <w:color w:val="auto"/>
              </w:rPr>
            </w:pPr>
            <w:r>
              <w:rPr>
                <w:rFonts w:ascii="Arial" w:cs="Arial" w:eastAsia="Arial" w:hAnsi="Arial"/>
                <w:sz w:val="16"/>
                <w:szCs w:val="16"/>
                <w:color w:val="3D3935"/>
              </w:rPr>
              <w:t>—</w:t>
            </w:r>
          </w:p>
        </w:tc>
        <w:tc>
          <w:tcPr>
            <w:tcW w:w="1680" w:type="dxa"/>
            <w:vAlign w:val="bottom"/>
            <w:vMerge w:val="restart"/>
          </w:tcPr>
          <w:p>
            <w:pPr>
              <w:jc w:val="right"/>
              <w:ind w:right="1"/>
              <w:spacing w:after="0"/>
              <w:rPr>
                <w:sz w:val="20"/>
                <w:szCs w:val="20"/>
                <w:color w:val="auto"/>
              </w:rPr>
            </w:pPr>
            <w:r>
              <w:rPr>
                <w:rFonts w:ascii="Arial" w:cs="Arial" w:eastAsia="Arial" w:hAnsi="Arial"/>
                <w:sz w:val="16"/>
                <w:szCs w:val="16"/>
                <w:color w:val="3D3935"/>
              </w:rPr>
              <w:t>—</w:t>
            </w:r>
          </w:p>
        </w:tc>
        <w:tc>
          <w:tcPr>
            <w:tcW w:w="860" w:type="dxa"/>
            <w:vAlign w:val="bottom"/>
          </w:tcPr>
          <w:p>
            <w:pPr>
              <w:spacing w:after="0"/>
              <w:rPr>
                <w:sz w:val="9"/>
                <w:szCs w:val="9"/>
                <w:color w:val="auto"/>
              </w:rPr>
            </w:pPr>
          </w:p>
        </w:tc>
        <w:tc>
          <w:tcPr>
            <w:tcW w:w="280" w:type="dxa"/>
            <w:vAlign w:val="bottom"/>
            <w:vMerge w:val="restart"/>
          </w:tcPr>
          <w:p>
            <w:pPr>
              <w:jc w:val="right"/>
              <w:ind w:right="28"/>
              <w:spacing w:after="0"/>
              <w:rPr>
                <w:sz w:val="20"/>
                <w:szCs w:val="20"/>
                <w:color w:val="auto"/>
              </w:rPr>
            </w:pPr>
            <w:r>
              <w:rPr>
                <w:rFonts w:ascii="Arial" w:cs="Arial" w:eastAsia="Arial" w:hAnsi="Arial"/>
                <w:sz w:val="16"/>
                <w:szCs w:val="16"/>
                <w:color w:val="3D3935"/>
                <w:w w:val="99"/>
              </w:rPr>
              <w:t>—</w:t>
            </w:r>
          </w:p>
        </w:tc>
        <w:tc>
          <w:tcPr>
            <w:tcW w:w="940" w:type="dxa"/>
            <w:vAlign w:val="bottom"/>
            <w:vMerge w:val="restart"/>
          </w:tcPr>
          <w:p>
            <w:pPr>
              <w:ind w:left="780"/>
              <w:spacing w:after="0"/>
              <w:rPr>
                <w:sz w:val="20"/>
                <w:szCs w:val="20"/>
                <w:color w:val="auto"/>
              </w:rPr>
            </w:pPr>
            <w:r>
              <w:rPr>
                <w:rFonts w:ascii="Arial" w:cs="Arial" w:eastAsia="Arial" w:hAnsi="Arial"/>
                <w:sz w:val="16"/>
                <w:szCs w:val="16"/>
                <w:color w:val="3D3935"/>
                <w:w w:val="87"/>
              </w:rPr>
              <w:t>—</w:t>
            </w:r>
          </w:p>
        </w:tc>
        <w:tc>
          <w:tcPr>
            <w:tcW w:w="0" w:type="dxa"/>
            <w:vAlign w:val="bottom"/>
          </w:tcPr>
          <w:p>
            <w:pPr>
              <w:spacing w:after="0"/>
              <w:rPr>
                <w:sz w:val="1"/>
                <w:szCs w:val="1"/>
                <w:color w:val="auto"/>
              </w:rPr>
            </w:pPr>
          </w:p>
        </w:tc>
      </w:tr>
      <w:tr>
        <w:trPr>
          <w:trHeight w:val="148"/>
        </w:trPr>
        <w:tc>
          <w:tcPr>
            <w:tcW w:w="4220" w:type="dxa"/>
            <w:vAlign w:val="bottom"/>
          </w:tcPr>
          <w:p>
            <w:pPr>
              <w:ind w:left="60"/>
              <w:spacing w:after="0" w:line="148" w:lineRule="exact"/>
              <w:rPr>
                <w:sz w:val="20"/>
                <w:szCs w:val="20"/>
                <w:color w:val="auto"/>
              </w:rPr>
            </w:pPr>
            <w:r>
              <w:rPr>
                <w:rFonts w:ascii="Arial" w:cs="Arial" w:eastAsia="Arial" w:hAnsi="Arial"/>
                <w:sz w:val="16"/>
                <w:szCs w:val="16"/>
                <w:b w:val="1"/>
                <w:bCs w:val="1"/>
                <w:color w:val="0072CE"/>
              </w:rPr>
              <w:t>Paul A. Jacobson</w:t>
            </w:r>
          </w:p>
        </w:tc>
        <w:tc>
          <w:tcPr>
            <w:tcW w:w="1100" w:type="dxa"/>
            <w:vAlign w:val="bottom"/>
            <w:tcBorders>
              <w:bottom w:val="single" w:sz="8" w:color="D9D9D6"/>
            </w:tcBorders>
            <w:vMerge w:val="continue"/>
          </w:tcPr>
          <w:p>
            <w:pPr>
              <w:spacing w:after="0"/>
              <w:rPr>
                <w:sz w:val="12"/>
                <w:szCs w:val="12"/>
                <w:color w:val="auto"/>
              </w:rPr>
            </w:pPr>
          </w:p>
        </w:tc>
        <w:tc>
          <w:tcPr>
            <w:tcW w:w="1680" w:type="dxa"/>
            <w:vAlign w:val="bottom"/>
            <w:tcBorders>
              <w:bottom w:val="single" w:sz="8" w:color="D9D9D6"/>
            </w:tcBorders>
            <w:vMerge w:val="continue"/>
          </w:tcPr>
          <w:p>
            <w:pPr>
              <w:spacing w:after="0"/>
              <w:rPr>
                <w:sz w:val="12"/>
                <w:szCs w:val="12"/>
                <w:color w:val="auto"/>
              </w:rPr>
            </w:pPr>
          </w:p>
        </w:tc>
        <w:tc>
          <w:tcPr>
            <w:tcW w:w="860" w:type="dxa"/>
            <w:vAlign w:val="bottom"/>
            <w:tcBorders>
              <w:bottom w:val="single" w:sz="8" w:color="D9D9D6"/>
            </w:tcBorders>
          </w:tcPr>
          <w:p>
            <w:pPr>
              <w:spacing w:after="0"/>
              <w:rPr>
                <w:sz w:val="12"/>
                <w:szCs w:val="12"/>
                <w:color w:val="auto"/>
              </w:rPr>
            </w:pPr>
          </w:p>
        </w:tc>
        <w:tc>
          <w:tcPr>
            <w:tcW w:w="280" w:type="dxa"/>
            <w:vAlign w:val="bottom"/>
            <w:tcBorders>
              <w:bottom w:val="single" w:sz="8" w:color="D9D9D6"/>
            </w:tcBorders>
            <w:vMerge w:val="continue"/>
          </w:tcPr>
          <w:p>
            <w:pPr>
              <w:spacing w:after="0"/>
              <w:rPr>
                <w:sz w:val="12"/>
                <w:szCs w:val="12"/>
                <w:color w:val="auto"/>
              </w:rPr>
            </w:pPr>
          </w:p>
        </w:tc>
        <w:tc>
          <w:tcPr>
            <w:tcW w:w="940" w:type="dxa"/>
            <w:vAlign w:val="bottom"/>
            <w:tcBorders>
              <w:bottom w:val="single" w:sz="8" w:color="D9D9D6"/>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22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Mark L. Reuss</w:t>
            </w:r>
          </w:p>
        </w:tc>
        <w:tc>
          <w:tcPr>
            <w:tcW w:w="1100" w:type="dxa"/>
            <w:vAlign w:val="bottom"/>
            <w:tcBorders>
              <w:bottom w:val="single" w:sz="8" w:color="D9D9D6"/>
            </w:tcBorders>
          </w:tcPr>
          <w:p>
            <w:pPr>
              <w:ind w:left="620"/>
              <w:spacing w:after="0"/>
              <w:rPr>
                <w:sz w:val="20"/>
                <w:szCs w:val="20"/>
                <w:color w:val="auto"/>
              </w:rPr>
            </w:pPr>
            <w:r>
              <w:rPr>
                <w:rFonts w:ascii="Arial" w:cs="Arial" w:eastAsia="Arial" w:hAnsi="Arial"/>
                <w:sz w:val="16"/>
                <w:szCs w:val="16"/>
                <w:color w:val="3D3935"/>
              </w:rPr>
              <w:t>SRP</w:t>
            </w:r>
          </w:p>
        </w:tc>
        <w:tc>
          <w:tcPr>
            <w:tcW w:w="1680" w:type="dxa"/>
            <w:vAlign w:val="bottom"/>
            <w:tcBorders>
              <w:bottom w:val="single" w:sz="8" w:color="D9D9D6"/>
            </w:tcBorders>
          </w:tcPr>
          <w:p>
            <w:pPr>
              <w:jc w:val="right"/>
              <w:ind w:right="81"/>
              <w:spacing w:after="0"/>
              <w:rPr>
                <w:sz w:val="20"/>
                <w:szCs w:val="20"/>
                <w:color w:val="auto"/>
              </w:rPr>
            </w:pPr>
            <w:r>
              <w:rPr>
                <w:rFonts w:ascii="Arial" w:cs="Arial" w:eastAsia="Arial" w:hAnsi="Arial"/>
                <w:sz w:val="16"/>
                <w:szCs w:val="16"/>
                <w:color w:val="3D3935"/>
              </w:rPr>
              <w:t>37.8</w:t>
            </w:r>
          </w:p>
        </w:tc>
        <w:tc>
          <w:tcPr>
            <w:tcW w:w="1140" w:type="dxa"/>
            <w:vAlign w:val="bottom"/>
            <w:tcBorders>
              <w:bottom w:val="single" w:sz="8" w:color="D9D9D6"/>
            </w:tcBorders>
            <w:gridSpan w:val="2"/>
          </w:tcPr>
          <w:p>
            <w:pPr>
              <w:jc w:val="right"/>
              <w:ind w:right="128"/>
              <w:spacing w:after="0"/>
              <w:rPr>
                <w:sz w:val="20"/>
                <w:szCs w:val="20"/>
                <w:color w:val="auto"/>
              </w:rPr>
            </w:pPr>
            <w:r>
              <w:rPr>
                <w:rFonts w:ascii="Arial" w:cs="Arial" w:eastAsia="Arial" w:hAnsi="Arial"/>
                <w:sz w:val="16"/>
                <w:szCs w:val="16"/>
                <w:color w:val="3D3935"/>
              </w:rPr>
              <w:t>960,799</w:t>
            </w:r>
          </w:p>
        </w:tc>
        <w:tc>
          <w:tcPr>
            <w:tcW w:w="940" w:type="dxa"/>
            <w:vAlign w:val="bottom"/>
            <w:tcBorders>
              <w:bottom w:val="single" w:sz="8" w:color="D9D9D6"/>
            </w:tcBorders>
          </w:tcPr>
          <w:p>
            <w:pPr>
              <w:ind w:left="780"/>
              <w:spacing w:after="0"/>
              <w:rPr>
                <w:sz w:val="20"/>
                <w:szCs w:val="20"/>
                <w:color w:val="auto"/>
              </w:rPr>
            </w:pPr>
            <w:r>
              <w:rPr>
                <w:rFonts w:ascii="Arial" w:cs="Arial" w:eastAsia="Arial" w:hAnsi="Arial"/>
                <w:sz w:val="16"/>
                <w:szCs w:val="16"/>
                <w:color w:val="3D3935"/>
                <w:w w:val="87"/>
              </w:rPr>
              <w:t>—</w:t>
            </w:r>
          </w:p>
        </w:tc>
        <w:tc>
          <w:tcPr>
            <w:tcW w:w="0" w:type="dxa"/>
            <w:vAlign w:val="bottom"/>
          </w:tcPr>
          <w:p>
            <w:pPr>
              <w:spacing w:after="0"/>
              <w:rPr>
                <w:sz w:val="1"/>
                <w:szCs w:val="1"/>
                <w:color w:val="auto"/>
              </w:rPr>
            </w:pPr>
          </w:p>
        </w:tc>
      </w:tr>
      <w:tr>
        <w:trPr>
          <w:trHeight w:val="250"/>
        </w:trPr>
        <w:tc>
          <w:tcPr>
            <w:tcW w:w="4220" w:type="dxa"/>
            <w:vAlign w:val="bottom"/>
            <w:tcBorders>
              <w:bottom w:val="single" w:sz="8" w:color="D9D9D6"/>
            </w:tcBorders>
          </w:tcPr>
          <w:p>
            <w:pPr>
              <w:spacing w:after="0"/>
              <w:rPr>
                <w:sz w:val="21"/>
                <w:szCs w:val="21"/>
                <w:color w:val="auto"/>
              </w:rPr>
            </w:pPr>
          </w:p>
        </w:tc>
        <w:tc>
          <w:tcPr>
            <w:tcW w:w="1100" w:type="dxa"/>
            <w:vAlign w:val="bottom"/>
            <w:tcBorders>
              <w:bottom w:val="single" w:sz="8" w:color="D9D9D6"/>
            </w:tcBorders>
          </w:tcPr>
          <w:p>
            <w:pPr>
              <w:ind w:left="380"/>
              <w:spacing w:after="0"/>
              <w:rPr>
                <w:sz w:val="20"/>
                <w:szCs w:val="20"/>
                <w:color w:val="auto"/>
              </w:rPr>
            </w:pPr>
            <w:r>
              <w:rPr>
                <w:rFonts w:ascii="Arial" w:cs="Arial" w:eastAsia="Arial" w:hAnsi="Arial"/>
                <w:sz w:val="16"/>
                <w:szCs w:val="16"/>
                <w:color w:val="3D3935"/>
              </w:rPr>
              <w:t>DB ERP</w:t>
            </w:r>
          </w:p>
        </w:tc>
        <w:tc>
          <w:tcPr>
            <w:tcW w:w="1680" w:type="dxa"/>
            <w:vAlign w:val="bottom"/>
            <w:tcBorders>
              <w:bottom w:val="single" w:sz="8" w:color="D9D9D6"/>
            </w:tcBorders>
          </w:tcPr>
          <w:p>
            <w:pPr>
              <w:jc w:val="right"/>
              <w:ind w:right="81"/>
              <w:spacing w:after="0"/>
              <w:rPr>
                <w:sz w:val="20"/>
                <w:szCs w:val="20"/>
                <w:color w:val="auto"/>
              </w:rPr>
            </w:pPr>
            <w:r>
              <w:rPr>
                <w:rFonts w:ascii="Arial" w:cs="Arial" w:eastAsia="Arial" w:hAnsi="Arial"/>
                <w:sz w:val="16"/>
                <w:szCs w:val="16"/>
                <w:color w:val="3D3935"/>
              </w:rPr>
              <w:t>37.8</w:t>
            </w:r>
          </w:p>
        </w:tc>
        <w:tc>
          <w:tcPr>
            <w:tcW w:w="1140" w:type="dxa"/>
            <w:vAlign w:val="bottom"/>
            <w:tcBorders>
              <w:bottom w:val="single" w:sz="8" w:color="D9D9D6"/>
            </w:tcBorders>
            <w:gridSpan w:val="2"/>
          </w:tcPr>
          <w:p>
            <w:pPr>
              <w:jc w:val="right"/>
              <w:ind w:right="148"/>
              <w:spacing w:after="0"/>
              <w:rPr>
                <w:sz w:val="20"/>
                <w:szCs w:val="20"/>
                <w:color w:val="auto"/>
              </w:rPr>
            </w:pPr>
            <w:r>
              <w:rPr>
                <w:rFonts w:ascii="Arial" w:cs="Arial" w:eastAsia="Arial" w:hAnsi="Arial"/>
                <w:sz w:val="16"/>
                <w:szCs w:val="16"/>
                <w:color w:val="3D3935"/>
              </w:rPr>
              <w:t>582,946</w:t>
            </w:r>
          </w:p>
        </w:tc>
        <w:tc>
          <w:tcPr>
            <w:tcW w:w="940" w:type="dxa"/>
            <w:vAlign w:val="bottom"/>
            <w:tcBorders>
              <w:bottom w:val="single" w:sz="8" w:color="D9D9D6"/>
            </w:tcBorders>
          </w:tcPr>
          <w:p>
            <w:pPr>
              <w:ind w:left="780"/>
              <w:spacing w:after="0"/>
              <w:rPr>
                <w:sz w:val="20"/>
                <w:szCs w:val="20"/>
                <w:color w:val="auto"/>
              </w:rPr>
            </w:pPr>
            <w:r>
              <w:rPr>
                <w:rFonts w:ascii="Arial" w:cs="Arial" w:eastAsia="Arial" w:hAnsi="Arial"/>
                <w:sz w:val="16"/>
                <w:szCs w:val="16"/>
                <w:color w:val="3D3935"/>
                <w:w w:val="87"/>
              </w:rPr>
              <w:t>—</w:t>
            </w:r>
          </w:p>
        </w:tc>
        <w:tc>
          <w:tcPr>
            <w:tcW w:w="0" w:type="dxa"/>
            <w:vAlign w:val="bottom"/>
          </w:tcPr>
          <w:p>
            <w:pPr>
              <w:spacing w:after="0"/>
              <w:rPr>
                <w:sz w:val="1"/>
                <w:szCs w:val="1"/>
                <w:color w:val="auto"/>
              </w:rPr>
            </w:pPr>
          </w:p>
        </w:tc>
      </w:tr>
      <w:tr>
        <w:trPr>
          <w:trHeight w:val="257"/>
        </w:trPr>
        <w:tc>
          <w:tcPr>
            <w:tcW w:w="4220" w:type="dxa"/>
            <w:vAlign w:val="bottom"/>
          </w:tcPr>
          <w:p>
            <w:pPr>
              <w:ind w:left="60"/>
              <w:spacing w:after="0"/>
              <w:rPr>
                <w:sz w:val="20"/>
                <w:szCs w:val="20"/>
                <w:color w:val="auto"/>
              </w:rPr>
            </w:pPr>
            <w:r>
              <w:rPr>
                <w:rFonts w:ascii="Arial" w:cs="Arial" w:eastAsia="Arial" w:hAnsi="Arial"/>
                <w:sz w:val="16"/>
                <w:szCs w:val="16"/>
                <w:b w:val="1"/>
                <w:bCs w:val="1"/>
                <w:color w:val="0072CE"/>
              </w:rPr>
              <w:t>Michael Abbott</w:t>
            </w:r>
            <w:r>
              <w:rPr>
                <w:rFonts w:ascii="Arial" w:cs="Arial" w:eastAsia="Arial" w:hAnsi="Arial"/>
                <w:sz w:val="21"/>
                <w:szCs w:val="21"/>
                <w:b w:val="1"/>
                <w:bCs w:val="1"/>
                <w:color w:val="0072CE"/>
                <w:vertAlign w:val="superscript"/>
              </w:rPr>
              <w:t>(3)</w:t>
            </w:r>
          </w:p>
        </w:tc>
        <w:tc>
          <w:tcPr>
            <w:tcW w:w="1100" w:type="dxa"/>
            <w:vAlign w:val="bottom"/>
            <w:tcBorders>
              <w:bottom w:val="single" w:sz="8" w:color="D9D9D6"/>
            </w:tcBorders>
          </w:tcPr>
          <w:p>
            <w:pPr>
              <w:ind w:left="840"/>
              <w:spacing w:after="0"/>
              <w:rPr>
                <w:sz w:val="20"/>
                <w:szCs w:val="20"/>
                <w:color w:val="auto"/>
              </w:rPr>
            </w:pPr>
            <w:r>
              <w:rPr>
                <w:rFonts w:ascii="Arial" w:cs="Arial" w:eastAsia="Arial" w:hAnsi="Arial"/>
                <w:sz w:val="16"/>
                <w:szCs w:val="16"/>
                <w:color w:val="3D3935"/>
              </w:rPr>
              <w:t>—</w:t>
            </w:r>
          </w:p>
        </w:tc>
        <w:tc>
          <w:tcPr>
            <w:tcW w:w="1680" w:type="dxa"/>
            <w:vAlign w:val="bottom"/>
            <w:tcBorders>
              <w:bottom w:val="single" w:sz="8" w:color="D9D9D6"/>
            </w:tcBorders>
          </w:tcPr>
          <w:p>
            <w:pPr>
              <w:jc w:val="right"/>
              <w:ind w:right="1"/>
              <w:spacing w:after="0"/>
              <w:rPr>
                <w:sz w:val="20"/>
                <w:szCs w:val="20"/>
                <w:color w:val="auto"/>
              </w:rPr>
            </w:pPr>
            <w:r>
              <w:rPr>
                <w:rFonts w:ascii="Arial" w:cs="Arial" w:eastAsia="Arial" w:hAnsi="Arial"/>
                <w:sz w:val="16"/>
                <w:szCs w:val="16"/>
                <w:color w:val="3D3935"/>
              </w:rPr>
              <w:t>—</w:t>
            </w:r>
          </w:p>
        </w:tc>
        <w:tc>
          <w:tcPr>
            <w:tcW w:w="860" w:type="dxa"/>
            <w:vAlign w:val="bottom"/>
            <w:tcBorders>
              <w:bottom w:val="single" w:sz="8" w:color="D9D9D6"/>
            </w:tcBorders>
          </w:tcPr>
          <w:p>
            <w:pPr>
              <w:spacing w:after="0"/>
              <w:rPr>
                <w:sz w:val="22"/>
                <w:szCs w:val="22"/>
                <w:color w:val="auto"/>
              </w:rPr>
            </w:pPr>
          </w:p>
        </w:tc>
        <w:tc>
          <w:tcPr>
            <w:tcW w:w="280" w:type="dxa"/>
            <w:vAlign w:val="bottom"/>
            <w:tcBorders>
              <w:bottom w:val="single" w:sz="8" w:color="D9D9D6"/>
            </w:tcBorders>
          </w:tcPr>
          <w:p>
            <w:pPr>
              <w:jc w:val="right"/>
              <w:ind w:right="28"/>
              <w:spacing w:after="0"/>
              <w:rPr>
                <w:sz w:val="20"/>
                <w:szCs w:val="20"/>
                <w:color w:val="auto"/>
              </w:rPr>
            </w:pPr>
            <w:r>
              <w:rPr>
                <w:rFonts w:ascii="Arial" w:cs="Arial" w:eastAsia="Arial" w:hAnsi="Arial"/>
                <w:sz w:val="16"/>
                <w:szCs w:val="16"/>
                <w:color w:val="3D3935"/>
                <w:w w:val="99"/>
              </w:rPr>
              <w:t>—</w:t>
            </w:r>
          </w:p>
        </w:tc>
        <w:tc>
          <w:tcPr>
            <w:tcW w:w="940" w:type="dxa"/>
            <w:vAlign w:val="bottom"/>
            <w:tcBorders>
              <w:bottom w:val="single" w:sz="8" w:color="D9D9D6"/>
            </w:tcBorders>
          </w:tcPr>
          <w:p>
            <w:pPr>
              <w:ind w:left="780"/>
              <w:spacing w:after="0"/>
              <w:rPr>
                <w:sz w:val="20"/>
                <w:szCs w:val="20"/>
                <w:color w:val="auto"/>
              </w:rPr>
            </w:pPr>
            <w:r>
              <w:rPr>
                <w:rFonts w:ascii="Arial" w:cs="Arial" w:eastAsia="Arial" w:hAnsi="Arial"/>
                <w:sz w:val="16"/>
                <w:szCs w:val="16"/>
                <w:color w:val="3D3935"/>
                <w:w w:val="87"/>
              </w:rPr>
              <w:t>—</w:t>
            </w:r>
          </w:p>
        </w:tc>
        <w:tc>
          <w:tcPr>
            <w:tcW w:w="0" w:type="dxa"/>
            <w:vAlign w:val="bottom"/>
          </w:tcPr>
          <w:p>
            <w:pPr>
              <w:spacing w:after="0"/>
              <w:rPr>
                <w:sz w:val="1"/>
                <w:szCs w:val="1"/>
                <w:color w:val="auto"/>
              </w:rPr>
            </w:pPr>
          </w:p>
        </w:tc>
      </w:tr>
      <w:tr>
        <w:trPr>
          <w:trHeight w:val="102"/>
        </w:trPr>
        <w:tc>
          <w:tcPr>
            <w:tcW w:w="4220" w:type="dxa"/>
            <w:vAlign w:val="bottom"/>
          </w:tcPr>
          <w:p>
            <w:pPr>
              <w:ind w:left="1260"/>
              <w:spacing w:after="0" w:line="102" w:lineRule="exact"/>
              <w:rPr>
                <w:sz w:val="20"/>
                <w:szCs w:val="20"/>
                <w:color w:val="auto"/>
              </w:rPr>
            </w:pPr>
            <w:r>
              <w:rPr>
                <w:rFonts w:ascii="Arial" w:cs="Arial" w:eastAsia="Arial" w:hAnsi="Arial"/>
                <w:sz w:val="11"/>
                <w:szCs w:val="11"/>
                <w:b w:val="1"/>
                <w:bCs w:val="1"/>
                <w:color w:val="0072CE"/>
              </w:rPr>
              <w:t>(3)</w:t>
            </w:r>
          </w:p>
        </w:tc>
        <w:tc>
          <w:tcPr>
            <w:tcW w:w="1100" w:type="dxa"/>
            <w:vAlign w:val="bottom"/>
            <w:vMerge w:val="restart"/>
          </w:tcPr>
          <w:p>
            <w:pPr>
              <w:ind w:left="840"/>
              <w:spacing w:after="0"/>
              <w:rPr>
                <w:sz w:val="20"/>
                <w:szCs w:val="20"/>
                <w:color w:val="auto"/>
              </w:rPr>
            </w:pPr>
            <w:r>
              <w:rPr>
                <w:rFonts w:ascii="Arial" w:cs="Arial" w:eastAsia="Arial" w:hAnsi="Arial"/>
                <w:sz w:val="16"/>
                <w:szCs w:val="16"/>
                <w:color w:val="3D3935"/>
              </w:rPr>
              <w:t>—</w:t>
            </w:r>
          </w:p>
        </w:tc>
        <w:tc>
          <w:tcPr>
            <w:tcW w:w="1680" w:type="dxa"/>
            <w:vAlign w:val="bottom"/>
            <w:vMerge w:val="restart"/>
          </w:tcPr>
          <w:p>
            <w:pPr>
              <w:jc w:val="right"/>
              <w:ind w:right="1"/>
              <w:spacing w:after="0"/>
              <w:rPr>
                <w:sz w:val="20"/>
                <w:szCs w:val="20"/>
                <w:color w:val="auto"/>
              </w:rPr>
            </w:pPr>
            <w:r>
              <w:rPr>
                <w:rFonts w:ascii="Arial" w:cs="Arial" w:eastAsia="Arial" w:hAnsi="Arial"/>
                <w:sz w:val="16"/>
                <w:szCs w:val="16"/>
                <w:color w:val="3D3935"/>
              </w:rPr>
              <w:t>—</w:t>
            </w:r>
          </w:p>
        </w:tc>
        <w:tc>
          <w:tcPr>
            <w:tcW w:w="860" w:type="dxa"/>
            <w:vAlign w:val="bottom"/>
          </w:tcPr>
          <w:p>
            <w:pPr>
              <w:spacing w:after="0"/>
              <w:rPr>
                <w:sz w:val="8"/>
                <w:szCs w:val="8"/>
                <w:color w:val="auto"/>
              </w:rPr>
            </w:pPr>
          </w:p>
        </w:tc>
        <w:tc>
          <w:tcPr>
            <w:tcW w:w="280" w:type="dxa"/>
            <w:vAlign w:val="bottom"/>
            <w:vMerge w:val="restart"/>
          </w:tcPr>
          <w:p>
            <w:pPr>
              <w:jc w:val="right"/>
              <w:ind w:right="28"/>
              <w:spacing w:after="0"/>
              <w:rPr>
                <w:sz w:val="20"/>
                <w:szCs w:val="20"/>
                <w:color w:val="auto"/>
              </w:rPr>
            </w:pPr>
            <w:r>
              <w:rPr>
                <w:rFonts w:ascii="Arial" w:cs="Arial" w:eastAsia="Arial" w:hAnsi="Arial"/>
                <w:sz w:val="16"/>
                <w:szCs w:val="16"/>
                <w:color w:val="3D3935"/>
                <w:w w:val="99"/>
              </w:rPr>
              <w:t>—</w:t>
            </w:r>
          </w:p>
        </w:tc>
        <w:tc>
          <w:tcPr>
            <w:tcW w:w="940" w:type="dxa"/>
            <w:vAlign w:val="bottom"/>
            <w:vMerge w:val="restart"/>
          </w:tcPr>
          <w:p>
            <w:pPr>
              <w:ind w:left="780"/>
              <w:spacing w:after="0"/>
              <w:rPr>
                <w:sz w:val="20"/>
                <w:szCs w:val="20"/>
                <w:color w:val="auto"/>
              </w:rPr>
            </w:pPr>
            <w:r>
              <w:rPr>
                <w:rFonts w:ascii="Arial" w:cs="Arial" w:eastAsia="Arial" w:hAnsi="Arial"/>
                <w:sz w:val="16"/>
                <w:szCs w:val="16"/>
                <w:color w:val="3D3935"/>
                <w:w w:val="87"/>
              </w:rPr>
              <w:t>—</w:t>
            </w:r>
          </w:p>
        </w:tc>
        <w:tc>
          <w:tcPr>
            <w:tcW w:w="0" w:type="dxa"/>
            <w:vAlign w:val="bottom"/>
          </w:tcPr>
          <w:p>
            <w:pPr>
              <w:spacing w:after="0"/>
              <w:rPr>
                <w:sz w:val="1"/>
                <w:szCs w:val="1"/>
                <w:color w:val="auto"/>
              </w:rPr>
            </w:pPr>
          </w:p>
        </w:tc>
      </w:tr>
      <w:tr>
        <w:trPr>
          <w:trHeight w:val="148"/>
        </w:trPr>
        <w:tc>
          <w:tcPr>
            <w:tcW w:w="4220" w:type="dxa"/>
            <w:vAlign w:val="bottom"/>
            <w:tcBorders>
              <w:bottom w:val="single" w:sz="8" w:color="D9D9D6"/>
            </w:tcBorders>
          </w:tcPr>
          <w:p>
            <w:pPr>
              <w:ind w:left="60"/>
              <w:spacing w:after="0" w:line="148" w:lineRule="exact"/>
              <w:rPr>
                <w:sz w:val="20"/>
                <w:szCs w:val="20"/>
                <w:color w:val="auto"/>
              </w:rPr>
            </w:pPr>
            <w:r>
              <w:rPr>
                <w:rFonts w:ascii="Arial" w:cs="Arial" w:eastAsia="Arial" w:hAnsi="Arial"/>
                <w:sz w:val="16"/>
                <w:szCs w:val="16"/>
                <w:b w:val="1"/>
                <w:bCs w:val="1"/>
                <w:color w:val="0072CE"/>
              </w:rPr>
              <w:t>Craig B. Glidden</w:t>
            </w:r>
          </w:p>
        </w:tc>
        <w:tc>
          <w:tcPr>
            <w:tcW w:w="1100" w:type="dxa"/>
            <w:vAlign w:val="bottom"/>
            <w:tcBorders>
              <w:bottom w:val="single" w:sz="8" w:color="D9D9D6"/>
            </w:tcBorders>
            <w:vMerge w:val="continue"/>
          </w:tcPr>
          <w:p>
            <w:pPr>
              <w:spacing w:after="0"/>
              <w:rPr>
                <w:sz w:val="12"/>
                <w:szCs w:val="12"/>
                <w:color w:val="auto"/>
              </w:rPr>
            </w:pPr>
          </w:p>
        </w:tc>
        <w:tc>
          <w:tcPr>
            <w:tcW w:w="1680" w:type="dxa"/>
            <w:vAlign w:val="bottom"/>
            <w:tcBorders>
              <w:bottom w:val="single" w:sz="8" w:color="D9D9D6"/>
            </w:tcBorders>
            <w:vMerge w:val="continue"/>
          </w:tcPr>
          <w:p>
            <w:pPr>
              <w:spacing w:after="0"/>
              <w:rPr>
                <w:sz w:val="12"/>
                <w:szCs w:val="12"/>
                <w:color w:val="auto"/>
              </w:rPr>
            </w:pPr>
          </w:p>
        </w:tc>
        <w:tc>
          <w:tcPr>
            <w:tcW w:w="860" w:type="dxa"/>
            <w:vAlign w:val="bottom"/>
            <w:tcBorders>
              <w:bottom w:val="single" w:sz="8" w:color="D9D9D6"/>
            </w:tcBorders>
          </w:tcPr>
          <w:p>
            <w:pPr>
              <w:spacing w:after="0"/>
              <w:rPr>
                <w:sz w:val="12"/>
                <w:szCs w:val="12"/>
                <w:color w:val="auto"/>
              </w:rPr>
            </w:pPr>
          </w:p>
        </w:tc>
        <w:tc>
          <w:tcPr>
            <w:tcW w:w="280" w:type="dxa"/>
            <w:vAlign w:val="bottom"/>
            <w:tcBorders>
              <w:bottom w:val="single" w:sz="8" w:color="D9D9D6"/>
            </w:tcBorders>
            <w:vMerge w:val="continue"/>
          </w:tcPr>
          <w:p>
            <w:pPr>
              <w:spacing w:after="0"/>
              <w:rPr>
                <w:sz w:val="12"/>
                <w:szCs w:val="12"/>
                <w:color w:val="auto"/>
              </w:rPr>
            </w:pPr>
          </w:p>
        </w:tc>
        <w:tc>
          <w:tcPr>
            <w:tcW w:w="940" w:type="dxa"/>
            <w:vAlign w:val="bottom"/>
            <w:tcBorders>
              <w:bottom w:val="single" w:sz="8" w:color="D9D9D6"/>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22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Rory V. Harvey</w:t>
            </w:r>
            <w:r>
              <w:rPr>
                <w:rFonts w:ascii="Arial" w:cs="Arial" w:eastAsia="Arial" w:hAnsi="Arial"/>
                <w:sz w:val="21"/>
                <w:szCs w:val="21"/>
                <w:b w:val="1"/>
                <w:bCs w:val="1"/>
                <w:color w:val="0072CE"/>
                <w:vertAlign w:val="superscript"/>
              </w:rPr>
              <w:t>(4)</w:t>
            </w:r>
          </w:p>
        </w:tc>
        <w:tc>
          <w:tcPr>
            <w:tcW w:w="1100" w:type="dxa"/>
            <w:vAlign w:val="bottom"/>
            <w:tcBorders>
              <w:bottom w:val="single" w:sz="8" w:color="D9D9D6"/>
            </w:tcBorders>
          </w:tcPr>
          <w:p>
            <w:pPr>
              <w:jc w:val="right"/>
              <w:ind w:right="80"/>
              <w:spacing w:after="0"/>
              <w:rPr>
                <w:sz w:val="20"/>
                <w:szCs w:val="20"/>
                <w:color w:val="auto"/>
              </w:rPr>
            </w:pPr>
            <w:r>
              <w:rPr>
                <w:rFonts w:ascii="Arial" w:cs="Arial" w:eastAsia="Arial" w:hAnsi="Arial"/>
                <w:sz w:val="16"/>
                <w:szCs w:val="16"/>
                <w:color w:val="3D3935"/>
              </w:rPr>
              <w:t>VML Plan</w:t>
            </w:r>
          </w:p>
        </w:tc>
        <w:tc>
          <w:tcPr>
            <w:tcW w:w="1680" w:type="dxa"/>
            <w:vAlign w:val="bottom"/>
            <w:tcBorders>
              <w:bottom w:val="single" w:sz="8" w:color="D9D9D6"/>
            </w:tcBorders>
          </w:tcPr>
          <w:p>
            <w:pPr>
              <w:spacing w:after="0"/>
              <w:rPr>
                <w:sz w:val="21"/>
                <w:szCs w:val="21"/>
                <w:color w:val="auto"/>
              </w:rPr>
            </w:pPr>
          </w:p>
        </w:tc>
        <w:tc>
          <w:tcPr>
            <w:tcW w:w="860" w:type="dxa"/>
            <w:vAlign w:val="bottom"/>
            <w:tcBorders>
              <w:bottom w:val="single" w:sz="8" w:color="D9D9D6"/>
            </w:tcBorders>
          </w:tcPr>
          <w:p>
            <w:pPr>
              <w:spacing w:after="0"/>
              <w:rPr>
                <w:sz w:val="21"/>
                <w:szCs w:val="21"/>
                <w:color w:val="auto"/>
              </w:rPr>
            </w:pPr>
          </w:p>
        </w:tc>
        <w:tc>
          <w:tcPr>
            <w:tcW w:w="280" w:type="dxa"/>
            <w:vAlign w:val="bottom"/>
            <w:tcBorders>
              <w:bottom w:val="single" w:sz="8" w:color="D9D9D6"/>
            </w:tcBorders>
          </w:tcPr>
          <w:p>
            <w:pPr>
              <w:spacing w:after="0"/>
              <w:rPr>
                <w:sz w:val="21"/>
                <w:szCs w:val="21"/>
                <w:color w:val="auto"/>
              </w:rPr>
            </w:pPr>
          </w:p>
        </w:tc>
        <w:tc>
          <w:tcPr>
            <w:tcW w:w="940" w:type="dxa"/>
            <w:vAlign w:val="bottom"/>
            <w:tcBorders>
              <w:bottom w:val="single" w:sz="8" w:color="D9D9D6"/>
            </w:tcBorders>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220" w:type="dxa"/>
            <w:vAlign w:val="bottom"/>
          </w:tcPr>
          <w:p>
            <w:pPr>
              <w:spacing w:after="0"/>
              <w:rPr>
                <w:sz w:val="18"/>
                <w:szCs w:val="18"/>
                <w:color w:val="auto"/>
              </w:rPr>
            </w:pPr>
          </w:p>
        </w:tc>
        <w:tc>
          <w:tcPr>
            <w:tcW w:w="1100" w:type="dxa"/>
            <w:vAlign w:val="bottom"/>
          </w:tcPr>
          <w:p>
            <w:pPr>
              <w:ind w:left="600"/>
              <w:spacing w:after="0"/>
              <w:rPr>
                <w:sz w:val="20"/>
                <w:szCs w:val="20"/>
                <w:color w:val="auto"/>
              </w:rPr>
            </w:pPr>
            <w:r>
              <w:rPr>
                <w:rFonts w:ascii="Arial" w:cs="Arial" w:eastAsia="Arial" w:hAnsi="Arial"/>
                <w:sz w:val="16"/>
                <w:szCs w:val="16"/>
                <w:color w:val="3D3935"/>
              </w:rPr>
              <w:t>(UK)</w:t>
            </w:r>
          </w:p>
        </w:tc>
        <w:tc>
          <w:tcPr>
            <w:tcW w:w="1680" w:type="dxa"/>
            <w:vAlign w:val="bottom"/>
          </w:tcPr>
          <w:p>
            <w:pPr>
              <w:jc w:val="right"/>
              <w:ind w:right="81"/>
              <w:spacing w:after="0"/>
              <w:rPr>
                <w:sz w:val="20"/>
                <w:szCs w:val="20"/>
                <w:color w:val="auto"/>
              </w:rPr>
            </w:pPr>
            <w:r>
              <w:rPr>
                <w:rFonts w:ascii="Arial" w:cs="Arial" w:eastAsia="Arial" w:hAnsi="Arial"/>
                <w:sz w:val="16"/>
                <w:szCs w:val="16"/>
                <w:color w:val="3D3935"/>
              </w:rPr>
              <w:t>27.9</w:t>
            </w:r>
          </w:p>
        </w:tc>
        <w:tc>
          <w:tcPr>
            <w:tcW w:w="1140" w:type="dxa"/>
            <w:vAlign w:val="bottom"/>
            <w:gridSpan w:val="2"/>
          </w:tcPr>
          <w:p>
            <w:pPr>
              <w:jc w:val="right"/>
              <w:ind w:right="128"/>
              <w:spacing w:after="0"/>
              <w:rPr>
                <w:sz w:val="20"/>
                <w:szCs w:val="20"/>
                <w:color w:val="auto"/>
              </w:rPr>
            </w:pPr>
            <w:r>
              <w:rPr>
                <w:rFonts w:ascii="Arial" w:cs="Arial" w:eastAsia="Arial" w:hAnsi="Arial"/>
                <w:sz w:val="16"/>
                <w:szCs w:val="16"/>
                <w:color w:val="3D3935"/>
              </w:rPr>
              <w:t>1,254,900</w:t>
            </w:r>
          </w:p>
        </w:tc>
        <w:tc>
          <w:tcPr>
            <w:tcW w:w="940" w:type="dxa"/>
            <w:vAlign w:val="bottom"/>
          </w:tcPr>
          <w:p>
            <w:pPr>
              <w:ind w:left="780"/>
              <w:spacing w:after="0"/>
              <w:rPr>
                <w:sz w:val="20"/>
                <w:szCs w:val="20"/>
                <w:color w:val="auto"/>
              </w:rPr>
            </w:pPr>
            <w:r>
              <w:rPr>
                <w:rFonts w:ascii="Arial" w:cs="Arial" w:eastAsia="Arial" w:hAnsi="Arial"/>
                <w:sz w:val="16"/>
                <w:szCs w:val="16"/>
                <w:color w:val="3D3935"/>
                <w:w w:val="87"/>
              </w:rPr>
              <w:t>—</w:t>
            </w:r>
          </w:p>
        </w:tc>
        <w:tc>
          <w:tcPr>
            <w:tcW w:w="0" w:type="dxa"/>
            <w:vAlign w:val="bottom"/>
          </w:tcPr>
          <w:p>
            <w:pPr>
              <w:spacing w:after="0"/>
              <w:rPr>
                <w:sz w:val="1"/>
                <w:szCs w:val="1"/>
                <w:color w:val="auto"/>
              </w:rPr>
            </w:pPr>
          </w:p>
        </w:tc>
      </w:tr>
    </w:tbl>
    <w:p>
      <w:pPr>
        <w:spacing w:after="0" w:line="1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75114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10375" cy="7511415"/>
                    </a:xfrm>
                    <a:prstGeom prst="rect">
                      <a:avLst/>
                    </a:prstGeom>
                    <a:noFill/>
                  </pic:spPr>
                </pic:pic>
              </a:graphicData>
            </a:graphic>
          </wp:anchor>
        </w:drawing>
      </w:r>
    </w:p>
    <w:p>
      <w:pPr>
        <w:ind w:left="200" w:right="1540" w:hanging="192"/>
        <w:spacing w:after="0" w:line="239" w:lineRule="auto"/>
        <w:tabs>
          <w:tab w:leader="none" w:pos="200" w:val="left"/>
        </w:tabs>
        <w:numPr>
          <w:ilvl w:val="0"/>
          <w:numId w:val="105"/>
        </w:numPr>
        <w:rPr>
          <w:rFonts w:ascii="Arial" w:cs="Arial" w:eastAsia="Arial" w:hAnsi="Arial"/>
          <w:sz w:val="19"/>
          <w:szCs w:val="19"/>
          <w:color w:val="3D3935"/>
          <w:vertAlign w:val="superscript"/>
        </w:rPr>
      </w:pPr>
      <w:r>
        <w:rPr>
          <w:rFonts w:ascii="Arial" w:cs="Arial" w:eastAsia="Arial" w:hAnsi="Arial"/>
          <w:sz w:val="14"/>
          <w:szCs w:val="14"/>
          <w:color w:val="3D3935"/>
        </w:rPr>
        <w:t>Eligible service recognizes credited service under the frozen qualified SRP in addition to future service to determine retirement eligibility.</w:t>
      </w:r>
    </w:p>
    <w:p>
      <w:pPr>
        <w:spacing w:after="0" w:line="54" w:lineRule="exact"/>
        <w:rPr>
          <w:rFonts w:ascii="Arial" w:cs="Arial" w:eastAsia="Arial" w:hAnsi="Arial"/>
          <w:sz w:val="19"/>
          <w:szCs w:val="19"/>
          <w:color w:val="3D3935"/>
          <w:vertAlign w:val="superscript"/>
        </w:rPr>
      </w:pPr>
    </w:p>
    <w:p>
      <w:pPr>
        <w:ind w:left="200" w:right="180" w:hanging="192"/>
        <w:spacing w:after="0" w:line="274" w:lineRule="auto"/>
        <w:tabs>
          <w:tab w:leader="none" w:pos="200" w:val="left"/>
        </w:tabs>
        <w:numPr>
          <w:ilvl w:val="0"/>
          <w:numId w:val="105"/>
        </w:numPr>
        <w:rPr>
          <w:rFonts w:ascii="Arial" w:cs="Arial" w:eastAsia="Arial" w:hAnsi="Arial"/>
          <w:sz w:val="19"/>
          <w:szCs w:val="19"/>
          <w:color w:val="3D3935"/>
          <w:vertAlign w:val="superscript"/>
        </w:rPr>
      </w:pPr>
      <w:r>
        <w:rPr>
          <w:rFonts w:ascii="Arial" w:cs="Arial" w:eastAsia="Arial" w:hAnsi="Arial"/>
          <w:sz w:val="14"/>
          <w:szCs w:val="14"/>
          <w:color w:val="3D3935"/>
        </w:rPr>
        <w:t>The present value of the SRP benefit amount shown takes into consideration the ability to elect a joint and survivor annuity form of payment as well as the ability to elect to receive the annuity as a lump sum. For SRP and DB ERP benefits, the present value represents the value of the benefit payable at age 60 (or immediately if over age 60). Present values shown here are based on the mortality and discount rate assumptions used in the December 31, 2024, FASB ASC Topic 715, “Compensation-Retirement Benefits,” except where needed to meet proxy statement requirements. The discount rates used for calculations as of December 31, 2024, for the SRP is 5.71% and for the DB ERP is 5.41%.</w:t>
      </w:r>
    </w:p>
    <w:p>
      <w:pPr>
        <w:spacing w:after="0" w:line="33" w:lineRule="exact"/>
        <w:rPr>
          <w:rFonts w:ascii="Arial" w:cs="Arial" w:eastAsia="Arial" w:hAnsi="Arial"/>
          <w:sz w:val="19"/>
          <w:szCs w:val="19"/>
          <w:color w:val="3D3935"/>
          <w:vertAlign w:val="superscript"/>
        </w:rPr>
      </w:pPr>
    </w:p>
    <w:p>
      <w:pPr>
        <w:ind w:left="200" w:right="340" w:hanging="192"/>
        <w:spacing w:after="0" w:line="239" w:lineRule="auto"/>
        <w:tabs>
          <w:tab w:leader="none" w:pos="200" w:val="left"/>
        </w:tabs>
        <w:numPr>
          <w:ilvl w:val="0"/>
          <w:numId w:val="105"/>
        </w:numPr>
        <w:rPr>
          <w:rFonts w:ascii="Arial" w:cs="Arial" w:eastAsia="Arial" w:hAnsi="Arial"/>
          <w:sz w:val="19"/>
          <w:szCs w:val="19"/>
          <w:color w:val="3D3935"/>
          <w:vertAlign w:val="superscript"/>
        </w:rPr>
      </w:pPr>
      <w:r>
        <w:rPr>
          <w:rFonts w:ascii="Arial" w:cs="Arial" w:eastAsia="Arial" w:hAnsi="Arial"/>
          <w:sz w:val="14"/>
          <w:szCs w:val="14"/>
          <w:color w:val="3D3935"/>
        </w:rPr>
        <w:t>Messrs. Jacobson, Abbott, and Glidden are only eligible to participate in the DC ERP plan offered by the Company based on their date of service.</w:t>
      </w:r>
    </w:p>
    <w:p>
      <w:pPr>
        <w:spacing w:after="0" w:line="120" w:lineRule="exact"/>
        <w:rPr>
          <w:rFonts w:ascii="Arial" w:cs="Arial" w:eastAsia="Arial" w:hAnsi="Arial"/>
          <w:sz w:val="19"/>
          <w:szCs w:val="19"/>
          <w:color w:val="3D3935"/>
          <w:vertAlign w:val="superscript"/>
        </w:rPr>
      </w:pPr>
    </w:p>
    <w:p>
      <w:pPr>
        <w:ind w:left="200" w:hanging="192"/>
        <w:spacing w:after="0"/>
        <w:tabs>
          <w:tab w:leader="none" w:pos="200" w:val="left"/>
        </w:tabs>
        <w:numPr>
          <w:ilvl w:val="0"/>
          <w:numId w:val="105"/>
        </w:numPr>
        <w:rPr>
          <w:rFonts w:ascii="Arial" w:cs="Arial" w:eastAsia="Arial" w:hAnsi="Arial"/>
          <w:sz w:val="19"/>
          <w:szCs w:val="19"/>
          <w:color w:val="3D3935"/>
          <w:vertAlign w:val="superscript"/>
        </w:rPr>
      </w:pPr>
      <w:r>
        <w:rPr>
          <w:rFonts w:ascii="Arial" w:cs="Arial" w:eastAsia="Arial" w:hAnsi="Arial"/>
          <w:sz w:val="14"/>
          <w:szCs w:val="14"/>
          <w:color w:val="3D3935"/>
        </w:rPr>
        <w:t>Mr. Harvey participates in the UK VML Plan and DC ERP, but is not eligible to participate in the SRP or DB ERP.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3D3935"/>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29222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10375" cy="292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Nonqualified Deferred Compensation Plan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3D3935"/>
        </w:rPr>
        <w:t>We maintain certain deferred compensation programs and arrangements for executives.</w:t>
      </w:r>
    </w:p>
    <w:p>
      <w:pPr>
        <w:spacing w:after="0" w:line="181"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3D3935"/>
        </w:rPr>
        <w:t>The Defined Contribution Executive Retirement Plan (“DC ERP”) allows for the equalization of benefits for highly compensated salaried employees under the Retirement Savings Plan when such employees’ contribution and benefit levels exceed the maximum limitations on contributions and benefits imposed by Section 2004 of Employment Retirement Income Security Act of 1974, commonly known as ERISA, as amended, and Sections 401(a)(17) and 415(c)(1)(A) of the IRC, as amended. The DC ERP is maintained as an unfunded plan, and we bear all expenses for administration of the plan and payment of amounts to participants.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3D3935"/>
        </w:rPr>
        <w:t>Aggregate account balances disclosed below include both vested and unvested contributions made by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Contributions made prior to 2007 vested immediately. Contributions made between January 1, 2007,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September 30, 2012, vest when the participant attains age 55 with 10 years of service, and the benefit is payable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five-year certain annuity with payments starting upon the retirement of the executive and continuing for 60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Contributions made on or after October 1, 2012, vest when the participant attains three years of service, regardless of age,</w:t>
      </w:r>
    </w:p>
    <w:p>
      <w:pPr>
        <w:sectPr>
          <w:pgSz w:w="11900" w:h="16838" w:orient="portrait"/>
          <w:cols w:equalWidth="0" w:num="1">
            <w:col w:w="9080"/>
          </w:cols>
          <w:pgMar w:left="1400" w:top="0" w:right="1419" w:bottom="0" w:gutter="0" w:footer="0" w:header="0"/>
        </w:sectPr>
      </w:pPr>
    </w:p>
    <w:bookmarkStart w:id="70" w:name="page71"/>
    <w:bookmarkEnd w:id="70"/>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3D3935"/>
        </w:rPr>
        <w:t>and the benefit is payable as a 100 percent lump sum upon the retirement of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-99695</wp:posOffset>
            </wp:positionV>
            <wp:extent cx="6810375" cy="59340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10375" cy="5934075"/>
                    </a:xfrm>
                    <a:prstGeom prst="rect">
                      <a:avLst/>
                    </a:prstGeom>
                    <a:noFill/>
                  </pic:spPr>
                </pic:pic>
              </a:graphicData>
            </a:graphic>
          </wp:anchor>
        </w:drawing>
      </w:r>
    </w:p>
    <w:p>
      <w:pPr>
        <w:spacing w:after="0" w:line="9" w:lineRule="exact"/>
        <w:rPr>
          <w:sz w:val="20"/>
          <w:szCs w:val="20"/>
          <w:color w:val="auto"/>
        </w:rPr>
      </w:pPr>
    </w:p>
    <w:p>
      <w:pPr>
        <w:ind w:right="1220"/>
        <w:spacing w:after="0" w:line="305" w:lineRule="auto"/>
        <w:rPr>
          <w:sz w:val="20"/>
          <w:szCs w:val="20"/>
          <w:color w:val="auto"/>
        </w:rPr>
      </w:pPr>
      <w:r>
        <w:rPr>
          <w:rFonts w:ascii="Arial" w:cs="Arial" w:eastAsia="Arial" w:hAnsi="Arial"/>
          <w:sz w:val="16"/>
          <w:szCs w:val="16"/>
          <w:color w:val="3D3935"/>
        </w:rPr>
        <w:t>The table below reflects December 31, 2024, balances for the nonqualified deferred compensation plan and any contributions, earnings, or withdrawals during the year.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00" w:type="dxa"/>
            <w:vAlign w:val="bottom"/>
            <w:shd w:val="clear" w:color="auto" w:fill="F0F3F5"/>
          </w:tcPr>
          <w:p>
            <w:pPr>
              <w:spacing w:after="0"/>
              <w:rPr>
                <w:sz w:val="19"/>
                <w:szCs w:val="19"/>
                <w:color w:val="auto"/>
              </w:rPr>
            </w:pPr>
          </w:p>
        </w:tc>
        <w:tc>
          <w:tcPr>
            <w:tcW w:w="1420" w:type="dxa"/>
            <w:vAlign w:val="bottom"/>
            <w:shd w:val="clear" w:color="auto" w:fill="F0F3F5"/>
          </w:tcPr>
          <w:p>
            <w:pPr>
              <w:spacing w:after="0"/>
              <w:rPr>
                <w:sz w:val="19"/>
                <w:szCs w:val="19"/>
                <w:color w:val="auto"/>
              </w:rPr>
            </w:pPr>
          </w:p>
        </w:tc>
        <w:tc>
          <w:tcPr>
            <w:tcW w:w="1160" w:type="dxa"/>
            <w:vAlign w:val="bottom"/>
            <w:shd w:val="clear" w:color="auto" w:fill="F0F3F5"/>
          </w:tcPr>
          <w:p>
            <w:pPr>
              <w:jc w:val="right"/>
              <w:ind w:right="83"/>
              <w:spacing w:after="0"/>
              <w:rPr>
                <w:sz w:val="20"/>
                <w:szCs w:val="20"/>
                <w:color w:val="auto"/>
              </w:rPr>
            </w:pPr>
            <w:r>
              <w:rPr>
                <w:rFonts w:ascii="Arial" w:cs="Arial" w:eastAsia="Arial" w:hAnsi="Arial"/>
                <w:sz w:val="14"/>
                <w:szCs w:val="14"/>
                <w:b w:val="1"/>
                <w:bCs w:val="1"/>
                <w:color w:val="3D3935"/>
              </w:rPr>
              <w:t>Executive</w:t>
            </w:r>
          </w:p>
        </w:tc>
        <w:tc>
          <w:tcPr>
            <w:tcW w:w="1180" w:type="dxa"/>
            <w:vAlign w:val="bottom"/>
            <w:shd w:val="clear" w:color="auto" w:fill="F0F3F5"/>
          </w:tcPr>
          <w:p>
            <w:pPr>
              <w:jc w:val="center"/>
              <w:ind w:left="83"/>
              <w:spacing w:after="0"/>
              <w:rPr>
                <w:sz w:val="20"/>
                <w:szCs w:val="20"/>
                <w:color w:val="auto"/>
              </w:rPr>
            </w:pPr>
            <w:r>
              <w:rPr>
                <w:rFonts w:ascii="Arial" w:cs="Arial" w:eastAsia="Arial" w:hAnsi="Arial"/>
                <w:sz w:val="14"/>
                <w:szCs w:val="14"/>
                <w:b w:val="1"/>
                <w:bCs w:val="1"/>
                <w:color w:val="3D3935"/>
              </w:rPr>
              <w:t>Registrant</w:t>
            </w:r>
          </w:p>
        </w:tc>
        <w:tc>
          <w:tcPr>
            <w:tcW w:w="1140" w:type="dxa"/>
            <w:vAlign w:val="bottom"/>
            <w:shd w:val="clear" w:color="auto" w:fill="F0F3F5"/>
          </w:tcPr>
          <w:p>
            <w:pPr>
              <w:jc w:val="center"/>
              <w:ind w:left="63"/>
              <w:spacing w:after="0"/>
              <w:rPr>
                <w:sz w:val="20"/>
                <w:szCs w:val="20"/>
                <w:color w:val="auto"/>
              </w:rPr>
            </w:pPr>
            <w:r>
              <w:rPr>
                <w:rFonts w:ascii="Arial" w:cs="Arial" w:eastAsia="Arial" w:hAnsi="Arial"/>
                <w:sz w:val="14"/>
                <w:szCs w:val="14"/>
                <w:b w:val="1"/>
                <w:bCs w:val="1"/>
                <w:color w:val="3D3935"/>
              </w:rPr>
              <w:t>Aggregate</w:t>
            </w:r>
          </w:p>
        </w:tc>
        <w:tc>
          <w:tcPr>
            <w:tcW w:w="1140" w:type="dxa"/>
            <w:vAlign w:val="bottom"/>
            <w:shd w:val="clear" w:color="auto" w:fill="F0F3F5"/>
          </w:tcPr>
          <w:p>
            <w:pPr>
              <w:ind w:left="280"/>
              <w:spacing w:after="0"/>
              <w:rPr>
                <w:sz w:val="20"/>
                <w:szCs w:val="20"/>
                <w:color w:val="auto"/>
              </w:rPr>
            </w:pPr>
            <w:r>
              <w:rPr>
                <w:rFonts w:ascii="Arial" w:cs="Arial" w:eastAsia="Arial" w:hAnsi="Arial"/>
                <w:sz w:val="14"/>
                <w:szCs w:val="14"/>
                <w:b w:val="1"/>
                <w:bCs w:val="1"/>
                <w:color w:val="3D3935"/>
              </w:rPr>
              <w:t>Aggregate</w:t>
            </w:r>
          </w:p>
        </w:tc>
        <w:tc>
          <w:tcPr>
            <w:tcW w:w="940" w:type="dxa"/>
            <w:vAlign w:val="bottom"/>
            <w:shd w:val="clear" w:color="auto" w:fill="F0F3F5"/>
          </w:tcPr>
          <w:p>
            <w:pPr>
              <w:ind w:left="180"/>
              <w:spacing w:after="0"/>
              <w:rPr>
                <w:sz w:val="20"/>
                <w:szCs w:val="20"/>
                <w:color w:val="auto"/>
              </w:rPr>
            </w:pPr>
            <w:r>
              <w:rPr>
                <w:rFonts w:ascii="Arial" w:cs="Arial" w:eastAsia="Arial" w:hAnsi="Arial"/>
                <w:sz w:val="14"/>
                <w:szCs w:val="14"/>
                <w:b w:val="1"/>
                <w:bCs w:val="1"/>
                <w:color w:val="3D3935"/>
              </w:rPr>
              <w:t>Aggregate</w:t>
            </w:r>
          </w:p>
        </w:tc>
      </w:tr>
      <w:tr>
        <w:trPr>
          <w:trHeight w:val="162"/>
        </w:trPr>
        <w:tc>
          <w:tcPr>
            <w:tcW w:w="2100" w:type="dxa"/>
            <w:vAlign w:val="bottom"/>
            <w:shd w:val="clear" w:color="auto" w:fill="F0F3F5"/>
          </w:tcPr>
          <w:p>
            <w:pPr>
              <w:spacing w:after="0"/>
              <w:rPr>
                <w:sz w:val="14"/>
                <w:szCs w:val="14"/>
                <w:color w:val="auto"/>
              </w:rPr>
            </w:pPr>
          </w:p>
        </w:tc>
        <w:tc>
          <w:tcPr>
            <w:tcW w:w="1420" w:type="dxa"/>
            <w:vAlign w:val="bottom"/>
            <w:shd w:val="clear" w:color="auto" w:fill="F0F3F5"/>
          </w:tcPr>
          <w:p>
            <w:pPr>
              <w:spacing w:after="0"/>
              <w:rPr>
                <w:sz w:val="14"/>
                <w:szCs w:val="14"/>
                <w:color w:val="auto"/>
              </w:rPr>
            </w:pPr>
          </w:p>
        </w:tc>
        <w:tc>
          <w:tcPr>
            <w:tcW w:w="1160" w:type="dxa"/>
            <w:vAlign w:val="bottom"/>
            <w:shd w:val="clear" w:color="auto" w:fill="F0F3F5"/>
          </w:tcPr>
          <w:p>
            <w:pPr>
              <w:ind w:left="100"/>
              <w:spacing w:after="0"/>
              <w:rPr>
                <w:sz w:val="20"/>
                <w:szCs w:val="20"/>
                <w:color w:val="auto"/>
              </w:rPr>
            </w:pPr>
            <w:r>
              <w:rPr>
                <w:rFonts w:ascii="Arial" w:cs="Arial" w:eastAsia="Arial" w:hAnsi="Arial"/>
                <w:sz w:val="14"/>
                <w:szCs w:val="14"/>
                <w:b w:val="1"/>
                <w:bCs w:val="1"/>
                <w:color w:val="3D3935"/>
              </w:rPr>
              <w:t>Contributions</w:t>
            </w:r>
          </w:p>
        </w:tc>
        <w:tc>
          <w:tcPr>
            <w:tcW w:w="1180" w:type="dxa"/>
            <w:vAlign w:val="bottom"/>
            <w:shd w:val="clear" w:color="auto" w:fill="F0F3F5"/>
          </w:tcPr>
          <w:p>
            <w:pPr>
              <w:jc w:val="right"/>
              <w:ind w:right="43"/>
              <w:spacing w:after="0"/>
              <w:rPr>
                <w:sz w:val="20"/>
                <w:szCs w:val="20"/>
                <w:color w:val="auto"/>
              </w:rPr>
            </w:pPr>
            <w:r>
              <w:rPr>
                <w:rFonts w:ascii="Arial" w:cs="Arial" w:eastAsia="Arial" w:hAnsi="Arial"/>
                <w:sz w:val="14"/>
                <w:szCs w:val="14"/>
                <w:b w:val="1"/>
                <w:bCs w:val="1"/>
                <w:color w:val="3D3935"/>
              </w:rPr>
              <w:t>Contributions</w:t>
            </w:r>
          </w:p>
        </w:tc>
        <w:tc>
          <w:tcPr>
            <w:tcW w:w="1140" w:type="dxa"/>
            <w:vAlign w:val="bottom"/>
            <w:shd w:val="clear" w:color="auto" w:fill="F0F3F5"/>
          </w:tcPr>
          <w:p>
            <w:pPr>
              <w:jc w:val="right"/>
              <w:ind w:right="43"/>
              <w:spacing w:after="0"/>
              <w:rPr>
                <w:sz w:val="20"/>
                <w:szCs w:val="20"/>
                <w:color w:val="auto"/>
              </w:rPr>
            </w:pPr>
            <w:r>
              <w:rPr>
                <w:rFonts w:ascii="Arial" w:cs="Arial" w:eastAsia="Arial" w:hAnsi="Arial"/>
                <w:sz w:val="14"/>
                <w:szCs w:val="14"/>
                <w:b w:val="1"/>
                <w:bCs w:val="1"/>
                <w:color w:val="3D3935"/>
              </w:rPr>
              <w:t>Earnings</w:t>
            </w:r>
          </w:p>
        </w:tc>
        <w:tc>
          <w:tcPr>
            <w:tcW w:w="1140" w:type="dxa"/>
            <w:vAlign w:val="bottom"/>
            <w:shd w:val="clear" w:color="auto" w:fill="F0F3F5"/>
          </w:tcPr>
          <w:p>
            <w:pPr>
              <w:jc w:val="right"/>
              <w:ind w:right="63"/>
              <w:spacing w:after="0"/>
              <w:rPr>
                <w:sz w:val="20"/>
                <w:szCs w:val="20"/>
                <w:color w:val="auto"/>
              </w:rPr>
            </w:pPr>
            <w:r>
              <w:rPr>
                <w:rFonts w:ascii="Arial" w:cs="Arial" w:eastAsia="Arial" w:hAnsi="Arial"/>
                <w:sz w:val="14"/>
                <w:szCs w:val="14"/>
                <w:b w:val="1"/>
                <w:bCs w:val="1"/>
                <w:color w:val="3D3935"/>
              </w:rPr>
              <w:t>Withdrawals</w:t>
            </w:r>
          </w:p>
        </w:tc>
        <w:tc>
          <w:tcPr>
            <w:tcW w:w="940" w:type="dxa"/>
            <w:vAlign w:val="bottom"/>
            <w:shd w:val="clear" w:color="auto" w:fill="F0F3F5"/>
          </w:tcPr>
          <w:p>
            <w:pPr>
              <w:ind w:left="180"/>
              <w:spacing w:after="0"/>
              <w:rPr>
                <w:sz w:val="20"/>
                <w:szCs w:val="20"/>
                <w:color w:val="auto"/>
              </w:rPr>
            </w:pPr>
            <w:r>
              <w:rPr>
                <w:rFonts w:ascii="Arial" w:cs="Arial" w:eastAsia="Arial" w:hAnsi="Arial"/>
                <w:sz w:val="14"/>
                <w:szCs w:val="14"/>
                <w:b w:val="1"/>
                <w:bCs w:val="1"/>
                <w:color w:val="3D3935"/>
              </w:rPr>
              <w:t>Balance at</w:t>
            </w:r>
          </w:p>
        </w:tc>
      </w:tr>
      <w:tr>
        <w:trPr>
          <w:trHeight w:val="160"/>
        </w:trPr>
        <w:tc>
          <w:tcPr>
            <w:tcW w:w="2100" w:type="dxa"/>
            <w:vAlign w:val="bottom"/>
            <w:shd w:val="clear" w:color="auto" w:fill="F0F3F5"/>
          </w:tcPr>
          <w:p>
            <w:pPr>
              <w:spacing w:after="0"/>
              <w:rPr>
                <w:sz w:val="13"/>
                <w:szCs w:val="13"/>
                <w:color w:val="auto"/>
              </w:rPr>
            </w:pPr>
          </w:p>
        </w:tc>
        <w:tc>
          <w:tcPr>
            <w:tcW w:w="1420" w:type="dxa"/>
            <w:vAlign w:val="bottom"/>
            <w:shd w:val="clear" w:color="auto" w:fill="F0F3F5"/>
          </w:tcPr>
          <w:p>
            <w:pPr>
              <w:spacing w:after="0"/>
              <w:rPr>
                <w:sz w:val="13"/>
                <w:szCs w:val="13"/>
                <w:color w:val="auto"/>
              </w:rPr>
            </w:pPr>
          </w:p>
        </w:tc>
        <w:tc>
          <w:tcPr>
            <w:tcW w:w="1160" w:type="dxa"/>
            <w:vAlign w:val="bottom"/>
            <w:shd w:val="clear" w:color="auto" w:fill="F0F3F5"/>
          </w:tcPr>
          <w:p>
            <w:pPr>
              <w:jc w:val="right"/>
              <w:ind w:right="43"/>
              <w:spacing w:after="0" w:line="159" w:lineRule="exact"/>
              <w:rPr>
                <w:sz w:val="20"/>
                <w:szCs w:val="20"/>
                <w:color w:val="auto"/>
              </w:rPr>
            </w:pPr>
            <w:r>
              <w:rPr>
                <w:rFonts w:ascii="Arial" w:cs="Arial" w:eastAsia="Arial" w:hAnsi="Arial"/>
                <w:sz w:val="14"/>
                <w:szCs w:val="14"/>
                <w:b w:val="1"/>
                <w:bCs w:val="1"/>
                <w:color w:val="3D3935"/>
              </w:rPr>
              <w:t>in the Last</w:t>
            </w:r>
          </w:p>
        </w:tc>
        <w:tc>
          <w:tcPr>
            <w:tcW w:w="1180" w:type="dxa"/>
            <w:vAlign w:val="bottom"/>
            <w:shd w:val="clear" w:color="auto" w:fill="F0F3F5"/>
          </w:tcPr>
          <w:p>
            <w:pPr>
              <w:jc w:val="center"/>
              <w:ind w:left="103"/>
              <w:spacing w:after="0" w:line="159" w:lineRule="exact"/>
              <w:rPr>
                <w:sz w:val="20"/>
                <w:szCs w:val="20"/>
                <w:color w:val="auto"/>
              </w:rPr>
            </w:pPr>
            <w:r>
              <w:rPr>
                <w:rFonts w:ascii="Arial" w:cs="Arial" w:eastAsia="Arial" w:hAnsi="Arial"/>
                <w:sz w:val="14"/>
                <w:szCs w:val="14"/>
                <w:b w:val="1"/>
                <w:bCs w:val="1"/>
                <w:color w:val="3D3935"/>
              </w:rPr>
              <w:t>in the Last</w:t>
            </w:r>
          </w:p>
        </w:tc>
        <w:tc>
          <w:tcPr>
            <w:tcW w:w="1140" w:type="dxa"/>
            <w:vAlign w:val="bottom"/>
            <w:shd w:val="clear" w:color="auto" w:fill="F0F3F5"/>
          </w:tcPr>
          <w:p>
            <w:pPr>
              <w:jc w:val="center"/>
              <w:ind w:left="103"/>
              <w:spacing w:after="0" w:line="159" w:lineRule="exact"/>
              <w:rPr>
                <w:sz w:val="20"/>
                <w:szCs w:val="20"/>
                <w:color w:val="auto"/>
              </w:rPr>
            </w:pPr>
            <w:r>
              <w:rPr>
                <w:rFonts w:ascii="Arial" w:cs="Arial" w:eastAsia="Arial" w:hAnsi="Arial"/>
                <w:sz w:val="14"/>
                <w:szCs w:val="14"/>
                <w:b w:val="1"/>
                <w:bCs w:val="1"/>
                <w:color w:val="3D3935"/>
              </w:rPr>
              <w:t>in the Last</w:t>
            </w:r>
          </w:p>
        </w:tc>
        <w:tc>
          <w:tcPr>
            <w:tcW w:w="1140" w:type="dxa"/>
            <w:vAlign w:val="bottom"/>
            <w:shd w:val="clear" w:color="auto" w:fill="F0F3F5"/>
          </w:tcPr>
          <w:p>
            <w:pPr>
              <w:jc w:val="right"/>
              <w:ind w:right="63"/>
              <w:spacing w:after="0" w:line="159" w:lineRule="exact"/>
              <w:rPr>
                <w:sz w:val="20"/>
                <w:szCs w:val="20"/>
                <w:color w:val="auto"/>
              </w:rPr>
            </w:pPr>
            <w:r>
              <w:rPr>
                <w:rFonts w:ascii="Arial" w:cs="Arial" w:eastAsia="Arial" w:hAnsi="Arial"/>
                <w:sz w:val="14"/>
                <w:szCs w:val="14"/>
                <w:b w:val="1"/>
                <w:bCs w:val="1"/>
                <w:color w:val="3D3935"/>
              </w:rPr>
              <w:t>and</w:t>
            </w:r>
          </w:p>
        </w:tc>
        <w:tc>
          <w:tcPr>
            <w:tcW w:w="940" w:type="dxa"/>
            <w:vAlign w:val="bottom"/>
            <w:shd w:val="clear" w:color="auto" w:fill="F0F3F5"/>
          </w:tcPr>
          <w:p>
            <w:pPr>
              <w:ind w:left="100"/>
              <w:spacing w:after="0" w:line="159" w:lineRule="exact"/>
              <w:rPr>
                <w:sz w:val="20"/>
                <w:szCs w:val="20"/>
                <w:color w:val="auto"/>
              </w:rPr>
            </w:pPr>
            <w:r>
              <w:rPr>
                <w:rFonts w:ascii="Arial" w:cs="Arial" w:eastAsia="Arial" w:hAnsi="Arial"/>
                <w:sz w:val="14"/>
                <w:szCs w:val="14"/>
                <w:b w:val="1"/>
                <w:bCs w:val="1"/>
                <w:color w:val="3D3935"/>
              </w:rPr>
              <w:t>2024 Fiscal</w:t>
            </w:r>
          </w:p>
        </w:tc>
      </w:tr>
      <w:tr>
        <w:trPr>
          <w:trHeight w:val="191"/>
        </w:trPr>
        <w:tc>
          <w:tcPr>
            <w:tcW w:w="2100" w:type="dxa"/>
            <w:vAlign w:val="bottom"/>
            <w:shd w:val="clear" w:color="auto" w:fill="F0F3F5"/>
          </w:tcPr>
          <w:p>
            <w:pPr>
              <w:spacing w:after="0"/>
              <w:rPr>
                <w:sz w:val="16"/>
                <w:szCs w:val="16"/>
                <w:color w:val="auto"/>
              </w:rPr>
            </w:pPr>
          </w:p>
        </w:tc>
        <w:tc>
          <w:tcPr>
            <w:tcW w:w="1420" w:type="dxa"/>
            <w:vAlign w:val="bottom"/>
            <w:shd w:val="clear" w:color="auto" w:fill="F0F3F5"/>
          </w:tcPr>
          <w:p>
            <w:pPr>
              <w:spacing w:after="0"/>
              <w:rPr>
                <w:sz w:val="16"/>
                <w:szCs w:val="16"/>
                <w:color w:val="auto"/>
              </w:rPr>
            </w:pPr>
          </w:p>
        </w:tc>
        <w:tc>
          <w:tcPr>
            <w:tcW w:w="1160" w:type="dxa"/>
            <w:vAlign w:val="bottom"/>
            <w:shd w:val="clear" w:color="auto" w:fill="F0F3F5"/>
          </w:tcPr>
          <w:p>
            <w:pPr>
              <w:jc w:val="right"/>
              <w:ind w:right="63"/>
              <w:spacing w:after="0"/>
              <w:rPr>
                <w:sz w:val="20"/>
                <w:szCs w:val="20"/>
                <w:color w:val="auto"/>
              </w:rPr>
            </w:pPr>
            <w:r>
              <w:rPr>
                <w:rFonts w:ascii="Arial" w:cs="Arial" w:eastAsia="Arial" w:hAnsi="Arial"/>
                <w:sz w:val="14"/>
                <w:szCs w:val="14"/>
                <w:b w:val="1"/>
                <w:bCs w:val="1"/>
                <w:color w:val="3D3935"/>
              </w:rPr>
              <w:t>Fiscal Year</w:t>
            </w:r>
          </w:p>
        </w:tc>
        <w:tc>
          <w:tcPr>
            <w:tcW w:w="1180" w:type="dxa"/>
            <w:vAlign w:val="bottom"/>
            <w:shd w:val="clear" w:color="auto" w:fill="F0F3F5"/>
          </w:tcPr>
          <w:p>
            <w:pPr>
              <w:jc w:val="right"/>
              <w:ind w:right="63"/>
              <w:spacing w:after="0" w:line="191" w:lineRule="exact"/>
              <w:rPr>
                <w:sz w:val="20"/>
                <w:szCs w:val="20"/>
                <w:color w:val="auto"/>
              </w:rPr>
            </w:pPr>
            <w:r>
              <w:rPr>
                <w:rFonts w:ascii="Arial" w:cs="Arial" w:eastAsia="Arial" w:hAnsi="Arial"/>
                <w:sz w:val="14"/>
                <w:szCs w:val="14"/>
                <w:b w:val="1"/>
                <w:bCs w:val="1"/>
                <w:color w:val="3D3935"/>
              </w:rPr>
              <w:t>Fiscal Year</w:t>
            </w:r>
            <w:r>
              <w:rPr>
                <w:rFonts w:ascii="Arial" w:cs="Arial" w:eastAsia="Arial" w:hAnsi="Arial"/>
                <w:sz w:val="18"/>
                <w:szCs w:val="18"/>
                <w:b w:val="1"/>
                <w:bCs w:val="1"/>
                <w:color w:val="3D3935"/>
                <w:vertAlign w:val="superscript"/>
              </w:rPr>
              <w:t>(1)</w:t>
            </w:r>
          </w:p>
        </w:tc>
        <w:tc>
          <w:tcPr>
            <w:tcW w:w="1140" w:type="dxa"/>
            <w:vAlign w:val="bottom"/>
            <w:shd w:val="clear" w:color="auto" w:fill="F0F3F5"/>
          </w:tcPr>
          <w:p>
            <w:pPr>
              <w:jc w:val="right"/>
              <w:ind w:right="83"/>
              <w:spacing w:after="0" w:line="191" w:lineRule="exact"/>
              <w:rPr>
                <w:sz w:val="20"/>
                <w:szCs w:val="20"/>
                <w:color w:val="auto"/>
              </w:rPr>
            </w:pPr>
            <w:r>
              <w:rPr>
                <w:rFonts w:ascii="Arial" w:cs="Arial" w:eastAsia="Arial" w:hAnsi="Arial"/>
                <w:sz w:val="14"/>
                <w:szCs w:val="14"/>
                <w:b w:val="1"/>
                <w:bCs w:val="1"/>
                <w:color w:val="3D3935"/>
              </w:rPr>
              <w:t>Fiscal Year</w:t>
            </w:r>
            <w:r>
              <w:rPr>
                <w:rFonts w:ascii="Arial" w:cs="Arial" w:eastAsia="Arial" w:hAnsi="Arial"/>
                <w:sz w:val="18"/>
                <w:szCs w:val="18"/>
                <w:b w:val="1"/>
                <w:bCs w:val="1"/>
                <w:color w:val="3D3935"/>
                <w:vertAlign w:val="superscript"/>
              </w:rPr>
              <w:t>(2)</w:t>
            </w:r>
          </w:p>
        </w:tc>
        <w:tc>
          <w:tcPr>
            <w:tcW w:w="1140" w:type="dxa"/>
            <w:vAlign w:val="bottom"/>
            <w:shd w:val="clear" w:color="auto" w:fill="F0F3F5"/>
          </w:tcPr>
          <w:p>
            <w:pPr>
              <w:jc w:val="right"/>
              <w:ind w:right="63"/>
              <w:spacing w:after="0"/>
              <w:rPr>
                <w:sz w:val="20"/>
                <w:szCs w:val="20"/>
                <w:color w:val="auto"/>
              </w:rPr>
            </w:pPr>
            <w:r>
              <w:rPr>
                <w:rFonts w:ascii="Arial" w:cs="Arial" w:eastAsia="Arial" w:hAnsi="Arial"/>
                <w:sz w:val="14"/>
                <w:szCs w:val="14"/>
                <w:b w:val="1"/>
                <w:bCs w:val="1"/>
                <w:color w:val="3D3935"/>
              </w:rPr>
              <w:t>Distributions</w:t>
            </w:r>
          </w:p>
        </w:tc>
        <w:tc>
          <w:tcPr>
            <w:tcW w:w="940" w:type="dxa"/>
            <w:vAlign w:val="bottom"/>
            <w:shd w:val="clear" w:color="auto" w:fill="F0F3F5"/>
          </w:tcPr>
          <w:p>
            <w:pPr>
              <w:ind w:left="140"/>
              <w:spacing w:after="0" w:line="191" w:lineRule="exact"/>
              <w:rPr>
                <w:sz w:val="20"/>
                <w:szCs w:val="20"/>
                <w:color w:val="auto"/>
              </w:rPr>
            </w:pPr>
            <w:r>
              <w:rPr>
                <w:rFonts w:ascii="Arial" w:cs="Arial" w:eastAsia="Arial" w:hAnsi="Arial"/>
                <w:sz w:val="14"/>
                <w:szCs w:val="14"/>
                <w:b w:val="1"/>
                <w:bCs w:val="1"/>
                <w:color w:val="3D3935"/>
              </w:rPr>
              <w:t>Year End</w:t>
            </w:r>
            <w:r>
              <w:rPr>
                <w:rFonts w:ascii="Arial" w:cs="Arial" w:eastAsia="Arial" w:hAnsi="Arial"/>
                <w:sz w:val="18"/>
                <w:szCs w:val="18"/>
                <w:b w:val="1"/>
                <w:bCs w:val="1"/>
                <w:color w:val="3D3935"/>
                <w:vertAlign w:val="superscript"/>
              </w:rPr>
              <w:t>(3)</w:t>
            </w:r>
          </w:p>
        </w:tc>
      </w:tr>
      <w:tr>
        <w:trPr>
          <w:trHeight w:val="197"/>
        </w:trPr>
        <w:tc>
          <w:tcPr>
            <w:tcW w:w="2100" w:type="dxa"/>
            <w:vAlign w:val="bottom"/>
            <w:tcBorders>
              <w:bottom w:val="single" w:sz="8" w:color="0072CE"/>
            </w:tcBorders>
            <w:shd w:val="clear" w:color="auto" w:fill="F0F3F5"/>
          </w:tcPr>
          <w:p>
            <w:pPr>
              <w:ind w:left="60"/>
              <w:spacing w:after="0"/>
              <w:rPr>
                <w:sz w:val="20"/>
                <w:szCs w:val="20"/>
                <w:color w:val="auto"/>
              </w:rPr>
            </w:pPr>
            <w:r>
              <w:rPr>
                <w:rFonts w:ascii="Arial" w:cs="Arial" w:eastAsia="Arial" w:hAnsi="Arial"/>
                <w:sz w:val="14"/>
                <w:szCs w:val="14"/>
                <w:b w:val="1"/>
                <w:bCs w:val="1"/>
                <w:color w:val="3D3935"/>
              </w:rPr>
              <w:t>Name</w:t>
            </w:r>
          </w:p>
        </w:tc>
        <w:tc>
          <w:tcPr>
            <w:tcW w:w="1420" w:type="dxa"/>
            <w:vAlign w:val="bottom"/>
            <w:tcBorders>
              <w:bottom w:val="single" w:sz="8" w:color="0072CE"/>
            </w:tcBorders>
            <w:shd w:val="clear" w:color="auto" w:fill="F0F3F5"/>
          </w:tcPr>
          <w:p>
            <w:pPr>
              <w:ind w:left="960"/>
              <w:spacing w:after="0"/>
              <w:rPr>
                <w:sz w:val="20"/>
                <w:szCs w:val="20"/>
                <w:color w:val="auto"/>
              </w:rPr>
            </w:pPr>
            <w:r>
              <w:rPr>
                <w:rFonts w:ascii="Arial" w:cs="Arial" w:eastAsia="Arial" w:hAnsi="Arial"/>
                <w:sz w:val="14"/>
                <w:szCs w:val="14"/>
                <w:b w:val="1"/>
                <w:bCs w:val="1"/>
                <w:color w:val="3D3935"/>
              </w:rPr>
              <w:t>Plan</w:t>
            </w:r>
          </w:p>
        </w:tc>
        <w:tc>
          <w:tcPr>
            <w:tcW w:w="1160" w:type="dxa"/>
            <w:vAlign w:val="bottom"/>
            <w:tcBorders>
              <w:bottom w:val="single" w:sz="8" w:color="0072CE"/>
            </w:tcBorders>
            <w:shd w:val="clear" w:color="auto" w:fill="F0F3F5"/>
          </w:tcPr>
          <w:p>
            <w:pPr>
              <w:jc w:val="right"/>
              <w:ind w:right="83"/>
              <w:spacing w:after="0"/>
              <w:rPr>
                <w:sz w:val="20"/>
                <w:szCs w:val="20"/>
                <w:color w:val="auto"/>
              </w:rPr>
            </w:pPr>
            <w:r>
              <w:rPr>
                <w:rFonts w:ascii="Arial" w:cs="Arial" w:eastAsia="Arial" w:hAnsi="Arial"/>
                <w:sz w:val="14"/>
                <w:szCs w:val="14"/>
                <w:b w:val="1"/>
                <w:bCs w:val="1"/>
                <w:color w:val="3D3935"/>
              </w:rPr>
              <w:t>($)</w:t>
            </w:r>
          </w:p>
        </w:tc>
        <w:tc>
          <w:tcPr>
            <w:tcW w:w="1180" w:type="dxa"/>
            <w:vAlign w:val="bottom"/>
            <w:tcBorders>
              <w:bottom w:val="single" w:sz="8" w:color="0072CE"/>
            </w:tcBorders>
            <w:shd w:val="clear" w:color="auto" w:fill="F0F3F5"/>
          </w:tcPr>
          <w:p>
            <w:pPr>
              <w:jc w:val="right"/>
              <w:ind w:right="83"/>
              <w:spacing w:after="0"/>
              <w:rPr>
                <w:sz w:val="20"/>
                <w:szCs w:val="20"/>
                <w:color w:val="auto"/>
              </w:rPr>
            </w:pPr>
            <w:r>
              <w:rPr>
                <w:rFonts w:ascii="Arial" w:cs="Arial" w:eastAsia="Arial" w:hAnsi="Arial"/>
                <w:sz w:val="14"/>
                <w:szCs w:val="14"/>
                <w:b w:val="1"/>
                <w:bCs w:val="1"/>
                <w:color w:val="3D3935"/>
              </w:rPr>
              <w:t>($)</w:t>
            </w:r>
          </w:p>
        </w:tc>
        <w:tc>
          <w:tcPr>
            <w:tcW w:w="1140" w:type="dxa"/>
            <w:vAlign w:val="bottom"/>
            <w:tcBorders>
              <w:bottom w:val="single" w:sz="8" w:color="0072CE"/>
            </w:tcBorders>
            <w:shd w:val="clear" w:color="auto" w:fill="F0F3F5"/>
          </w:tcPr>
          <w:p>
            <w:pPr>
              <w:jc w:val="right"/>
              <w:ind w:right="83"/>
              <w:spacing w:after="0"/>
              <w:rPr>
                <w:sz w:val="20"/>
                <w:szCs w:val="20"/>
                <w:color w:val="auto"/>
              </w:rPr>
            </w:pPr>
            <w:r>
              <w:rPr>
                <w:rFonts w:ascii="Arial" w:cs="Arial" w:eastAsia="Arial" w:hAnsi="Arial"/>
                <w:sz w:val="14"/>
                <w:szCs w:val="14"/>
                <w:b w:val="1"/>
                <w:bCs w:val="1"/>
                <w:color w:val="3D3935"/>
              </w:rPr>
              <w:t>($)</w:t>
            </w:r>
          </w:p>
        </w:tc>
        <w:tc>
          <w:tcPr>
            <w:tcW w:w="1140" w:type="dxa"/>
            <w:vAlign w:val="bottom"/>
            <w:tcBorders>
              <w:bottom w:val="single" w:sz="8" w:color="0072CE"/>
            </w:tcBorders>
            <w:shd w:val="clear" w:color="auto" w:fill="F0F3F5"/>
          </w:tcPr>
          <w:p>
            <w:pPr>
              <w:jc w:val="right"/>
              <w:ind w:right="83"/>
              <w:spacing w:after="0"/>
              <w:rPr>
                <w:sz w:val="20"/>
                <w:szCs w:val="20"/>
                <w:color w:val="auto"/>
              </w:rPr>
            </w:pPr>
            <w:r>
              <w:rPr>
                <w:rFonts w:ascii="Arial" w:cs="Arial" w:eastAsia="Arial" w:hAnsi="Arial"/>
                <w:sz w:val="14"/>
                <w:szCs w:val="14"/>
                <w:b w:val="1"/>
                <w:bCs w:val="1"/>
                <w:color w:val="3D3935"/>
              </w:rPr>
              <w:t>($)</w:t>
            </w:r>
          </w:p>
        </w:tc>
        <w:tc>
          <w:tcPr>
            <w:tcW w:w="940" w:type="dxa"/>
            <w:vAlign w:val="bottom"/>
            <w:tcBorders>
              <w:bottom w:val="single" w:sz="8" w:color="0072CE"/>
            </w:tcBorders>
            <w:shd w:val="clear" w:color="auto" w:fill="F0F3F5"/>
          </w:tcPr>
          <w:p>
            <w:pPr>
              <w:ind w:left="700"/>
              <w:spacing w:after="0"/>
              <w:rPr>
                <w:sz w:val="20"/>
                <w:szCs w:val="20"/>
                <w:color w:val="auto"/>
              </w:rPr>
            </w:pPr>
            <w:r>
              <w:rPr>
                <w:rFonts w:ascii="Arial" w:cs="Arial" w:eastAsia="Arial" w:hAnsi="Arial"/>
                <w:sz w:val="14"/>
                <w:szCs w:val="14"/>
                <w:b w:val="1"/>
                <w:bCs w:val="1"/>
                <w:color w:val="3D3935"/>
              </w:rPr>
              <w:t>($)</w:t>
            </w:r>
          </w:p>
        </w:tc>
      </w:tr>
      <w:tr>
        <w:trPr>
          <w:trHeight w:val="251"/>
        </w:trPr>
        <w:tc>
          <w:tcPr>
            <w:tcW w:w="21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Mary T. Barra</w:t>
            </w:r>
          </w:p>
        </w:tc>
        <w:tc>
          <w:tcPr>
            <w:tcW w:w="1420" w:type="dxa"/>
            <w:vAlign w:val="bottom"/>
            <w:tcBorders>
              <w:bottom w:val="single" w:sz="8" w:color="D9D9D6"/>
            </w:tcBorders>
          </w:tcPr>
          <w:p>
            <w:pPr>
              <w:ind w:left="700"/>
              <w:spacing w:after="0"/>
              <w:rPr>
                <w:sz w:val="20"/>
                <w:szCs w:val="20"/>
                <w:color w:val="auto"/>
              </w:rPr>
            </w:pPr>
            <w:r>
              <w:rPr>
                <w:rFonts w:ascii="Arial" w:cs="Arial" w:eastAsia="Arial" w:hAnsi="Arial"/>
                <w:sz w:val="16"/>
                <w:szCs w:val="16"/>
                <w:color w:val="3D3935"/>
              </w:rPr>
              <w:t>DC ERP</w:t>
            </w:r>
          </w:p>
        </w:tc>
        <w:tc>
          <w:tcPr>
            <w:tcW w:w="1160" w:type="dxa"/>
            <w:vAlign w:val="bottom"/>
            <w:tcBorders>
              <w:bottom w:val="single" w:sz="8" w:color="D9D9D6"/>
            </w:tcBorders>
          </w:tcPr>
          <w:p>
            <w:pPr>
              <w:ind w:left="900"/>
              <w:spacing w:after="0"/>
              <w:rPr>
                <w:sz w:val="20"/>
                <w:szCs w:val="20"/>
                <w:color w:val="auto"/>
              </w:rPr>
            </w:pPr>
            <w:r>
              <w:rPr>
                <w:rFonts w:ascii="Arial" w:cs="Arial" w:eastAsia="Arial" w:hAnsi="Arial"/>
                <w:sz w:val="16"/>
                <w:szCs w:val="16"/>
                <w:color w:val="3D3935"/>
              </w:rPr>
              <w:t>—</w:t>
            </w:r>
          </w:p>
        </w:tc>
        <w:tc>
          <w:tcPr>
            <w:tcW w:w="1180" w:type="dxa"/>
            <w:vAlign w:val="bottom"/>
            <w:tcBorders>
              <w:bottom w:val="single" w:sz="8" w:color="D9D9D6"/>
            </w:tcBorders>
          </w:tcPr>
          <w:p>
            <w:pPr>
              <w:jc w:val="center"/>
              <w:ind w:left="43"/>
              <w:spacing w:after="0"/>
              <w:rPr>
                <w:sz w:val="20"/>
                <w:szCs w:val="20"/>
                <w:color w:val="auto"/>
              </w:rPr>
            </w:pPr>
            <w:r>
              <w:rPr>
                <w:rFonts w:ascii="Arial" w:cs="Arial" w:eastAsia="Arial" w:hAnsi="Arial"/>
                <w:sz w:val="16"/>
                <w:szCs w:val="16"/>
                <w:color w:val="3D3935"/>
              </w:rPr>
              <w:t>546,000</w:t>
            </w:r>
          </w:p>
        </w:tc>
        <w:tc>
          <w:tcPr>
            <w:tcW w:w="1140" w:type="dxa"/>
            <w:vAlign w:val="bottom"/>
            <w:tcBorders>
              <w:bottom w:val="single" w:sz="8" w:color="D9D9D6"/>
            </w:tcBorders>
          </w:tcPr>
          <w:p>
            <w:pPr>
              <w:jc w:val="center"/>
              <w:ind w:left="43"/>
              <w:spacing w:after="0"/>
              <w:rPr>
                <w:sz w:val="20"/>
                <w:szCs w:val="20"/>
                <w:color w:val="auto"/>
              </w:rPr>
            </w:pPr>
            <w:r>
              <w:rPr>
                <w:rFonts w:ascii="Arial" w:cs="Arial" w:eastAsia="Arial" w:hAnsi="Arial"/>
                <w:sz w:val="16"/>
                <w:szCs w:val="16"/>
                <w:color w:val="3D3935"/>
              </w:rPr>
              <w:t>589,403</w:t>
            </w:r>
          </w:p>
        </w:tc>
        <w:tc>
          <w:tcPr>
            <w:tcW w:w="1140" w:type="dxa"/>
            <w:vAlign w:val="bottom"/>
            <w:tcBorders>
              <w:bottom w:val="single" w:sz="8" w:color="D9D9D6"/>
            </w:tcBorders>
          </w:tcPr>
          <w:p>
            <w:pPr>
              <w:ind w:left="880"/>
              <w:spacing w:after="0"/>
              <w:rPr>
                <w:sz w:val="20"/>
                <w:szCs w:val="20"/>
                <w:color w:val="auto"/>
              </w:rPr>
            </w:pPr>
            <w:r>
              <w:rPr>
                <w:rFonts w:ascii="Arial" w:cs="Arial" w:eastAsia="Arial" w:hAnsi="Arial"/>
                <w:sz w:val="16"/>
                <w:szCs w:val="16"/>
                <w:color w:val="3D3935"/>
              </w:rPr>
              <w:t>—</w:t>
            </w:r>
          </w:p>
        </w:tc>
        <w:tc>
          <w:tcPr>
            <w:tcW w:w="9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7,138,327</w:t>
            </w:r>
          </w:p>
        </w:tc>
      </w:tr>
      <w:tr>
        <w:trPr>
          <w:trHeight w:val="250"/>
        </w:trPr>
        <w:tc>
          <w:tcPr>
            <w:tcW w:w="21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Paul A. Jacobson</w:t>
            </w:r>
          </w:p>
        </w:tc>
        <w:tc>
          <w:tcPr>
            <w:tcW w:w="1420" w:type="dxa"/>
            <w:vAlign w:val="bottom"/>
            <w:tcBorders>
              <w:bottom w:val="single" w:sz="8" w:color="D9D9D6"/>
            </w:tcBorders>
          </w:tcPr>
          <w:p>
            <w:pPr>
              <w:ind w:left="700"/>
              <w:spacing w:after="0"/>
              <w:rPr>
                <w:sz w:val="20"/>
                <w:szCs w:val="20"/>
                <w:color w:val="auto"/>
              </w:rPr>
            </w:pPr>
            <w:r>
              <w:rPr>
                <w:rFonts w:ascii="Arial" w:cs="Arial" w:eastAsia="Arial" w:hAnsi="Arial"/>
                <w:sz w:val="16"/>
                <w:szCs w:val="16"/>
                <w:color w:val="3D3935"/>
              </w:rPr>
              <w:t>DC ERP</w:t>
            </w:r>
          </w:p>
        </w:tc>
        <w:tc>
          <w:tcPr>
            <w:tcW w:w="1160" w:type="dxa"/>
            <w:vAlign w:val="bottom"/>
            <w:tcBorders>
              <w:bottom w:val="single" w:sz="8" w:color="D9D9D6"/>
            </w:tcBorders>
          </w:tcPr>
          <w:p>
            <w:pPr>
              <w:ind w:left="900"/>
              <w:spacing w:after="0"/>
              <w:rPr>
                <w:sz w:val="20"/>
                <w:szCs w:val="20"/>
                <w:color w:val="auto"/>
              </w:rPr>
            </w:pPr>
            <w:r>
              <w:rPr>
                <w:rFonts w:ascii="Arial" w:cs="Arial" w:eastAsia="Arial" w:hAnsi="Arial"/>
                <w:sz w:val="16"/>
                <w:szCs w:val="16"/>
                <w:color w:val="3D3935"/>
              </w:rPr>
              <w:t>—</w:t>
            </w:r>
          </w:p>
        </w:tc>
        <w:tc>
          <w:tcPr>
            <w:tcW w:w="1180" w:type="dxa"/>
            <w:vAlign w:val="bottom"/>
            <w:tcBorders>
              <w:bottom w:val="single" w:sz="8" w:color="D9D9D6"/>
            </w:tcBorders>
          </w:tcPr>
          <w:p>
            <w:pPr>
              <w:jc w:val="right"/>
              <w:ind w:right="63"/>
              <w:spacing w:after="0"/>
              <w:rPr>
                <w:sz w:val="20"/>
                <w:szCs w:val="20"/>
                <w:color w:val="auto"/>
              </w:rPr>
            </w:pPr>
            <w:r>
              <w:rPr>
                <w:rFonts w:ascii="Arial" w:cs="Arial" w:eastAsia="Arial" w:hAnsi="Arial"/>
                <w:sz w:val="16"/>
                <w:szCs w:val="16"/>
                <w:color w:val="3D3935"/>
              </w:rPr>
              <w:t>161,700</w:t>
            </w:r>
          </w:p>
        </w:tc>
        <w:tc>
          <w:tcPr>
            <w:tcW w:w="1140" w:type="dxa"/>
            <w:vAlign w:val="bottom"/>
            <w:tcBorders>
              <w:bottom w:val="single" w:sz="8" w:color="D9D9D6"/>
            </w:tcBorders>
          </w:tcPr>
          <w:p>
            <w:pPr>
              <w:jc w:val="right"/>
              <w:ind w:right="123"/>
              <w:spacing w:after="0"/>
              <w:rPr>
                <w:sz w:val="20"/>
                <w:szCs w:val="20"/>
                <w:color w:val="auto"/>
              </w:rPr>
            </w:pPr>
            <w:r>
              <w:rPr>
                <w:rFonts w:ascii="Arial" w:cs="Arial" w:eastAsia="Arial" w:hAnsi="Arial"/>
                <w:sz w:val="16"/>
                <w:szCs w:val="16"/>
                <w:color w:val="3D3935"/>
              </w:rPr>
              <w:t>47,453</w:t>
            </w:r>
          </w:p>
        </w:tc>
        <w:tc>
          <w:tcPr>
            <w:tcW w:w="1140" w:type="dxa"/>
            <w:vAlign w:val="bottom"/>
            <w:tcBorders>
              <w:bottom w:val="single" w:sz="8" w:color="D9D9D6"/>
            </w:tcBorders>
          </w:tcPr>
          <w:p>
            <w:pPr>
              <w:ind w:left="880"/>
              <w:spacing w:after="0"/>
              <w:rPr>
                <w:sz w:val="20"/>
                <w:szCs w:val="20"/>
                <w:color w:val="auto"/>
              </w:rPr>
            </w:pPr>
            <w:r>
              <w:rPr>
                <w:rFonts w:ascii="Arial" w:cs="Arial" w:eastAsia="Arial" w:hAnsi="Arial"/>
                <w:sz w:val="16"/>
                <w:szCs w:val="16"/>
                <w:color w:val="3D3935"/>
              </w:rPr>
              <w:t>—</w:t>
            </w:r>
          </w:p>
        </w:tc>
        <w:tc>
          <w:tcPr>
            <w:tcW w:w="940" w:type="dxa"/>
            <w:vAlign w:val="bottom"/>
            <w:tcBorders>
              <w:bottom w:val="single" w:sz="8" w:color="D9D9D6"/>
            </w:tcBorders>
          </w:tcPr>
          <w:p>
            <w:pPr>
              <w:jc w:val="right"/>
              <w:ind w:right="43"/>
              <w:spacing w:after="0"/>
              <w:rPr>
                <w:sz w:val="20"/>
                <w:szCs w:val="20"/>
                <w:color w:val="auto"/>
              </w:rPr>
            </w:pPr>
            <w:r>
              <w:rPr>
                <w:rFonts w:ascii="Arial" w:cs="Arial" w:eastAsia="Arial" w:hAnsi="Arial"/>
                <w:sz w:val="16"/>
                <w:szCs w:val="16"/>
                <w:color w:val="3D3935"/>
              </w:rPr>
              <w:t>584,302</w:t>
            </w:r>
          </w:p>
        </w:tc>
      </w:tr>
      <w:tr>
        <w:trPr>
          <w:trHeight w:val="250"/>
        </w:trPr>
        <w:tc>
          <w:tcPr>
            <w:tcW w:w="21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Mark L. Reuss</w:t>
            </w:r>
          </w:p>
        </w:tc>
        <w:tc>
          <w:tcPr>
            <w:tcW w:w="1420" w:type="dxa"/>
            <w:vAlign w:val="bottom"/>
            <w:tcBorders>
              <w:bottom w:val="single" w:sz="8" w:color="D9D9D6"/>
            </w:tcBorders>
          </w:tcPr>
          <w:p>
            <w:pPr>
              <w:ind w:left="700"/>
              <w:spacing w:after="0"/>
              <w:rPr>
                <w:sz w:val="20"/>
                <w:szCs w:val="20"/>
                <w:color w:val="auto"/>
              </w:rPr>
            </w:pPr>
            <w:r>
              <w:rPr>
                <w:rFonts w:ascii="Arial" w:cs="Arial" w:eastAsia="Arial" w:hAnsi="Arial"/>
                <w:sz w:val="16"/>
                <w:szCs w:val="16"/>
                <w:color w:val="3D3935"/>
              </w:rPr>
              <w:t>DC ERP</w:t>
            </w:r>
          </w:p>
        </w:tc>
        <w:tc>
          <w:tcPr>
            <w:tcW w:w="1160" w:type="dxa"/>
            <w:vAlign w:val="bottom"/>
            <w:tcBorders>
              <w:bottom w:val="single" w:sz="8" w:color="D9D9D6"/>
            </w:tcBorders>
          </w:tcPr>
          <w:p>
            <w:pPr>
              <w:ind w:left="900"/>
              <w:spacing w:after="0"/>
              <w:rPr>
                <w:sz w:val="20"/>
                <w:szCs w:val="20"/>
                <w:color w:val="auto"/>
              </w:rPr>
            </w:pPr>
            <w:r>
              <w:rPr>
                <w:rFonts w:ascii="Arial" w:cs="Arial" w:eastAsia="Arial" w:hAnsi="Arial"/>
                <w:sz w:val="16"/>
                <w:szCs w:val="16"/>
                <w:color w:val="3D3935"/>
              </w:rPr>
              <w:t>—</w:t>
            </w:r>
          </w:p>
        </w:tc>
        <w:tc>
          <w:tcPr>
            <w:tcW w:w="1180" w:type="dxa"/>
            <w:vAlign w:val="bottom"/>
            <w:tcBorders>
              <w:bottom w:val="single" w:sz="8" w:color="D9D9D6"/>
            </w:tcBorders>
          </w:tcPr>
          <w:p>
            <w:pPr>
              <w:jc w:val="center"/>
              <w:ind w:left="123"/>
              <w:spacing w:after="0"/>
              <w:rPr>
                <w:sz w:val="20"/>
                <w:szCs w:val="20"/>
                <w:color w:val="auto"/>
              </w:rPr>
            </w:pPr>
            <w:r>
              <w:rPr>
                <w:rFonts w:ascii="Arial" w:cs="Arial" w:eastAsia="Arial" w:hAnsi="Arial"/>
                <w:sz w:val="16"/>
                <w:szCs w:val="16"/>
                <w:color w:val="3D3935"/>
              </w:rPr>
              <w:t>274,579</w:t>
            </w:r>
          </w:p>
        </w:tc>
        <w:tc>
          <w:tcPr>
            <w:tcW w:w="1140" w:type="dxa"/>
            <w:vAlign w:val="bottom"/>
            <w:tcBorders>
              <w:bottom w:val="single" w:sz="8" w:color="D9D9D6"/>
            </w:tcBorders>
          </w:tcPr>
          <w:p>
            <w:pPr>
              <w:jc w:val="center"/>
              <w:ind w:left="43"/>
              <w:spacing w:after="0"/>
              <w:rPr>
                <w:sz w:val="20"/>
                <w:szCs w:val="20"/>
                <w:color w:val="auto"/>
              </w:rPr>
            </w:pPr>
            <w:r>
              <w:rPr>
                <w:rFonts w:ascii="Arial" w:cs="Arial" w:eastAsia="Arial" w:hAnsi="Arial"/>
                <w:sz w:val="16"/>
                <w:szCs w:val="16"/>
                <w:color w:val="3D3935"/>
              </w:rPr>
              <w:t>296,340</w:t>
            </w:r>
          </w:p>
        </w:tc>
        <w:tc>
          <w:tcPr>
            <w:tcW w:w="1140" w:type="dxa"/>
            <w:vAlign w:val="bottom"/>
            <w:tcBorders>
              <w:bottom w:val="single" w:sz="8" w:color="D9D9D6"/>
            </w:tcBorders>
          </w:tcPr>
          <w:p>
            <w:pPr>
              <w:ind w:left="880"/>
              <w:spacing w:after="0"/>
              <w:rPr>
                <w:sz w:val="20"/>
                <w:szCs w:val="20"/>
                <w:color w:val="auto"/>
              </w:rPr>
            </w:pPr>
            <w:r>
              <w:rPr>
                <w:rFonts w:ascii="Arial" w:cs="Arial" w:eastAsia="Arial" w:hAnsi="Arial"/>
                <w:sz w:val="16"/>
                <w:szCs w:val="16"/>
                <w:color w:val="3D3935"/>
              </w:rPr>
              <w:t>—</w:t>
            </w:r>
          </w:p>
        </w:tc>
        <w:tc>
          <w:tcPr>
            <w:tcW w:w="940" w:type="dxa"/>
            <w:vAlign w:val="bottom"/>
            <w:tcBorders>
              <w:bottom w:val="single" w:sz="8" w:color="D9D9D6"/>
            </w:tcBorders>
          </w:tcPr>
          <w:p>
            <w:pPr>
              <w:ind w:left="120"/>
              <w:spacing w:after="0"/>
              <w:rPr>
                <w:sz w:val="20"/>
                <w:szCs w:val="20"/>
                <w:color w:val="auto"/>
              </w:rPr>
            </w:pPr>
            <w:r>
              <w:rPr>
                <w:rFonts w:ascii="Arial" w:cs="Arial" w:eastAsia="Arial" w:hAnsi="Arial"/>
                <w:sz w:val="16"/>
                <w:szCs w:val="16"/>
                <w:color w:val="3D3935"/>
              </w:rPr>
              <w:t>3,376,953</w:t>
            </w:r>
          </w:p>
        </w:tc>
      </w:tr>
      <w:tr>
        <w:trPr>
          <w:trHeight w:val="250"/>
        </w:trPr>
        <w:tc>
          <w:tcPr>
            <w:tcW w:w="21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Michael Abbott</w:t>
            </w:r>
          </w:p>
        </w:tc>
        <w:tc>
          <w:tcPr>
            <w:tcW w:w="1420" w:type="dxa"/>
            <w:vAlign w:val="bottom"/>
            <w:tcBorders>
              <w:bottom w:val="single" w:sz="8" w:color="D9D9D6"/>
            </w:tcBorders>
          </w:tcPr>
          <w:p>
            <w:pPr>
              <w:ind w:left="700"/>
              <w:spacing w:after="0"/>
              <w:rPr>
                <w:sz w:val="20"/>
                <w:szCs w:val="20"/>
                <w:color w:val="auto"/>
              </w:rPr>
            </w:pPr>
            <w:r>
              <w:rPr>
                <w:rFonts w:ascii="Arial" w:cs="Arial" w:eastAsia="Arial" w:hAnsi="Arial"/>
                <w:sz w:val="16"/>
                <w:szCs w:val="16"/>
                <w:color w:val="3D3935"/>
              </w:rPr>
              <w:t>DC ERP</w:t>
            </w:r>
          </w:p>
        </w:tc>
        <w:tc>
          <w:tcPr>
            <w:tcW w:w="1160" w:type="dxa"/>
            <w:vAlign w:val="bottom"/>
            <w:tcBorders>
              <w:bottom w:val="single" w:sz="8" w:color="D9D9D6"/>
            </w:tcBorders>
          </w:tcPr>
          <w:p>
            <w:pPr>
              <w:ind w:left="900"/>
              <w:spacing w:after="0"/>
              <w:rPr>
                <w:sz w:val="20"/>
                <w:szCs w:val="20"/>
                <w:color w:val="auto"/>
              </w:rPr>
            </w:pPr>
            <w:r>
              <w:rPr>
                <w:rFonts w:ascii="Arial" w:cs="Arial" w:eastAsia="Arial" w:hAnsi="Arial"/>
                <w:sz w:val="16"/>
                <w:szCs w:val="16"/>
                <w:color w:val="3D3935"/>
              </w:rPr>
              <w:t>—</w:t>
            </w:r>
          </w:p>
        </w:tc>
        <w:tc>
          <w:tcPr>
            <w:tcW w:w="1180" w:type="dxa"/>
            <w:vAlign w:val="bottom"/>
            <w:tcBorders>
              <w:bottom w:val="single" w:sz="8" w:color="D9D9D6"/>
            </w:tcBorders>
          </w:tcPr>
          <w:p>
            <w:pPr>
              <w:jc w:val="right"/>
              <w:ind w:right="103"/>
              <w:spacing w:after="0"/>
              <w:rPr>
                <w:sz w:val="20"/>
                <w:szCs w:val="20"/>
                <w:color w:val="auto"/>
              </w:rPr>
            </w:pPr>
            <w:r>
              <w:rPr>
                <w:rFonts w:ascii="Arial" w:cs="Arial" w:eastAsia="Arial" w:hAnsi="Arial"/>
                <w:sz w:val="16"/>
                <w:szCs w:val="16"/>
                <w:color w:val="3D3935"/>
              </w:rPr>
              <w:t>58,018</w:t>
            </w:r>
          </w:p>
        </w:tc>
        <w:tc>
          <w:tcPr>
            <w:tcW w:w="1140" w:type="dxa"/>
            <w:vAlign w:val="bottom"/>
            <w:tcBorders>
              <w:bottom w:val="single" w:sz="8" w:color="D9D9D6"/>
            </w:tcBorders>
          </w:tcPr>
          <w:p>
            <w:pPr>
              <w:jc w:val="right"/>
              <w:ind w:right="63"/>
              <w:spacing w:after="0"/>
              <w:rPr>
                <w:sz w:val="20"/>
                <w:szCs w:val="20"/>
                <w:color w:val="auto"/>
              </w:rPr>
            </w:pPr>
            <w:r>
              <w:rPr>
                <w:rFonts w:ascii="Arial" w:cs="Arial" w:eastAsia="Arial" w:hAnsi="Arial"/>
                <w:sz w:val="16"/>
                <w:szCs w:val="16"/>
                <w:color w:val="3D3935"/>
              </w:rPr>
              <w:t>1,057</w:t>
            </w:r>
          </w:p>
        </w:tc>
        <w:tc>
          <w:tcPr>
            <w:tcW w:w="1140" w:type="dxa"/>
            <w:vAlign w:val="bottom"/>
            <w:tcBorders>
              <w:bottom w:val="single" w:sz="8" w:color="D9D9D6"/>
            </w:tcBorders>
          </w:tcPr>
          <w:p>
            <w:pPr>
              <w:jc w:val="right"/>
              <w:ind w:right="63"/>
              <w:spacing w:after="0"/>
              <w:rPr>
                <w:sz w:val="20"/>
                <w:szCs w:val="20"/>
                <w:color w:val="auto"/>
              </w:rPr>
            </w:pPr>
            <w:r>
              <w:rPr>
                <w:rFonts w:ascii="Arial" w:cs="Arial" w:eastAsia="Arial" w:hAnsi="Arial"/>
                <w:sz w:val="16"/>
                <w:szCs w:val="16"/>
                <w:color w:val="3D3935"/>
              </w:rPr>
              <w:t>(72,455)</w:t>
            </w:r>
          </w:p>
        </w:tc>
        <w:tc>
          <w:tcPr>
            <w:tcW w:w="940" w:type="dxa"/>
            <w:vAlign w:val="bottom"/>
            <w:tcBorders>
              <w:bottom w:val="single" w:sz="8" w:color="D9D9D6"/>
            </w:tcBorders>
          </w:tcPr>
          <w:p>
            <w:pPr>
              <w:ind w:left="780"/>
              <w:spacing w:after="0"/>
              <w:rPr>
                <w:sz w:val="20"/>
                <w:szCs w:val="20"/>
                <w:color w:val="auto"/>
              </w:rPr>
            </w:pPr>
            <w:r>
              <w:rPr>
                <w:rFonts w:ascii="Arial" w:cs="Arial" w:eastAsia="Arial" w:hAnsi="Arial"/>
                <w:sz w:val="16"/>
                <w:szCs w:val="16"/>
                <w:color w:val="3D3935"/>
                <w:w w:val="87"/>
              </w:rPr>
              <w:t>—</w:t>
            </w:r>
          </w:p>
        </w:tc>
      </w:tr>
      <w:tr>
        <w:trPr>
          <w:trHeight w:val="250"/>
        </w:trPr>
        <w:tc>
          <w:tcPr>
            <w:tcW w:w="21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Craig B. Glidden</w:t>
            </w:r>
          </w:p>
        </w:tc>
        <w:tc>
          <w:tcPr>
            <w:tcW w:w="1420" w:type="dxa"/>
            <w:vAlign w:val="bottom"/>
            <w:tcBorders>
              <w:bottom w:val="single" w:sz="8" w:color="D9D9D6"/>
            </w:tcBorders>
          </w:tcPr>
          <w:p>
            <w:pPr>
              <w:ind w:left="700"/>
              <w:spacing w:after="0"/>
              <w:rPr>
                <w:sz w:val="20"/>
                <w:szCs w:val="20"/>
                <w:color w:val="auto"/>
              </w:rPr>
            </w:pPr>
            <w:r>
              <w:rPr>
                <w:rFonts w:ascii="Arial" w:cs="Arial" w:eastAsia="Arial" w:hAnsi="Arial"/>
                <w:sz w:val="16"/>
                <w:szCs w:val="16"/>
                <w:color w:val="3D3935"/>
              </w:rPr>
              <w:t>DC ERP</w:t>
            </w:r>
          </w:p>
        </w:tc>
        <w:tc>
          <w:tcPr>
            <w:tcW w:w="1160" w:type="dxa"/>
            <w:vAlign w:val="bottom"/>
            <w:tcBorders>
              <w:bottom w:val="single" w:sz="8" w:color="D9D9D6"/>
            </w:tcBorders>
          </w:tcPr>
          <w:p>
            <w:pPr>
              <w:ind w:left="900"/>
              <w:spacing w:after="0"/>
              <w:rPr>
                <w:sz w:val="20"/>
                <w:szCs w:val="20"/>
                <w:color w:val="auto"/>
              </w:rPr>
            </w:pPr>
            <w:r>
              <w:rPr>
                <w:rFonts w:ascii="Arial" w:cs="Arial" w:eastAsia="Arial" w:hAnsi="Arial"/>
                <w:sz w:val="16"/>
                <w:szCs w:val="16"/>
                <w:color w:val="3D3935"/>
              </w:rPr>
              <w:t>—</w:t>
            </w:r>
          </w:p>
        </w:tc>
        <w:tc>
          <w:tcPr>
            <w:tcW w:w="1180" w:type="dxa"/>
            <w:vAlign w:val="bottom"/>
            <w:tcBorders>
              <w:bottom w:val="single" w:sz="8" w:color="D9D9D6"/>
            </w:tcBorders>
          </w:tcPr>
          <w:p>
            <w:pPr>
              <w:jc w:val="right"/>
              <w:ind w:right="83"/>
              <w:spacing w:after="0"/>
              <w:rPr>
                <w:sz w:val="20"/>
                <w:szCs w:val="20"/>
                <w:color w:val="auto"/>
              </w:rPr>
            </w:pPr>
            <w:r>
              <w:rPr>
                <w:rFonts w:ascii="Arial" w:cs="Arial" w:eastAsia="Arial" w:hAnsi="Arial"/>
                <w:sz w:val="16"/>
                <w:szCs w:val="16"/>
                <w:color w:val="3D3935"/>
              </w:rPr>
              <w:t>172,794</w:t>
            </w:r>
          </w:p>
        </w:tc>
        <w:tc>
          <w:tcPr>
            <w:tcW w:w="1140" w:type="dxa"/>
            <w:vAlign w:val="bottom"/>
            <w:tcBorders>
              <w:bottom w:val="single" w:sz="8" w:color="D9D9D6"/>
            </w:tcBorders>
          </w:tcPr>
          <w:p>
            <w:pPr>
              <w:jc w:val="right"/>
              <w:ind w:right="83"/>
              <w:spacing w:after="0"/>
              <w:rPr>
                <w:sz w:val="20"/>
                <w:szCs w:val="20"/>
                <w:color w:val="auto"/>
              </w:rPr>
            </w:pPr>
            <w:r>
              <w:rPr>
                <w:rFonts w:ascii="Arial" w:cs="Arial" w:eastAsia="Arial" w:hAnsi="Arial"/>
                <w:sz w:val="16"/>
                <w:szCs w:val="16"/>
                <w:color w:val="3D3935"/>
              </w:rPr>
              <w:t>103,723</w:t>
            </w:r>
          </w:p>
        </w:tc>
        <w:tc>
          <w:tcPr>
            <w:tcW w:w="1140" w:type="dxa"/>
            <w:vAlign w:val="bottom"/>
            <w:tcBorders>
              <w:bottom w:val="single" w:sz="8" w:color="D9D9D6"/>
            </w:tcBorders>
          </w:tcPr>
          <w:p>
            <w:pPr>
              <w:ind w:left="880"/>
              <w:spacing w:after="0"/>
              <w:rPr>
                <w:sz w:val="20"/>
                <w:szCs w:val="20"/>
                <w:color w:val="auto"/>
              </w:rPr>
            </w:pPr>
            <w:r>
              <w:rPr>
                <w:rFonts w:ascii="Arial" w:cs="Arial" w:eastAsia="Arial" w:hAnsi="Arial"/>
                <w:sz w:val="16"/>
                <w:szCs w:val="16"/>
                <w:color w:val="3D3935"/>
              </w:rPr>
              <w:t>—</w:t>
            </w:r>
          </w:p>
        </w:tc>
        <w:tc>
          <w:tcPr>
            <w:tcW w:w="940" w:type="dxa"/>
            <w:vAlign w:val="bottom"/>
            <w:tcBorders>
              <w:bottom w:val="single" w:sz="8" w:color="D9D9D6"/>
            </w:tcBorders>
          </w:tcPr>
          <w:p>
            <w:pPr>
              <w:ind w:left="140"/>
              <w:spacing w:after="0"/>
              <w:rPr>
                <w:sz w:val="20"/>
                <w:szCs w:val="20"/>
                <w:color w:val="auto"/>
              </w:rPr>
            </w:pPr>
            <w:r>
              <w:rPr>
                <w:rFonts w:ascii="Arial" w:cs="Arial" w:eastAsia="Arial" w:hAnsi="Arial"/>
                <w:sz w:val="16"/>
                <w:szCs w:val="16"/>
                <w:color w:val="3D3935"/>
              </w:rPr>
              <w:t>1,385,047</w:t>
            </w:r>
          </w:p>
        </w:tc>
      </w:tr>
      <w:tr>
        <w:trPr>
          <w:trHeight w:val="250"/>
        </w:trPr>
        <w:tc>
          <w:tcPr>
            <w:tcW w:w="2100" w:type="dxa"/>
            <w:vAlign w:val="bottom"/>
            <w:tcBorders>
              <w:bottom w:val="single" w:sz="8" w:color="0072CE"/>
            </w:tcBorders>
          </w:tcPr>
          <w:p>
            <w:pPr>
              <w:ind w:left="60"/>
              <w:spacing w:after="0"/>
              <w:rPr>
                <w:sz w:val="20"/>
                <w:szCs w:val="20"/>
                <w:color w:val="auto"/>
              </w:rPr>
            </w:pPr>
            <w:r>
              <w:rPr>
                <w:rFonts w:ascii="Arial" w:cs="Arial" w:eastAsia="Arial" w:hAnsi="Arial"/>
                <w:sz w:val="16"/>
                <w:szCs w:val="16"/>
                <w:b w:val="1"/>
                <w:bCs w:val="1"/>
                <w:color w:val="0072CE"/>
              </w:rPr>
              <w:t>Rory V. Harvey</w:t>
            </w:r>
          </w:p>
        </w:tc>
        <w:tc>
          <w:tcPr>
            <w:tcW w:w="1420" w:type="dxa"/>
            <w:vAlign w:val="bottom"/>
            <w:tcBorders>
              <w:bottom w:val="single" w:sz="8" w:color="0072CE"/>
            </w:tcBorders>
          </w:tcPr>
          <w:p>
            <w:pPr>
              <w:ind w:left="700"/>
              <w:spacing w:after="0"/>
              <w:rPr>
                <w:sz w:val="20"/>
                <w:szCs w:val="20"/>
                <w:color w:val="auto"/>
              </w:rPr>
            </w:pPr>
            <w:r>
              <w:rPr>
                <w:rFonts w:ascii="Arial" w:cs="Arial" w:eastAsia="Arial" w:hAnsi="Arial"/>
                <w:sz w:val="16"/>
                <w:szCs w:val="16"/>
                <w:color w:val="3D3935"/>
              </w:rPr>
              <w:t>DC ERP</w:t>
            </w:r>
          </w:p>
        </w:tc>
        <w:tc>
          <w:tcPr>
            <w:tcW w:w="1160" w:type="dxa"/>
            <w:vAlign w:val="bottom"/>
            <w:tcBorders>
              <w:bottom w:val="single" w:sz="8" w:color="0072CE"/>
            </w:tcBorders>
          </w:tcPr>
          <w:p>
            <w:pPr>
              <w:ind w:left="900"/>
              <w:spacing w:after="0"/>
              <w:rPr>
                <w:sz w:val="20"/>
                <w:szCs w:val="20"/>
                <w:color w:val="auto"/>
              </w:rPr>
            </w:pPr>
            <w:r>
              <w:rPr>
                <w:rFonts w:ascii="Arial" w:cs="Arial" w:eastAsia="Arial" w:hAnsi="Arial"/>
                <w:sz w:val="16"/>
                <w:szCs w:val="16"/>
                <w:color w:val="3D3935"/>
              </w:rPr>
              <w:t>—</w:t>
            </w:r>
          </w:p>
        </w:tc>
        <w:tc>
          <w:tcPr>
            <w:tcW w:w="1180" w:type="dxa"/>
            <w:vAlign w:val="bottom"/>
            <w:tcBorders>
              <w:bottom w:val="single" w:sz="8" w:color="0072CE"/>
            </w:tcBorders>
          </w:tcPr>
          <w:p>
            <w:pPr>
              <w:jc w:val="right"/>
              <w:ind w:right="83"/>
              <w:spacing w:after="0"/>
              <w:rPr>
                <w:sz w:val="20"/>
                <w:szCs w:val="20"/>
                <w:color w:val="auto"/>
              </w:rPr>
            </w:pPr>
            <w:r>
              <w:rPr>
                <w:rFonts w:ascii="Arial" w:cs="Arial" w:eastAsia="Arial" w:hAnsi="Arial"/>
                <w:sz w:val="16"/>
                <w:szCs w:val="16"/>
                <w:color w:val="3D3935"/>
              </w:rPr>
              <w:t>113,328</w:t>
            </w:r>
          </w:p>
        </w:tc>
        <w:tc>
          <w:tcPr>
            <w:tcW w:w="1140" w:type="dxa"/>
            <w:vAlign w:val="bottom"/>
            <w:tcBorders>
              <w:bottom w:val="single" w:sz="8" w:color="0072CE"/>
            </w:tcBorders>
          </w:tcPr>
          <w:p>
            <w:pPr>
              <w:jc w:val="right"/>
              <w:ind w:right="83"/>
              <w:spacing w:after="0"/>
              <w:rPr>
                <w:sz w:val="20"/>
                <w:szCs w:val="20"/>
                <w:color w:val="auto"/>
              </w:rPr>
            </w:pPr>
            <w:r>
              <w:rPr>
                <w:rFonts w:ascii="Arial" w:cs="Arial" w:eastAsia="Arial" w:hAnsi="Arial"/>
                <w:sz w:val="16"/>
                <w:szCs w:val="16"/>
                <w:color w:val="3D3935"/>
              </w:rPr>
              <w:t>29,913</w:t>
            </w:r>
          </w:p>
        </w:tc>
        <w:tc>
          <w:tcPr>
            <w:tcW w:w="1140" w:type="dxa"/>
            <w:vAlign w:val="bottom"/>
            <w:tcBorders>
              <w:bottom w:val="single" w:sz="8" w:color="0072CE"/>
            </w:tcBorders>
          </w:tcPr>
          <w:p>
            <w:pPr>
              <w:ind w:left="880"/>
              <w:spacing w:after="0"/>
              <w:rPr>
                <w:sz w:val="20"/>
                <w:szCs w:val="20"/>
                <w:color w:val="auto"/>
              </w:rPr>
            </w:pPr>
            <w:r>
              <w:rPr>
                <w:rFonts w:ascii="Arial" w:cs="Arial" w:eastAsia="Arial" w:hAnsi="Arial"/>
                <w:sz w:val="16"/>
                <w:szCs w:val="16"/>
                <w:color w:val="3D3935"/>
              </w:rPr>
              <w:t>—</w:t>
            </w:r>
          </w:p>
        </w:tc>
        <w:tc>
          <w:tcPr>
            <w:tcW w:w="940" w:type="dxa"/>
            <w:vAlign w:val="bottom"/>
            <w:tcBorders>
              <w:bottom w:val="single" w:sz="8" w:color="0072CE"/>
            </w:tcBorders>
          </w:tcPr>
          <w:p>
            <w:pPr>
              <w:jc w:val="right"/>
              <w:ind w:right="43"/>
              <w:spacing w:after="0"/>
              <w:rPr>
                <w:sz w:val="20"/>
                <w:szCs w:val="20"/>
                <w:color w:val="auto"/>
              </w:rPr>
            </w:pPr>
            <w:r>
              <w:rPr>
                <w:rFonts w:ascii="Arial" w:cs="Arial" w:eastAsia="Arial" w:hAnsi="Arial"/>
                <w:sz w:val="16"/>
                <w:szCs w:val="16"/>
                <w:color w:val="3D3935"/>
              </w:rPr>
              <w:t>390,499</w:t>
            </w:r>
          </w:p>
        </w:tc>
      </w:tr>
    </w:tbl>
    <w:p>
      <w:pPr>
        <w:spacing w:after="0" w:line="125" w:lineRule="exact"/>
        <w:rPr>
          <w:sz w:val="20"/>
          <w:szCs w:val="20"/>
          <w:color w:val="auto"/>
        </w:rPr>
      </w:pPr>
    </w:p>
    <w:p>
      <w:pPr>
        <w:ind w:left="200" w:hanging="192"/>
        <w:spacing w:after="0"/>
        <w:tabs>
          <w:tab w:leader="none" w:pos="200" w:val="left"/>
        </w:tabs>
        <w:numPr>
          <w:ilvl w:val="0"/>
          <w:numId w:val="106"/>
        </w:numPr>
        <w:rPr>
          <w:rFonts w:ascii="Arial" w:cs="Arial" w:eastAsia="Arial" w:hAnsi="Arial"/>
          <w:sz w:val="19"/>
          <w:szCs w:val="19"/>
          <w:color w:val="3D3935"/>
          <w:vertAlign w:val="superscript"/>
        </w:rPr>
      </w:pPr>
      <w:r>
        <w:rPr>
          <w:rFonts w:ascii="Arial" w:cs="Arial" w:eastAsia="Arial" w:hAnsi="Arial"/>
          <w:sz w:val="14"/>
          <w:szCs w:val="14"/>
          <w:color w:val="3D3935"/>
        </w:rPr>
        <w:t>The amounts shown are included in All Other Compensation in the Summary Compensation Table.</w:t>
      </w:r>
    </w:p>
    <w:p>
      <w:pPr>
        <w:spacing w:after="0" w:line="66" w:lineRule="exact"/>
        <w:rPr>
          <w:rFonts w:ascii="Arial" w:cs="Arial" w:eastAsia="Arial" w:hAnsi="Arial"/>
          <w:sz w:val="19"/>
          <w:szCs w:val="19"/>
          <w:color w:val="3D3935"/>
          <w:vertAlign w:val="superscript"/>
        </w:rPr>
      </w:pPr>
    </w:p>
    <w:p>
      <w:pPr>
        <w:ind w:left="200" w:right="540" w:hanging="192"/>
        <w:spacing w:after="0" w:line="239" w:lineRule="auto"/>
        <w:tabs>
          <w:tab w:leader="none" w:pos="200" w:val="left"/>
        </w:tabs>
        <w:numPr>
          <w:ilvl w:val="0"/>
          <w:numId w:val="106"/>
        </w:numPr>
        <w:rPr>
          <w:rFonts w:ascii="Arial" w:cs="Arial" w:eastAsia="Arial" w:hAnsi="Arial"/>
          <w:sz w:val="19"/>
          <w:szCs w:val="19"/>
          <w:color w:val="3D3935"/>
          <w:vertAlign w:val="superscript"/>
        </w:rPr>
      </w:pPr>
      <w:r>
        <w:rPr>
          <w:rFonts w:ascii="Arial" w:cs="Arial" w:eastAsia="Arial" w:hAnsi="Arial"/>
          <w:sz w:val="14"/>
          <w:szCs w:val="14"/>
          <w:color w:val="3D3935"/>
        </w:rPr>
        <w:t>The amounts shown are not reported in Change in Pension Value and Nonqualified Deferred Compensation Earnings in the Summary Compensation Table because we do not pay above-market earnings on deferred compensation in retirement plans.</w:t>
      </w:r>
    </w:p>
    <w:p>
      <w:pPr>
        <w:spacing w:after="0" w:line="54" w:lineRule="exact"/>
        <w:rPr>
          <w:rFonts w:ascii="Arial" w:cs="Arial" w:eastAsia="Arial" w:hAnsi="Arial"/>
          <w:sz w:val="19"/>
          <w:szCs w:val="19"/>
          <w:color w:val="3D3935"/>
          <w:vertAlign w:val="superscript"/>
        </w:rPr>
      </w:pPr>
    </w:p>
    <w:p>
      <w:pPr>
        <w:ind w:left="200" w:right="1440" w:hanging="192"/>
        <w:spacing w:after="0" w:line="239" w:lineRule="auto"/>
        <w:tabs>
          <w:tab w:leader="none" w:pos="200" w:val="left"/>
        </w:tabs>
        <w:numPr>
          <w:ilvl w:val="0"/>
          <w:numId w:val="106"/>
        </w:numPr>
        <w:rPr>
          <w:rFonts w:ascii="Arial" w:cs="Arial" w:eastAsia="Arial" w:hAnsi="Arial"/>
          <w:sz w:val="19"/>
          <w:szCs w:val="19"/>
          <w:color w:val="3D3935"/>
          <w:vertAlign w:val="superscript"/>
        </w:rPr>
      </w:pPr>
      <w:r>
        <w:rPr>
          <w:rFonts w:ascii="Arial" w:cs="Arial" w:eastAsia="Arial" w:hAnsi="Arial"/>
          <w:sz w:val="14"/>
          <w:szCs w:val="14"/>
          <w:color w:val="3D3935"/>
        </w:rPr>
        <w:t>The following amounts have been included in the Summary Compensation Table in prior years: $4,340,304 (Ms. Barra), $349,654 (Mr. Jacobson), $2,042,722 (Mr. Reuss), $12,711 (Mr. Abbott), and $246,860 (Mr. Glidden).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44996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10375" cy="4499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Potential Payments Upon Termination</w:t>
      </w:r>
    </w:p>
    <w:p>
      <w:pPr>
        <w:spacing w:after="0" w:line="132" w:lineRule="exact"/>
        <w:rPr>
          <w:sz w:val="20"/>
          <w:szCs w:val="20"/>
          <w:color w:val="auto"/>
        </w:rPr>
      </w:pPr>
    </w:p>
    <w:p>
      <w:pPr>
        <w:ind w:right="400"/>
        <w:spacing w:after="0" w:line="295" w:lineRule="auto"/>
        <w:rPr>
          <w:sz w:val="20"/>
          <w:szCs w:val="20"/>
          <w:color w:val="auto"/>
        </w:rPr>
      </w:pPr>
      <w:r>
        <w:rPr>
          <w:rFonts w:ascii="Arial" w:cs="Arial" w:eastAsia="Arial" w:hAnsi="Arial"/>
          <w:sz w:val="16"/>
          <w:szCs w:val="16"/>
          <w:color w:val="3D3935"/>
        </w:rPr>
        <w:t>The Company does not maintain individual employment agreements with any NEO that provide guaranteed payments in the event of a termination of employment or change in control. In the event that an NEO’s position with the Company is eliminated, including the elimination of the NEO’s position as a result of a change in control, the NEO would be eligible for a severance payment under the Executive Severance Program.</w:t>
      </w:r>
    </w:p>
    <w:p>
      <w:pPr>
        <w:spacing w:after="0" w:line="108" w:lineRule="exact"/>
        <w:rPr>
          <w:sz w:val="20"/>
          <w:szCs w:val="20"/>
          <w:color w:val="auto"/>
        </w:rPr>
      </w:pPr>
    </w:p>
    <w:p>
      <w:pPr>
        <w:ind w:right="380"/>
        <w:spacing w:after="0" w:line="281" w:lineRule="auto"/>
        <w:rPr>
          <w:sz w:val="20"/>
          <w:szCs w:val="20"/>
          <w:color w:val="auto"/>
        </w:rPr>
      </w:pPr>
      <w:r>
        <w:rPr>
          <w:rFonts w:ascii="Arial" w:cs="Arial" w:eastAsia="Arial" w:hAnsi="Arial"/>
          <w:sz w:val="16"/>
          <w:szCs w:val="16"/>
          <w:color w:val="3D3935"/>
        </w:rPr>
        <w:t>The table below shows the potential payments to each NEO assuming a termination of employment on December 31, 2024, due to the following events: voluntary separation or termination for cause, qualifying termination under the</w:t>
      </w:r>
    </w:p>
    <w:p>
      <w:pPr>
        <w:spacing w:after="0" w:line="1"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3D3935"/>
        </w:rPr>
        <w:t>Executive Severance Program, full career status retirement, disability, death, or change in control with termination of employment. Each of the separation events is described in more detail below. These provisions are generally applicable to participants in each of the respective plans and are not reserved only for NEOs. The payments below are in addition to the present value of the accumulated benefits from each NEO’s qualified and nonqualified pension plans shown in the “Pension Benefits” table on page 73 and the aggregate balance due to each NEO that is shown in the Nonqualified Deferred Compensation Plan table above.</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3D3935"/>
        </w:rPr>
        <w:t>For purposes of the following table, the Company describes these terminations and potential payments:</w:t>
      </w:r>
    </w:p>
    <w:p>
      <w:pPr>
        <w:spacing w:after="0" w:line="181" w:lineRule="exact"/>
        <w:rPr>
          <w:sz w:val="20"/>
          <w:szCs w:val="20"/>
          <w:color w:val="auto"/>
        </w:rPr>
      </w:pPr>
    </w:p>
    <w:p>
      <w:pPr>
        <w:ind w:right="300"/>
        <w:spacing w:after="0" w:line="289" w:lineRule="auto"/>
        <w:rPr>
          <w:sz w:val="20"/>
          <w:szCs w:val="20"/>
          <w:color w:val="auto"/>
        </w:rPr>
      </w:pPr>
      <w:r>
        <w:rPr>
          <w:rFonts w:ascii="Arial" w:cs="Arial" w:eastAsia="Arial" w:hAnsi="Arial"/>
          <w:sz w:val="16"/>
          <w:szCs w:val="16"/>
          <w:b w:val="1"/>
          <w:bCs w:val="1"/>
          <w:color w:val="0072CE"/>
        </w:rPr>
        <w:t xml:space="preserve">Voluntary Separation or Termination for Cause </w:t>
      </w:r>
      <w:r>
        <w:rPr>
          <w:rFonts w:ascii="Arial" w:cs="Arial" w:eastAsia="Arial" w:hAnsi="Arial"/>
          <w:sz w:val="16"/>
          <w:szCs w:val="16"/>
          <w:color w:val="3D3935"/>
        </w:rPr>
        <w:t>— A voluntary separation occurs when an executive voluntarily terminates</w:t>
      </w:r>
      <w:r>
        <w:rPr>
          <w:rFonts w:ascii="Arial" w:cs="Arial" w:eastAsia="Arial" w:hAnsi="Arial"/>
          <w:sz w:val="16"/>
          <w:szCs w:val="16"/>
          <w:b w:val="1"/>
          <w:bCs w:val="1"/>
          <w:color w:val="0072CE"/>
        </w:rPr>
        <w:t xml:space="preserve"> </w:t>
      </w:r>
      <w:r>
        <w:rPr>
          <w:rFonts w:ascii="Arial" w:cs="Arial" w:eastAsia="Arial" w:hAnsi="Arial"/>
          <w:sz w:val="16"/>
          <w:szCs w:val="16"/>
          <w:color w:val="3D3935"/>
        </w:rPr>
        <w:t>employment with the Company. A full career status retirement receives different treatment, as discussed below. A termination for cause occurs when an executive is dismissed from employment by the Company for cause, which is considered to include, but is not limited to, the executive’s gross negligence, willful misconduct, or violation of state or federal securities laws. Under each of these scenarios, the executive generally forfeits all outstanding equity awards and is not eligible for any award or payment under the STIP.</w:t>
      </w:r>
    </w:p>
    <w:p>
      <w:pPr>
        <w:spacing w:after="0" w:line="102" w:lineRule="exact"/>
        <w:rPr>
          <w:sz w:val="20"/>
          <w:szCs w:val="20"/>
          <w:color w:val="auto"/>
        </w:rPr>
      </w:pPr>
    </w:p>
    <w:p>
      <w:pPr>
        <w:ind w:right="360"/>
        <w:spacing w:after="0" w:line="295" w:lineRule="auto"/>
        <w:rPr>
          <w:sz w:val="20"/>
          <w:szCs w:val="20"/>
          <w:color w:val="auto"/>
        </w:rPr>
      </w:pPr>
      <w:r>
        <w:rPr>
          <w:rFonts w:ascii="Arial" w:cs="Arial" w:eastAsia="Arial" w:hAnsi="Arial"/>
          <w:sz w:val="16"/>
          <w:szCs w:val="16"/>
          <w:b w:val="1"/>
          <w:bCs w:val="1"/>
          <w:color w:val="0072CE"/>
        </w:rPr>
        <w:t xml:space="preserve">Executive Severance Program </w:t>
      </w:r>
      <w:r>
        <w:rPr>
          <w:rFonts w:ascii="Arial" w:cs="Arial" w:eastAsia="Arial" w:hAnsi="Arial"/>
          <w:sz w:val="16"/>
          <w:szCs w:val="16"/>
          <w:color w:val="3D3935"/>
        </w:rPr>
        <w:t>— A separation occurs when an executive’s position is eliminated, or the Company and an</w:t>
      </w:r>
      <w:r>
        <w:rPr>
          <w:rFonts w:ascii="Arial" w:cs="Arial" w:eastAsia="Arial" w:hAnsi="Arial"/>
          <w:sz w:val="16"/>
          <w:szCs w:val="16"/>
          <w:b w:val="1"/>
          <w:bCs w:val="1"/>
          <w:color w:val="0072CE"/>
        </w:rPr>
        <w:t xml:space="preserve"> </w:t>
      </w:r>
      <w:r>
        <w:rPr>
          <w:rFonts w:ascii="Arial" w:cs="Arial" w:eastAsia="Arial" w:hAnsi="Arial"/>
          <w:sz w:val="16"/>
          <w:szCs w:val="16"/>
          <w:color w:val="3D3935"/>
        </w:rPr>
        <w:t>executive agree to mutually end the employment relationship. An executive will be eligible to receive a severance payment from the Company calculated based on his or her position and reflected as a multiple of salary, Consolidated Omnibus Budget Reconciliation Act of 1985 (“COBRA”) premiums, and a STIP award at target. An executive may receive cash</w:t>
      </w:r>
    </w:p>
    <w:p>
      <w:pPr>
        <w:sectPr>
          <w:pgSz w:w="11900" w:h="16945" w:orient="portrait"/>
          <w:cols w:equalWidth="0" w:num="1">
            <w:col w:w="9240"/>
          </w:cols>
          <w:pgMar w:left="1400" w:top="114" w:right="1259" w:bottom="0" w:gutter="0" w:footer="0" w:header="0"/>
        </w:sectPr>
      </w:pPr>
    </w:p>
    <w:bookmarkStart w:id="71" w:name="page72"/>
    <w:bookmarkEnd w:id="71"/>
    <w:p>
      <w:pPr>
        <w:jc w:val="both"/>
        <w:ind w:right="479"/>
        <w:spacing w:after="0" w:line="301" w:lineRule="auto"/>
        <w:rPr>
          <w:sz w:val="20"/>
          <w:szCs w:val="20"/>
          <w:color w:val="auto"/>
        </w:rPr>
      </w:pPr>
      <w:r>
        <w:rPr>
          <w:rFonts w:ascii="Arial" w:cs="Arial" w:eastAsia="Arial" w:hAnsi="Arial"/>
          <w:sz w:val="16"/>
          <w:szCs w:val="16"/>
          <w:color w:val="3D3935"/>
        </w:rPr>
        <w:t>payments of the value of the equity awards that are scheduled to vest within the next year after separation at the time of vesting. Unvested stock options are usually forfeited. An executive is also eligible for outplacement assistance based on position. All potential payments are contingent upon the executive entering into a mutual separation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-429895</wp:posOffset>
            </wp:positionV>
            <wp:extent cx="6810375" cy="4356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10375" cy="4356735"/>
                    </a:xfrm>
                    <a:prstGeom prst="rect">
                      <a:avLst/>
                    </a:prstGeom>
                    <a:noFill/>
                  </pic:spPr>
                </pic:pic>
              </a:graphicData>
            </a:graphic>
          </wp:anchor>
        </w:drawing>
      </w:r>
    </w:p>
    <w:p>
      <w:pPr>
        <w:spacing w:after="0" w:line="84" w:lineRule="exact"/>
        <w:rPr>
          <w:sz w:val="20"/>
          <w:szCs w:val="20"/>
          <w:color w:val="auto"/>
        </w:rPr>
      </w:pPr>
    </w:p>
    <w:p>
      <w:pPr>
        <w:ind w:right="119"/>
        <w:spacing w:after="0" w:line="289" w:lineRule="auto"/>
        <w:rPr>
          <w:sz w:val="20"/>
          <w:szCs w:val="20"/>
          <w:color w:val="auto"/>
        </w:rPr>
      </w:pPr>
      <w:r>
        <w:rPr>
          <w:rFonts w:ascii="Arial" w:cs="Arial" w:eastAsia="Arial" w:hAnsi="Arial"/>
          <w:sz w:val="16"/>
          <w:szCs w:val="16"/>
          <w:b w:val="1"/>
          <w:bCs w:val="1"/>
          <w:color w:val="0072CE"/>
        </w:rPr>
        <w:t xml:space="preserve">Full Career Status Retirement </w:t>
      </w:r>
      <w:r>
        <w:rPr>
          <w:rFonts w:ascii="Arial" w:cs="Arial" w:eastAsia="Arial" w:hAnsi="Arial"/>
          <w:sz w:val="16"/>
          <w:szCs w:val="16"/>
          <w:color w:val="3D3935"/>
        </w:rPr>
        <w:t>— A full career status retirement occurs when an executive reaches the age of 55 with 10 or</w:t>
      </w:r>
      <w:r>
        <w:rPr>
          <w:rFonts w:ascii="Arial" w:cs="Arial" w:eastAsia="Arial" w:hAnsi="Arial"/>
          <w:sz w:val="16"/>
          <w:szCs w:val="16"/>
          <w:b w:val="1"/>
          <w:bCs w:val="1"/>
          <w:color w:val="0072CE"/>
        </w:rPr>
        <w:t xml:space="preserve"> </w:t>
      </w:r>
      <w:r>
        <w:rPr>
          <w:rFonts w:ascii="Arial" w:cs="Arial" w:eastAsia="Arial" w:hAnsi="Arial"/>
          <w:sz w:val="16"/>
          <w:szCs w:val="16"/>
          <w:color w:val="3D3935"/>
        </w:rPr>
        <w:t>more years of continuous service with the Company, or reaches the age of 62 or older, at which time the executive voluntarily separates from the Company. An executive who enters into a separation or severance agreement cannot also elect full career status retirement.</w:t>
      </w:r>
    </w:p>
    <w:p>
      <w:pPr>
        <w:spacing w:after="0" w:line="113" w:lineRule="exact"/>
        <w:rPr>
          <w:sz w:val="20"/>
          <w:szCs w:val="20"/>
          <w:color w:val="auto"/>
        </w:rPr>
      </w:pPr>
    </w:p>
    <w:p>
      <w:pPr>
        <w:ind w:right="119"/>
        <w:spacing w:after="0" w:line="286" w:lineRule="auto"/>
        <w:rPr>
          <w:sz w:val="20"/>
          <w:szCs w:val="20"/>
          <w:color w:val="auto"/>
        </w:rPr>
      </w:pPr>
      <w:r>
        <w:rPr>
          <w:rFonts w:ascii="Arial" w:cs="Arial" w:eastAsia="Arial" w:hAnsi="Arial"/>
          <w:sz w:val="16"/>
          <w:szCs w:val="16"/>
          <w:color w:val="3D3935"/>
        </w:rPr>
        <w:t>In the event of a full career status retirement, the executive is generally eligible for a prorated STIP award based on his or her retirement date in the performance year and once final performance has been determined. RSUs granted in the year of the retirement date are prorated based on the retirement date and continue to vest in accordance with the vesting schedule. RSUs granted prior to the year of the retirement date will continue to vest in accordance with the vesting schedule. PSUs granted in the year of the retirement date are prorated based on the retirement date, and will be adjusted for final Company performance and be settled following approval of such performance. PSUs granted prior to the year of the retirement date will remain outstanding until the end of the performance period, at which time they will be adjusted for final Company performance and be settled following approval of such performance. Stock options granted in the year of the retirement date are prorated based on the retirement date, and continue to vest in accordance with the vesting schedule. Stock options granted prior to the year of the retirement date will continue to vest in accordance with the vesting schedule.</w:t>
      </w:r>
    </w:p>
    <w:p>
      <w:pPr>
        <w:spacing w:after="0" w:line="103" w:lineRule="exact"/>
        <w:rPr>
          <w:sz w:val="20"/>
          <w:szCs w:val="20"/>
          <w:color w:val="auto"/>
        </w:rPr>
      </w:pPr>
    </w:p>
    <w:p>
      <w:pPr>
        <w:ind w:right="119"/>
        <w:spacing w:after="0" w:line="288" w:lineRule="auto"/>
        <w:rPr>
          <w:sz w:val="20"/>
          <w:szCs w:val="20"/>
          <w:color w:val="auto"/>
        </w:rPr>
      </w:pPr>
      <w:r>
        <w:rPr>
          <w:rFonts w:ascii="Arial" w:cs="Arial" w:eastAsia="Arial" w:hAnsi="Arial"/>
          <w:sz w:val="16"/>
          <w:szCs w:val="16"/>
          <w:b w:val="1"/>
          <w:bCs w:val="1"/>
          <w:color w:val="0072CE"/>
        </w:rPr>
        <w:t xml:space="preserve">Disability </w:t>
      </w:r>
      <w:r>
        <w:rPr>
          <w:rFonts w:ascii="Arial" w:cs="Arial" w:eastAsia="Arial" w:hAnsi="Arial"/>
          <w:sz w:val="16"/>
          <w:szCs w:val="16"/>
          <w:color w:val="3D3935"/>
        </w:rPr>
        <w:t>— Disability occurs when an executive terminates employment by reason of his or her inability to engage in any</w:t>
      </w:r>
      <w:r>
        <w:rPr>
          <w:rFonts w:ascii="Arial" w:cs="Arial" w:eastAsia="Arial" w:hAnsi="Arial"/>
          <w:sz w:val="16"/>
          <w:szCs w:val="16"/>
          <w:b w:val="1"/>
          <w:bCs w:val="1"/>
          <w:color w:val="0072CE"/>
        </w:rPr>
        <w:t xml:space="preserve"> </w:t>
      </w:r>
      <w:r>
        <w:rPr>
          <w:rFonts w:ascii="Arial" w:cs="Arial" w:eastAsia="Arial" w:hAnsi="Arial"/>
          <w:sz w:val="16"/>
          <w:szCs w:val="16"/>
          <w:color w:val="3D3935"/>
        </w:rPr>
        <w:t>gainful activity due to a medically determinable physical or mental impairment that can be expected to result in death or can be expected to last for a continuous period of not less than 12 months. The executive is eligible for a full-year STIP award related to the year in which termination occurs once final Company performance has been determined. RSUs will continue to vest in accordance with the vesting schedule. PSUs will remain outstanding until the end of the performance period, at which time they will be adjusted for final Company performance and be settled following approval of such performance. Stock options will continue to vest in accordance with the vesting schedule.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3D3935"/>
              </w:rPr>
              <w:t>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60769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10375" cy="6076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77" w:lineRule="exact"/>
        <w:rPr>
          <w:sz w:val="20"/>
          <w:szCs w:val="20"/>
          <w:color w:val="auto"/>
        </w:rPr>
      </w:pPr>
    </w:p>
    <w:p>
      <w:pPr>
        <w:jc w:val="both"/>
        <w:ind w:right="199"/>
        <w:spacing w:after="0" w:line="295" w:lineRule="auto"/>
        <w:rPr>
          <w:sz w:val="20"/>
          <w:szCs w:val="20"/>
          <w:color w:val="auto"/>
        </w:rPr>
      </w:pPr>
      <w:r>
        <w:rPr>
          <w:rFonts w:ascii="Arial" w:cs="Arial" w:eastAsia="Arial" w:hAnsi="Arial"/>
          <w:sz w:val="16"/>
          <w:szCs w:val="16"/>
          <w:b w:val="1"/>
          <w:bCs w:val="1"/>
          <w:color w:val="0072CE"/>
        </w:rPr>
        <w:t xml:space="preserve">Death </w:t>
      </w:r>
      <w:r>
        <w:rPr>
          <w:rFonts w:ascii="Arial" w:cs="Arial" w:eastAsia="Arial" w:hAnsi="Arial"/>
          <w:sz w:val="16"/>
          <w:szCs w:val="16"/>
          <w:color w:val="3D3935"/>
        </w:rPr>
        <w:t>— Following the death of an executive, the beneficiary of the executive is eligible to receive the full-year STIP award</w:t>
      </w:r>
      <w:r>
        <w:rPr>
          <w:rFonts w:ascii="Arial" w:cs="Arial" w:eastAsia="Arial" w:hAnsi="Arial"/>
          <w:sz w:val="16"/>
          <w:szCs w:val="16"/>
          <w:b w:val="1"/>
          <w:bCs w:val="1"/>
          <w:color w:val="0072CE"/>
        </w:rPr>
        <w:t xml:space="preserve"> </w:t>
      </w:r>
      <w:r>
        <w:rPr>
          <w:rFonts w:ascii="Arial" w:cs="Arial" w:eastAsia="Arial" w:hAnsi="Arial"/>
          <w:sz w:val="16"/>
          <w:szCs w:val="16"/>
          <w:color w:val="3D3935"/>
        </w:rPr>
        <w:t>subject to adjustment for final Company performance. RSUs immediately vest in full and are settled within 90 days of death. PSUs will remain outstanding until the end of the performance period, at which time they will be adjusted for final Company performance and be settled following approval of such performance. Stock options immediately vest upon death.</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0072CE"/>
        </w:rPr>
        <w:t xml:space="preserve">Change in Control (Double Trigger) </w:t>
      </w:r>
      <w:r>
        <w:rPr>
          <w:rFonts w:ascii="Arial" w:cs="Arial" w:eastAsia="Arial" w:hAnsi="Arial"/>
          <w:sz w:val="16"/>
          <w:szCs w:val="16"/>
          <w:color w:val="3D3935"/>
        </w:rPr>
        <w:t>— In the event of a termination of employment resulting from a change in control, an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3D3935"/>
        </w:rPr>
        <w:t>executive will be eligible for severance under the Executive Severance Program that provides a severance payment based</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3D3935"/>
        </w:rPr>
        <w:t>on position and a multiple of salary and COBRA premiums. An executive will also receive a STIP award at target and the STIP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award for the prior year if such award has been determined but not paid. If the STIP award for the prior year has not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determined, the award shall be determined at target and paid. All RSU awards will generally vest and become payable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immediately prior to the change in control. For PSUs, the performance period will end immediately prior to the change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control and awards will be determined based on actual performance and converted to a time-based award. Stock options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immediately vest, are exercisable upon termination as a result of a change in control, and remain exercisable until the earlier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3D3935"/>
        </w:rPr>
        <w:t>of the expiration of its full specified term or the first anniversary date of such termination.</w:t>
      </w:r>
    </w:p>
    <w:p>
      <w:pPr>
        <w:sectPr>
          <w:pgSz w:w="11900" w:h="16838" w:orient="portrait"/>
          <w:cols w:equalWidth="0" w:num="1">
            <w:col w:w="9059"/>
          </w:cols>
          <w:pgMar w:left="1400" w:top="125" w:right="1440" w:bottom="1440" w:gutter="0" w:footer="0" w:header="0"/>
        </w:sectPr>
      </w:pPr>
    </w:p>
    <w:bookmarkStart w:id="72" w:name="page73"/>
    <w:bookmarkEnd w:id="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27793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10375" cy="277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76542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10375" cy="765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77" w:lineRule="exact"/>
        <w:rPr>
          <w:sz w:val="20"/>
          <w:szCs w:val="20"/>
          <w:color w:val="auto"/>
        </w:rPr>
      </w:pPr>
    </w:p>
    <w:p>
      <w:pPr>
        <w:ind w:right="1280"/>
        <w:spacing w:after="0" w:line="321" w:lineRule="auto"/>
        <w:rPr>
          <w:sz w:val="20"/>
          <w:szCs w:val="20"/>
          <w:color w:val="auto"/>
        </w:rPr>
      </w:pPr>
      <w:r>
        <w:rPr>
          <w:rFonts w:ascii="Arial" w:cs="Arial" w:eastAsia="Arial" w:hAnsi="Arial"/>
          <w:sz w:val="16"/>
          <w:szCs w:val="16"/>
          <w:color w:val="3D3935"/>
        </w:rPr>
        <w:t>Amounts shown below are calculated by assuming that the relevant employment termination event occurred on December 31, 2024.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420" w:type="dxa"/>
            <w:vAlign w:val="bottom"/>
            <w:shd w:val="clear" w:color="auto" w:fill="F0F3F5"/>
          </w:tcPr>
          <w:p>
            <w:pPr>
              <w:spacing w:after="0"/>
              <w:rPr>
                <w:sz w:val="19"/>
                <w:szCs w:val="19"/>
                <w:color w:val="auto"/>
              </w:rPr>
            </w:pPr>
          </w:p>
        </w:tc>
        <w:tc>
          <w:tcPr>
            <w:tcW w:w="1120" w:type="dxa"/>
            <w:vAlign w:val="bottom"/>
            <w:shd w:val="clear" w:color="auto" w:fill="F0F3F5"/>
          </w:tcPr>
          <w:p>
            <w:pPr>
              <w:spacing w:after="0"/>
              <w:rPr>
                <w:sz w:val="19"/>
                <w:szCs w:val="19"/>
                <w:color w:val="auto"/>
              </w:rPr>
            </w:pPr>
          </w:p>
        </w:tc>
        <w:tc>
          <w:tcPr>
            <w:tcW w:w="1100" w:type="dxa"/>
            <w:vAlign w:val="bottom"/>
            <w:shd w:val="clear" w:color="auto" w:fill="F0F3F5"/>
          </w:tcPr>
          <w:p>
            <w:pPr>
              <w:jc w:val="right"/>
              <w:ind w:right="41"/>
              <w:spacing w:after="0"/>
              <w:rPr>
                <w:sz w:val="20"/>
                <w:szCs w:val="20"/>
                <w:color w:val="auto"/>
              </w:rPr>
            </w:pPr>
            <w:r>
              <w:rPr>
                <w:rFonts w:ascii="Arial" w:cs="Arial" w:eastAsia="Arial" w:hAnsi="Arial"/>
                <w:sz w:val="14"/>
                <w:szCs w:val="14"/>
                <w:b w:val="1"/>
                <w:bCs w:val="1"/>
                <w:color w:val="3D3935"/>
              </w:rPr>
              <w:t>Voluntary</w:t>
            </w:r>
          </w:p>
        </w:tc>
        <w:tc>
          <w:tcPr>
            <w:tcW w:w="1100" w:type="dxa"/>
            <w:vAlign w:val="bottom"/>
            <w:shd w:val="clear" w:color="auto" w:fill="F0F3F5"/>
          </w:tcPr>
          <w:p>
            <w:pPr>
              <w:spacing w:after="0"/>
              <w:rPr>
                <w:sz w:val="19"/>
                <w:szCs w:val="19"/>
                <w:color w:val="auto"/>
              </w:rPr>
            </w:pPr>
          </w:p>
        </w:tc>
        <w:tc>
          <w:tcPr>
            <w:tcW w:w="1120" w:type="dxa"/>
            <w:vAlign w:val="bottom"/>
            <w:shd w:val="clear" w:color="auto" w:fill="F0F3F5"/>
          </w:tcPr>
          <w:p>
            <w:pPr>
              <w:spacing w:after="0"/>
              <w:rPr>
                <w:sz w:val="19"/>
                <w:szCs w:val="19"/>
                <w:color w:val="auto"/>
              </w:rPr>
            </w:pPr>
          </w:p>
        </w:tc>
        <w:tc>
          <w:tcPr>
            <w:tcW w:w="1080" w:type="dxa"/>
            <w:vAlign w:val="bottom"/>
            <w:shd w:val="clear" w:color="auto" w:fill="F0F3F5"/>
          </w:tcPr>
          <w:p>
            <w:pPr>
              <w:spacing w:after="0"/>
              <w:rPr>
                <w:sz w:val="19"/>
                <w:szCs w:val="19"/>
                <w:color w:val="auto"/>
              </w:rPr>
            </w:pPr>
          </w:p>
        </w:tc>
        <w:tc>
          <w:tcPr>
            <w:tcW w:w="1100" w:type="dxa"/>
            <w:vAlign w:val="bottom"/>
            <w:shd w:val="clear" w:color="auto" w:fill="F0F3F5"/>
          </w:tcPr>
          <w:p>
            <w:pPr>
              <w:spacing w:after="0"/>
              <w:rPr>
                <w:sz w:val="19"/>
                <w:szCs w:val="19"/>
                <w:color w:val="auto"/>
              </w:rPr>
            </w:pPr>
          </w:p>
        </w:tc>
        <w:tc>
          <w:tcPr>
            <w:tcW w:w="1040" w:type="dxa"/>
            <w:vAlign w:val="bottom"/>
            <w:shd w:val="clear" w:color="auto" w:fill="F0F3F5"/>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420" w:type="dxa"/>
            <w:vAlign w:val="bottom"/>
            <w:shd w:val="clear" w:color="auto" w:fill="F0F3F5"/>
          </w:tcPr>
          <w:p>
            <w:pPr>
              <w:spacing w:after="0"/>
              <w:rPr>
                <w:sz w:val="15"/>
                <w:szCs w:val="15"/>
                <w:color w:val="auto"/>
              </w:rPr>
            </w:pPr>
          </w:p>
        </w:tc>
        <w:tc>
          <w:tcPr>
            <w:tcW w:w="1120" w:type="dxa"/>
            <w:vAlign w:val="bottom"/>
            <w:shd w:val="clear" w:color="auto" w:fill="F0F3F5"/>
          </w:tcPr>
          <w:p>
            <w:pPr>
              <w:spacing w:after="0"/>
              <w:rPr>
                <w:sz w:val="15"/>
                <w:szCs w:val="15"/>
                <w:color w:val="auto"/>
              </w:rPr>
            </w:pPr>
          </w:p>
        </w:tc>
        <w:tc>
          <w:tcPr>
            <w:tcW w:w="1100" w:type="dxa"/>
            <w:vAlign w:val="bottom"/>
            <w:shd w:val="clear" w:color="auto" w:fill="F0F3F5"/>
          </w:tcPr>
          <w:p>
            <w:pPr>
              <w:ind w:left="80"/>
              <w:spacing w:after="0"/>
              <w:rPr>
                <w:sz w:val="20"/>
                <w:szCs w:val="20"/>
                <w:color w:val="auto"/>
              </w:rPr>
            </w:pPr>
            <w:r>
              <w:rPr>
                <w:rFonts w:ascii="Arial" w:cs="Arial" w:eastAsia="Arial" w:hAnsi="Arial"/>
                <w:sz w:val="14"/>
                <w:szCs w:val="14"/>
                <w:b w:val="1"/>
                <w:bCs w:val="1"/>
                <w:color w:val="3D3935"/>
              </w:rPr>
              <w:t>Separation or</w:t>
            </w:r>
          </w:p>
        </w:tc>
        <w:tc>
          <w:tcPr>
            <w:tcW w:w="1100" w:type="dxa"/>
            <w:vAlign w:val="bottom"/>
            <w:shd w:val="clear" w:color="auto" w:fill="F0F3F5"/>
          </w:tcPr>
          <w:p>
            <w:pPr>
              <w:jc w:val="right"/>
              <w:ind w:right="60"/>
              <w:spacing w:after="0"/>
              <w:rPr>
                <w:sz w:val="20"/>
                <w:szCs w:val="20"/>
                <w:color w:val="auto"/>
              </w:rPr>
            </w:pPr>
            <w:r>
              <w:rPr>
                <w:rFonts w:ascii="Arial" w:cs="Arial" w:eastAsia="Arial" w:hAnsi="Arial"/>
                <w:sz w:val="14"/>
                <w:szCs w:val="14"/>
                <w:b w:val="1"/>
                <w:bCs w:val="1"/>
                <w:color w:val="3D3935"/>
              </w:rPr>
              <w:t>Executive</w:t>
            </w:r>
          </w:p>
        </w:tc>
        <w:tc>
          <w:tcPr>
            <w:tcW w:w="1120" w:type="dxa"/>
            <w:vAlign w:val="bottom"/>
            <w:shd w:val="clear" w:color="auto" w:fill="F0F3F5"/>
          </w:tcPr>
          <w:p>
            <w:pPr>
              <w:spacing w:after="0"/>
              <w:rPr>
                <w:sz w:val="15"/>
                <w:szCs w:val="15"/>
                <w:color w:val="auto"/>
              </w:rPr>
            </w:pPr>
          </w:p>
        </w:tc>
        <w:tc>
          <w:tcPr>
            <w:tcW w:w="1080" w:type="dxa"/>
            <w:vAlign w:val="bottom"/>
            <w:shd w:val="clear" w:color="auto" w:fill="F0F3F5"/>
          </w:tcPr>
          <w:p>
            <w:pPr>
              <w:spacing w:after="0"/>
              <w:rPr>
                <w:sz w:val="15"/>
                <w:szCs w:val="15"/>
                <w:color w:val="auto"/>
              </w:rPr>
            </w:pPr>
          </w:p>
        </w:tc>
        <w:tc>
          <w:tcPr>
            <w:tcW w:w="1100" w:type="dxa"/>
            <w:vAlign w:val="bottom"/>
            <w:shd w:val="clear" w:color="auto" w:fill="F0F3F5"/>
          </w:tcPr>
          <w:p>
            <w:pPr>
              <w:spacing w:after="0"/>
              <w:rPr>
                <w:sz w:val="15"/>
                <w:szCs w:val="15"/>
                <w:color w:val="auto"/>
              </w:rPr>
            </w:pPr>
          </w:p>
        </w:tc>
        <w:tc>
          <w:tcPr>
            <w:tcW w:w="1040" w:type="dxa"/>
            <w:vAlign w:val="bottom"/>
            <w:shd w:val="clear" w:color="auto" w:fill="F0F3F5"/>
          </w:tcPr>
          <w:p>
            <w:pPr>
              <w:jc w:val="right"/>
              <w:spacing w:after="0"/>
              <w:rPr>
                <w:sz w:val="20"/>
                <w:szCs w:val="20"/>
                <w:color w:val="auto"/>
              </w:rPr>
            </w:pPr>
            <w:r>
              <w:rPr>
                <w:rFonts w:ascii="Arial" w:cs="Arial" w:eastAsia="Arial" w:hAnsi="Arial"/>
                <w:sz w:val="14"/>
                <w:szCs w:val="14"/>
                <w:b w:val="1"/>
                <w:bCs w:val="1"/>
                <w:color w:val="3D3935"/>
              </w:rPr>
              <w:t>Change in</w:t>
            </w:r>
          </w:p>
        </w:tc>
        <w:tc>
          <w:tcPr>
            <w:tcW w:w="0" w:type="dxa"/>
            <w:vAlign w:val="bottom"/>
          </w:tcPr>
          <w:p>
            <w:pPr>
              <w:spacing w:after="0"/>
              <w:rPr>
                <w:sz w:val="1"/>
                <w:szCs w:val="1"/>
                <w:color w:val="auto"/>
              </w:rPr>
            </w:pPr>
          </w:p>
        </w:tc>
      </w:tr>
      <w:tr>
        <w:trPr>
          <w:trHeight w:val="162"/>
        </w:trPr>
        <w:tc>
          <w:tcPr>
            <w:tcW w:w="1420" w:type="dxa"/>
            <w:vAlign w:val="bottom"/>
            <w:shd w:val="clear" w:color="auto" w:fill="F0F3F5"/>
          </w:tcPr>
          <w:p>
            <w:pPr>
              <w:spacing w:after="0"/>
              <w:rPr>
                <w:sz w:val="14"/>
                <w:szCs w:val="14"/>
                <w:color w:val="auto"/>
              </w:rPr>
            </w:pPr>
          </w:p>
        </w:tc>
        <w:tc>
          <w:tcPr>
            <w:tcW w:w="1120" w:type="dxa"/>
            <w:vAlign w:val="bottom"/>
            <w:shd w:val="clear" w:color="auto" w:fill="F0F3F5"/>
          </w:tcPr>
          <w:p>
            <w:pPr>
              <w:spacing w:after="0"/>
              <w:rPr>
                <w:sz w:val="14"/>
                <w:szCs w:val="14"/>
                <w:color w:val="auto"/>
              </w:rPr>
            </w:pPr>
          </w:p>
        </w:tc>
        <w:tc>
          <w:tcPr>
            <w:tcW w:w="1100" w:type="dxa"/>
            <w:vAlign w:val="bottom"/>
            <w:shd w:val="clear" w:color="auto" w:fill="F0F3F5"/>
          </w:tcPr>
          <w:p>
            <w:pPr>
              <w:jc w:val="right"/>
              <w:ind w:right="41"/>
              <w:spacing w:after="0"/>
              <w:rPr>
                <w:sz w:val="20"/>
                <w:szCs w:val="20"/>
                <w:color w:val="auto"/>
              </w:rPr>
            </w:pPr>
            <w:r>
              <w:rPr>
                <w:rFonts w:ascii="Arial" w:cs="Arial" w:eastAsia="Arial" w:hAnsi="Arial"/>
                <w:sz w:val="14"/>
                <w:szCs w:val="14"/>
                <w:b w:val="1"/>
                <w:bCs w:val="1"/>
                <w:color w:val="3D3935"/>
              </w:rPr>
              <w:t>Termination</w:t>
            </w:r>
          </w:p>
        </w:tc>
        <w:tc>
          <w:tcPr>
            <w:tcW w:w="1100" w:type="dxa"/>
            <w:vAlign w:val="bottom"/>
            <w:shd w:val="clear" w:color="auto" w:fill="F0F3F5"/>
          </w:tcPr>
          <w:p>
            <w:pPr>
              <w:jc w:val="right"/>
              <w:ind w:right="60"/>
              <w:spacing w:after="0"/>
              <w:rPr>
                <w:sz w:val="20"/>
                <w:szCs w:val="20"/>
                <w:color w:val="auto"/>
              </w:rPr>
            </w:pPr>
            <w:r>
              <w:rPr>
                <w:rFonts w:ascii="Arial" w:cs="Arial" w:eastAsia="Arial" w:hAnsi="Arial"/>
                <w:sz w:val="14"/>
                <w:szCs w:val="14"/>
                <w:b w:val="1"/>
                <w:bCs w:val="1"/>
                <w:color w:val="3D3935"/>
              </w:rPr>
              <w:t>Severance</w:t>
            </w:r>
          </w:p>
        </w:tc>
        <w:tc>
          <w:tcPr>
            <w:tcW w:w="1120" w:type="dxa"/>
            <w:vAlign w:val="bottom"/>
            <w:vMerge w:val="restart"/>
            <w:shd w:val="clear" w:color="auto" w:fill="F0F3F5"/>
          </w:tcPr>
          <w:p>
            <w:pPr>
              <w:jc w:val="center"/>
              <w:spacing w:after="0"/>
              <w:rPr>
                <w:sz w:val="20"/>
                <w:szCs w:val="20"/>
                <w:color w:val="auto"/>
              </w:rPr>
            </w:pPr>
            <w:r>
              <w:rPr>
                <w:rFonts w:ascii="Arial" w:cs="Arial" w:eastAsia="Arial" w:hAnsi="Arial"/>
                <w:sz w:val="14"/>
                <w:szCs w:val="14"/>
                <w:b w:val="1"/>
                <w:bCs w:val="1"/>
                <w:color w:val="3D3935"/>
                <w:w w:val="95"/>
              </w:rPr>
              <w:t xml:space="preserve">Retirement </w:t>
            </w:r>
            <w:r>
              <w:rPr>
                <w:rFonts w:ascii="Arial" w:cs="Arial" w:eastAsia="Arial" w:hAnsi="Arial"/>
                <w:sz w:val="18"/>
                <w:szCs w:val="18"/>
                <w:b w:val="1"/>
                <w:bCs w:val="1"/>
                <w:color w:val="3D3935"/>
                <w:w w:val="95"/>
                <w:vertAlign w:val="superscript"/>
              </w:rPr>
              <w:t>(4)</w:t>
            </w:r>
          </w:p>
        </w:tc>
        <w:tc>
          <w:tcPr>
            <w:tcW w:w="1080" w:type="dxa"/>
            <w:vAlign w:val="bottom"/>
            <w:shd w:val="clear" w:color="auto" w:fill="F0F3F5"/>
          </w:tcPr>
          <w:p>
            <w:pPr>
              <w:spacing w:after="0"/>
              <w:rPr>
                <w:sz w:val="14"/>
                <w:szCs w:val="14"/>
                <w:color w:val="auto"/>
              </w:rPr>
            </w:pPr>
          </w:p>
        </w:tc>
        <w:tc>
          <w:tcPr>
            <w:tcW w:w="1100" w:type="dxa"/>
            <w:vAlign w:val="bottom"/>
            <w:shd w:val="clear" w:color="auto" w:fill="F0F3F5"/>
          </w:tcPr>
          <w:p>
            <w:pPr>
              <w:spacing w:after="0"/>
              <w:rPr>
                <w:sz w:val="14"/>
                <w:szCs w:val="14"/>
                <w:color w:val="auto"/>
              </w:rPr>
            </w:pPr>
          </w:p>
        </w:tc>
        <w:tc>
          <w:tcPr>
            <w:tcW w:w="1040" w:type="dxa"/>
            <w:vAlign w:val="bottom"/>
            <w:shd w:val="clear" w:color="auto" w:fill="F0F3F5"/>
          </w:tcPr>
          <w:p>
            <w:pPr>
              <w:ind w:left="160"/>
              <w:spacing w:after="0"/>
              <w:rPr>
                <w:sz w:val="20"/>
                <w:szCs w:val="20"/>
                <w:color w:val="auto"/>
              </w:rPr>
            </w:pPr>
            <w:r>
              <w:rPr>
                <w:rFonts w:ascii="Arial" w:cs="Arial" w:eastAsia="Arial" w:hAnsi="Arial"/>
                <w:sz w:val="14"/>
                <w:szCs w:val="14"/>
                <w:b w:val="1"/>
                <w:bCs w:val="1"/>
                <w:color w:val="3D3935"/>
              </w:rPr>
              <w:t>Control with</w:t>
            </w:r>
          </w:p>
        </w:tc>
        <w:tc>
          <w:tcPr>
            <w:tcW w:w="0" w:type="dxa"/>
            <w:vAlign w:val="bottom"/>
          </w:tcPr>
          <w:p>
            <w:pPr>
              <w:spacing w:after="0"/>
              <w:rPr>
                <w:sz w:val="1"/>
                <w:szCs w:val="1"/>
                <w:color w:val="auto"/>
              </w:rPr>
            </w:pPr>
          </w:p>
        </w:tc>
      </w:tr>
      <w:tr>
        <w:trPr>
          <w:trHeight w:val="160"/>
        </w:trPr>
        <w:tc>
          <w:tcPr>
            <w:tcW w:w="1420" w:type="dxa"/>
            <w:vAlign w:val="bottom"/>
            <w:shd w:val="clear" w:color="auto" w:fill="F0F3F5"/>
          </w:tcPr>
          <w:p>
            <w:pPr>
              <w:spacing w:after="0"/>
              <w:rPr>
                <w:sz w:val="13"/>
                <w:szCs w:val="13"/>
                <w:color w:val="auto"/>
              </w:rPr>
            </w:pPr>
          </w:p>
        </w:tc>
        <w:tc>
          <w:tcPr>
            <w:tcW w:w="1120" w:type="dxa"/>
            <w:vAlign w:val="bottom"/>
            <w:shd w:val="clear" w:color="auto" w:fill="F0F3F5"/>
          </w:tcPr>
          <w:p>
            <w:pPr>
              <w:ind w:left="60"/>
              <w:spacing w:after="0" w:line="159" w:lineRule="exact"/>
              <w:rPr>
                <w:sz w:val="20"/>
                <w:szCs w:val="20"/>
                <w:color w:val="auto"/>
              </w:rPr>
            </w:pPr>
            <w:r>
              <w:rPr>
                <w:rFonts w:ascii="Arial" w:cs="Arial" w:eastAsia="Arial" w:hAnsi="Arial"/>
                <w:sz w:val="14"/>
                <w:szCs w:val="14"/>
                <w:b w:val="1"/>
                <w:bCs w:val="1"/>
                <w:color w:val="3D3935"/>
              </w:rPr>
              <w:t>Compensation</w:t>
            </w:r>
          </w:p>
        </w:tc>
        <w:tc>
          <w:tcPr>
            <w:tcW w:w="1100" w:type="dxa"/>
            <w:vAlign w:val="bottom"/>
            <w:shd w:val="clear" w:color="auto" w:fill="F0F3F5"/>
          </w:tcPr>
          <w:p>
            <w:pPr>
              <w:ind w:left="360"/>
              <w:spacing w:after="0" w:line="159" w:lineRule="exact"/>
              <w:rPr>
                <w:sz w:val="20"/>
                <w:szCs w:val="20"/>
                <w:color w:val="auto"/>
              </w:rPr>
            </w:pPr>
            <w:r>
              <w:rPr>
                <w:rFonts w:ascii="Arial" w:cs="Arial" w:eastAsia="Arial" w:hAnsi="Arial"/>
                <w:sz w:val="14"/>
                <w:szCs w:val="14"/>
                <w:b w:val="1"/>
                <w:bCs w:val="1"/>
                <w:color w:val="3D3935"/>
              </w:rPr>
              <w:t>for Cause</w:t>
            </w:r>
          </w:p>
        </w:tc>
        <w:tc>
          <w:tcPr>
            <w:tcW w:w="1100" w:type="dxa"/>
            <w:vAlign w:val="bottom"/>
            <w:shd w:val="clear" w:color="auto" w:fill="F0F3F5"/>
          </w:tcPr>
          <w:p>
            <w:pPr>
              <w:jc w:val="right"/>
              <w:ind w:right="60"/>
              <w:spacing w:after="0" w:line="159" w:lineRule="exact"/>
              <w:rPr>
                <w:sz w:val="20"/>
                <w:szCs w:val="20"/>
                <w:color w:val="auto"/>
              </w:rPr>
            </w:pPr>
            <w:r>
              <w:rPr>
                <w:rFonts w:ascii="Arial" w:cs="Arial" w:eastAsia="Arial" w:hAnsi="Arial"/>
                <w:sz w:val="14"/>
                <w:szCs w:val="14"/>
                <w:b w:val="1"/>
                <w:bCs w:val="1"/>
                <w:color w:val="3D3935"/>
              </w:rPr>
              <w:t>Program</w:t>
            </w:r>
          </w:p>
        </w:tc>
        <w:tc>
          <w:tcPr>
            <w:tcW w:w="1120" w:type="dxa"/>
            <w:vAlign w:val="bottom"/>
            <w:vMerge w:val="continue"/>
            <w:shd w:val="clear" w:color="auto" w:fill="F0F3F5"/>
          </w:tcPr>
          <w:p>
            <w:pPr>
              <w:spacing w:after="0"/>
              <w:rPr>
                <w:sz w:val="13"/>
                <w:szCs w:val="13"/>
                <w:color w:val="auto"/>
              </w:rPr>
            </w:pPr>
          </w:p>
        </w:tc>
        <w:tc>
          <w:tcPr>
            <w:tcW w:w="1080" w:type="dxa"/>
            <w:vAlign w:val="bottom"/>
            <w:shd w:val="clear" w:color="auto" w:fill="F0F3F5"/>
          </w:tcPr>
          <w:p>
            <w:pPr>
              <w:jc w:val="right"/>
              <w:ind w:right="40"/>
              <w:spacing w:after="0" w:line="159" w:lineRule="exact"/>
              <w:rPr>
                <w:sz w:val="20"/>
                <w:szCs w:val="20"/>
                <w:color w:val="auto"/>
              </w:rPr>
            </w:pPr>
            <w:r>
              <w:rPr>
                <w:rFonts w:ascii="Arial" w:cs="Arial" w:eastAsia="Arial" w:hAnsi="Arial"/>
                <w:sz w:val="14"/>
                <w:szCs w:val="14"/>
                <w:b w:val="1"/>
                <w:bCs w:val="1"/>
                <w:color w:val="3D3935"/>
              </w:rPr>
              <w:t>Disability</w:t>
            </w:r>
          </w:p>
        </w:tc>
        <w:tc>
          <w:tcPr>
            <w:tcW w:w="1100" w:type="dxa"/>
            <w:vAlign w:val="bottom"/>
            <w:shd w:val="clear" w:color="auto" w:fill="F0F3F5"/>
          </w:tcPr>
          <w:p>
            <w:pPr>
              <w:jc w:val="right"/>
              <w:ind w:right="20"/>
              <w:spacing w:after="0" w:line="159" w:lineRule="exact"/>
              <w:rPr>
                <w:sz w:val="20"/>
                <w:szCs w:val="20"/>
                <w:color w:val="auto"/>
              </w:rPr>
            </w:pPr>
            <w:r>
              <w:rPr>
                <w:rFonts w:ascii="Arial" w:cs="Arial" w:eastAsia="Arial" w:hAnsi="Arial"/>
                <w:sz w:val="14"/>
                <w:szCs w:val="14"/>
                <w:b w:val="1"/>
                <w:bCs w:val="1"/>
                <w:color w:val="3D3935"/>
              </w:rPr>
              <w:t>Death</w:t>
            </w:r>
          </w:p>
        </w:tc>
        <w:tc>
          <w:tcPr>
            <w:tcW w:w="1040" w:type="dxa"/>
            <w:vAlign w:val="bottom"/>
            <w:shd w:val="clear" w:color="auto" w:fill="F0F3F5"/>
          </w:tcPr>
          <w:p>
            <w:pPr>
              <w:ind w:left="160"/>
              <w:spacing w:after="0" w:line="159" w:lineRule="exact"/>
              <w:rPr>
                <w:sz w:val="20"/>
                <w:szCs w:val="20"/>
                <w:color w:val="auto"/>
              </w:rPr>
            </w:pPr>
            <w:r>
              <w:rPr>
                <w:rFonts w:ascii="Arial" w:cs="Arial" w:eastAsia="Arial" w:hAnsi="Arial"/>
                <w:sz w:val="14"/>
                <w:szCs w:val="14"/>
                <w:b w:val="1"/>
                <w:bCs w:val="1"/>
                <w:color w:val="3D3935"/>
              </w:rPr>
              <w:t>Termination</w:t>
            </w:r>
          </w:p>
        </w:tc>
        <w:tc>
          <w:tcPr>
            <w:tcW w:w="0" w:type="dxa"/>
            <w:vAlign w:val="bottom"/>
          </w:tcPr>
          <w:p>
            <w:pPr>
              <w:spacing w:after="0"/>
              <w:rPr>
                <w:sz w:val="1"/>
                <w:szCs w:val="1"/>
                <w:color w:val="auto"/>
              </w:rPr>
            </w:pPr>
          </w:p>
        </w:tc>
      </w:tr>
      <w:tr>
        <w:trPr>
          <w:trHeight w:val="214"/>
        </w:trPr>
        <w:tc>
          <w:tcPr>
            <w:tcW w:w="1420" w:type="dxa"/>
            <w:vAlign w:val="bottom"/>
            <w:tcBorders>
              <w:bottom w:val="single" w:sz="8" w:color="0072CE"/>
            </w:tcBorders>
            <w:shd w:val="clear" w:color="auto" w:fill="F0F3F5"/>
          </w:tcPr>
          <w:p>
            <w:pPr>
              <w:ind w:left="60"/>
              <w:spacing w:after="0"/>
              <w:rPr>
                <w:sz w:val="20"/>
                <w:szCs w:val="20"/>
                <w:color w:val="auto"/>
              </w:rPr>
            </w:pPr>
            <w:r>
              <w:rPr>
                <w:rFonts w:ascii="Arial" w:cs="Arial" w:eastAsia="Arial" w:hAnsi="Arial"/>
                <w:sz w:val="14"/>
                <w:szCs w:val="14"/>
                <w:b w:val="1"/>
                <w:bCs w:val="1"/>
                <w:color w:val="3D3935"/>
              </w:rPr>
              <w:t>Name</w:t>
            </w:r>
          </w:p>
        </w:tc>
        <w:tc>
          <w:tcPr>
            <w:tcW w:w="1120" w:type="dxa"/>
            <w:vAlign w:val="bottom"/>
            <w:tcBorders>
              <w:bottom w:val="single" w:sz="8" w:color="0072CE"/>
            </w:tcBorders>
            <w:shd w:val="clear" w:color="auto" w:fill="F0F3F5"/>
          </w:tcPr>
          <w:p>
            <w:pPr>
              <w:ind w:left="60"/>
              <w:spacing w:after="0" w:line="214" w:lineRule="exact"/>
              <w:rPr>
                <w:sz w:val="20"/>
                <w:szCs w:val="20"/>
                <w:color w:val="auto"/>
              </w:rPr>
            </w:pPr>
            <w:r>
              <w:rPr>
                <w:rFonts w:ascii="Arial" w:cs="Arial" w:eastAsia="Arial" w:hAnsi="Arial"/>
                <w:sz w:val="24"/>
                <w:szCs w:val="24"/>
                <w:b w:val="1"/>
                <w:bCs w:val="1"/>
                <w:color w:val="3D3935"/>
                <w:vertAlign w:val="subscript"/>
              </w:rPr>
              <w:t>Element</w:t>
            </w:r>
            <w:r>
              <w:rPr>
                <w:rFonts w:ascii="Arial" w:cs="Arial" w:eastAsia="Arial" w:hAnsi="Arial"/>
                <w:sz w:val="9"/>
                <w:szCs w:val="9"/>
                <w:b w:val="1"/>
                <w:bCs w:val="1"/>
                <w:color w:val="3D3935"/>
              </w:rPr>
              <w:t>(1)(2)(3)</w:t>
            </w:r>
          </w:p>
        </w:tc>
        <w:tc>
          <w:tcPr>
            <w:tcW w:w="1100" w:type="dxa"/>
            <w:vAlign w:val="bottom"/>
            <w:tcBorders>
              <w:bottom w:val="single" w:sz="8" w:color="0072CE"/>
            </w:tcBorders>
            <w:shd w:val="clear" w:color="auto" w:fill="F0F3F5"/>
          </w:tcPr>
          <w:p>
            <w:pPr>
              <w:jc w:val="right"/>
              <w:ind w:right="41"/>
              <w:spacing w:after="0"/>
              <w:rPr>
                <w:sz w:val="20"/>
                <w:szCs w:val="20"/>
                <w:color w:val="auto"/>
              </w:rPr>
            </w:pPr>
            <w:r>
              <w:rPr>
                <w:rFonts w:ascii="Arial" w:cs="Arial" w:eastAsia="Arial" w:hAnsi="Arial"/>
                <w:sz w:val="14"/>
                <w:szCs w:val="14"/>
                <w:b w:val="1"/>
                <w:bCs w:val="1"/>
                <w:color w:val="3D3935"/>
              </w:rPr>
              <w:t>($)</w:t>
            </w:r>
          </w:p>
        </w:tc>
        <w:tc>
          <w:tcPr>
            <w:tcW w:w="1100" w:type="dxa"/>
            <w:vAlign w:val="bottom"/>
            <w:tcBorders>
              <w:bottom w:val="single" w:sz="8" w:color="0072CE"/>
            </w:tcBorders>
            <w:shd w:val="clear" w:color="auto" w:fill="F0F3F5"/>
          </w:tcPr>
          <w:p>
            <w:pPr>
              <w:jc w:val="right"/>
              <w:ind w:right="80"/>
              <w:spacing w:after="0"/>
              <w:rPr>
                <w:sz w:val="20"/>
                <w:szCs w:val="20"/>
                <w:color w:val="auto"/>
              </w:rPr>
            </w:pPr>
            <w:r>
              <w:rPr>
                <w:rFonts w:ascii="Arial" w:cs="Arial" w:eastAsia="Arial" w:hAnsi="Arial"/>
                <w:sz w:val="14"/>
                <w:szCs w:val="14"/>
                <w:b w:val="1"/>
                <w:bCs w:val="1"/>
                <w:color w:val="3D3935"/>
              </w:rPr>
              <w:t>($)</w:t>
            </w:r>
          </w:p>
        </w:tc>
        <w:tc>
          <w:tcPr>
            <w:tcW w:w="1120" w:type="dxa"/>
            <w:vAlign w:val="bottom"/>
            <w:tcBorders>
              <w:bottom w:val="single" w:sz="8" w:color="0072CE"/>
            </w:tcBorders>
            <w:shd w:val="clear" w:color="auto" w:fill="F0F3F5"/>
          </w:tcPr>
          <w:p>
            <w:pPr>
              <w:jc w:val="right"/>
              <w:ind w:right="20"/>
              <w:spacing w:after="0"/>
              <w:rPr>
                <w:sz w:val="20"/>
                <w:szCs w:val="20"/>
                <w:color w:val="auto"/>
              </w:rPr>
            </w:pPr>
            <w:r>
              <w:rPr>
                <w:rFonts w:ascii="Arial" w:cs="Arial" w:eastAsia="Arial" w:hAnsi="Arial"/>
                <w:sz w:val="14"/>
                <w:szCs w:val="14"/>
                <w:b w:val="1"/>
                <w:bCs w:val="1"/>
                <w:color w:val="3D3935"/>
              </w:rPr>
              <w:t>($)</w:t>
            </w:r>
          </w:p>
        </w:tc>
        <w:tc>
          <w:tcPr>
            <w:tcW w:w="1080" w:type="dxa"/>
            <w:vAlign w:val="bottom"/>
            <w:tcBorders>
              <w:bottom w:val="single" w:sz="8" w:color="0072CE"/>
            </w:tcBorders>
            <w:shd w:val="clear" w:color="auto" w:fill="F0F3F5"/>
          </w:tcPr>
          <w:p>
            <w:pPr>
              <w:jc w:val="right"/>
              <w:ind w:right="60"/>
              <w:spacing w:after="0"/>
              <w:rPr>
                <w:sz w:val="20"/>
                <w:szCs w:val="20"/>
                <w:color w:val="auto"/>
              </w:rPr>
            </w:pPr>
            <w:r>
              <w:rPr>
                <w:rFonts w:ascii="Arial" w:cs="Arial" w:eastAsia="Arial" w:hAnsi="Arial"/>
                <w:sz w:val="14"/>
                <w:szCs w:val="14"/>
                <w:b w:val="1"/>
                <w:bCs w:val="1"/>
                <w:color w:val="3D3935"/>
              </w:rPr>
              <w:t>($)</w:t>
            </w:r>
          </w:p>
        </w:tc>
        <w:tc>
          <w:tcPr>
            <w:tcW w:w="1100" w:type="dxa"/>
            <w:vAlign w:val="bottom"/>
            <w:tcBorders>
              <w:bottom w:val="single" w:sz="8" w:color="0072CE"/>
            </w:tcBorders>
            <w:shd w:val="clear" w:color="auto" w:fill="F0F3F5"/>
          </w:tcPr>
          <w:p>
            <w:pPr>
              <w:jc w:val="right"/>
              <w:ind w:right="40"/>
              <w:spacing w:after="0"/>
              <w:rPr>
                <w:sz w:val="20"/>
                <w:szCs w:val="20"/>
                <w:color w:val="auto"/>
              </w:rPr>
            </w:pPr>
            <w:r>
              <w:rPr>
                <w:rFonts w:ascii="Arial" w:cs="Arial" w:eastAsia="Arial" w:hAnsi="Arial"/>
                <w:sz w:val="14"/>
                <w:szCs w:val="14"/>
                <w:b w:val="1"/>
                <w:bCs w:val="1"/>
                <w:color w:val="3D3935"/>
              </w:rPr>
              <w:t>($)</w:t>
            </w:r>
          </w:p>
        </w:tc>
        <w:tc>
          <w:tcPr>
            <w:tcW w:w="1040" w:type="dxa"/>
            <w:vAlign w:val="bottom"/>
            <w:tcBorders>
              <w:bottom w:val="single" w:sz="8" w:color="0072CE"/>
            </w:tcBorders>
            <w:shd w:val="clear" w:color="auto" w:fill="F0F3F5"/>
          </w:tcPr>
          <w:p>
            <w:pPr>
              <w:jc w:val="right"/>
              <w:spacing w:after="0"/>
              <w:rPr>
                <w:sz w:val="20"/>
                <w:szCs w:val="20"/>
                <w:color w:val="auto"/>
              </w:rPr>
            </w:pPr>
            <w:r>
              <w:rPr>
                <w:rFonts w:ascii="Arial" w:cs="Arial" w:eastAsia="Arial" w:hAnsi="Arial"/>
                <w:sz w:val="14"/>
                <w:szCs w:val="14"/>
                <w:b w:val="1"/>
                <w:bCs w:val="1"/>
                <w:color w:val="3D3935"/>
              </w:rPr>
              <w:t>($)</w:t>
            </w:r>
          </w:p>
        </w:tc>
        <w:tc>
          <w:tcPr>
            <w:tcW w:w="0" w:type="dxa"/>
            <w:vAlign w:val="bottom"/>
          </w:tcPr>
          <w:p>
            <w:pPr>
              <w:spacing w:after="0"/>
              <w:rPr>
                <w:sz w:val="1"/>
                <w:szCs w:val="1"/>
                <w:color w:val="auto"/>
              </w:rPr>
            </w:pPr>
          </w:p>
        </w:tc>
      </w:tr>
      <w:tr>
        <w:trPr>
          <w:trHeight w:val="246"/>
        </w:trPr>
        <w:tc>
          <w:tcPr>
            <w:tcW w:w="1420" w:type="dxa"/>
            <w:vAlign w:val="bottom"/>
          </w:tcPr>
          <w:p>
            <w:pPr>
              <w:ind w:left="60"/>
              <w:spacing w:after="0"/>
              <w:rPr>
                <w:sz w:val="20"/>
                <w:szCs w:val="20"/>
                <w:color w:val="auto"/>
              </w:rPr>
            </w:pPr>
            <w:r>
              <w:rPr>
                <w:rFonts w:ascii="Arial" w:cs="Arial" w:eastAsia="Arial" w:hAnsi="Arial"/>
                <w:sz w:val="16"/>
                <w:szCs w:val="16"/>
                <w:b w:val="1"/>
                <w:bCs w:val="1"/>
                <w:color w:val="0072CE"/>
              </w:rPr>
              <w:t>Mary T. Barra</w:t>
            </w:r>
          </w:p>
        </w:tc>
        <w:tc>
          <w:tcPr>
            <w:tcW w:w="112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Cash</w:t>
            </w:r>
          </w:p>
        </w:tc>
        <w:tc>
          <w:tcPr>
            <w:tcW w:w="1100" w:type="dxa"/>
            <w:vAlign w:val="bottom"/>
            <w:tcBorders>
              <w:bottom w:val="single" w:sz="8" w:color="D9D9D6"/>
            </w:tcBorders>
          </w:tcPr>
          <w:p>
            <w:pPr>
              <w:ind w:left="880"/>
              <w:spacing w:after="0"/>
              <w:rPr>
                <w:sz w:val="20"/>
                <w:szCs w:val="20"/>
                <w:color w:val="auto"/>
              </w:rPr>
            </w:pPr>
            <w:r>
              <w:rPr>
                <w:rFonts w:ascii="Arial" w:cs="Arial" w:eastAsia="Arial" w:hAnsi="Arial"/>
                <w:sz w:val="16"/>
                <w:szCs w:val="16"/>
                <w:color w:val="3D3935"/>
              </w:rPr>
              <w:t>—</w:t>
            </w:r>
          </w:p>
        </w:tc>
        <w:tc>
          <w:tcPr>
            <w:tcW w:w="1100" w:type="dxa"/>
            <w:vAlign w:val="bottom"/>
            <w:tcBorders>
              <w:bottom w:val="single" w:sz="8" w:color="D9D9D6"/>
            </w:tcBorders>
          </w:tcPr>
          <w:p>
            <w:pPr>
              <w:jc w:val="right"/>
              <w:ind w:right="140"/>
              <w:spacing w:after="0"/>
              <w:rPr>
                <w:sz w:val="20"/>
                <w:szCs w:val="20"/>
                <w:color w:val="auto"/>
              </w:rPr>
            </w:pPr>
            <w:r>
              <w:rPr>
                <w:rFonts w:ascii="Arial" w:cs="Arial" w:eastAsia="Arial" w:hAnsi="Arial"/>
                <w:sz w:val="16"/>
                <w:szCs w:val="16"/>
                <w:color w:val="3D3935"/>
              </w:rPr>
              <w:t>4,255,074</w:t>
            </w:r>
          </w:p>
        </w:tc>
        <w:tc>
          <w:tcPr>
            <w:tcW w:w="1120" w:type="dxa"/>
            <w:vAlign w:val="bottom"/>
            <w:tcBorders>
              <w:bottom w:val="single" w:sz="8" w:color="D9D9D6"/>
            </w:tcBorders>
          </w:tcPr>
          <w:p>
            <w:pPr>
              <w:ind w:left="920"/>
              <w:spacing w:after="0"/>
              <w:rPr>
                <w:sz w:val="20"/>
                <w:szCs w:val="20"/>
                <w:color w:val="auto"/>
              </w:rPr>
            </w:pPr>
            <w:r>
              <w:rPr>
                <w:rFonts w:ascii="Arial" w:cs="Arial" w:eastAsia="Arial" w:hAnsi="Arial"/>
                <w:sz w:val="16"/>
                <w:szCs w:val="16"/>
                <w:color w:val="3D3935"/>
              </w:rPr>
              <w:t>—</w:t>
            </w:r>
          </w:p>
        </w:tc>
        <w:tc>
          <w:tcPr>
            <w:tcW w:w="108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110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1040" w:type="dxa"/>
            <w:vAlign w:val="bottom"/>
            <w:tcBorders>
              <w:bottom w:val="single" w:sz="8" w:color="D9D9D6"/>
            </w:tcBorders>
          </w:tcPr>
          <w:p>
            <w:pPr>
              <w:jc w:val="right"/>
              <w:ind w:right="60"/>
              <w:spacing w:after="0"/>
              <w:rPr>
                <w:sz w:val="20"/>
                <w:szCs w:val="20"/>
                <w:color w:val="auto"/>
              </w:rPr>
            </w:pPr>
            <w:r>
              <w:rPr>
                <w:rFonts w:ascii="Arial" w:cs="Arial" w:eastAsia="Arial" w:hAnsi="Arial"/>
                <w:sz w:val="16"/>
                <w:szCs w:val="16"/>
                <w:color w:val="3D3935"/>
              </w:rPr>
              <w:t>4,240,074</w:t>
            </w:r>
          </w:p>
        </w:tc>
        <w:tc>
          <w:tcPr>
            <w:tcW w:w="0" w:type="dxa"/>
            <w:vAlign w:val="bottom"/>
          </w:tcPr>
          <w:p>
            <w:pPr>
              <w:spacing w:after="0"/>
              <w:rPr>
                <w:sz w:val="1"/>
                <w:szCs w:val="1"/>
                <w:color w:val="auto"/>
              </w:rPr>
            </w:pPr>
          </w:p>
        </w:tc>
      </w:tr>
      <w:tr>
        <w:trPr>
          <w:trHeight w:val="247"/>
        </w:trPr>
        <w:tc>
          <w:tcPr>
            <w:tcW w:w="1420" w:type="dxa"/>
            <w:vAlign w:val="bottom"/>
          </w:tcPr>
          <w:p>
            <w:pPr>
              <w:spacing w:after="0"/>
              <w:rPr>
                <w:sz w:val="21"/>
                <w:szCs w:val="21"/>
                <w:color w:val="auto"/>
              </w:rPr>
            </w:pPr>
          </w:p>
        </w:tc>
        <w:tc>
          <w:tcPr>
            <w:tcW w:w="112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STIP</w:t>
            </w:r>
          </w:p>
        </w:tc>
        <w:tc>
          <w:tcPr>
            <w:tcW w:w="1100" w:type="dxa"/>
            <w:vAlign w:val="bottom"/>
            <w:tcBorders>
              <w:bottom w:val="single" w:sz="8" w:color="D9D9D6"/>
            </w:tcBorders>
          </w:tcPr>
          <w:p>
            <w:pPr>
              <w:ind w:left="880"/>
              <w:spacing w:after="0"/>
              <w:rPr>
                <w:sz w:val="20"/>
                <w:szCs w:val="20"/>
                <w:color w:val="auto"/>
              </w:rPr>
            </w:pPr>
            <w:r>
              <w:rPr>
                <w:rFonts w:ascii="Arial" w:cs="Arial" w:eastAsia="Arial" w:hAnsi="Arial"/>
                <w:sz w:val="16"/>
                <w:szCs w:val="16"/>
                <w:color w:val="3D3935"/>
              </w:rPr>
              <w:t>—</w:t>
            </w:r>
          </w:p>
        </w:tc>
        <w:tc>
          <w:tcPr>
            <w:tcW w:w="1100" w:type="dxa"/>
            <w:vAlign w:val="bottom"/>
            <w:tcBorders>
              <w:bottom w:val="single" w:sz="8" w:color="D9D9D6"/>
            </w:tcBorders>
          </w:tcPr>
          <w:p>
            <w:pPr>
              <w:jc w:val="right"/>
              <w:ind w:right="160"/>
              <w:spacing w:after="0"/>
              <w:rPr>
                <w:sz w:val="20"/>
                <w:szCs w:val="20"/>
                <w:color w:val="auto"/>
              </w:rPr>
            </w:pPr>
            <w:r>
              <w:rPr>
                <w:rFonts w:ascii="Arial" w:cs="Arial" w:eastAsia="Arial" w:hAnsi="Arial"/>
                <w:sz w:val="16"/>
                <w:szCs w:val="16"/>
                <w:color w:val="3D3935"/>
              </w:rPr>
              <w:t>4,200,000</w:t>
            </w:r>
          </w:p>
        </w:tc>
        <w:tc>
          <w:tcPr>
            <w:tcW w:w="1120" w:type="dxa"/>
            <w:vAlign w:val="bottom"/>
            <w:tcBorders>
              <w:bottom w:val="single" w:sz="8" w:color="D9D9D6"/>
            </w:tcBorders>
          </w:tcPr>
          <w:p>
            <w:pPr>
              <w:jc w:val="right"/>
              <w:ind w:right="40"/>
              <w:spacing w:after="0"/>
              <w:rPr>
                <w:sz w:val="20"/>
                <w:szCs w:val="20"/>
                <w:color w:val="auto"/>
              </w:rPr>
            </w:pPr>
            <w:r>
              <w:rPr>
                <w:rFonts w:ascii="Arial" w:cs="Arial" w:eastAsia="Arial" w:hAnsi="Arial"/>
                <w:sz w:val="16"/>
                <w:szCs w:val="16"/>
                <w:color w:val="3D3935"/>
              </w:rPr>
              <w:t>6,174,000</w:t>
            </w:r>
          </w:p>
        </w:tc>
        <w:tc>
          <w:tcPr>
            <w:tcW w:w="1080" w:type="dxa"/>
            <w:vAlign w:val="bottom"/>
            <w:tcBorders>
              <w:bottom w:val="single" w:sz="8" w:color="D9D9D6"/>
            </w:tcBorders>
          </w:tcPr>
          <w:p>
            <w:pPr>
              <w:jc w:val="right"/>
              <w:ind w:right="80"/>
              <w:spacing w:after="0"/>
              <w:rPr>
                <w:sz w:val="20"/>
                <w:szCs w:val="20"/>
                <w:color w:val="auto"/>
              </w:rPr>
            </w:pPr>
            <w:r>
              <w:rPr>
                <w:rFonts w:ascii="Arial" w:cs="Arial" w:eastAsia="Arial" w:hAnsi="Arial"/>
                <w:sz w:val="16"/>
                <w:szCs w:val="16"/>
                <w:color w:val="3D3935"/>
              </w:rPr>
              <w:t>6,174,000</w:t>
            </w:r>
          </w:p>
        </w:tc>
        <w:tc>
          <w:tcPr>
            <w:tcW w:w="1100" w:type="dxa"/>
            <w:vAlign w:val="bottom"/>
            <w:tcBorders>
              <w:bottom w:val="single" w:sz="8" w:color="D9D9D6"/>
            </w:tcBorders>
          </w:tcPr>
          <w:p>
            <w:pPr>
              <w:jc w:val="right"/>
              <w:ind w:right="60"/>
              <w:spacing w:after="0"/>
              <w:rPr>
                <w:sz w:val="20"/>
                <w:szCs w:val="20"/>
                <w:color w:val="auto"/>
              </w:rPr>
            </w:pPr>
            <w:r>
              <w:rPr>
                <w:rFonts w:ascii="Arial" w:cs="Arial" w:eastAsia="Arial" w:hAnsi="Arial"/>
                <w:sz w:val="16"/>
                <w:szCs w:val="16"/>
                <w:color w:val="3D3935"/>
              </w:rPr>
              <w:t>6,174,000</w:t>
            </w:r>
          </w:p>
        </w:tc>
        <w:tc>
          <w:tcPr>
            <w:tcW w:w="1040" w:type="dxa"/>
            <w:vAlign w:val="bottom"/>
            <w:tcBorders>
              <w:bottom w:val="single" w:sz="8" w:color="D9D9D6"/>
            </w:tcBorders>
          </w:tcPr>
          <w:p>
            <w:pPr>
              <w:jc w:val="right"/>
              <w:ind w:right="80"/>
              <w:spacing w:after="0"/>
              <w:rPr>
                <w:sz w:val="20"/>
                <w:szCs w:val="20"/>
                <w:color w:val="auto"/>
              </w:rPr>
            </w:pPr>
            <w:r>
              <w:rPr>
                <w:rFonts w:ascii="Arial" w:cs="Arial" w:eastAsia="Arial" w:hAnsi="Arial"/>
                <w:sz w:val="16"/>
                <w:szCs w:val="16"/>
                <w:color w:val="3D3935"/>
              </w:rPr>
              <w:t>4,200,000</w:t>
            </w:r>
          </w:p>
        </w:tc>
        <w:tc>
          <w:tcPr>
            <w:tcW w:w="0" w:type="dxa"/>
            <w:vAlign w:val="bottom"/>
          </w:tcPr>
          <w:p>
            <w:pPr>
              <w:spacing w:after="0"/>
              <w:rPr>
                <w:sz w:val="1"/>
                <w:szCs w:val="1"/>
                <w:color w:val="auto"/>
              </w:rPr>
            </w:pPr>
          </w:p>
        </w:tc>
      </w:tr>
      <w:tr>
        <w:trPr>
          <w:trHeight w:val="250"/>
        </w:trPr>
        <w:tc>
          <w:tcPr>
            <w:tcW w:w="1420" w:type="dxa"/>
            <w:vAlign w:val="bottom"/>
          </w:tcPr>
          <w:p>
            <w:pPr>
              <w:spacing w:after="0"/>
              <w:rPr>
                <w:sz w:val="21"/>
                <w:szCs w:val="21"/>
                <w:color w:val="auto"/>
              </w:rPr>
            </w:pPr>
          </w:p>
        </w:tc>
        <w:tc>
          <w:tcPr>
            <w:tcW w:w="112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LTIP</w:t>
            </w:r>
          </w:p>
        </w:tc>
        <w:tc>
          <w:tcPr>
            <w:tcW w:w="1100" w:type="dxa"/>
            <w:vAlign w:val="bottom"/>
            <w:tcBorders>
              <w:bottom w:val="single" w:sz="8" w:color="D9D9D6"/>
            </w:tcBorders>
          </w:tcPr>
          <w:p>
            <w:pPr>
              <w:ind w:left="880"/>
              <w:spacing w:after="0"/>
              <w:rPr>
                <w:sz w:val="20"/>
                <w:szCs w:val="20"/>
                <w:color w:val="auto"/>
              </w:rPr>
            </w:pPr>
            <w:r>
              <w:rPr>
                <w:rFonts w:ascii="Arial" w:cs="Arial" w:eastAsia="Arial" w:hAnsi="Arial"/>
                <w:sz w:val="16"/>
                <w:szCs w:val="16"/>
                <w:color w:val="3D3935"/>
              </w:rPr>
              <w:t>—</w:t>
            </w:r>
          </w:p>
        </w:tc>
        <w:tc>
          <w:tcPr>
            <w:tcW w:w="1100" w:type="dxa"/>
            <w:vAlign w:val="bottom"/>
            <w:tcBorders>
              <w:bottom w:val="single" w:sz="8" w:color="D9D9D6"/>
            </w:tcBorders>
          </w:tcPr>
          <w:p>
            <w:pPr>
              <w:jc w:val="right"/>
              <w:ind w:right="80"/>
              <w:spacing w:after="0"/>
              <w:rPr>
                <w:sz w:val="20"/>
                <w:szCs w:val="20"/>
                <w:color w:val="auto"/>
              </w:rPr>
            </w:pPr>
            <w:r>
              <w:rPr>
                <w:rFonts w:ascii="Arial" w:cs="Arial" w:eastAsia="Arial" w:hAnsi="Arial"/>
                <w:sz w:val="16"/>
                <w:szCs w:val="16"/>
                <w:color w:val="3D3935"/>
              </w:rPr>
              <w:t>16,310,822</w:t>
            </w:r>
          </w:p>
        </w:tc>
        <w:tc>
          <w:tcPr>
            <w:tcW w:w="1120" w:type="dxa"/>
            <w:vAlign w:val="bottom"/>
            <w:tcBorders>
              <w:bottom w:val="single" w:sz="8" w:color="D9D9D6"/>
            </w:tcBorders>
          </w:tcPr>
          <w:p>
            <w:pPr>
              <w:jc w:val="right"/>
              <w:ind w:right="20"/>
              <w:spacing w:after="0"/>
              <w:rPr>
                <w:sz w:val="20"/>
                <w:szCs w:val="20"/>
                <w:color w:val="auto"/>
              </w:rPr>
            </w:pPr>
            <w:r>
              <w:rPr>
                <w:rFonts w:ascii="Arial" w:cs="Arial" w:eastAsia="Arial" w:hAnsi="Arial"/>
                <w:sz w:val="16"/>
                <w:szCs w:val="16"/>
                <w:color w:val="3D3935"/>
              </w:rPr>
              <w:t>57,472,217</w:t>
            </w:r>
          </w:p>
        </w:tc>
        <w:tc>
          <w:tcPr>
            <w:tcW w:w="1080" w:type="dxa"/>
            <w:vAlign w:val="bottom"/>
            <w:tcBorders>
              <w:bottom w:val="single" w:sz="8" w:color="D9D9D6"/>
            </w:tcBorders>
          </w:tcPr>
          <w:p>
            <w:pPr>
              <w:jc w:val="right"/>
              <w:ind w:right="60"/>
              <w:spacing w:after="0"/>
              <w:rPr>
                <w:sz w:val="20"/>
                <w:szCs w:val="20"/>
                <w:color w:val="auto"/>
              </w:rPr>
            </w:pPr>
            <w:r>
              <w:rPr>
                <w:rFonts w:ascii="Arial" w:cs="Arial" w:eastAsia="Arial" w:hAnsi="Arial"/>
                <w:sz w:val="16"/>
                <w:szCs w:val="16"/>
                <w:color w:val="3D3935"/>
              </w:rPr>
              <w:t>57,472,217</w:t>
            </w:r>
          </w:p>
        </w:tc>
        <w:tc>
          <w:tcPr>
            <w:tcW w:w="1100" w:type="dxa"/>
            <w:vAlign w:val="bottom"/>
            <w:tcBorders>
              <w:bottom w:val="single" w:sz="8" w:color="D9D9D6"/>
            </w:tcBorders>
          </w:tcPr>
          <w:p>
            <w:pPr>
              <w:jc w:val="right"/>
              <w:ind w:right="40"/>
              <w:spacing w:after="0"/>
              <w:rPr>
                <w:sz w:val="20"/>
                <w:szCs w:val="20"/>
                <w:color w:val="auto"/>
              </w:rPr>
            </w:pPr>
            <w:r>
              <w:rPr>
                <w:rFonts w:ascii="Arial" w:cs="Arial" w:eastAsia="Arial" w:hAnsi="Arial"/>
                <w:sz w:val="16"/>
                <w:szCs w:val="16"/>
                <w:color w:val="3D3935"/>
              </w:rPr>
              <w:t>57,472,217</w:t>
            </w:r>
          </w:p>
        </w:tc>
        <w:tc>
          <w:tcPr>
            <w:tcW w:w="10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57,472,217</w:t>
            </w:r>
          </w:p>
        </w:tc>
        <w:tc>
          <w:tcPr>
            <w:tcW w:w="0" w:type="dxa"/>
            <w:vAlign w:val="bottom"/>
          </w:tcPr>
          <w:p>
            <w:pPr>
              <w:spacing w:after="0"/>
              <w:rPr>
                <w:sz w:val="1"/>
                <w:szCs w:val="1"/>
                <w:color w:val="auto"/>
              </w:rPr>
            </w:pPr>
          </w:p>
        </w:tc>
      </w:tr>
      <w:tr>
        <w:trPr>
          <w:trHeight w:val="253"/>
        </w:trPr>
        <w:tc>
          <w:tcPr>
            <w:tcW w:w="1420" w:type="dxa"/>
            <w:vAlign w:val="bottom"/>
            <w:tcBorders>
              <w:bottom w:val="single" w:sz="8" w:color="D9D9D6"/>
            </w:tcBorders>
          </w:tcPr>
          <w:p>
            <w:pPr>
              <w:spacing w:after="0"/>
              <w:rPr>
                <w:sz w:val="21"/>
                <w:szCs w:val="21"/>
                <w:color w:val="auto"/>
              </w:rPr>
            </w:pPr>
          </w:p>
        </w:tc>
        <w:tc>
          <w:tcPr>
            <w:tcW w:w="112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Total</w:t>
            </w:r>
          </w:p>
        </w:tc>
        <w:tc>
          <w:tcPr>
            <w:tcW w:w="1100" w:type="dxa"/>
            <w:vAlign w:val="bottom"/>
            <w:tcBorders>
              <w:bottom w:val="single" w:sz="8" w:color="D9D9D6"/>
            </w:tcBorders>
          </w:tcPr>
          <w:p>
            <w:pPr>
              <w:ind w:left="880"/>
              <w:spacing w:after="0"/>
              <w:rPr>
                <w:sz w:val="20"/>
                <w:szCs w:val="20"/>
                <w:color w:val="auto"/>
              </w:rPr>
            </w:pPr>
            <w:r>
              <w:rPr>
                <w:rFonts w:ascii="Arial" w:cs="Arial" w:eastAsia="Arial" w:hAnsi="Arial"/>
                <w:sz w:val="16"/>
                <w:szCs w:val="16"/>
                <w:b w:val="1"/>
                <w:bCs w:val="1"/>
                <w:color w:val="3D3935"/>
              </w:rPr>
              <w:t>—</w:t>
            </w:r>
          </w:p>
        </w:tc>
        <w:tc>
          <w:tcPr>
            <w:tcW w:w="1100" w:type="dxa"/>
            <w:vAlign w:val="bottom"/>
            <w:tcBorders>
              <w:bottom w:val="single" w:sz="8" w:color="D9D9D6"/>
            </w:tcBorders>
          </w:tcPr>
          <w:p>
            <w:pPr>
              <w:jc w:val="right"/>
              <w:ind w:right="140"/>
              <w:spacing w:after="0"/>
              <w:rPr>
                <w:sz w:val="20"/>
                <w:szCs w:val="20"/>
                <w:color w:val="auto"/>
              </w:rPr>
            </w:pPr>
            <w:r>
              <w:rPr>
                <w:rFonts w:ascii="Arial" w:cs="Arial" w:eastAsia="Arial" w:hAnsi="Arial"/>
                <w:sz w:val="16"/>
                <w:szCs w:val="16"/>
                <w:b w:val="1"/>
                <w:bCs w:val="1"/>
                <w:color w:val="3D3935"/>
              </w:rPr>
              <w:t>24,765,896</w:t>
            </w:r>
          </w:p>
        </w:tc>
        <w:tc>
          <w:tcPr>
            <w:tcW w:w="1120" w:type="dxa"/>
            <w:vAlign w:val="bottom"/>
            <w:tcBorders>
              <w:bottom w:val="single" w:sz="8" w:color="D9D9D6"/>
            </w:tcBorders>
          </w:tcPr>
          <w:p>
            <w:pPr>
              <w:jc w:val="center"/>
              <w:spacing w:after="0"/>
              <w:rPr>
                <w:sz w:val="20"/>
                <w:szCs w:val="20"/>
                <w:color w:val="auto"/>
              </w:rPr>
            </w:pPr>
            <w:r>
              <w:rPr>
                <w:rFonts w:ascii="Arial" w:cs="Arial" w:eastAsia="Arial" w:hAnsi="Arial"/>
                <w:sz w:val="16"/>
                <w:szCs w:val="16"/>
                <w:b w:val="1"/>
                <w:bCs w:val="1"/>
                <w:color w:val="3D3935"/>
                <w:w w:val="99"/>
              </w:rPr>
              <w:t>63,646,217</w:t>
            </w:r>
          </w:p>
        </w:tc>
        <w:tc>
          <w:tcPr>
            <w:tcW w:w="1080" w:type="dxa"/>
            <w:vAlign w:val="bottom"/>
            <w:tcBorders>
              <w:bottom w:val="single" w:sz="8" w:color="D9D9D6"/>
            </w:tcBorders>
          </w:tcPr>
          <w:p>
            <w:pPr>
              <w:jc w:val="right"/>
              <w:ind w:right="100"/>
              <w:spacing w:after="0"/>
              <w:rPr>
                <w:sz w:val="20"/>
                <w:szCs w:val="20"/>
                <w:color w:val="auto"/>
              </w:rPr>
            </w:pPr>
            <w:r>
              <w:rPr>
                <w:rFonts w:ascii="Arial" w:cs="Arial" w:eastAsia="Arial" w:hAnsi="Arial"/>
                <w:sz w:val="16"/>
                <w:szCs w:val="16"/>
                <w:b w:val="1"/>
                <w:bCs w:val="1"/>
                <w:color w:val="3D3935"/>
              </w:rPr>
              <w:t>63,646,217</w:t>
            </w:r>
          </w:p>
        </w:tc>
        <w:tc>
          <w:tcPr>
            <w:tcW w:w="1100" w:type="dxa"/>
            <w:vAlign w:val="bottom"/>
            <w:tcBorders>
              <w:bottom w:val="single" w:sz="8" w:color="D9D9D6"/>
            </w:tcBorders>
          </w:tcPr>
          <w:p>
            <w:pPr>
              <w:jc w:val="right"/>
              <w:ind w:right="80"/>
              <w:spacing w:after="0"/>
              <w:rPr>
                <w:sz w:val="20"/>
                <w:szCs w:val="20"/>
                <w:color w:val="auto"/>
              </w:rPr>
            </w:pPr>
            <w:r>
              <w:rPr>
                <w:rFonts w:ascii="Arial" w:cs="Arial" w:eastAsia="Arial" w:hAnsi="Arial"/>
                <w:sz w:val="16"/>
                <w:szCs w:val="16"/>
                <w:b w:val="1"/>
                <w:bCs w:val="1"/>
                <w:color w:val="3D3935"/>
              </w:rPr>
              <w:t>63,646,217</w:t>
            </w:r>
          </w:p>
        </w:tc>
        <w:tc>
          <w:tcPr>
            <w:tcW w:w="1040" w:type="dxa"/>
            <w:vAlign w:val="bottom"/>
            <w:tcBorders>
              <w:bottom w:val="single" w:sz="8" w:color="D9D9D6"/>
            </w:tcBorders>
          </w:tcPr>
          <w:p>
            <w:pPr>
              <w:jc w:val="right"/>
              <w:spacing w:after="0"/>
              <w:rPr>
                <w:sz w:val="20"/>
                <w:szCs w:val="20"/>
                <w:color w:val="auto"/>
              </w:rPr>
            </w:pPr>
            <w:r>
              <w:rPr>
                <w:rFonts w:ascii="Arial" w:cs="Arial" w:eastAsia="Arial" w:hAnsi="Arial"/>
                <w:sz w:val="16"/>
                <w:szCs w:val="16"/>
                <w:b w:val="1"/>
                <w:bCs w:val="1"/>
                <w:color w:val="3D3935"/>
              </w:rPr>
              <w:t>65,912,291</w:t>
            </w:r>
          </w:p>
        </w:tc>
        <w:tc>
          <w:tcPr>
            <w:tcW w:w="0" w:type="dxa"/>
            <w:vAlign w:val="bottom"/>
          </w:tcPr>
          <w:p>
            <w:pPr>
              <w:spacing w:after="0"/>
              <w:rPr>
                <w:sz w:val="1"/>
                <w:szCs w:val="1"/>
                <w:color w:val="auto"/>
              </w:rPr>
            </w:pPr>
          </w:p>
        </w:tc>
      </w:tr>
      <w:tr>
        <w:trPr>
          <w:trHeight w:val="250"/>
        </w:trPr>
        <w:tc>
          <w:tcPr>
            <w:tcW w:w="2540" w:type="dxa"/>
            <w:vAlign w:val="bottom"/>
            <w:gridSpan w:val="2"/>
          </w:tcPr>
          <w:p>
            <w:pPr>
              <w:ind w:left="60"/>
              <w:spacing w:after="0"/>
              <w:rPr>
                <w:sz w:val="20"/>
                <w:szCs w:val="20"/>
                <w:color w:val="auto"/>
              </w:rPr>
            </w:pPr>
            <w:r>
              <w:rPr>
                <w:rFonts w:ascii="Arial" w:cs="Arial" w:eastAsia="Arial" w:hAnsi="Arial"/>
                <w:sz w:val="16"/>
                <w:szCs w:val="16"/>
                <w:b w:val="1"/>
                <w:bCs w:val="1"/>
                <w:color w:val="0072CE"/>
              </w:rPr>
              <w:t xml:space="preserve">Paul A. Jacobson </w:t>
            </w:r>
            <w:r>
              <w:rPr>
                <w:rFonts w:ascii="Arial" w:cs="Arial" w:eastAsia="Arial" w:hAnsi="Arial"/>
                <w:sz w:val="16"/>
                <w:szCs w:val="16"/>
                <w:color w:val="3D3935"/>
              </w:rPr>
              <w:t>Cash</w:t>
            </w:r>
          </w:p>
        </w:tc>
        <w:tc>
          <w:tcPr>
            <w:tcW w:w="1100" w:type="dxa"/>
            <w:vAlign w:val="bottom"/>
          </w:tcPr>
          <w:p>
            <w:pPr>
              <w:ind w:left="880"/>
              <w:spacing w:after="0"/>
              <w:rPr>
                <w:sz w:val="20"/>
                <w:szCs w:val="20"/>
                <w:color w:val="auto"/>
              </w:rPr>
            </w:pPr>
            <w:r>
              <w:rPr>
                <w:rFonts w:ascii="Arial" w:cs="Arial" w:eastAsia="Arial" w:hAnsi="Arial"/>
                <w:sz w:val="16"/>
                <w:szCs w:val="16"/>
                <w:color w:val="3D3935"/>
              </w:rPr>
              <w:t>—</w:t>
            </w:r>
          </w:p>
        </w:tc>
        <w:tc>
          <w:tcPr>
            <w:tcW w:w="1100" w:type="dxa"/>
            <w:vAlign w:val="bottom"/>
          </w:tcPr>
          <w:p>
            <w:pPr>
              <w:jc w:val="right"/>
              <w:ind w:right="80"/>
              <w:spacing w:after="0"/>
              <w:rPr>
                <w:sz w:val="20"/>
                <w:szCs w:val="20"/>
                <w:color w:val="auto"/>
              </w:rPr>
            </w:pPr>
            <w:r>
              <w:rPr>
                <w:rFonts w:ascii="Arial" w:cs="Arial" w:eastAsia="Arial" w:hAnsi="Arial"/>
                <w:sz w:val="16"/>
                <w:szCs w:val="16"/>
                <w:color w:val="3D3935"/>
              </w:rPr>
              <w:t>1,837,856</w:t>
            </w:r>
          </w:p>
        </w:tc>
        <w:tc>
          <w:tcPr>
            <w:tcW w:w="1120" w:type="dxa"/>
            <w:vAlign w:val="bottom"/>
          </w:tcPr>
          <w:p>
            <w:pPr>
              <w:ind w:left="920"/>
              <w:spacing w:after="0"/>
              <w:rPr>
                <w:sz w:val="20"/>
                <w:szCs w:val="20"/>
                <w:color w:val="auto"/>
              </w:rPr>
            </w:pPr>
            <w:r>
              <w:rPr>
                <w:rFonts w:ascii="Arial" w:cs="Arial" w:eastAsia="Arial" w:hAnsi="Arial"/>
                <w:sz w:val="16"/>
                <w:szCs w:val="16"/>
                <w:color w:val="3D3935"/>
              </w:rPr>
              <w:t>—</w:t>
            </w:r>
          </w:p>
        </w:tc>
        <w:tc>
          <w:tcPr>
            <w:tcW w:w="1080" w:type="dxa"/>
            <w:vAlign w:val="bottom"/>
          </w:tcPr>
          <w:p>
            <w:pPr>
              <w:jc w:val="right"/>
              <w:spacing w:after="0"/>
              <w:rPr>
                <w:sz w:val="20"/>
                <w:szCs w:val="20"/>
                <w:color w:val="auto"/>
              </w:rPr>
            </w:pPr>
            <w:r>
              <w:rPr>
                <w:rFonts w:ascii="Arial" w:cs="Arial" w:eastAsia="Arial" w:hAnsi="Arial"/>
                <w:sz w:val="16"/>
                <w:szCs w:val="16"/>
                <w:color w:val="3D3935"/>
              </w:rPr>
              <w:t>—</w:t>
            </w:r>
          </w:p>
        </w:tc>
        <w:tc>
          <w:tcPr>
            <w:tcW w:w="1100" w:type="dxa"/>
            <w:vAlign w:val="bottom"/>
          </w:tcPr>
          <w:p>
            <w:pPr>
              <w:jc w:val="right"/>
              <w:spacing w:after="0"/>
              <w:rPr>
                <w:sz w:val="20"/>
                <w:szCs w:val="20"/>
                <w:color w:val="auto"/>
              </w:rPr>
            </w:pPr>
            <w:r>
              <w:rPr>
                <w:rFonts w:ascii="Arial" w:cs="Arial" w:eastAsia="Arial" w:hAnsi="Arial"/>
                <w:sz w:val="16"/>
                <w:szCs w:val="16"/>
                <w:color w:val="3D3935"/>
              </w:rPr>
              <w:t>—</w:t>
            </w:r>
          </w:p>
        </w:tc>
        <w:tc>
          <w:tcPr>
            <w:tcW w:w="1040" w:type="dxa"/>
            <w:vAlign w:val="bottom"/>
          </w:tcPr>
          <w:p>
            <w:pPr>
              <w:jc w:val="right"/>
              <w:spacing w:after="0"/>
              <w:rPr>
                <w:sz w:val="20"/>
                <w:szCs w:val="20"/>
                <w:color w:val="auto"/>
              </w:rPr>
            </w:pPr>
            <w:r>
              <w:rPr>
                <w:rFonts w:ascii="Arial" w:cs="Arial" w:eastAsia="Arial" w:hAnsi="Arial"/>
                <w:sz w:val="16"/>
                <w:szCs w:val="16"/>
                <w:color w:val="3D3935"/>
              </w:rPr>
              <w:t>1,822,856</w:t>
            </w:r>
          </w:p>
        </w:tc>
        <w:tc>
          <w:tcPr>
            <w:tcW w:w="0" w:type="dxa"/>
            <w:vAlign w:val="bottom"/>
          </w:tcPr>
          <w:p>
            <w:pPr>
              <w:spacing w:after="0"/>
              <w:rPr>
                <w:sz w:val="1"/>
                <w:szCs w:val="1"/>
                <w:color w:val="auto"/>
              </w:rPr>
            </w:pPr>
          </w:p>
        </w:tc>
      </w:tr>
      <w:tr>
        <w:trPr>
          <w:trHeight w:val="247"/>
        </w:trPr>
        <w:tc>
          <w:tcPr>
            <w:tcW w:w="1420" w:type="dxa"/>
            <w:vAlign w:val="bottom"/>
          </w:tcPr>
          <w:p>
            <w:pPr>
              <w:spacing w:after="0"/>
              <w:rPr>
                <w:sz w:val="21"/>
                <w:szCs w:val="21"/>
                <w:color w:val="auto"/>
              </w:rPr>
            </w:pPr>
          </w:p>
        </w:tc>
        <w:tc>
          <w:tcPr>
            <w:tcW w:w="1120" w:type="dxa"/>
            <w:vAlign w:val="bottom"/>
            <w:tcBorders>
              <w:top w:val="single" w:sz="8" w:color="D9D9D6"/>
              <w:bottom w:val="single" w:sz="8" w:color="D9D9D6"/>
            </w:tcBorders>
          </w:tcPr>
          <w:p>
            <w:pPr>
              <w:ind w:left="60"/>
              <w:spacing w:after="0"/>
              <w:rPr>
                <w:sz w:val="20"/>
                <w:szCs w:val="20"/>
                <w:color w:val="auto"/>
              </w:rPr>
            </w:pPr>
            <w:r>
              <w:rPr>
                <w:rFonts w:ascii="Arial" w:cs="Arial" w:eastAsia="Arial" w:hAnsi="Arial"/>
                <w:sz w:val="16"/>
                <w:szCs w:val="16"/>
                <w:color w:val="3D3935"/>
              </w:rPr>
              <w:t>STIP</w:t>
            </w:r>
          </w:p>
        </w:tc>
        <w:tc>
          <w:tcPr>
            <w:tcW w:w="1100" w:type="dxa"/>
            <w:vAlign w:val="bottom"/>
            <w:tcBorders>
              <w:top w:val="single" w:sz="8" w:color="D9D9D6"/>
              <w:bottom w:val="single" w:sz="8" w:color="D9D9D6"/>
            </w:tcBorders>
          </w:tcPr>
          <w:p>
            <w:pPr>
              <w:ind w:left="880"/>
              <w:spacing w:after="0"/>
              <w:rPr>
                <w:sz w:val="20"/>
                <w:szCs w:val="20"/>
                <w:color w:val="auto"/>
              </w:rPr>
            </w:pPr>
            <w:r>
              <w:rPr>
                <w:rFonts w:ascii="Arial" w:cs="Arial" w:eastAsia="Arial" w:hAnsi="Arial"/>
                <w:sz w:val="16"/>
                <w:szCs w:val="16"/>
                <w:color w:val="3D3935"/>
              </w:rPr>
              <w:t>—</w:t>
            </w:r>
          </w:p>
        </w:tc>
        <w:tc>
          <w:tcPr>
            <w:tcW w:w="1100" w:type="dxa"/>
            <w:vAlign w:val="bottom"/>
            <w:tcBorders>
              <w:top w:val="single" w:sz="8" w:color="D9D9D6"/>
              <w:bottom w:val="single" w:sz="8" w:color="D9D9D6"/>
            </w:tcBorders>
          </w:tcPr>
          <w:p>
            <w:pPr>
              <w:jc w:val="right"/>
              <w:ind w:right="120"/>
              <w:spacing w:after="0"/>
              <w:rPr>
                <w:sz w:val="20"/>
                <w:szCs w:val="20"/>
                <w:color w:val="auto"/>
              </w:rPr>
            </w:pPr>
            <w:r>
              <w:rPr>
                <w:rFonts w:ascii="Arial" w:cs="Arial" w:eastAsia="Arial" w:hAnsi="Arial"/>
                <w:sz w:val="16"/>
                <w:szCs w:val="16"/>
                <w:color w:val="3D3935"/>
              </w:rPr>
              <w:t>1,500,000</w:t>
            </w:r>
          </w:p>
        </w:tc>
        <w:tc>
          <w:tcPr>
            <w:tcW w:w="1120" w:type="dxa"/>
            <w:vAlign w:val="bottom"/>
            <w:tcBorders>
              <w:top w:val="single" w:sz="8" w:color="D9D9D6"/>
              <w:bottom w:val="single" w:sz="8" w:color="D9D9D6"/>
            </w:tcBorders>
          </w:tcPr>
          <w:p>
            <w:pPr>
              <w:ind w:left="920"/>
              <w:spacing w:after="0"/>
              <w:rPr>
                <w:sz w:val="20"/>
                <w:szCs w:val="20"/>
                <w:color w:val="auto"/>
              </w:rPr>
            </w:pPr>
            <w:r>
              <w:rPr>
                <w:rFonts w:ascii="Arial" w:cs="Arial" w:eastAsia="Arial" w:hAnsi="Arial"/>
                <w:sz w:val="16"/>
                <w:szCs w:val="16"/>
                <w:color w:val="3D3935"/>
              </w:rPr>
              <w:t>—</w:t>
            </w:r>
          </w:p>
        </w:tc>
        <w:tc>
          <w:tcPr>
            <w:tcW w:w="1080" w:type="dxa"/>
            <w:vAlign w:val="bottom"/>
            <w:tcBorders>
              <w:top w:val="single" w:sz="8" w:color="D9D9D6"/>
              <w:bottom w:val="single" w:sz="8" w:color="D9D9D6"/>
            </w:tcBorders>
          </w:tcPr>
          <w:p>
            <w:pPr>
              <w:jc w:val="right"/>
              <w:ind w:right="140"/>
              <w:spacing w:after="0"/>
              <w:rPr>
                <w:sz w:val="20"/>
                <w:szCs w:val="20"/>
                <w:color w:val="auto"/>
              </w:rPr>
            </w:pPr>
            <w:r>
              <w:rPr>
                <w:rFonts w:ascii="Arial" w:cs="Arial" w:eastAsia="Arial" w:hAnsi="Arial"/>
                <w:sz w:val="16"/>
                <w:szCs w:val="16"/>
                <w:color w:val="3D3935"/>
              </w:rPr>
              <w:t>2,205,000</w:t>
            </w:r>
          </w:p>
        </w:tc>
        <w:tc>
          <w:tcPr>
            <w:tcW w:w="1100" w:type="dxa"/>
            <w:vAlign w:val="bottom"/>
            <w:tcBorders>
              <w:top w:val="single" w:sz="8" w:color="D9D9D6"/>
              <w:bottom w:val="single" w:sz="8" w:color="D9D9D6"/>
            </w:tcBorders>
          </w:tcPr>
          <w:p>
            <w:pPr>
              <w:jc w:val="right"/>
              <w:ind w:right="120"/>
              <w:spacing w:after="0"/>
              <w:rPr>
                <w:sz w:val="20"/>
                <w:szCs w:val="20"/>
                <w:color w:val="auto"/>
              </w:rPr>
            </w:pPr>
            <w:r>
              <w:rPr>
                <w:rFonts w:ascii="Arial" w:cs="Arial" w:eastAsia="Arial" w:hAnsi="Arial"/>
                <w:sz w:val="16"/>
                <w:szCs w:val="16"/>
                <w:color w:val="3D3935"/>
              </w:rPr>
              <w:t>2,205,000</w:t>
            </w:r>
          </w:p>
        </w:tc>
        <w:tc>
          <w:tcPr>
            <w:tcW w:w="1040" w:type="dxa"/>
            <w:vAlign w:val="bottom"/>
            <w:tcBorders>
              <w:top w:val="single" w:sz="8" w:color="D9D9D6"/>
              <w:bottom w:val="single" w:sz="8" w:color="D9D9D6"/>
            </w:tcBorders>
          </w:tcPr>
          <w:p>
            <w:pPr>
              <w:jc w:val="right"/>
              <w:ind w:right="40"/>
              <w:spacing w:after="0"/>
              <w:rPr>
                <w:sz w:val="20"/>
                <w:szCs w:val="20"/>
                <w:color w:val="auto"/>
              </w:rPr>
            </w:pPr>
            <w:r>
              <w:rPr>
                <w:rFonts w:ascii="Arial" w:cs="Arial" w:eastAsia="Arial" w:hAnsi="Arial"/>
                <w:sz w:val="16"/>
                <w:szCs w:val="16"/>
                <w:color w:val="3D3935"/>
              </w:rPr>
              <w:t>1,500,000</w:t>
            </w:r>
          </w:p>
        </w:tc>
        <w:tc>
          <w:tcPr>
            <w:tcW w:w="0" w:type="dxa"/>
            <w:vAlign w:val="bottom"/>
          </w:tcPr>
          <w:p>
            <w:pPr>
              <w:spacing w:after="0"/>
              <w:rPr>
                <w:sz w:val="1"/>
                <w:szCs w:val="1"/>
                <w:color w:val="auto"/>
              </w:rPr>
            </w:pPr>
          </w:p>
        </w:tc>
      </w:tr>
      <w:tr>
        <w:trPr>
          <w:trHeight w:val="250"/>
        </w:trPr>
        <w:tc>
          <w:tcPr>
            <w:tcW w:w="1420" w:type="dxa"/>
            <w:vAlign w:val="bottom"/>
          </w:tcPr>
          <w:p>
            <w:pPr>
              <w:spacing w:after="0"/>
              <w:rPr>
                <w:sz w:val="21"/>
                <w:szCs w:val="21"/>
                <w:color w:val="auto"/>
              </w:rPr>
            </w:pPr>
          </w:p>
        </w:tc>
        <w:tc>
          <w:tcPr>
            <w:tcW w:w="112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LTIP</w:t>
            </w:r>
          </w:p>
        </w:tc>
        <w:tc>
          <w:tcPr>
            <w:tcW w:w="1100" w:type="dxa"/>
            <w:vAlign w:val="bottom"/>
            <w:tcBorders>
              <w:bottom w:val="single" w:sz="8" w:color="D9D9D6"/>
            </w:tcBorders>
          </w:tcPr>
          <w:p>
            <w:pPr>
              <w:ind w:left="880"/>
              <w:spacing w:after="0"/>
              <w:rPr>
                <w:sz w:val="20"/>
                <w:szCs w:val="20"/>
                <w:color w:val="auto"/>
              </w:rPr>
            </w:pPr>
            <w:r>
              <w:rPr>
                <w:rFonts w:ascii="Arial" w:cs="Arial" w:eastAsia="Arial" w:hAnsi="Arial"/>
                <w:sz w:val="16"/>
                <w:szCs w:val="16"/>
                <w:color w:val="3D3935"/>
              </w:rPr>
              <w:t>—</w:t>
            </w:r>
          </w:p>
        </w:tc>
        <w:tc>
          <w:tcPr>
            <w:tcW w:w="1100" w:type="dxa"/>
            <w:vAlign w:val="bottom"/>
            <w:tcBorders>
              <w:bottom w:val="single" w:sz="8" w:color="D9D9D6"/>
            </w:tcBorders>
          </w:tcPr>
          <w:p>
            <w:pPr>
              <w:jc w:val="right"/>
              <w:ind w:right="80"/>
              <w:spacing w:after="0"/>
              <w:rPr>
                <w:sz w:val="20"/>
                <w:szCs w:val="20"/>
                <w:color w:val="auto"/>
              </w:rPr>
            </w:pPr>
            <w:r>
              <w:rPr>
                <w:rFonts w:ascii="Arial" w:cs="Arial" w:eastAsia="Arial" w:hAnsi="Arial"/>
                <w:sz w:val="16"/>
                <w:szCs w:val="16"/>
                <w:color w:val="3D3935"/>
              </w:rPr>
              <w:t>6,313,659</w:t>
            </w:r>
          </w:p>
        </w:tc>
        <w:tc>
          <w:tcPr>
            <w:tcW w:w="2200" w:type="dxa"/>
            <w:vAlign w:val="bottom"/>
            <w:tcBorders>
              <w:bottom w:val="single" w:sz="8" w:color="D9D9D6"/>
            </w:tcBorders>
            <w:gridSpan w:val="2"/>
          </w:tcPr>
          <w:p>
            <w:pPr>
              <w:ind w:left="920"/>
              <w:spacing w:after="0"/>
              <w:rPr>
                <w:sz w:val="20"/>
                <w:szCs w:val="20"/>
                <w:color w:val="auto"/>
              </w:rPr>
            </w:pPr>
            <w:r>
              <w:rPr>
                <w:rFonts w:ascii="Arial" w:cs="Arial" w:eastAsia="Arial" w:hAnsi="Arial"/>
                <w:sz w:val="16"/>
                <w:szCs w:val="16"/>
                <w:color w:val="3D3935"/>
              </w:rPr>
              <w:t>— 24,942,350</w:t>
            </w:r>
          </w:p>
        </w:tc>
        <w:tc>
          <w:tcPr>
            <w:tcW w:w="1100" w:type="dxa"/>
            <w:vAlign w:val="bottom"/>
            <w:tcBorders>
              <w:bottom w:val="single" w:sz="8" w:color="D9D9D6"/>
            </w:tcBorders>
          </w:tcPr>
          <w:p>
            <w:pPr>
              <w:jc w:val="right"/>
              <w:ind w:right="120"/>
              <w:spacing w:after="0"/>
              <w:rPr>
                <w:sz w:val="20"/>
                <w:szCs w:val="20"/>
                <w:color w:val="auto"/>
              </w:rPr>
            </w:pPr>
            <w:r>
              <w:rPr>
                <w:rFonts w:ascii="Arial" w:cs="Arial" w:eastAsia="Arial" w:hAnsi="Arial"/>
                <w:sz w:val="16"/>
                <w:szCs w:val="16"/>
                <w:color w:val="3D3935"/>
              </w:rPr>
              <w:t>24,942,350</w:t>
            </w:r>
          </w:p>
        </w:tc>
        <w:tc>
          <w:tcPr>
            <w:tcW w:w="1040" w:type="dxa"/>
            <w:vAlign w:val="bottom"/>
            <w:tcBorders>
              <w:bottom w:val="single" w:sz="8" w:color="D9D9D6"/>
            </w:tcBorders>
          </w:tcPr>
          <w:p>
            <w:pPr>
              <w:jc w:val="right"/>
              <w:ind w:right="60"/>
              <w:spacing w:after="0"/>
              <w:rPr>
                <w:sz w:val="20"/>
                <w:szCs w:val="20"/>
                <w:color w:val="auto"/>
              </w:rPr>
            </w:pPr>
            <w:r>
              <w:rPr>
                <w:rFonts w:ascii="Arial" w:cs="Arial" w:eastAsia="Arial" w:hAnsi="Arial"/>
                <w:sz w:val="16"/>
                <w:szCs w:val="16"/>
                <w:color w:val="3D3935"/>
              </w:rPr>
              <w:t>24,942,350</w:t>
            </w:r>
          </w:p>
        </w:tc>
        <w:tc>
          <w:tcPr>
            <w:tcW w:w="0" w:type="dxa"/>
            <w:vAlign w:val="bottom"/>
          </w:tcPr>
          <w:p>
            <w:pPr>
              <w:spacing w:after="0"/>
              <w:rPr>
                <w:sz w:val="1"/>
                <w:szCs w:val="1"/>
                <w:color w:val="auto"/>
              </w:rPr>
            </w:pPr>
          </w:p>
        </w:tc>
      </w:tr>
      <w:tr>
        <w:trPr>
          <w:trHeight w:val="253"/>
        </w:trPr>
        <w:tc>
          <w:tcPr>
            <w:tcW w:w="1420" w:type="dxa"/>
            <w:vAlign w:val="bottom"/>
            <w:tcBorders>
              <w:bottom w:val="single" w:sz="8" w:color="D9D9D6"/>
            </w:tcBorders>
          </w:tcPr>
          <w:p>
            <w:pPr>
              <w:spacing w:after="0"/>
              <w:rPr>
                <w:sz w:val="21"/>
                <w:szCs w:val="21"/>
                <w:color w:val="auto"/>
              </w:rPr>
            </w:pPr>
          </w:p>
        </w:tc>
        <w:tc>
          <w:tcPr>
            <w:tcW w:w="112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Total</w:t>
            </w:r>
          </w:p>
        </w:tc>
        <w:tc>
          <w:tcPr>
            <w:tcW w:w="1100" w:type="dxa"/>
            <w:vAlign w:val="bottom"/>
            <w:tcBorders>
              <w:bottom w:val="single" w:sz="8" w:color="D9D9D6"/>
            </w:tcBorders>
          </w:tcPr>
          <w:p>
            <w:pPr>
              <w:ind w:left="880"/>
              <w:spacing w:after="0"/>
              <w:rPr>
                <w:sz w:val="20"/>
                <w:szCs w:val="20"/>
                <w:color w:val="auto"/>
              </w:rPr>
            </w:pPr>
            <w:r>
              <w:rPr>
                <w:rFonts w:ascii="Arial" w:cs="Arial" w:eastAsia="Arial" w:hAnsi="Arial"/>
                <w:sz w:val="16"/>
                <w:szCs w:val="16"/>
                <w:b w:val="1"/>
                <w:bCs w:val="1"/>
                <w:color w:val="3D3935"/>
              </w:rPr>
              <w:t>—</w:t>
            </w:r>
          </w:p>
        </w:tc>
        <w:tc>
          <w:tcPr>
            <w:tcW w:w="1100" w:type="dxa"/>
            <w:vAlign w:val="bottom"/>
            <w:tcBorders>
              <w:bottom w:val="single" w:sz="8" w:color="D9D9D6"/>
            </w:tcBorders>
          </w:tcPr>
          <w:p>
            <w:pPr>
              <w:jc w:val="right"/>
              <w:ind w:right="80"/>
              <w:spacing w:after="0"/>
              <w:rPr>
                <w:sz w:val="20"/>
                <w:szCs w:val="20"/>
                <w:color w:val="auto"/>
              </w:rPr>
            </w:pPr>
            <w:r>
              <w:rPr>
                <w:rFonts w:ascii="Arial" w:cs="Arial" w:eastAsia="Arial" w:hAnsi="Arial"/>
                <w:sz w:val="16"/>
                <w:szCs w:val="16"/>
                <w:b w:val="1"/>
                <w:bCs w:val="1"/>
                <w:color w:val="3D3935"/>
              </w:rPr>
              <w:t>9,651,515</w:t>
            </w:r>
          </w:p>
        </w:tc>
        <w:tc>
          <w:tcPr>
            <w:tcW w:w="1120" w:type="dxa"/>
            <w:vAlign w:val="bottom"/>
            <w:tcBorders>
              <w:bottom w:val="single" w:sz="8" w:color="D9D9D6"/>
            </w:tcBorders>
          </w:tcPr>
          <w:p>
            <w:pPr>
              <w:ind w:left="920"/>
              <w:spacing w:after="0"/>
              <w:rPr>
                <w:sz w:val="20"/>
                <w:szCs w:val="20"/>
                <w:color w:val="auto"/>
              </w:rPr>
            </w:pPr>
            <w:r>
              <w:rPr>
                <w:rFonts w:ascii="Arial" w:cs="Arial" w:eastAsia="Arial" w:hAnsi="Arial"/>
                <w:sz w:val="16"/>
                <w:szCs w:val="16"/>
                <w:b w:val="1"/>
                <w:bCs w:val="1"/>
                <w:color w:val="3D3935"/>
              </w:rPr>
              <w:t>—</w:t>
            </w:r>
          </w:p>
        </w:tc>
        <w:tc>
          <w:tcPr>
            <w:tcW w:w="1080" w:type="dxa"/>
            <w:vAlign w:val="bottom"/>
            <w:tcBorders>
              <w:bottom w:val="single" w:sz="8" w:color="D9D9D6"/>
            </w:tcBorders>
          </w:tcPr>
          <w:p>
            <w:pPr>
              <w:jc w:val="right"/>
              <w:ind w:right="100"/>
              <w:spacing w:after="0"/>
              <w:rPr>
                <w:sz w:val="20"/>
                <w:szCs w:val="20"/>
                <w:color w:val="auto"/>
              </w:rPr>
            </w:pPr>
            <w:r>
              <w:rPr>
                <w:rFonts w:ascii="Arial" w:cs="Arial" w:eastAsia="Arial" w:hAnsi="Arial"/>
                <w:sz w:val="16"/>
                <w:szCs w:val="16"/>
                <w:b w:val="1"/>
                <w:bCs w:val="1"/>
                <w:color w:val="3D3935"/>
              </w:rPr>
              <w:t>27,147,350</w:t>
            </w:r>
          </w:p>
        </w:tc>
        <w:tc>
          <w:tcPr>
            <w:tcW w:w="1100" w:type="dxa"/>
            <w:vAlign w:val="bottom"/>
            <w:tcBorders>
              <w:bottom w:val="single" w:sz="8" w:color="D9D9D6"/>
            </w:tcBorders>
          </w:tcPr>
          <w:p>
            <w:pPr>
              <w:jc w:val="right"/>
              <w:ind w:right="80"/>
              <w:spacing w:after="0"/>
              <w:rPr>
                <w:sz w:val="20"/>
                <w:szCs w:val="20"/>
                <w:color w:val="auto"/>
              </w:rPr>
            </w:pPr>
            <w:r>
              <w:rPr>
                <w:rFonts w:ascii="Arial" w:cs="Arial" w:eastAsia="Arial" w:hAnsi="Arial"/>
                <w:sz w:val="16"/>
                <w:szCs w:val="16"/>
                <w:b w:val="1"/>
                <w:bCs w:val="1"/>
                <w:color w:val="3D3935"/>
              </w:rPr>
              <w:t>27,147,350</w:t>
            </w:r>
          </w:p>
        </w:tc>
        <w:tc>
          <w:tcPr>
            <w:tcW w:w="1040" w:type="dxa"/>
            <w:vAlign w:val="bottom"/>
            <w:tcBorders>
              <w:bottom w:val="single" w:sz="8" w:color="D9D9D6"/>
            </w:tcBorders>
          </w:tcPr>
          <w:p>
            <w:pPr>
              <w:jc w:val="right"/>
              <w:ind w:right="80"/>
              <w:spacing w:after="0"/>
              <w:rPr>
                <w:sz w:val="20"/>
                <w:szCs w:val="20"/>
                <w:color w:val="auto"/>
              </w:rPr>
            </w:pPr>
            <w:r>
              <w:rPr>
                <w:rFonts w:ascii="Arial" w:cs="Arial" w:eastAsia="Arial" w:hAnsi="Arial"/>
                <w:sz w:val="16"/>
                <w:szCs w:val="16"/>
                <w:b w:val="1"/>
                <w:bCs w:val="1"/>
                <w:color w:val="3D3935"/>
              </w:rPr>
              <w:t>28,265,206</w:t>
            </w:r>
          </w:p>
        </w:tc>
        <w:tc>
          <w:tcPr>
            <w:tcW w:w="0" w:type="dxa"/>
            <w:vAlign w:val="bottom"/>
          </w:tcPr>
          <w:p>
            <w:pPr>
              <w:spacing w:after="0"/>
              <w:rPr>
                <w:sz w:val="1"/>
                <w:szCs w:val="1"/>
                <w:color w:val="auto"/>
              </w:rPr>
            </w:pPr>
          </w:p>
        </w:tc>
      </w:tr>
      <w:tr>
        <w:trPr>
          <w:trHeight w:val="250"/>
        </w:trPr>
        <w:tc>
          <w:tcPr>
            <w:tcW w:w="1420" w:type="dxa"/>
            <w:vAlign w:val="bottom"/>
          </w:tcPr>
          <w:p>
            <w:pPr>
              <w:ind w:left="60"/>
              <w:spacing w:after="0"/>
              <w:rPr>
                <w:sz w:val="20"/>
                <w:szCs w:val="20"/>
                <w:color w:val="auto"/>
              </w:rPr>
            </w:pPr>
            <w:r>
              <w:rPr>
                <w:rFonts w:ascii="Arial" w:cs="Arial" w:eastAsia="Arial" w:hAnsi="Arial"/>
                <w:sz w:val="16"/>
                <w:szCs w:val="16"/>
                <w:b w:val="1"/>
                <w:bCs w:val="1"/>
                <w:color w:val="0072CE"/>
              </w:rPr>
              <w:t>Mark L. Reuss</w:t>
            </w:r>
          </w:p>
        </w:tc>
        <w:tc>
          <w:tcPr>
            <w:tcW w:w="112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Cash</w:t>
            </w:r>
          </w:p>
        </w:tc>
        <w:tc>
          <w:tcPr>
            <w:tcW w:w="1100" w:type="dxa"/>
            <w:vAlign w:val="bottom"/>
            <w:tcBorders>
              <w:bottom w:val="single" w:sz="8" w:color="D9D9D6"/>
            </w:tcBorders>
          </w:tcPr>
          <w:p>
            <w:pPr>
              <w:ind w:left="880"/>
              <w:spacing w:after="0"/>
              <w:rPr>
                <w:sz w:val="20"/>
                <w:szCs w:val="20"/>
                <w:color w:val="auto"/>
              </w:rPr>
            </w:pPr>
            <w:r>
              <w:rPr>
                <w:rFonts w:ascii="Arial" w:cs="Arial" w:eastAsia="Arial" w:hAnsi="Arial"/>
                <w:sz w:val="16"/>
                <w:szCs w:val="16"/>
                <w:color w:val="3D3935"/>
              </w:rPr>
              <w:t>—</w:t>
            </w:r>
          </w:p>
        </w:tc>
        <w:tc>
          <w:tcPr>
            <w:tcW w:w="1100" w:type="dxa"/>
            <w:vAlign w:val="bottom"/>
            <w:tcBorders>
              <w:bottom w:val="single" w:sz="8" w:color="D9D9D6"/>
            </w:tcBorders>
          </w:tcPr>
          <w:p>
            <w:pPr>
              <w:jc w:val="right"/>
              <w:ind w:right="140"/>
              <w:spacing w:after="0"/>
              <w:rPr>
                <w:sz w:val="20"/>
                <w:szCs w:val="20"/>
                <w:color w:val="auto"/>
              </w:rPr>
            </w:pPr>
            <w:r>
              <w:rPr>
                <w:rFonts w:ascii="Arial" w:cs="Arial" w:eastAsia="Arial" w:hAnsi="Arial"/>
                <w:sz w:val="16"/>
                <w:szCs w:val="16"/>
                <w:color w:val="3D3935"/>
              </w:rPr>
              <w:t>2,070,056</w:t>
            </w:r>
          </w:p>
        </w:tc>
        <w:tc>
          <w:tcPr>
            <w:tcW w:w="1120" w:type="dxa"/>
            <w:vAlign w:val="bottom"/>
            <w:tcBorders>
              <w:bottom w:val="single" w:sz="8" w:color="D9D9D6"/>
            </w:tcBorders>
          </w:tcPr>
          <w:p>
            <w:pPr>
              <w:ind w:left="920"/>
              <w:spacing w:after="0"/>
              <w:rPr>
                <w:sz w:val="20"/>
                <w:szCs w:val="20"/>
                <w:color w:val="auto"/>
              </w:rPr>
            </w:pPr>
            <w:r>
              <w:rPr>
                <w:rFonts w:ascii="Arial" w:cs="Arial" w:eastAsia="Arial" w:hAnsi="Arial"/>
                <w:sz w:val="16"/>
                <w:szCs w:val="16"/>
                <w:color w:val="3D3935"/>
              </w:rPr>
              <w:t>—</w:t>
            </w:r>
          </w:p>
        </w:tc>
        <w:tc>
          <w:tcPr>
            <w:tcW w:w="108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110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1040" w:type="dxa"/>
            <w:vAlign w:val="bottom"/>
            <w:tcBorders>
              <w:bottom w:val="single" w:sz="8" w:color="D9D9D6"/>
            </w:tcBorders>
          </w:tcPr>
          <w:p>
            <w:pPr>
              <w:ind w:left="200"/>
              <w:spacing w:after="0"/>
              <w:rPr>
                <w:sz w:val="20"/>
                <w:szCs w:val="20"/>
                <w:color w:val="auto"/>
              </w:rPr>
            </w:pPr>
            <w:r>
              <w:rPr>
                <w:rFonts w:ascii="Arial" w:cs="Arial" w:eastAsia="Arial" w:hAnsi="Arial"/>
                <w:sz w:val="16"/>
                <w:szCs w:val="16"/>
                <w:color w:val="3D3935"/>
              </w:rPr>
              <w:t>2,055,056</w:t>
            </w:r>
          </w:p>
        </w:tc>
        <w:tc>
          <w:tcPr>
            <w:tcW w:w="0" w:type="dxa"/>
            <w:vAlign w:val="bottom"/>
          </w:tcPr>
          <w:p>
            <w:pPr>
              <w:spacing w:after="0"/>
              <w:rPr>
                <w:sz w:val="1"/>
                <w:szCs w:val="1"/>
                <w:color w:val="auto"/>
              </w:rPr>
            </w:pPr>
          </w:p>
        </w:tc>
      </w:tr>
      <w:tr>
        <w:trPr>
          <w:trHeight w:val="247"/>
        </w:trPr>
        <w:tc>
          <w:tcPr>
            <w:tcW w:w="1420" w:type="dxa"/>
            <w:vAlign w:val="bottom"/>
          </w:tcPr>
          <w:p>
            <w:pPr>
              <w:spacing w:after="0"/>
              <w:rPr>
                <w:sz w:val="21"/>
                <w:szCs w:val="21"/>
                <w:color w:val="auto"/>
              </w:rPr>
            </w:pPr>
          </w:p>
        </w:tc>
        <w:tc>
          <w:tcPr>
            <w:tcW w:w="112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STIP</w:t>
            </w:r>
          </w:p>
        </w:tc>
        <w:tc>
          <w:tcPr>
            <w:tcW w:w="1100" w:type="dxa"/>
            <w:vAlign w:val="bottom"/>
            <w:tcBorders>
              <w:bottom w:val="single" w:sz="8" w:color="D9D9D6"/>
            </w:tcBorders>
          </w:tcPr>
          <w:p>
            <w:pPr>
              <w:ind w:left="880"/>
              <w:spacing w:after="0"/>
              <w:rPr>
                <w:sz w:val="20"/>
                <w:szCs w:val="20"/>
                <w:color w:val="auto"/>
              </w:rPr>
            </w:pPr>
            <w:r>
              <w:rPr>
                <w:rFonts w:ascii="Arial" w:cs="Arial" w:eastAsia="Arial" w:hAnsi="Arial"/>
                <w:sz w:val="16"/>
                <w:szCs w:val="16"/>
                <w:color w:val="3D3935"/>
              </w:rPr>
              <w:t>—</w:t>
            </w:r>
          </w:p>
        </w:tc>
        <w:tc>
          <w:tcPr>
            <w:tcW w:w="1100" w:type="dxa"/>
            <w:vAlign w:val="bottom"/>
            <w:tcBorders>
              <w:bottom w:val="single" w:sz="8" w:color="D9D9D6"/>
            </w:tcBorders>
          </w:tcPr>
          <w:p>
            <w:pPr>
              <w:jc w:val="right"/>
              <w:ind w:right="100"/>
              <w:spacing w:after="0"/>
              <w:rPr>
                <w:sz w:val="20"/>
                <w:szCs w:val="20"/>
                <w:color w:val="auto"/>
              </w:rPr>
            </w:pPr>
            <w:r>
              <w:rPr>
                <w:rFonts w:ascii="Arial" w:cs="Arial" w:eastAsia="Arial" w:hAnsi="Arial"/>
                <w:sz w:val="16"/>
                <w:szCs w:val="16"/>
                <w:color w:val="3D3935"/>
              </w:rPr>
              <w:t>1,687,500</w:t>
            </w:r>
          </w:p>
        </w:tc>
        <w:tc>
          <w:tcPr>
            <w:tcW w:w="1120" w:type="dxa"/>
            <w:vAlign w:val="bottom"/>
            <w:tcBorders>
              <w:bottom w:val="single" w:sz="8" w:color="D9D9D6"/>
            </w:tcBorders>
          </w:tcPr>
          <w:p>
            <w:pPr>
              <w:jc w:val="center"/>
              <w:spacing w:after="0"/>
              <w:rPr>
                <w:sz w:val="20"/>
                <w:szCs w:val="20"/>
                <w:color w:val="auto"/>
              </w:rPr>
            </w:pPr>
            <w:r>
              <w:rPr>
                <w:rFonts w:ascii="Arial" w:cs="Arial" w:eastAsia="Arial" w:hAnsi="Arial"/>
                <w:sz w:val="16"/>
                <w:szCs w:val="16"/>
                <w:color w:val="3D3935"/>
              </w:rPr>
              <w:t>2,480,625</w:t>
            </w:r>
          </w:p>
        </w:tc>
        <w:tc>
          <w:tcPr>
            <w:tcW w:w="1080" w:type="dxa"/>
            <w:vAlign w:val="bottom"/>
            <w:tcBorders>
              <w:bottom w:val="single" w:sz="8" w:color="D9D9D6"/>
            </w:tcBorders>
          </w:tcPr>
          <w:p>
            <w:pPr>
              <w:jc w:val="right"/>
              <w:ind w:right="120"/>
              <w:spacing w:after="0"/>
              <w:rPr>
                <w:sz w:val="20"/>
                <w:szCs w:val="20"/>
                <w:color w:val="auto"/>
              </w:rPr>
            </w:pPr>
            <w:r>
              <w:rPr>
                <w:rFonts w:ascii="Arial" w:cs="Arial" w:eastAsia="Arial" w:hAnsi="Arial"/>
                <w:sz w:val="16"/>
                <w:szCs w:val="16"/>
                <w:color w:val="3D3935"/>
              </w:rPr>
              <w:t>2,480,625</w:t>
            </w:r>
          </w:p>
        </w:tc>
        <w:tc>
          <w:tcPr>
            <w:tcW w:w="1100" w:type="dxa"/>
            <w:vAlign w:val="bottom"/>
            <w:tcBorders>
              <w:bottom w:val="single" w:sz="8" w:color="D9D9D6"/>
            </w:tcBorders>
          </w:tcPr>
          <w:p>
            <w:pPr>
              <w:jc w:val="right"/>
              <w:ind w:right="100"/>
              <w:spacing w:after="0"/>
              <w:rPr>
                <w:sz w:val="20"/>
                <w:szCs w:val="20"/>
                <w:color w:val="auto"/>
              </w:rPr>
            </w:pPr>
            <w:r>
              <w:rPr>
                <w:rFonts w:ascii="Arial" w:cs="Arial" w:eastAsia="Arial" w:hAnsi="Arial"/>
                <w:sz w:val="16"/>
                <w:szCs w:val="16"/>
                <w:color w:val="3D3935"/>
              </w:rPr>
              <w:t>2,480,625</w:t>
            </w:r>
          </w:p>
        </w:tc>
        <w:tc>
          <w:tcPr>
            <w:tcW w:w="10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1,687,500</w:t>
            </w:r>
          </w:p>
        </w:tc>
        <w:tc>
          <w:tcPr>
            <w:tcW w:w="0" w:type="dxa"/>
            <w:vAlign w:val="bottom"/>
          </w:tcPr>
          <w:p>
            <w:pPr>
              <w:spacing w:after="0"/>
              <w:rPr>
                <w:sz w:val="1"/>
                <w:szCs w:val="1"/>
                <w:color w:val="auto"/>
              </w:rPr>
            </w:pPr>
          </w:p>
        </w:tc>
      </w:tr>
      <w:tr>
        <w:trPr>
          <w:trHeight w:val="250"/>
        </w:trPr>
        <w:tc>
          <w:tcPr>
            <w:tcW w:w="1420" w:type="dxa"/>
            <w:vAlign w:val="bottom"/>
          </w:tcPr>
          <w:p>
            <w:pPr>
              <w:spacing w:after="0"/>
              <w:rPr>
                <w:sz w:val="21"/>
                <w:szCs w:val="21"/>
                <w:color w:val="auto"/>
              </w:rPr>
            </w:pPr>
          </w:p>
        </w:tc>
        <w:tc>
          <w:tcPr>
            <w:tcW w:w="112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LTIP</w:t>
            </w:r>
          </w:p>
        </w:tc>
        <w:tc>
          <w:tcPr>
            <w:tcW w:w="1100" w:type="dxa"/>
            <w:vAlign w:val="bottom"/>
            <w:tcBorders>
              <w:bottom w:val="single" w:sz="8" w:color="D9D9D6"/>
            </w:tcBorders>
          </w:tcPr>
          <w:p>
            <w:pPr>
              <w:ind w:left="880"/>
              <w:spacing w:after="0"/>
              <w:rPr>
                <w:sz w:val="20"/>
                <w:szCs w:val="20"/>
                <w:color w:val="auto"/>
              </w:rPr>
            </w:pPr>
            <w:r>
              <w:rPr>
                <w:rFonts w:ascii="Arial" w:cs="Arial" w:eastAsia="Arial" w:hAnsi="Arial"/>
                <w:sz w:val="16"/>
                <w:szCs w:val="16"/>
                <w:color w:val="3D3935"/>
              </w:rPr>
              <w:t>—</w:t>
            </w:r>
          </w:p>
        </w:tc>
        <w:tc>
          <w:tcPr>
            <w:tcW w:w="1100" w:type="dxa"/>
            <w:vAlign w:val="bottom"/>
            <w:tcBorders>
              <w:bottom w:val="single" w:sz="8" w:color="D9D9D6"/>
            </w:tcBorders>
          </w:tcPr>
          <w:p>
            <w:pPr>
              <w:jc w:val="right"/>
              <w:ind w:right="140"/>
              <w:spacing w:after="0"/>
              <w:rPr>
                <w:sz w:val="20"/>
                <w:szCs w:val="20"/>
                <w:color w:val="auto"/>
              </w:rPr>
            </w:pPr>
            <w:r>
              <w:rPr>
                <w:rFonts w:ascii="Arial" w:cs="Arial" w:eastAsia="Arial" w:hAnsi="Arial"/>
                <w:sz w:val="16"/>
                <w:szCs w:val="16"/>
                <w:color w:val="3D3935"/>
              </w:rPr>
              <w:t>9,098,254</w:t>
            </w:r>
          </w:p>
        </w:tc>
        <w:tc>
          <w:tcPr>
            <w:tcW w:w="1120" w:type="dxa"/>
            <w:vAlign w:val="bottom"/>
            <w:tcBorders>
              <w:bottom w:val="single" w:sz="8" w:color="D9D9D6"/>
            </w:tcBorders>
          </w:tcPr>
          <w:p>
            <w:pPr>
              <w:jc w:val="center"/>
              <w:spacing w:after="0"/>
              <w:rPr>
                <w:sz w:val="20"/>
                <w:szCs w:val="20"/>
                <w:color w:val="auto"/>
              </w:rPr>
            </w:pPr>
            <w:r>
              <w:rPr>
                <w:rFonts w:ascii="Arial" w:cs="Arial" w:eastAsia="Arial" w:hAnsi="Arial"/>
                <w:sz w:val="16"/>
                <w:szCs w:val="16"/>
                <w:color w:val="3D3935"/>
              </w:rPr>
              <w:t>38,570,837</w:t>
            </w:r>
          </w:p>
        </w:tc>
        <w:tc>
          <w:tcPr>
            <w:tcW w:w="1080" w:type="dxa"/>
            <w:vAlign w:val="bottom"/>
            <w:tcBorders>
              <w:bottom w:val="single" w:sz="8" w:color="D9D9D6"/>
            </w:tcBorders>
          </w:tcPr>
          <w:p>
            <w:pPr>
              <w:jc w:val="right"/>
              <w:ind w:right="100"/>
              <w:spacing w:after="0"/>
              <w:rPr>
                <w:sz w:val="20"/>
                <w:szCs w:val="20"/>
                <w:color w:val="auto"/>
              </w:rPr>
            </w:pPr>
            <w:r>
              <w:rPr>
                <w:rFonts w:ascii="Arial" w:cs="Arial" w:eastAsia="Arial" w:hAnsi="Arial"/>
                <w:sz w:val="16"/>
                <w:szCs w:val="16"/>
                <w:color w:val="3D3935"/>
              </w:rPr>
              <w:t>38,570,837</w:t>
            </w:r>
          </w:p>
        </w:tc>
        <w:tc>
          <w:tcPr>
            <w:tcW w:w="1100" w:type="dxa"/>
            <w:vAlign w:val="bottom"/>
            <w:tcBorders>
              <w:bottom w:val="single" w:sz="8" w:color="D9D9D6"/>
            </w:tcBorders>
          </w:tcPr>
          <w:p>
            <w:pPr>
              <w:jc w:val="right"/>
              <w:ind w:right="80"/>
              <w:spacing w:after="0"/>
              <w:rPr>
                <w:sz w:val="20"/>
                <w:szCs w:val="20"/>
                <w:color w:val="auto"/>
              </w:rPr>
            </w:pPr>
            <w:r>
              <w:rPr>
                <w:rFonts w:ascii="Arial" w:cs="Arial" w:eastAsia="Arial" w:hAnsi="Arial"/>
                <w:sz w:val="16"/>
                <w:szCs w:val="16"/>
                <w:color w:val="3D3935"/>
              </w:rPr>
              <w:t>38,570,837</w:t>
            </w:r>
          </w:p>
        </w:tc>
        <w:tc>
          <w:tcPr>
            <w:tcW w:w="1040" w:type="dxa"/>
            <w:vAlign w:val="bottom"/>
            <w:tcBorders>
              <w:bottom w:val="single" w:sz="8" w:color="D9D9D6"/>
            </w:tcBorders>
          </w:tcPr>
          <w:p>
            <w:pPr>
              <w:jc w:val="right"/>
              <w:ind w:right="20"/>
              <w:spacing w:after="0"/>
              <w:rPr>
                <w:sz w:val="20"/>
                <w:szCs w:val="20"/>
                <w:color w:val="auto"/>
              </w:rPr>
            </w:pPr>
            <w:r>
              <w:rPr>
                <w:rFonts w:ascii="Arial" w:cs="Arial" w:eastAsia="Arial" w:hAnsi="Arial"/>
                <w:sz w:val="16"/>
                <w:szCs w:val="16"/>
                <w:color w:val="3D3935"/>
              </w:rPr>
              <w:t>38,570,837</w:t>
            </w:r>
          </w:p>
        </w:tc>
        <w:tc>
          <w:tcPr>
            <w:tcW w:w="0" w:type="dxa"/>
            <w:vAlign w:val="bottom"/>
          </w:tcPr>
          <w:p>
            <w:pPr>
              <w:spacing w:after="0"/>
              <w:rPr>
                <w:sz w:val="1"/>
                <w:szCs w:val="1"/>
                <w:color w:val="auto"/>
              </w:rPr>
            </w:pPr>
          </w:p>
        </w:tc>
      </w:tr>
      <w:tr>
        <w:trPr>
          <w:trHeight w:val="253"/>
        </w:trPr>
        <w:tc>
          <w:tcPr>
            <w:tcW w:w="1420" w:type="dxa"/>
            <w:vAlign w:val="bottom"/>
            <w:tcBorders>
              <w:bottom w:val="single" w:sz="8" w:color="D9D9D6"/>
            </w:tcBorders>
          </w:tcPr>
          <w:p>
            <w:pPr>
              <w:spacing w:after="0"/>
              <w:rPr>
                <w:sz w:val="21"/>
                <w:szCs w:val="21"/>
                <w:color w:val="auto"/>
              </w:rPr>
            </w:pPr>
          </w:p>
        </w:tc>
        <w:tc>
          <w:tcPr>
            <w:tcW w:w="112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Total</w:t>
            </w:r>
          </w:p>
        </w:tc>
        <w:tc>
          <w:tcPr>
            <w:tcW w:w="1100" w:type="dxa"/>
            <w:vAlign w:val="bottom"/>
            <w:tcBorders>
              <w:bottom w:val="single" w:sz="8" w:color="D9D9D6"/>
            </w:tcBorders>
          </w:tcPr>
          <w:p>
            <w:pPr>
              <w:ind w:left="880"/>
              <w:spacing w:after="0"/>
              <w:rPr>
                <w:sz w:val="20"/>
                <w:szCs w:val="20"/>
                <w:color w:val="auto"/>
              </w:rPr>
            </w:pPr>
            <w:r>
              <w:rPr>
                <w:rFonts w:ascii="Arial" w:cs="Arial" w:eastAsia="Arial" w:hAnsi="Arial"/>
                <w:sz w:val="16"/>
                <w:szCs w:val="16"/>
                <w:b w:val="1"/>
                <w:bCs w:val="1"/>
                <w:color w:val="3D3935"/>
              </w:rPr>
              <w:t>—</w:t>
            </w:r>
          </w:p>
        </w:tc>
        <w:tc>
          <w:tcPr>
            <w:tcW w:w="1100" w:type="dxa"/>
            <w:vAlign w:val="bottom"/>
            <w:tcBorders>
              <w:bottom w:val="single" w:sz="8" w:color="D9D9D6"/>
            </w:tcBorders>
          </w:tcPr>
          <w:p>
            <w:pPr>
              <w:jc w:val="right"/>
              <w:ind w:right="100"/>
              <w:spacing w:after="0"/>
              <w:rPr>
                <w:sz w:val="20"/>
                <w:szCs w:val="20"/>
                <w:color w:val="auto"/>
              </w:rPr>
            </w:pPr>
            <w:r>
              <w:rPr>
                <w:rFonts w:ascii="Arial" w:cs="Arial" w:eastAsia="Arial" w:hAnsi="Arial"/>
                <w:sz w:val="16"/>
                <w:szCs w:val="16"/>
                <w:b w:val="1"/>
                <w:bCs w:val="1"/>
                <w:color w:val="3D3935"/>
              </w:rPr>
              <w:t>12,855,810</w:t>
            </w:r>
          </w:p>
        </w:tc>
        <w:tc>
          <w:tcPr>
            <w:tcW w:w="1120" w:type="dxa"/>
            <w:vAlign w:val="bottom"/>
            <w:tcBorders>
              <w:bottom w:val="single" w:sz="8" w:color="D9D9D6"/>
            </w:tcBorders>
          </w:tcPr>
          <w:p>
            <w:pPr>
              <w:jc w:val="right"/>
              <w:ind w:right="60"/>
              <w:spacing w:after="0"/>
              <w:rPr>
                <w:sz w:val="20"/>
                <w:szCs w:val="20"/>
                <w:color w:val="auto"/>
              </w:rPr>
            </w:pPr>
            <w:r>
              <w:rPr>
                <w:rFonts w:ascii="Arial" w:cs="Arial" w:eastAsia="Arial" w:hAnsi="Arial"/>
                <w:sz w:val="16"/>
                <w:szCs w:val="16"/>
                <w:b w:val="1"/>
                <w:bCs w:val="1"/>
                <w:color w:val="3D3935"/>
              </w:rPr>
              <w:t>41,051,462</w:t>
            </w:r>
          </w:p>
        </w:tc>
        <w:tc>
          <w:tcPr>
            <w:tcW w:w="1080" w:type="dxa"/>
            <w:vAlign w:val="bottom"/>
            <w:tcBorders>
              <w:bottom w:val="single" w:sz="8" w:color="D9D9D6"/>
            </w:tcBorders>
          </w:tcPr>
          <w:p>
            <w:pPr>
              <w:jc w:val="right"/>
              <w:ind w:right="100"/>
              <w:spacing w:after="0"/>
              <w:rPr>
                <w:sz w:val="20"/>
                <w:szCs w:val="20"/>
                <w:color w:val="auto"/>
              </w:rPr>
            </w:pPr>
            <w:r>
              <w:rPr>
                <w:rFonts w:ascii="Arial" w:cs="Arial" w:eastAsia="Arial" w:hAnsi="Arial"/>
                <w:sz w:val="16"/>
                <w:szCs w:val="16"/>
                <w:b w:val="1"/>
                <w:bCs w:val="1"/>
                <w:color w:val="3D3935"/>
              </w:rPr>
              <w:t>41,051,462</w:t>
            </w:r>
          </w:p>
        </w:tc>
        <w:tc>
          <w:tcPr>
            <w:tcW w:w="1100" w:type="dxa"/>
            <w:vAlign w:val="bottom"/>
            <w:tcBorders>
              <w:bottom w:val="single" w:sz="8" w:color="D9D9D6"/>
            </w:tcBorders>
          </w:tcPr>
          <w:p>
            <w:pPr>
              <w:jc w:val="right"/>
              <w:ind w:right="80"/>
              <w:spacing w:after="0"/>
              <w:rPr>
                <w:sz w:val="20"/>
                <w:szCs w:val="20"/>
                <w:color w:val="auto"/>
              </w:rPr>
            </w:pPr>
            <w:r>
              <w:rPr>
                <w:rFonts w:ascii="Arial" w:cs="Arial" w:eastAsia="Arial" w:hAnsi="Arial"/>
                <w:sz w:val="16"/>
                <w:szCs w:val="16"/>
                <w:b w:val="1"/>
                <w:bCs w:val="1"/>
                <w:color w:val="3D3935"/>
              </w:rPr>
              <w:t>41,051,462</w:t>
            </w:r>
          </w:p>
        </w:tc>
        <w:tc>
          <w:tcPr>
            <w:tcW w:w="1040" w:type="dxa"/>
            <w:vAlign w:val="bottom"/>
            <w:tcBorders>
              <w:bottom w:val="single" w:sz="8" w:color="D9D9D6"/>
            </w:tcBorders>
          </w:tcPr>
          <w:p>
            <w:pPr>
              <w:jc w:val="right"/>
              <w:ind w:right="20"/>
              <w:spacing w:after="0"/>
              <w:rPr>
                <w:sz w:val="20"/>
                <w:szCs w:val="20"/>
                <w:color w:val="auto"/>
              </w:rPr>
            </w:pPr>
            <w:r>
              <w:rPr>
                <w:rFonts w:ascii="Arial" w:cs="Arial" w:eastAsia="Arial" w:hAnsi="Arial"/>
                <w:sz w:val="16"/>
                <w:szCs w:val="16"/>
                <w:b w:val="1"/>
                <w:bCs w:val="1"/>
                <w:color w:val="3D3935"/>
              </w:rPr>
              <w:t>42,313,393</w:t>
            </w:r>
          </w:p>
        </w:tc>
        <w:tc>
          <w:tcPr>
            <w:tcW w:w="0" w:type="dxa"/>
            <w:vAlign w:val="bottom"/>
          </w:tcPr>
          <w:p>
            <w:pPr>
              <w:spacing w:after="0"/>
              <w:rPr>
                <w:sz w:val="1"/>
                <w:szCs w:val="1"/>
                <w:color w:val="auto"/>
              </w:rPr>
            </w:pPr>
          </w:p>
        </w:tc>
      </w:tr>
      <w:tr>
        <w:trPr>
          <w:trHeight w:val="202"/>
        </w:trPr>
        <w:tc>
          <w:tcPr>
            <w:tcW w:w="1420" w:type="dxa"/>
            <w:vAlign w:val="bottom"/>
          </w:tcPr>
          <w:p>
            <w:pPr>
              <w:ind w:left="60"/>
              <w:spacing w:after="0"/>
              <w:rPr>
                <w:sz w:val="20"/>
                <w:szCs w:val="20"/>
                <w:color w:val="auto"/>
              </w:rPr>
            </w:pPr>
            <w:r>
              <w:rPr>
                <w:rFonts w:ascii="Arial" w:cs="Arial" w:eastAsia="Arial" w:hAnsi="Arial"/>
                <w:sz w:val="16"/>
                <w:szCs w:val="16"/>
                <w:b w:val="1"/>
                <w:bCs w:val="1"/>
                <w:color w:val="0072CE"/>
              </w:rPr>
              <w:t>Michael Abbott</w:t>
            </w:r>
          </w:p>
        </w:tc>
        <w:tc>
          <w:tcPr>
            <w:tcW w:w="1120" w:type="dxa"/>
            <w:vAlign w:val="bottom"/>
          </w:tcPr>
          <w:p>
            <w:pPr>
              <w:ind w:left="60"/>
              <w:spacing w:after="0"/>
              <w:rPr>
                <w:sz w:val="20"/>
                <w:szCs w:val="20"/>
                <w:color w:val="auto"/>
              </w:rPr>
            </w:pPr>
            <w:r>
              <w:rPr>
                <w:rFonts w:ascii="Arial" w:cs="Arial" w:eastAsia="Arial" w:hAnsi="Arial"/>
                <w:sz w:val="16"/>
                <w:szCs w:val="16"/>
                <w:color w:val="3D3935"/>
              </w:rPr>
              <w:t>Cash</w:t>
            </w:r>
          </w:p>
        </w:tc>
        <w:tc>
          <w:tcPr>
            <w:tcW w:w="1100" w:type="dxa"/>
            <w:vAlign w:val="bottom"/>
          </w:tcPr>
          <w:p>
            <w:pPr>
              <w:ind w:left="880"/>
              <w:spacing w:after="0"/>
              <w:rPr>
                <w:sz w:val="20"/>
                <w:szCs w:val="20"/>
                <w:color w:val="auto"/>
              </w:rPr>
            </w:pPr>
            <w:r>
              <w:rPr>
                <w:rFonts w:ascii="Arial" w:cs="Arial" w:eastAsia="Arial" w:hAnsi="Arial"/>
                <w:sz w:val="16"/>
                <w:szCs w:val="16"/>
                <w:color w:val="3D3935"/>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3D3935"/>
              </w:rPr>
              <w:t>—</w:t>
            </w:r>
          </w:p>
        </w:tc>
        <w:tc>
          <w:tcPr>
            <w:tcW w:w="1120" w:type="dxa"/>
            <w:vAlign w:val="bottom"/>
          </w:tcPr>
          <w:p>
            <w:pPr>
              <w:ind w:left="920"/>
              <w:spacing w:after="0"/>
              <w:rPr>
                <w:sz w:val="20"/>
                <w:szCs w:val="20"/>
                <w:color w:val="auto"/>
              </w:rPr>
            </w:pPr>
            <w:r>
              <w:rPr>
                <w:rFonts w:ascii="Arial" w:cs="Arial" w:eastAsia="Arial" w:hAnsi="Arial"/>
                <w:sz w:val="16"/>
                <w:szCs w:val="16"/>
                <w:color w:val="3D3935"/>
              </w:rPr>
              <w:t>—</w:t>
            </w:r>
          </w:p>
        </w:tc>
        <w:tc>
          <w:tcPr>
            <w:tcW w:w="1080" w:type="dxa"/>
            <w:vAlign w:val="bottom"/>
          </w:tcPr>
          <w:p>
            <w:pPr>
              <w:jc w:val="right"/>
              <w:spacing w:after="0"/>
              <w:rPr>
                <w:sz w:val="20"/>
                <w:szCs w:val="20"/>
                <w:color w:val="auto"/>
              </w:rPr>
            </w:pPr>
            <w:r>
              <w:rPr>
                <w:rFonts w:ascii="Arial" w:cs="Arial" w:eastAsia="Arial" w:hAnsi="Arial"/>
                <w:sz w:val="16"/>
                <w:szCs w:val="16"/>
                <w:color w:val="3D3935"/>
              </w:rPr>
              <w:t>—</w:t>
            </w:r>
          </w:p>
        </w:tc>
        <w:tc>
          <w:tcPr>
            <w:tcW w:w="1100" w:type="dxa"/>
            <w:vAlign w:val="bottom"/>
          </w:tcPr>
          <w:p>
            <w:pPr>
              <w:jc w:val="right"/>
              <w:spacing w:after="0"/>
              <w:rPr>
                <w:sz w:val="20"/>
                <w:szCs w:val="20"/>
                <w:color w:val="auto"/>
              </w:rPr>
            </w:pPr>
            <w:r>
              <w:rPr>
                <w:rFonts w:ascii="Arial" w:cs="Arial" w:eastAsia="Arial" w:hAnsi="Arial"/>
                <w:sz w:val="16"/>
                <w:szCs w:val="16"/>
                <w:color w:val="3D3935"/>
              </w:rPr>
              <w:t>—</w:t>
            </w:r>
          </w:p>
        </w:tc>
        <w:tc>
          <w:tcPr>
            <w:tcW w:w="1040" w:type="dxa"/>
            <w:vAlign w:val="bottom"/>
          </w:tcPr>
          <w:p>
            <w:pPr>
              <w:jc w:val="right"/>
              <w:spacing w:after="0"/>
              <w:rPr>
                <w:sz w:val="20"/>
                <w:szCs w:val="20"/>
                <w:color w:val="auto"/>
              </w:rPr>
            </w:pPr>
            <w:r>
              <w:rPr>
                <w:rFonts w:ascii="Arial" w:cs="Arial" w:eastAsia="Arial" w:hAnsi="Arial"/>
                <w:sz w:val="16"/>
                <w:szCs w:val="16"/>
                <w:color w:val="3D3935"/>
              </w:rPr>
              <w:t>—</w:t>
            </w:r>
          </w:p>
        </w:tc>
        <w:tc>
          <w:tcPr>
            <w:tcW w:w="0" w:type="dxa"/>
            <w:vAlign w:val="bottom"/>
          </w:tcPr>
          <w:p>
            <w:pPr>
              <w:spacing w:after="0"/>
              <w:rPr>
                <w:sz w:val="1"/>
                <w:szCs w:val="1"/>
                <w:color w:val="auto"/>
              </w:rPr>
            </w:pPr>
          </w:p>
        </w:tc>
      </w:tr>
      <w:tr>
        <w:trPr>
          <w:trHeight w:val="51"/>
        </w:trPr>
        <w:tc>
          <w:tcPr>
            <w:tcW w:w="1420" w:type="dxa"/>
            <w:vAlign w:val="bottom"/>
            <w:vMerge w:val="restart"/>
          </w:tcPr>
          <w:p>
            <w:pPr>
              <w:ind w:left="60"/>
              <w:spacing w:after="0"/>
              <w:rPr>
                <w:sz w:val="20"/>
                <w:szCs w:val="20"/>
                <w:color w:val="auto"/>
              </w:rPr>
            </w:pPr>
            <w:r>
              <w:rPr>
                <w:rFonts w:ascii="Arial" w:cs="Arial" w:eastAsia="Arial" w:hAnsi="Arial"/>
                <w:sz w:val="11"/>
                <w:szCs w:val="11"/>
                <w:b w:val="1"/>
                <w:bCs w:val="1"/>
                <w:color w:val="0072CE"/>
              </w:rPr>
              <w:t>(5)</w:t>
            </w:r>
          </w:p>
        </w:tc>
        <w:tc>
          <w:tcPr>
            <w:tcW w:w="1120" w:type="dxa"/>
            <w:vAlign w:val="bottom"/>
            <w:tcBorders>
              <w:bottom w:val="single" w:sz="8" w:color="D9D9D6"/>
            </w:tcBorders>
          </w:tcPr>
          <w:p>
            <w:pPr>
              <w:spacing w:after="0"/>
              <w:rPr>
                <w:sz w:val="4"/>
                <w:szCs w:val="4"/>
                <w:color w:val="auto"/>
              </w:rPr>
            </w:pPr>
          </w:p>
        </w:tc>
        <w:tc>
          <w:tcPr>
            <w:tcW w:w="1100" w:type="dxa"/>
            <w:vAlign w:val="bottom"/>
            <w:tcBorders>
              <w:bottom w:val="single" w:sz="8" w:color="D9D9D6"/>
            </w:tcBorders>
          </w:tcPr>
          <w:p>
            <w:pPr>
              <w:spacing w:after="0"/>
              <w:rPr>
                <w:sz w:val="4"/>
                <w:szCs w:val="4"/>
                <w:color w:val="auto"/>
              </w:rPr>
            </w:pPr>
          </w:p>
        </w:tc>
        <w:tc>
          <w:tcPr>
            <w:tcW w:w="1100" w:type="dxa"/>
            <w:vAlign w:val="bottom"/>
            <w:tcBorders>
              <w:bottom w:val="single" w:sz="8" w:color="D9D9D6"/>
            </w:tcBorders>
          </w:tcPr>
          <w:p>
            <w:pPr>
              <w:spacing w:after="0"/>
              <w:rPr>
                <w:sz w:val="4"/>
                <w:szCs w:val="4"/>
                <w:color w:val="auto"/>
              </w:rPr>
            </w:pPr>
          </w:p>
        </w:tc>
        <w:tc>
          <w:tcPr>
            <w:tcW w:w="1120" w:type="dxa"/>
            <w:vAlign w:val="bottom"/>
            <w:tcBorders>
              <w:bottom w:val="single" w:sz="8" w:color="D9D9D6"/>
            </w:tcBorders>
          </w:tcPr>
          <w:p>
            <w:pPr>
              <w:spacing w:after="0"/>
              <w:rPr>
                <w:sz w:val="4"/>
                <w:szCs w:val="4"/>
                <w:color w:val="auto"/>
              </w:rPr>
            </w:pPr>
          </w:p>
        </w:tc>
        <w:tc>
          <w:tcPr>
            <w:tcW w:w="1080" w:type="dxa"/>
            <w:vAlign w:val="bottom"/>
            <w:tcBorders>
              <w:bottom w:val="single" w:sz="8" w:color="D9D9D6"/>
            </w:tcBorders>
          </w:tcPr>
          <w:p>
            <w:pPr>
              <w:spacing w:after="0"/>
              <w:rPr>
                <w:sz w:val="4"/>
                <w:szCs w:val="4"/>
                <w:color w:val="auto"/>
              </w:rPr>
            </w:pPr>
          </w:p>
        </w:tc>
        <w:tc>
          <w:tcPr>
            <w:tcW w:w="1100" w:type="dxa"/>
            <w:vAlign w:val="bottom"/>
            <w:tcBorders>
              <w:bottom w:val="single" w:sz="8" w:color="D9D9D6"/>
            </w:tcBorders>
          </w:tcPr>
          <w:p>
            <w:pPr>
              <w:spacing w:after="0"/>
              <w:rPr>
                <w:sz w:val="4"/>
                <w:szCs w:val="4"/>
                <w:color w:val="auto"/>
              </w:rPr>
            </w:pPr>
          </w:p>
        </w:tc>
        <w:tc>
          <w:tcPr>
            <w:tcW w:w="1040" w:type="dxa"/>
            <w:vAlign w:val="bottom"/>
            <w:tcBorders>
              <w:bottom w:val="single" w:sz="8" w:color="D9D9D6"/>
            </w:tcBorders>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1420" w:type="dxa"/>
            <w:vAlign w:val="bottom"/>
            <w:vMerge w:val="continue"/>
          </w:tcPr>
          <w:p>
            <w:pPr>
              <w:spacing w:after="0"/>
              <w:rPr>
                <w:sz w:val="6"/>
                <w:szCs w:val="6"/>
                <w:color w:val="auto"/>
              </w:rPr>
            </w:pPr>
          </w:p>
        </w:tc>
        <w:tc>
          <w:tcPr>
            <w:tcW w:w="1120" w:type="dxa"/>
            <w:vAlign w:val="bottom"/>
            <w:vMerge w:val="restart"/>
          </w:tcPr>
          <w:p>
            <w:pPr>
              <w:ind w:left="60"/>
              <w:spacing w:after="0"/>
              <w:rPr>
                <w:sz w:val="20"/>
                <w:szCs w:val="20"/>
                <w:color w:val="auto"/>
              </w:rPr>
            </w:pPr>
            <w:r>
              <w:rPr>
                <w:rFonts w:ascii="Arial" w:cs="Arial" w:eastAsia="Arial" w:hAnsi="Arial"/>
                <w:sz w:val="16"/>
                <w:szCs w:val="16"/>
                <w:color w:val="3D3935"/>
              </w:rPr>
              <w:t>STIP</w:t>
            </w:r>
          </w:p>
        </w:tc>
        <w:tc>
          <w:tcPr>
            <w:tcW w:w="1100" w:type="dxa"/>
            <w:vAlign w:val="bottom"/>
            <w:vMerge w:val="restart"/>
          </w:tcPr>
          <w:p>
            <w:pPr>
              <w:ind w:left="880"/>
              <w:spacing w:after="0"/>
              <w:rPr>
                <w:sz w:val="20"/>
                <w:szCs w:val="20"/>
                <w:color w:val="auto"/>
              </w:rPr>
            </w:pPr>
            <w:r>
              <w:rPr>
                <w:rFonts w:ascii="Arial" w:cs="Arial" w:eastAsia="Arial" w:hAnsi="Arial"/>
                <w:sz w:val="16"/>
                <w:szCs w:val="16"/>
                <w:color w:val="3D3935"/>
              </w:rPr>
              <w:t>—</w:t>
            </w:r>
          </w:p>
        </w:tc>
        <w:tc>
          <w:tcPr>
            <w:tcW w:w="1100" w:type="dxa"/>
            <w:vAlign w:val="bottom"/>
            <w:vMerge w:val="restart"/>
          </w:tcPr>
          <w:p>
            <w:pPr>
              <w:jc w:val="right"/>
              <w:ind w:right="20"/>
              <w:spacing w:after="0"/>
              <w:rPr>
                <w:sz w:val="20"/>
                <w:szCs w:val="20"/>
                <w:color w:val="auto"/>
              </w:rPr>
            </w:pPr>
            <w:r>
              <w:rPr>
                <w:rFonts w:ascii="Arial" w:cs="Arial" w:eastAsia="Arial" w:hAnsi="Arial"/>
                <w:sz w:val="16"/>
                <w:szCs w:val="16"/>
                <w:color w:val="3D3935"/>
              </w:rPr>
              <w:t>—</w:t>
            </w:r>
          </w:p>
        </w:tc>
        <w:tc>
          <w:tcPr>
            <w:tcW w:w="1120" w:type="dxa"/>
            <w:vAlign w:val="bottom"/>
            <w:vMerge w:val="restart"/>
          </w:tcPr>
          <w:p>
            <w:pPr>
              <w:ind w:left="920"/>
              <w:spacing w:after="0"/>
              <w:rPr>
                <w:sz w:val="20"/>
                <w:szCs w:val="20"/>
                <w:color w:val="auto"/>
              </w:rPr>
            </w:pPr>
            <w:r>
              <w:rPr>
                <w:rFonts w:ascii="Arial" w:cs="Arial" w:eastAsia="Arial" w:hAnsi="Arial"/>
                <w:sz w:val="16"/>
                <w:szCs w:val="16"/>
                <w:color w:val="3D3935"/>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3D3935"/>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3D3935"/>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3D3935"/>
              </w:rPr>
              <w:t>—</w:t>
            </w:r>
          </w:p>
        </w:tc>
        <w:tc>
          <w:tcPr>
            <w:tcW w:w="0" w:type="dxa"/>
            <w:vAlign w:val="bottom"/>
          </w:tcPr>
          <w:p>
            <w:pPr>
              <w:spacing w:after="0"/>
              <w:rPr>
                <w:sz w:val="1"/>
                <w:szCs w:val="1"/>
                <w:color w:val="auto"/>
              </w:rPr>
            </w:pPr>
          </w:p>
        </w:tc>
      </w:tr>
      <w:tr>
        <w:trPr>
          <w:trHeight w:val="176"/>
        </w:trPr>
        <w:tc>
          <w:tcPr>
            <w:tcW w:w="1420" w:type="dxa"/>
            <w:vAlign w:val="bottom"/>
          </w:tcPr>
          <w:p>
            <w:pPr>
              <w:spacing w:after="0"/>
              <w:rPr>
                <w:sz w:val="14"/>
                <w:szCs w:val="14"/>
                <w:color w:val="auto"/>
              </w:rPr>
            </w:pPr>
          </w:p>
        </w:tc>
        <w:tc>
          <w:tcPr>
            <w:tcW w:w="1120" w:type="dxa"/>
            <w:vAlign w:val="bottom"/>
            <w:tcBorders>
              <w:bottom w:val="single" w:sz="8" w:color="D9D9D6"/>
            </w:tcBorders>
            <w:vMerge w:val="continue"/>
          </w:tcPr>
          <w:p>
            <w:pPr>
              <w:spacing w:after="0"/>
              <w:rPr>
                <w:sz w:val="14"/>
                <w:szCs w:val="14"/>
                <w:color w:val="auto"/>
              </w:rPr>
            </w:pPr>
          </w:p>
        </w:tc>
        <w:tc>
          <w:tcPr>
            <w:tcW w:w="1100" w:type="dxa"/>
            <w:vAlign w:val="bottom"/>
            <w:tcBorders>
              <w:bottom w:val="single" w:sz="8" w:color="D9D9D6"/>
            </w:tcBorders>
            <w:vMerge w:val="continue"/>
          </w:tcPr>
          <w:p>
            <w:pPr>
              <w:spacing w:after="0"/>
              <w:rPr>
                <w:sz w:val="14"/>
                <w:szCs w:val="14"/>
                <w:color w:val="auto"/>
              </w:rPr>
            </w:pPr>
          </w:p>
        </w:tc>
        <w:tc>
          <w:tcPr>
            <w:tcW w:w="1100" w:type="dxa"/>
            <w:vAlign w:val="bottom"/>
            <w:tcBorders>
              <w:bottom w:val="single" w:sz="8" w:color="D9D9D6"/>
            </w:tcBorders>
            <w:vMerge w:val="continue"/>
          </w:tcPr>
          <w:p>
            <w:pPr>
              <w:spacing w:after="0"/>
              <w:rPr>
                <w:sz w:val="14"/>
                <w:szCs w:val="14"/>
                <w:color w:val="auto"/>
              </w:rPr>
            </w:pPr>
          </w:p>
        </w:tc>
        <w:tc>
          <w:tcPr>
            <w:tcW w:w="1120" w:type="dxa"/>
            <w:vAlign w:val="bottom"/>
            <w:tcBorders>
              <w:bottom w:val="single" w:sz="8" w:color="D9D9D6"/>
            </w:tcBorders>
            <w:vMerge w:val="continue"/>
          </w:tcPr>
          <w:p>
            <w:pPr>
              <w:spacing w:after="0"/>
              <w:rPr>
                <w:sz w:val="14"/>
                <w:szCs w:val="14"/>
                <w:color w:val="auto"/>
              </w:rPr>
            </w:pPr>
          </w:p>
        </w:tc>
        <w:tc>
          <w:tcPr>
            <w:tcW w:w="1080" w:type="dxa"/>
            <w:vAlign w:val="bottom"/>
            <w:tcBorders>
              <w:bottom w:val="single" w:sz="8" w:color="D9D9D6"/>
            </w:tcBorders>
            <w:vMerge w:val="continue"/>
          </w:tcPr>
          <w:p>
            <w:pPr>
              <w:spacing w:after="0"/>
              <w:rPr>
                <w:sz w:val="14"/>
                <w:szCs w:val="14"/>
                <w:color w:val="auto"/>
              </w:rPr>
            </w:pPr>
          </w:p>
        </w:tc>
        <w:tc>
          <w:tcPr>
            <w:tcW w:w="1100" w:type="dxa"/>
            <w:vAlign w:val="bottom"/>
            <w:tcBorders>
              <w:bottom w:val="single" w:sz="8" w:color="D9D9D6"/>
            </w:tcBorders>
            <w:vMerge w:val="continue"/>
          </w:tcPr>
          <w:p>
            <w:pPr>
              <w:spacing w:after="0"/>
              <w:rPr>
                <w:sz w:val="14"/>
                <w:szCs w:val="14"/>
                <w:color w:val="auto"/>
              </w:rPr>
            </w:pPr>
          </w:p>
        </w:tc>
        <w:tc>
          <w:tcPr>
            <w:tcW w:w="1040" w:type="dxa"/>
            <w:vAlign w:val="bottom"/>
            <w:tcBorders>
              <w:bottom w:val="single" w:sz="8" w:color="D9D9D6"/>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420" w:type="dxa"/>
            <w:vAlign w:val="bottom"/>
          </w:tcPr>
          <w:p>
            <w:pPr>
              <w:spacing w:after="0"/>
              <w:rPr>
                <w:sz w:val="21"/>
                <w:szCs w:val="21"/>
                <w:color w:val="auto"/>
              </w:rPr>
            </w:pPr>
          </w:p>
        </w:tc>
        <w:tc>
          <w:tcPr>
            <w:tcW w:w="112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LTIP</w:t>
            </w:r>
          </w:p>
        </w:tc>
        <w:tc>
          <w:tcPr>
            <w:tcW w:w="1100" w:type="dxa"/>
            <w:vAlign w:val="bottom"/>
            <w:tcBorders>
              <w:bottom w:val="single" w:sz="8" w:color="D9D9D6"/>
            </w:tcBorders>
          </w:tcPr>
          <w:p>
            <w:pPr>
              <w:ind w:left="880"/>
              <w:spacing w:after="0"/>
              <w:rPr>
                <w:sz w:val="20"/>
                <w:szCs w:val="20"/>
                <w:color w:val="auto"/>
              </w:rPr>
            </w:pPr>
            <w:r>
              <w:rPr>
                <w:rFonts w:ascii="Arial" w:cs="Arial" w:eastAsia="Arial" w:hAnsi="Arial"/>
                <w:sz w:val="16"/>
                <w:szCs w:val="16"/>
                <w:color w:val="3D3935"/>
              </w:rPr>
              <w:t>—</w:t>
            </w:r>
          </w:p>
        </w:tc>
        <w:tc>
          <w:tcPr>
            <w:tcW w:w="1100" w:type="dxa"/>
            <w:vAlign w:val="bottom"/>
            <w:tcBorders>
              <w:bottom w:val="single" w:sz="8" w:color="D9D9D6"/>
            </w:tcBorders>
          </w:tcPr>
          <w:p>
            <w:pPr>
              <w:jc w:val="right"/>
              <w:ind w:right="20"/>
              <w:spacing w:after="0"/>
              <w:rPr>
                <w:sz w:val="20"/>
                <w:szCs w:val="20"/>
                <w:color w:val="auto"/>
              </w:rPr>
            </w:pPr>
            <w:r>
              <w:rPr>
                <w:rFonts w:ascii="Arial" w:cs="Arial" w:eastAsia="Arial" w:hAnsi="Arial"/>
                <w:sz w:val="16"/>
                <w:szCs w:val="16"/>
                <w:color w:val="3D3935"/>
              </w:rPr>
              <w:t>—</w:t>
            </w:r>
          </w:p>
        </w:tc>
        <w:tc>
          <w:tcPr>
            <w:tcW w:w="1120" w:type="dxa"/>
            <w:vAlign w:val="bottom"/>
            <w:tcBorders>
              <w:bottom w:val="single" w:sz="8" w:color="D9D9D6"/>
            </w:tcBorders>
          </w:tcPr>
          <w:p>
            <w:pPr>
              <w:ind w:left="920"/>
              <w:spacing w:after="0"/>
              <w:rPr>
                <w:sz w:val="20"/>
                <w:szCs w:val="20"/>
                <w:color w:val="auto"/>
              </w:rPr>
            </w:pPr>
            <w:r>
              <w:rPr>
                <w:rFonts w:ascii="Arial" w:cs="Arial" w:eastAsia="Arial" w:hAnsi="Arial"/>
                <w:sz w:val="16"/>
                <w:szCs w:val="16"/>
                <w:color w:val="3D3935"/>
              </w:rPr>
              <w:t>—</w:t>
            </w:r>
          </w:p>
        </w:tc>
        <w:tc>
          <w:tcPr>
            <w:tcW w:w="108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110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10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0" w:type="dxa"/>
            <w:vAlign w:val="bottom"/>
          </w:tcPr>
          <w:p>
            <w:pPr>
              <w:spacing w:after="0"/>
              <w:rPr>
                <w:sz w:val="1"/>
                <w:szCs w:val="1"/>
                <w:color w:val="auto"/>
              </w:rPr>
            </w:pPr>
          </w:p>
        </w:tc>
      </w:tr>
      <w:tr>
        <w:trPr>
          <w:trHeight w:val="253"/>
        </w:trPr>
        <w:tc>
          <w:tcPr>
            <w:tcW w:w="1420" w:type="dxa"/>
            <w:vAlign w:val="bottom"/>
            <w:tcBorders>
              <w:bottom w:val="single" w:sz="8" w:color="D9D9D6"/>
            </w:tcBorders>
          </w:tcPr>
          <w:p>
            <w:pPr>
              <w:spacing w:after="0"/>
              <w:rPr>
                <w:sz w:val="21"/>
                <w:szCs w:val="21"/>
                <w:color w:val="auto"/>
              </w:rPr>
            </w:pPr>
          </w:p>
        </w:tc>
        <w:tc>
          <w:tcPr>
            <w:tcW w:w="112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Total</w:t>
            </w:r>
          </w:p>
        </w:tc>
        <w:tc>
          <w:tcPr>
            <w:tcW w:w="1100" w:type="dxa"/>
            <w:vAlign w:val="bottom"/>
            <w:tcBorders>
              <w:bottom w:val="single" w:sz="8" w:color="D9D9D6"/>
            </w:tcBorders>
          </w:tcPr>
          <w:p>
            <w:pPr>
              <w:ind w:left="880"/>
              <w:spacing w:after="0"/>
              <w:rPr>
                <w:sz w:val="20"/>
                <w:szCs w:val="20"/>
                <w:color w:val="auto"/>
              </w:rPr>
            </w:pPr>
            <w:r>
              <w:rPr>
                <w:rFonts w:ascii="Arial" w:cs="Arial" w:eastAsia="Arial" w:hAnsi="Arial"/>
                <w:sz w:val="16"/>
                <w:szCs w:val="16"/>
                <w:b w:val="1"/>
                <w:bCs w:val="1"/>
                <w:color w:val="3D3935"/>
              </w:rPr>
              <w:t>—</w:t>
            </w:r>
          </w:p>
        </w:tc>
        <w:tc>
          <w:tcPr>
            <w:tcW w:w="1100" w:type="dxa"/>
            <w:vAlign w:val="bottom"/>
            <w:tcBorders>
              <w:bottom w:val="single" w:sz="8" w:color="D9D9D6"/>
            </w:tcBorders>
          </w:tcPr>
          <w:p>
            <w:pPr>
              <w:jc w:val="right"/>
              <w:ind w:right="20"/>
              <w:spacing w:after="0"/>
              <w:rPr>
                <w:sz w:val="20"/>
                <w:szCs w:val="20"/>
                <w:color w:val="auto"/>
              </w:rPr>
            </w:pPr>
            <w:r>
              <w:rPr>
                <w:rFonts w:ascii="Arial" w:cs="Arial" w:eastAsia="Arial" w:hAnsi="Arial"/>
                <w:sz w:val="16"/>
                <w:szCs w:val="16"/>
                <w:b w:val="1"/>
                <w:bCs w:val="1"/>
                <w:color w:val="3D3935"/>
              </w:rPr>
              <w:t>—</w:t>
            </w:r>
          </w:p>
        </w:tc>
        <w:tc>
          <w:tcPr>
            <w:tcW w:w="1120" w:type="dxa"/>
            <w:vAlign w:val="bottom"/>
            <w:tcBorders>
              <w:bottom w:val="single" w:sz="8" w:color="D9D9D6"/>
            </w:tcBorders>
          </w:tcPr>
          <w:p>
            <w:pPr>
              <w:ind w:left="920"/>
              <w:spacing w:after="0"/>
              <w:rPr>
                <w:sz w:val="20"/>
                <w:szCs w:val="20"/>
                <w:color w:val="auto"/>
              </w:rPr>
            </w:pPr>
            <w:r>
              <w:rPr>
                <w:rFonts w:ascii="Arial" w:cs="Arial" w:eastAsia="Arial" w:hAnsi="Arial"/>
                <w:sz w:val="16"/>
                <w:szCs w:val="16"/>
                <w:b w:val="1"/>
                <w:bCs w:val="1"/>
                <w:color w:val="3D3935"/>
              </w:rPr>
              <w:t>—</w:t>
            </w:r>
          </w:p>
        </w:tc>
        <w:tc>
          <w:tcPr>
            <w:tcW w:w="1080" w:type="dxa"/>
            <w:vAlign w:val="bottom"/>
            <w:tcBorders>
              <w:bottom w:val="single" w:sz="8" w:color="D9D9D6"/>
            </w:tcBorders>
          </w:tcPr>
          <w:p>
            <w:pPr>
              <w:jc w:val="right"/>
              <w:spacing w:after="0"/>
              <w:rPr>
                <w:sz w:val="20"/>
                <w:szCs w:val="20"/>
                <w:color w:val="auto"/>
              </w:rPr>
            </w:pPr>
            <w:r>
              <w:rPr>
                <w:rFonts w:ascii="Arial" w:cs="Arial" w:eastAsia="Arial" w:hAnsi="Arial"/>
                <w:sz w:val="16"/>
                <w:szCs w:val="16"/>
                <w:b w:val="1"/>
                <w:bCs w:val="1"/>
                <w:color w:val="3D3935"/>
              </w:rPr>
              <w:t>—</w:t>
            </w:r>
          </w:p>
        </w:tc>
        <w:tc>
          <w:tcPr>
            <w:tcW w:w="1100" w:type="dxa"/>
            <w:vAlign w:val="bottom"/>
            <w:tcBorders>
              <w:bottom w:val="single" w:sz="8" w:color="D9D9D6"/>
            </w:tcBorders>
          </w:tcPr>
          <w:p>
            <w:pPr>
              <w:jc w:val="right"/>
              <w:spacing w:after="0"/>
              <w:rPr>
                <w:sz w:val="20"/>
                <w:szCs w:val="20"/>
                <w:color w:val="auto"/>
              </w:rPr>
            </w:pPr>
            <w:r>
              <w:rPr>
                <w:rFonts w:ascii="Arial" w:cs="Arial" w:eastAsia="Arial" w:hAnsi="Arial"/>
                <w:sz w:val="16"/>
                <w:szCs w:val="16"/>
                <w:b w:val="1"/>
                <w:bCs w:val="1"/>
                <w:color w:val="3D3935"/>
              </w:rPr>
              <w:t>—</w:t>
            </w:r>
          </w:p>
        </w:tc>
        <w:tc>
          <w:tcPr>
            <w:tcW w:w="1040" w:type="dxa"/>
            <w:vAlign w:val="bottom"/>
            <w:tcBorders>
              <w:bottom w:val="single" w:sz="8" w:color="D9D9D6"/>
            </w:tcBorders>
          </w:tcPr>
          <w:p>
            <w:pPr>
              <w:jc w:val="right"/>
              <w:spacing w:after="0"/>
              <w:rPr>
                <w:sz w:val="20"/>
                <w:szCs w:val="20"/>
                <w:color w:val="auto"/>
              </w:rPr>
            </w:pPr>
            <w:r>
              <w:rPr>
                <w:rFonts w:ascii="Arial" w:cs="Arial" w:eastAsia="Arial" w:hAnsi="Arial"/>
                <w:sz w:val="16"/>
                <w:szCs w:val="16"/>
                <w:b w:val="1"/>
                <w:bCs w:val="1"/>
                <w:color w:val="3D3935"/>
              </w:rPr>
              <w:t>—</w:t>
            </w:r>
          </w:p>
        </w:tc>
        <w:tc>
          <w:tcPr>
            <w:tcW w:w="0" w:type="dxa"/>
            <w:vAlign w:val="bottom"/>
          </w:tcPr>
          <w:p>
            <w:pPr>
              <w:spacing w:after="0"/>
              <w:rPr>
                <w:sz w:val="1"/>
                <w:szCs w:val="1"/>
                <w:color w:val="auto"/>
              </w:rPr>
            </w:pPr>
          </w:p>
        </w:tc>
      </w:tr>
      <w:tr>
        <w:trPr>
          <w:trHeight w:val="250"/>
        </w:trPr>
        <w:tc>
          <w:tcPr>
            <w:tcW w:w="1420" w:type="dxa"/>
            <w:vAlign w:val="bottom"/>
          </w:tcPr>
          <w:p>
            <w:pPr>
              <w:ind w:left="60"/>
              <w:spacing w:after="0"/>
              <w:rPr>
                <w:sz w:val="20"/>
                <w:szCs w:val="20"/>
                <w:color w:val="auto"/>
              </w:rPr>
            </w:pPr>
            <w:r>
              <w:rPr>
                <w:rFonts w:ascii="Arial" w:cs="Arial" w:eastAsia="Arial" w:hAnsi="Arial"/>
                <w:sz w:val="16"/>
                <w:szCs w:val="16"/>
                <w:b w:val="1"/>
                <w:bCs w:val="1"/>
                <w:color w:val="0072CE"/>
              </w:rPr>
              <w:t>Craig B. Glidden</w:t>
            </w:r>
          </w:p>
        </w:tc>
        <w:tc>
          <w:tcPr>
            <w:tcW w:w="112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Cash</w:t>
            </w:r>
          </w:p>
        </w:tc>
        <w:tc>
          <w:tcPr>
            <w:tcW w:w="1100" w:type="dxa"/>
            <w:vAlign w:val="bottom"/>
            <w:tcBorders>
              <w:bottom w:val="single" w:sz="8" w:color="D9D9D6"/>
            </w:tcBorders>
          </w:tcPr>
          <w:p>
            <w:pPr>
              <w:ind w:left="880"/>
              <w:spacing w:after="0"/>
              <w:rPr>
                <w:sz w:val="20"/>
                <w:szCs w:val="20"/>
                <w:color w:val="auto"/>
              </w:rPr>
            </w:pPr>
            <w:r>
              <w:rPr>
                <w:rFonts w:ascii="Arial" w:cs="Arial" w:eastAsia="Arial" w:hAnsi="Arial"/>
                <w:sz w:val="16"/>
                <w:szCs w:val="16"/>
                <w:color w:val="3D3935"/>
              </w:rPr>
              <w:t>—</w:t>
            </w:r>
          </w:p>
        </w:tc>
        <w:tc>
          <w:tcPr>
            <w:tcW w:w="1100" w:type="dxa"/>
            <w:vAlign w:val="bottom"/>
            <w:tcBorders>
              <w:bottom w:val="single" w:sz="8" w:color="D9D9D6"/>
            </w:tcBorders>
          </w:tcPr>
          <w:p>
            <w:pPr>
              <w:jc w:val="right"/>
              <w:ind w:right="80"/>
              <w:spacing w:after="0"/>
              <w:rPr>
                <w:sz w:val="20"/>
                <w:szCs w:val="20"/>
                <w:color w:val="auto"/>
              </w:rPr>
            </w:pPr>
            <w:r>
              <w:rPr>
                <w:rFonts w:ascii="Arial" w:cs="Arial" w:eastAsia="Arial" w:hAnsi="Arial"/>
                <w:sz w:val="16"/>
                <w:szCs w:val="16"/>
                <w:color w:val="3D3935"/>
              </w:rPr>
              <w:t>1,687,693</w:t>
            </w:r>
          </w:p>
        </w:tc>
        <w:tc>
          <w:tcPr>
            <w:tcW w:w="1120" w:type="dxa"/>
            <w:vAlign w:val="bottom"/>
            <w:tcBorders>
              <w:bottom w:val="single" w:sz="8" w:color="D9D9D6"/>
            </w:tcBorders>
          </w:tcPr>
          <w:p>
            <w:pPr>
              <w:ind w:left="920"/>
              <w:spacing w:after="0"/>
              <w:rPr>
                <w:sz w:val="20"/>
                <w:szCs w:val="20"/>
                <w:color w:val="auto"/>
              </w:rPr>
            </w:pPr>
            <w:r>
              <w:rPr>
                <w:rFonts w:ascii="Arial" w:cs="Arial" w:eastAsia="Arial" w:hAnsi="Arial"/>
                <w:sz w:val="16"/>
                <w:szCs w:val="16"/>
                <w:color w:val="3D3935"/>
              </w:rPr>
              <w:t>—</w:t>
            </w:r>
          </w:p>
        </w:tc>
        <w:tc>
          <w:tcPr>
            <w:tcW w:w="108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110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10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1,672,693</w:t>
            </w:r>
          </w:p>
        </w:tc>
        <w:tc>
          <w:tcPr>
            <w:tcW w:w="0" w:type="dxa"/>
            <w:vAlign w:val="bottom"/>
          </w:tcPr>
          <w:p>
            <w:pPr>
              <w:spacing w:after="0"/>
              <w:rPr>
                <w:sz w:val="1"/>
                <w:szCs w:val="1"/>
                <w:color w:val="auto"/>
              </w:rPr>
            </w:pPr>
          </w:p>
        </w:tc>
      </w:tr>
      <w:tr>
        <w:trPr>
          <w:trHeight w:val="247"/>
        </w:trPr>
        <w:tc>
          <w:tcPr>
            <w:tcW w:w="1420" w:type="dxa"/>
            <w:vAlign w:val="bottom"/>
          </w:tcPr>
          <w:p>
            <w:pPr>
              <w:spacing w:after="0"/>
              <w:rPr>
                <w:sz w:val="21"/>
                <w:szCs w:val="21"/>
                <w:color w:val="auto"/>
              </w:rPr>
            </w:pPr>
          </w:p>
        </w:tc>
        <w:tc>
          <w:tcPr>
            <w:tcW w:w="112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STIP</w:t>
            </w:r>
          </w:p>
        </w:tc>
        <w:tc>
          <w:tcPr>
            <w:tcW w:w="1100" w:type="dxa"/>
            <w:vAlign w:val="bottom"/>
            <w:tcBorders>
              <w:bottom w:val="single" w:sz="8" w:color="D9D9D6"/>
            </w:tcBorders>
          </w:tcPr>
          <w:p>
            <w:pPr>
              <w:ind w:left="880"/>
              <w:spacing w:after="0"/>
              <w:rPr>
                <w:sz w:val="20"/>
                <w:szCs w:val="20"/>
                <w:color w:val="auto"/>
              </w:rPr>
            </w:pPr>
            <w:r>
              <w:rPr>
                <w:rFonts w:ascii="Arial" w:cs="Arial" w:eastAsia="Arial" w:hAnsi="Arial"/>
                <w:sz w:val="16"/>
                <w:szCs w:val="16"/>
                <w:color w:val="3D3935"/>
              </w:rPr>
              <w:t>—</w:t>
            </w:r>
          </w:p>
        </w:tc>
        <w:tc>
          <w:tcPr>
            <w:tcW w:w="1100" w:type="dxa"/>
            <w:vAlign w:val="bottom"/>
            <w:tcBorders>
              <w:bottom w:val="single" w:sz="8" w:color="D9D9D6"/>
            </w:tcBorders>
          </w:tcPr>
          <w:p>
            <w:pPr>
              <w:jc w:val="right"/>
              <w:ind w:right="100"/>
              <w:spacing w:after="0"/>
              <w:rPr>
                <w:sz w:val="20"/>
                <w:szCs w:val="20"/>
                <w:color w:val="auto"/>
              </w:rPr>
            </w:pPr>
            <w:r>
              <w:rPr>
                <w:rFonts w:ascii="Arial" w:cs="Arial" w:eastAsia="Arial" w:hAnsi="Arial"/>
                <w:sz w:val="16"/>
                <w:szCs w:val="16"/>
                <w:color w:val="3D3935"/>
              </w:rPr>
              <w:t>1,375,000</w:t>
            </w:r>
          </w:p>
        </w:tc>
        <w:tc>
          <w:tcPr>
            <w:tcW w:w="1120" w:type="dxa"/>
            <w:vAlign w:val="bottom"/>
            <w:tcBorders>
              <w:bottom w:val="single" w:sz="8" w:color="D9D9D6"/>
            </w:tcBorders>
          </w:tcPr>
          <w:p>
            <w:pPr>
              <w:jc w:val="right"/>
              <w:ind w:right="60"/>
              <w:spacing w:after="0"/>
              <w:rPr>
                <w:sz w:val="20"/>
                <w:szCs w:val="20"/>
                <w:color w:val="auto"/>
              </w:rPr>
            </w:pPr>
            <w:r>
              <w:rPr>
                <w:rFonts w:ascii="Arial" w:cs="Arial" w:eastAsia="Arial" w:hAnsi="Arial"/>
                <w:sz w:val="16"/>
                <w:szCs w:val="16"/>
                <w:color w:val="3D3935"/>
              </w:rPr>
              <w:t>2,021,250</w:t>
            </w:r>
          </w:p>
        </w:tc>
        <w:tc>
          <w:tcPr>
            <w:tcW w:w="1080" w:type="dxa"/>
            <w:vAlign w:val="bottom"/>
            <w:tcBorders>
              <w:bottom w:val="single" w:sz="8" w:color="D9D9D6"/>
            </w:tcBorders>
          </w:tcPr>
          <w:p>
            <w:pPr>
              <w:jc w:val="right"/>
              <w:ind w:right="100"/>
              <w:spacing w:after="0"/>
              <w:rPr>
                <w:sz w:val="20"/>
                <w:szCs w:val="20"/>
                <w:color w:val="auto"/>
              </w:rPr>
            </w:pPr>
            <w:r>
              <w:rPr>
                <w:rFonts w:ascii="Arial" w:cs="Arial" w:eastAsia="Arial" w:hAnsi="Arial"/>
                <w:sz w:val="16"/>
                <w:szCs w:val="16"/>
                <w:color w:val="3D3935"/>
              </w:rPr>
              <w:t>2,021,250</w:t>
            </w:r>
          </w:p>
        </w:tc>
        <w:tc>
          <w:tcPr>
            <w:tcW w:w="1100" w:type="dxa"/>
            <w:vAlign w:val="bottom"/>
            <w:tcBorders>
              <w:bottom w:val="single" w:sz="8" w:color="D9D9D6"/>
            </w:tcBorders>
          </w:tcPr>
          <w:p>
            <w:pPr>
              <w:jc w:val="right"/>
              <w:ind w:right="80"/>
              <w:spacing w:after="0"/>
              <w:rPr>
                <w:sz w:val="20"/>
                <w:szCs w:val="20"/>
                <w:color w:val="auto"/>
              </w:rPr>
            </w:pPr>
            <w:r>
              <w:rPr>
                <w:rFonts w:ascii="Arial" w:cs="Arial" w:eastAsia="Arial" w:hAnsi="Arial"/>
                <w:sz w:val="16"/>
                <w:szCs w:val="16"/>
                <w:color w:val="3D3935"/>
              </w:rPr>
              <w:t>2,021,250</w:t>
            </w:r>
          </w:p>
        </w:tc>
        <w:tc>
          <w:tcPr>
            <w:tcW w:w="10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1,375,000</w:t>
            </w:r>
          </w:p>
        </w:tc>
        <w:tc>
          <w:tcPr>
            <w:tcW w:w="0" w:type="dxa"/>
            <w:vAlign w:val="bottom"/>
          </w:tcPr>
          <w:p>
            <w:pPr>
              <w:spacing w:after="0"/>
              <w:rPr>
                <w:sz w:val="1"/>
                <w:szCs w:val="1"/>
                <w:color w:val="auto"/>
              </w:rPr>
            </w:pPr>
          </w:p>
        </w:tc>
      </w:tr>
      <w:tr>
        <w:trPr>
          <w:trHeight w:val="250"/>
        </w:trPr>
        <w:tc>
          <w:tcPr>
            <w:tcW w:w="1420" w:type="dxa"/>
            <w:vAlign w:val="bottom"/>
          </w:tcPr>
          <w:p>
            <w:pPr>
              <w:spacing w:after="0"/>
              <w:rPr>
                <w:sz w:val="21"/>
                <w:szCs w:val="21"/>
                <w:color w:val="auto"/>
              </w:rPr>
            </w:pPr>
          </w:p>
        </w:tc>
        <w:tc>
          <w:tcPr>
            <w:tcW w:w="112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LTIP</w:t>
            </w:r>
          </w:p>
        </w:tc>
        <w:tc>
          <w:tcPr>
            <w:tcW w:w="1100" w:type="dxa"/>
            <w:vAlign w:val="bottom"/>
            <w:tcBorders>
              <w:bottom w:val="single" w:sz="8" w:color="D9D9D6"/>
            </w:tcBorders>
          </w:tcPr>
          <w:p>
            <w:pPr>
              <w:ind w:left="880"/>
              <w:spacing w:after="0"/>
              <w:rPr>
                <w:sz w:val="20"/>
                <w:szCs w:val="20"/>
                <w:color w:val="auto"/>
              </w:rPr>
            </w:pPr>
            <w:r>
              <w:rPr>
                <w:rFonts w:ascii="Arial" w:cs="Arial" w:eastAsia="Arial" w:hAnsi="Arial"/>
                <w:sz w:val="16"/>
                <w:szCs w:val="16"/>
                <w:color w:val="3D3935"/>
              </w:rPr>
              <w:t>—</w:t>
            </w:r>
          </w:p>
        </w:tc>
        <w:tc>
          <w:tcPr>
            <w:tcW w:w="1100" w:type="dxa"/>
            <w:vAlign w:val="bottom"/>
            <w:tcBorders>
              <w:bottom w:val="single" w:sz="8" w:color="D9D9D6"/>
            </w:tcBorders>
          </w:tcPr>
          <w:p>
            <w:pPr>
              <w:jc w:val="right"/>
              <w:ind w:right="100"/>
              <w:spacing w:after="0"/>
              <w:rPr>
                <w:sz w:val="20"/>
                <w:szCs w:val="20"/>
                <w:color w:val="auto"/>
              </w:rPr>
            </w:pPr>
            <w:r>
              <w:rPr>
                <w:rFonts w:ascii="Arial" w:cs="Arial" w:eastAsia="Arial" w:hAnsi="Arial"/>
                <w:sz w:val="16"/>
                <w:szCs w:val="16"/>
                <w:color w:val="3D3935"/>
              </w:rPr>
              <w:t>7,687,386</w:t>
            </w:r>
          </w:p>
        </w:tc>
        <w:tc>
          <w:tcPr>
            <w:tcW w:w="1120" w:type="dxa"/>
            <w:vAlign w:val="bottom"/>
            <w:tcBorders>
              <w:bottom w:val="single" w:sz="8" w:color="D9D9D6"/>
            </w:tcBorders>
          </w:tcPr>
          <w:p>
            <w:pPr>
              <w:ind w:left="140"/>
              <w:spacing w:after="0"/>
              <w:rPr>
                <w:sz w:val="20"/>
                <w:szCs w:val="20"/>
                <w:color w:val="auto"/>
              </w:rPr>
            </w:pPr>
            <w:r>
              <w:rPr>
                <w:rFonts w:ascii="Arial" w:cs="Arial" w:eastAsia="Arial" w:hAnsi="Arial"/>
                <w:sz w:val="16"/>
                <w:szCs w:val="16"/>
                <w:color w:val="3D3935"/>
              </w:rPr>
              <w:t>22,044,730</w:t>
            </w:r>
          </w:p>
        </w:tc>
        <w:tc>
          <w:tcPr>
            <w:tcW w:w="1080" w:type="dxa"/>
            <w:vAlign w:val="bottom"/>
            <w:tcBorders>
              <w:bottom w:val="single" w:sz="8" w:color="D9D9D6"/>
            </w:tcBorders>
          </w:tcPr>
          <w:p>
            <w:pPr>
              <w:jc w:val="right"/>
              <w:ind w:right="140"/>
              <w:spacing w:after="0"/>
              <w:rPr>
                <w:sz w:val="20"/>
                <w:szCs w:val="20"/>
                <w:color w:val="auto"/>
              </w:rPr>
            </w:pPr>
            <w:r>
              <w:rPr>
                <w:rFonts w:ascii="Arial" w:cs="Arial" w:eastAsia="Arial" w:hAnsi="Arial"/>
                <w:sz w:val="16"/>
                <w:szCs w:val="16"/>
                <w:color w:val="3D3935"/>
              </w:rPr>
              <w:t>22,044,730</w:t>
            </w:r>
          </w:p>
        </w:tc>
        <w:tc>
          <w:tcPr>
            <w:tcW w:w="1100" w:type="dxa"/>
            <w:vAlign w:val="bottom"/>
            <w:tcBorders>
              <w:bottom w:val="single" w:sz="8" w:color="D9D9D6"/>
            </w:tcBorders>
          </w:tcPr>
          <w:p>
            <w:pPr>
              <w:jc w:val="right"/>
              <w:ind w:right="120"/>
              <w:spacing w:after="0"/>
              <w:rPr>
                <w:sz w:val="20"/>
                <w:szCs w:val="20"/>
                <w:color w:val="auto"/>
              </w:rPr>
            </w:pPr>
            <w:r>
              <w:rPr>
                <w:rFonts w:ascii="Arial" w:cs="Arial" w:eastAsia="Arial" w:hAnsi="Arial"/>
                <w:sz w:val="16"/>
                <w:szCs w:val="16"/>
                <w:color w:val="3D3935"/>
              </w:rPr>
              <w:t>22,044,730</w:t>
            </w:r>
          </w:p>
        </w:tc>
        <w:tc>
          <w:tcPr>
            <w:tcW w:w="1040" w:type="dxa"/>
            <w:vAlign w:val="bottom"/>
            <w:tcBorders>
              <w:bottom w:val="single" w:sz="8" w:color="D9D9D6"/>
            </w:tcBorders>
          </w:tcPr>
          <w:p>
            <w:pPr>
              <w:jc w:val="right"/>
              <w:ind w:right="60"/>
              <w:spacing w:after="0"/>
              <w:rPr>
                <w:sz w:val="20"/>
                <w:szCs w:val="20"/>
                <w:color w:val="auto"/>
              </w:rPr>
            </w:pPr>
            <w:r>
              <w:rPr>
                <w:rFonts w:ascii="Arial" w:cs="Arial" w:eastAsia="Arial" w:hAnsi="Arial"/>
                <w:sz w:val="16"/>
                <w:szCs w:val="16"/>
                <w:color w:val="3D3935"/>
              </w:rPr>
              <w:t>22,044,730</w:t>
            </w:r>
          </w:p>
        </w:tc>
        <w:tc>
          <w:tcPr>
            <w:tcW w:w="0" w:type="dxa"/>
            <w:vAlign w:val="bottom"/>
          </w:tcPr>
          <w:p>
            <w:pPr>
              <w:spacing w:after="0"/>
              <w:rPr>
                <w:sz w:val="1"/>
                <w:szCs w:val="1"/>
                <w:color w:val="auto"/>
              </w:rPr>
            </w:pPr>
          </w:p>
        </w:tc>
      </w:tr>
      <w:tr>
        <w:trPr>
          <w:trHeight w:val="253"/>
        </w:trPr>
        <w:tc>
          <w:tcPr>
            <w:tcW w:w="1420" w:type="dxa"/>
            <w:vAlign w:val="bottom"/>
            <w:tcBorders>
              <w:bottom w:val="single" w:sz="8" w:color="D9D9D6"/>
            </w:tcBorders>
          </w:tcPr>
          <w:p>
            <w:pPr>
              <w:spacing w:after="0"/>
              <w:rPr>
                <w:sz w:val="21"/>
                <w:szCs w:val="21"/>
                <w:color w:val="auto"/>
              </w:rPr>
            </w:pPr>
          </w:p>
        </w:tc>
        <w:tc>
          <w:tcPr>
            <w:tcW w:w="112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Total</w:t>
            </w:r>
          </w:p>
        </w:tc>
        <w:tc>
          <w:tcPr>
            <w:tcW w:w="1100" w:type="dxa"/>
            <w:vAlign w:val="bottom"/>
            <w:tcBorders>
              <w:bottom w:val="single" w:sz="8" w:color="D9D9D6"/>
            </w:tcBorders>
          </w:tcPr>
          <w:p>
            <w:pPr>
              <w:ind w:left="880"/>
              <w:spacing w:after="0"/>
              <w:rPr>
                <w:sz w:val="20"/>
                <w:szCs w:val="20"/>
                <w:color w:val="auto"/>
              </w:rPr>
            </w:pPr>
            <w:r>
              <w:rPr>
                <w:rFonts w:ascii="Arial" w:cs="Arial" w:eastAsia="Arial" w:hAnsi="Arial"/>
                <w:sz w:val="16"/>
                <w:szCs w:val="16"/>
                <w:b w:val="1"/>
                <w:bCs w:val="1"/>
                <w:color w:val="3D3935"/>
              </w:rPr>
              <w:t>—</w:t>
            </w:r>
          </w:p>
        </w:tc>
        <w:tc>
          <w:tcPr>
            <w:tcW w:w="1100" w:type="dxa"/>
            <w:vAlign w:val="bottom"/>
            <w:tcBorders>
              <w:bottom w:val="single" w:sz="8" w:color="D9D9D6"/>
            </w:tcBorders>
          </w:tcPr>
          <w:p>
            <w:pPr>
              <w:jc w:val="right"/>
              <w:ind w:right="120"/>
              <w:spacing w:after="0"/>
              <w:rPr>
                <w:sz w:val="20"/>
                <w:szCs w:val="20"/>
                <w:color w:val="auto"/>
              </w:rPr>
            </w:pPr>
            <w:r>
              <w:rPr>
                <w:rFonts w:ascii="Arial" w:cs="Arial" w:eastAsia="Arial" w:hAnsi="Arial"/>
                <w:sz w:val="16"/>
                <w:szCs w:val="16"/>
                <w:b w:val="1"/>
                <w:bCs w:val="1"/>
                <w:color w:val="3D3935"/>
              </w:rPr>
              <w:t>10,750,079</w:t>
            </w:r>
          </w:p>
        </w:tc>
        <w:tc>
          <w:tcPr>
            <w:tcW w:w="1120" w:type="dxa"/>
            <w:vAlign w:val="bottom"/>
            <w:tcBorders>
              <w:bottom w:val="single" w:sz="8" w:color="D9D9D6"/>
            </w:tcBorders>
          </w:tcPr>
          <w:p>
            <w:pPr>
              <w:ind w:left="100"/>
              <w:spacing w:after="0"/>
              <w:rPr>
                <w:sz w:val="20"/>
                <w:szCs w:val="20"/>
                <w:color w:val="auto"/>
              </w:rPr>
            </w:pPr>
            <w:r>
              <w:rPr>
                <w:rFonts w:ascii="Arial" w:cs="Arial" w:eastAsia="Arial" w:hAnsi="Arial"/>
                <w:sz w:val="16"/>
                <w:szCs w:val="16"/>
                <w:b w:val="1"/>
                <w:bCs w:val="1"/>
                <w:color w:val="3D3935"/>
              </w:rPr>
              <w:t>24,065,980</w:t>
            </w:r>
          </w:p>
        </w:tc>
        <w:tc>
          <w:tcPr>
            <w:tcW w:w="1080" w:type="dxa"/>
            <w:vAlign w:val="bottom"/>
            <w:tcBorders>
              <w:bottom w:val="single" w:sz="8" w:color="D9D9D6"/>
            </w:tcBorders>
          </w:tcPr>
          <w:p>
            <w:pPr>
              <w:jc w:val="right"/>
              <w:ind w:right="160"/>
              <w:spacing w:after="0"/>
              <w:rPr>
                <w:sz w:val="20"/>
                <w:szCs w:val="20"/>
                <w:color w:val="auto"/>
              </w:rPr>
            </w:pPr>
            <w:r>
              <w:rPr>
                <w:rFonts w:ascii="Arial" w:cs="Arial" w:eastAsia="Arial" w:hAnsi="Arial"/>
                <w:sz w:val="16"/>
                <w:szCs w:val="16"/>
                <w:b w:val="1"/>
                <w:bCs w:val="1"/>
                <w:color w:val="3D3935"/>
              </w:rPr>
              <w:t>24,065,980</w:t>
            </w:r>
          </w:p>
        </w:tc>
        <w:tc>
          <w:tcPr>
            <w:tcW w:w="1100" w:type="dxa"/>
            <w:vAlign w:val="bottom"/>
            <w:tcBorders>
              <w:bottom w:val="single" w:sz="8" w:color="D9D9D6"/>
            </w:tcBorders>
          </w:tcPr>
          <w:p>
            <w:pPr>
              <w:jc w:val="right"/>
              <w:ind w:right="140"/>
              <w:spacing w:after="0"/>
              <w:rPr>
                <w:sz w:val="20"/>
                <w:szCs w:val="20"/>
                <w:color w:val="auto"/>
              </w:rPr>
            </w:pPr>
            <w:r>
              <w:rPr>
                <w:rFonts w:ascii="Arial" w:cs="Arial" w:eastAsia="Arial" w:hAnsi="Arial"/>
                <w:sz w:val="16"/>
                <w:szCs w:val="16"/>
                <w:b w:val="1"/>
                <w:bCs w:val="1"/>
                <w:color w:val="3D3935"/>
              </w:rPr>
              <w:t>24,065,980</w:t>
            </w:r>
          </w:p>
        </w:tc>
        <w:tc>
          <w:tcPr>
            <w:tcW w:w="1040" w:type="dxa"/>
            <w:vAlign w:val="bottom"/>
            <w:tcBorders>
              <w:bottom w:val="single" w:sz="8" w:color="D9D9D6"/>
            </w:tcBorders>
          </w:tcPr>
          <w:p>
            <w:pPr>
              <w:jc w:val="right"/>
              <w:ind w:right="80"/>
              <w:spacing w:after="0"/>
              <w:rPr>
                <w:sz w:val="20"/>
                <w:szCs w:val="20"/>
                <w:color w:val="auto"/>
              </w:rPr>
            </w:pPr>
            <w:r>
              <w:rPr>
                <w:rFonts w:ascii="Arial" w:cs="Arial" w:eastAsia="Arial" w:hAnsi="Arial"/>
                <w:sz w:val="16"/>
                <w:szCs w:val="16"/>
                <w:b w:val="1"/>
                <w:bCs w:val="1"/>
                <w:color w:val="3D3935"/>
              </w:rPr>
              <w:t>25,092,423</w:t>
            </w:r>
          </w:p>
        </w:tc>
        <w:tc>
          <w:tcPr>
            <w:tcW w:w="0" w:type="dxa"/>
            <w:vAlign w:val="bottom"/>
          </w:tcPr>
          <w:p>
            <w:pPr>
              <w:spacing w:after="0"/>
              <w:rPr>
                <w:sz w:val="1"/>
                <w:szCs w:val="1"/>
                <w:color w:val="auto"/>
              </w:rPr>
            </w:pPr>
          </w:p>
        </w:tc>
      </w:tr>
      <w:tr>
        <w:trPr>
          <w:trHeight w:val="250"/>
        </w:trPr>
        <w:tc>
          <w:tcPr>
            <w:tcW w:w="1420" w:type="dxa"/>
            <w:vAlign w:val="bottom"/>
          </w:tcPr>
          <w:p>
            <w:pPr>
              <w:ind w:left="60"/>
              <w:spacing w:after="0"/>
              <w:rPr>
                <w:sz w:val="20"/>
                <w:szCs w:val="20"/>
                <w:color w:val="auto"/>
              </w:rPr>
            </w:pPr>
            <w:r>
              <w:rPr>
                <w:rFonts w:ascii="Arial" w:cs="Arial" w:eastAsia="Arial" w:hAnsi="Arial"/>
                <w:sz w:val="16"/>
                <w:szCs w:val="16"/>
                <w:b w:val="1"/>
                <w:bCs w:val="1"/>
                <w:color w:val="0072CE"/>
              </w:rPr>
              <w:t>Rory V. Harvey</w:t>
            </w:r>
          </w:p>
        </w:tc>
        <w:tc>
          <w:tcPr>
            <w:tcW w:w="112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Cash</w:t>
            </w:r>
          </w:p>
        </w:tc>
        <w:tc>
          <w:tcPr>
            <w:tcW w:w="1100" w:type="dxa"/>
            <w:vAlign w:val="bottom"/>
            <w:tcBorders>
              <w:bottom w:val="single" w:sz="8" w:color="D9D9D6"/>
            </w:tcBorders>
          </w:tcPr>
          <w:p>
            <w:pPr>
              <w:ind w:left="880"/>
              <w:spacing w:after="0"/>
              <w:rPr>
                <w:sz w:val="20"/>
                <w:szCs w:val="20"/>
                <w:color w:val="auto"/>
              </w:rPr>
            </w:pPr>
            <w:r>
              <w:rPr>
                <w:rFonts w:ascii="Arial" w:cs="Arial" w:eastAsia="Arial" w:hAnsi="Arial"/>
                <w:sz w:val="16"/>
                <w:szCs w:val="16"/>
                <w:color w:val="3D3935"/>
              </w:rPr>
              <w:t>—</w:t>
            </w:r>
          </w:p>
        </w:tc>
        <w:tc>
          <w:tcPr>
            <w:tcW w:w="1100" w:type="dxa"/>
            <w:vAlign w:val="bottom"/>
            <w:tcBorders>
              <w:bottom w:val="single" w:sz="8" w:color="D9D9D6"/>
            </w:tcBorders>
          </w:tcPr>
          <w:p>
            <w:pPr>
              <w:jc w:val="right"/>
              <w:ind w:right="20"/>
              <w:spacing w:after="0"/>
              <w:rPr>
                <w:sz w:val="20"/>
                <w:szCs w:val="20"/>
                <w:color w:val="auto"/>
              </w:rPr>
            </w:pPr>
            <w:r>
              <w:rPr>
                <w:rFonts w:ascii="Arial" w:cs="Arial" w:eastAsia="Arial" w:hAnsi="Arial"/>
                <w:sz w:val="16"/>
                <w:szCs w:val="16"/>
                <w:color w:val="3D3935"/>
              </w:rPr>
              <w:t>1,317,967</w:t>
            </w:r>
          </w:p>
        </w:tc>
        <w:tc>
          <w:tcPr>
            <w:tcW w:w="1120" w:type="dxa"/>
            <w:vAlign w:val="bottom"/>
            <w:tcBorders>
              <w:bottom w:val="single" w:sz="8" w:color="D9D9D6"/>
            </w:tcBorders>
          </w:tcPr>
          <w:p>
            <w:pPr>
              <w:ind w:left="920"/>
              <w:spacing w:after="0"/>
              <w:rPr>
                <w:sz w:val="20"/>
                <w:szCs w:val="20"/>
                <w:color w:val="auto"/>
              </w:rPr>
            </w:pPr>
            <w:r>
              <w:rPr>
                <w:rFonts w:ascii="Arial" w:cs="Arial" w:eastAsia="Arial" w:hAnsi="Arial"/>
                <w:sz w:val="16"/>
                <w:szCs w:val="16"/>
                <w:color w:val="3D3935"/>
              </w:rPr>
              <w:t>—</w:t>
            </w:r>
          </w:p>
        </w:tc>
        <w:tc>
          <w:tcPr>
            <w:tcW w:w="108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110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10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1,302,967</w:t>
            </w:r>
          </w:p>
        </w:tc>
        <w:tc>
          <w:tcPr>
            <w:tcW w:w="0" w:type="dxa"/>
            <w:vAlign w:val="bottom"/>
          </w:tcPr>
          <w:p>
            <w:pPr>
              <w:spacing w:after="0"/>
              <w:rPr>
                <w:sz w:val="1"/>
                <w:szCs w:val="1"/>
                <w:color w:val="auto"/>
              </w:rPr>
            </w:pPr>
          </w:p>
        </w:tc>
      </w:tr>
      <w:tr>
        <w:trPr>
          <w:trHeight w:val="247"/>
        </w:trPr>
        <w:tc>
          <w:tcPr>
            <w:tcW w:w="1420" w:type="dxa"/>
            <w:vAlign w:val="bottom"/>
          </w:tcPr>
          <w:p>
            <w:pPr>
              <w:spacing w:after="0"/>
              <w:rPr>
                <w:sz w:val="21"/>
                <w:szCs w:val="21"/>
                <w:color w:val="auto"/>
              </w:rPr>
            </w:pPr>
          </w:p>
        </w:tc>
        <w:tc>
          <w:tcPr>
            <w:tcW w:w="112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STIP</w:t>
            </w:r>
          </w:p>
        </w:tc>
        <w:tc>
          <w:tcPr>
            <w:tcW w:w="1100" w:type="dxa"/>
            <w:vAlign w:val="bottom"/>
            <w:tcBorders>
              <w:bottom w:val="single" w:sz="8" w:color="D9D9D6"/>
            </w:tcBorders>
          </w:tcPr>
          <w:p>
            <w:pPr>
              <w:ind w:left="880"/>
              <w:spacing w:after="0"/>
              <w:rPr>
                <w:sz w:val="20"/>
                <w:szCs w:val="20"/>
                <w:color w:val="auto"/>
              </w:rPr>
            </w:pPr>
            <w:r>
              <w:rPr>
                <w:rFonts w:ascii="Arial" w:cs="Arial" w:eastAsia="Arial" w:hAnsi="Arial"/>
                <w:sz w:val="16"/>
                <w:szCs w:val="16"/>
                <w:color w:val="3D3935"/>
              </w:rPr>
              <w:t>—</w:t>
            </w:r>
          </w:p>
        </w:tc>
        <w:tc>
          <w:tcPr>
            <w:tcW w:w="1100" w:type="dxa"/>
            <w:vAlign w:val="bottom"/>
            <w:tcBorders>
              <w:bottom w:val="single" w:sz="8" w:color="D9D9D6"/>
            </w:tcBorders>
          </w:tcPr>
          <w:p>
            <w:pPr>
              <w:jc w:val="right"/>
              <w:ind w:right="100"/>
              <w:spacing w:after="0"/>
              <w:rPr>
                <w:sz w:val="20"/>
                <w:szCs w:val="20"/>
                <w:color w:val="auto"/>
              </w:rPr>
            </w:pPr>
            <w:r>
              <w:rPr>
                <w:rFonts w:ascii="Arial" w:cs="Arial" w:eastAsia="Arial" w:hAnsi="Arial"/>
                <w:sz w:val="16"/>
                <w:szCs w:val="16"/>
                <w:color w:val="3D3935"/>
              </w:rPr>
              <w:t>1,062,500</w:t>
            </w:r>
          </w:p>
        </w:tc>
        <w:tc>
          <w:tcPr>
            <w:tcW w:w="112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1,561,875</w:t>
            </w:r>
          </w:p>
        </w:tc>
        <w:tc>
          <w:tcPr>
            <w:tcW w:w="1080" w:type="dxa"/>
            <w:vAlign w:val="bottom"/>
            <w:tcBorders>
              <w:bottom w:val="single" w:sz="8" w:color="D9D9D6"/>
            </w:tcBorders>
          </w:tcPr>
          <w:p>
            <w:pPr>
              <w:jc w:val="right"/>
              <w:ind w:right="20"/>
              <w:spacing w:after="0"/>
              <w:rPr>
                <w:sz w:val="20"/>
                <w:szCs w:val="20"/>
                <w:color w:val="auto"/>
              </w:rPr>
            </w:pPr>
            <w:r>
              <w:rPr>
                <w:rFonts w:ascii="Arial" w:cs="Arial" w:eastAsia="Arial" w:hAnsi="Arial"/>
                <w:sz w:val="16"/>
                <w:szCs w:val="16"/>
                <w:color w:val="3D3935"/>
              </w:rPr>
              <w:t>1,561,875</w:t>
            </w:r>
          </w:p>
        </w:tc>
        <w:tc>
          <w:tcPr>
            <w:tcW w:w="110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1,561,875</w:t>
            </w:r>
          </w:p>
        </w:tc>
        <w:tc>
          <w:tcPr>
            <w:tcW w:w="1040" w:type="dxa"/>
            <w:vAlign w:val="bottom"/>
            <w:tcBorders>
              <w:bottom w:val="single" w:sz="8" w:color="D9D9D6"/>
            </w:tcBorders>
          </w:tcPr>
          <w:p>
            <w:pPr>
              <w:jc w:val="right"/>
              <w:ind w:right="20"/>
              <w:spacing w:after="0"/>
              <w:rPr>
                <w:sz w:val="20"/>
                <w:szCs w:val="20"/>
                <w:color w:val="auto"/>
              </w:rPr>
            </w:pPr>
            <w:r>
              <w:rPr>
                <w:rFonts w:ascii="Arial" w:cs="Arial" w:eastAsia="Arial" w:hAnsi="Arial"/>
                <w:sz w:val="16"/>
                <w:szCs w:val="16"/>
                <w:color w:val="3D3935"/>
              </w:rPr>
              <w:t>1,062,500</w:t>
            </w:r>
          </w:p>
        </w:tc>
        <w:tc>
          <w:tcPr>
            <w:tcW w:w="0" w:type="dxa"/>
            <w:vAlign w:val="bottom"/>
          </w:tcPr>
          <w:p>
            <w:pPr>
              <w:spacing w:after="0"/>
              <w:rPr>
                <w:sz w:val="1"/>
                <w:szCs w:val="1"/>
                <w:color w:val="auto"/>
              </w:rPr>
            </w:pPr>
          </w:p>
        </w:tc>
      </w:tr>
      <w:tr>
        <w:trPr>
          <w:trHeight w:val="250"/>
        </w:trPr>
        <w:tc>
          <w:tcPr>
            <w:tcW w:w="1420" w:type="dxa"/>
            <w:vAlign w:val="bottom"/>
          </w:tcPr>
          <w:p>
            <w:pPr>
              <w:spacing w:after="0"/>
              <w:rPr>
                <w:sz w:val="21"/>
                <w:szCs w:val="21"/>
                <w:color w:val="auto"/>
              </w:rPr>
            </w:pPr>
          </w:p>
        </w:tc>
        <w:tc>
          <w:tcPr>
            <w:tcW w:w="112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LTIP</w:t>
            </w:r>
          </w:p>
        </w:tc>
        <w:tc>
          <w:tcPr>
            <w:tcW w:w="1100" w:type="dxa"/>
            <w:vAlign w:val="bottom"/>
            <w:tcBorders>
              <w:bottom w:val="single" w:sz="8" w:color="D9D9D6"/>
            </w:tcBorders>
          </w:tcPr>
          <w:p>
            <w:pPr>
              <w:ind w:left="880"/>
              <w:spacing w:after="0"/>
              <w:rPr>
                <w:sz w:val="20"/>
                <w:szCs w:val="20"/>
                <w:color w:val="auto"/>
              </w:rPr>
            </w:pPr>
            <w:r>
              <w:rPr>
                <w:rFonts w:ascii="Arial" w:cs="Arial" w:eastAsia="Arial" w:hAnsi="Arial"/>
                <w:sz w:val="16"/>
                <w:szCs w:val="16"/>
                <w:color w:val="3D3935"/>
              </w:rPr>
              <w:t>—</w:t>
            </w:r>
          </w:p>
        </w:tc>
        <w:tc>
          <w:tcPr>
            <w:tcW w:w="1100" w:type="dxa"/>
            <w:vAlign w:val="bottom"/>
            <w:tcBorders>
              <w:bottom w:val="single" w:sz="8" w:color="D9D9D6"/>
            </w:tcBorders>
          </w:tcPr>
          <w:p>
            <w:pPr>
              <w:jc w:val="right"/>
              <w:ind w:right="100"/>
              <w:spacing w:after="0"/>
              <w:rPr>
                <w:sz w:val="20"/>
                <w:szCs w:val="20"/>
                <w:color w:val="auto"/>
              </w:rPr>
            </w:pPr>
            <w:r>
              <w:rPr>
                <w:rFonts w:ascii="Arial" w:cs="Arial" w:eastAsia="Arial" w:hAnsi="Arial"/>
                <w:sz w:val="16"/>
                <w:szCs w:val="16"/>
                <w:color w:val="3D3935"/>
              </w:rPr>
              <w:t>1,499,302</w:t>
            </w:r>
          </w:p>
        </w:tc>
        <w:tc>
          <w:tcPr>
            <w:tcW w:w="112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15,567,719</w:t>
            </w:r>
          </w:p>
        </w:tc>
        <w:tc>
          <w:tcPr>
            <w:tcW w:w="1080" w:type="dxa"/>
            <w:vAlign w:val="bottom"/>
            <w:tcBorders>
              <w:bottom w:val="single" w:sz="8" w:color="D9D9D6"/>
            </w:tcBorders>
          </w:tcPr>
          <w:p>
            <w:pPr>
              <w:jc w:val="right"/>
              <w:ind w:right="20"/>
              <w:spacing w:after="0"/>
              <w:rPr>
                <w:sz w:val="20"/>
                <w:szCs w:val="20"/>
                <w:color w:val="auto"/>
              </w:rPr>
            </w:pPr>
            <w:r>
              <w:rPr>
                <w:rFonts w:ascii="Arial" w:cs="Arial" w:eastAsia="Arial" w:hAnsi="Arial"/>
                <w:sz w:val="16"/>
                <w:szCs w:val="16"/>
                <w:color w:val="3D3935"/>
              </w:rPr>
              <w:t>15,567,719</w:t>
            </w:r>
          </w:p>
        </w:tc>
        <w:tc>
          <w:tcPr>
            <w:tcW w:w="110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15,567,719</w:t>
            </w:r>
          </w:p>
        </w:tc>
        <w:tc>
          <w:tcPr>
            <w:tcW w:w="1040" w:type="dxa"/>
            <w:vAlign w:val="bottom"/>
            <w:tcBorders>
              <w:bottom w:val="single" w:sz="8" w:color="D9D9D6"/>
            </w:tcBorders>
          </w:tcPr>
          <w:p>
            <w:pPr>
              <w:ind w:left="200"/>
              <w:spacing w:after="0"/>
              <w:rPr>
                <w:sz w:val="20"/>
                <w:szCs w:val="20"/>
                <w:color w:val="auto"/>
              </w:rPr>
            </w:pPr>
            <w:r>
              <w:rPr>
                <w:rFonts w:ascii="Arial" w:cs="Arial" w:eastAsia="Arial" w:hAnsi="Arial"/>
                <w:sz w:val="16"/>
                <w:szCs w:val="16"/>
                <w:color w:val="3D3935"/>
              </w:rPr>
              <w:t>15,567,719</w:t>
            </w:r>
          </w:p>
        </w:tc>
        <w:tc>
          <w:tcPr>
            <w:tcW w:w="0" w:type="dxa"/>
            <w:vAlign w:val="bottom"/>
          </w:tcPr>
          <w:p>
            <w:pPr>
              <w:spacing w:after="0"/>
              <w:rPr>
                <w:sz w:val="1"/>
                <w:szCs w:val="1"/>
                <w:color w:val="auto"/>
              </w:rPr>
            </w:pPr>
          </w:p>
        </w:tc>
      </w:tr>
      <w:tr>
        <w:trPr>
          <w:trHeight w:val="253"/>
        </w:trPr>
        <w:tc>
          <w:tcPr>
            <w:tcW w:w="1420" w:type="dxa"/>
            <w:vAlign w:val="bottom"/>
            <w:tcBorders>
              <w:bottom w:val="single" w:sz="8" w:color="0072CE"/>
            </w:tcBorders>
          </w:tcPr>
          <w:p>
            <w:pPr>
              <w:spacing w:after="0"/>
              <w:rPr>
                <w:sz w:val="21"/>
                <w:szCs w:val="21"/>
                <w:color w:val="auto"/>
              </w:rPr>
            </w:pPr>
          </w:p>
        </w:tc>
        <w:tc>
          <w:tcPr>
            <w:tcW w:w="1120" w:type="dxa"/>
            <w:vAlign w:val="bottom"/>
            <w:tcBorders>
              <w:bottom w:val="single" w:sz="8" w:color="0072CE"/>
            </w:tcBorders>
          </w:tcPr>
          <w:p>
            <w:pPr>
              <w:ind w:left="60"/>
              <w:spacing w:after="0"/>
              <w:rPr>
                <w:sz w:val="20"/>
                <w:szCs w:val="20"/>
                <w:color w:val="auto"/>
              </w:rPr>
            </w:pPr>
            <w:r>
              <w:rPr>
                <w:rFonts w:ascii="Arial" w:cs="Arial" w:eastAsia="Arial" w:hAnsi="Arial"/>
                <w:sz w:val="16"/>
                <w:szCs w:val="16"/>
                <w:b w:val="1"/>
                <w:bCs w:val="1"/>
                <w:color w:val="3D3935"/>
              </w:rPr>
              <w:t>Total</w:t>
            </w:r>
          </w:p>
        </w:tc>
        <w:tc>
          <w:tcPr>
            <w:tcW w:w="1100" w:type="dxa"/>
            <w:vAlign w:val="bottom"/>
            <w:tcBorders>
              <w:bottom w:val="single" w:sz="8" w:color="0072CE"/>
            </w:tcBorders>
          </w:tcPr>
          <w:p>
            <w:pPr>
              <w:ind w:left="880"/>
              <w:spacing w:after="0"/>
              <w:rPr>
                <w:sz w:val="20"/>
                <w:szCs w:val="20"/>
                <w:color w:val="auto"/>
              </w:rPr>
            </w:pPr>
            <w:r>
              <w:rPr>
                <w:rFonts w:ascii="Arial" w:cs="Arial" w:eastAsia="Arial" w:hAnsi="Arial"/>
                <w:sz w:val="16"/>
                <w:szCs w:val="16"/>
                <w:b w:val="1"/>
                <w:bCs w:val="1"/>
                <w:color w:val="3D3935"/>
              </w:rPr>
              <w:t>—</w:t>
            </w:r>
          </w:p>
        </w:tc>
        <w:tc>
          <w:tcPr>
            <w:tcW w:w="1100" w:type="dxa"/>
            <w:vAlign w:val="bottom"/>
            <w:tcBorders>
              <w:bottom w:val="single" w:sz="8" w:color="0072CE"/>
            </w:tcBorders>
          </w:tcPr>
          <w:p>
            <w:pPr>
              <w:jc w:val="right"/>
              <w:ind w:right="120"/>
              <w:spacing w:after="0"/>
              <w:rPr>
                <w:sz w:val="20"/>
                <w:szCs w:val="20"/>
                <w:color w:val="auto"/>
              </w:rPr>
            </w:pPr>
            <w:r>
              <w:rPr>
                <w:rFonts w:ascii="Arial" w:cs="Arial" w:eastAsia="Arial" w:hAnsi="Arial"/>
                <w:sz w:val="16"/>
                <w:szCs w:val="16"/>
                <w:b w:val="1"/>
                <w:bCs w:val="1"/>
                <w:color w:val="3D3935"/>
              </w:rPr>
              <w:t>3,879,769</w:t>
            </w:r>
          </w:p>
        </w:tc>
        <w:tc>
          <w:tcPr>
            <w:tcW w:w="1120" w:type="dxa"/>
            <w:vAlign w:val="bottom"/>
            <w:tcBorders>
              <w:bottom w:val="single" w:sz="8" w:color="0072CE"/>
            </w:tcBorders>
          </w:tcPr>
          <w:p>
            <w:pPr>
              <w:ind w:left="200"/>
              <w:spacing w:after="0"/>
              <w:rPr>
                <w:sz w:val="20"/>
                <w:szCs w:val="20"/>
                <w:color w:val="auto"/>
              </w:rPr>
            </w:pPr>
            <w:r>
              <w:rPr>
                <w:rFonts w:ascii="Arial" w:cs="Arial" w:eastAsia="Arial" w:hAnsi="Arial"/>
                <w:sz w:val="16"/>
                <w:szCs w:val="16"/>
                <w:b w:val="1"/>
                <w:bCs w:val="1"/>
                <w:color w:val="3D3935"/>
              </w:rPr>
              <w:t>17,129,594</w:t>
            </w:r>
          </w:p>
        </w:tc>
        <w:tc>
          <w:tcPr>
            <w:tcW w:w="1080" w:type="dxa"/>
            <w:vAlign w:val="bottom"/>
            <w:tcBorders>
              <w:bottom w:val="single" w:sz="8" w:color="0072CE"/>
            </w:tcBorders>
          </w:tcPr>
          <w:p>
            <w:pPr>
              <w:jc w:val="right"/>
              <w:ind w:right="60"/>
              <w:spacing w:after="0"/>
              <w:rPr>
                <w:sz w:val="20"/>
                <w:szCs w:val="20"/>
                <w:color w:val="auto"/>
              </w:rPr>
            </w:pPr>
            <w:r>
              <w:rPr>
                <w:rFonts w:ascii="Arial" w:cs="Arial" w:eastAsia="Arial" w:hAnsi="Arial"/>
                <w:sz w:val="16"/>
                <w:szCs w:val="16"/>
                <w:b w:val="1"/>
                <w:bCs w:val="1"/>
                <w:color w:val="3D3935"/>
              </w:rPr>
              <w:t>17,129,594</w:t>
            </w:r>
          </w:p>
        </w:tc>
        <w:tc>
          <w:tcPr>
            <w:tcW w:w="1100" w:type="dxa"/>
            <w:vAlign w:val="bottom"/>
            <w:tcBorders>
              <w:bottom w:val="single" w:sz="8" w:color="0072CE"/>
            </w:tcBorders>
          </w:tcPr>
          <w:p>
            <w:pPr>
              <w:jc w:val="right"/>
              <w:ind w:right="40"/>
              <w:spacing w:after="0"/>
              <w:rPr>
                <w:sz w:val="20"/>
                <w:szCs w:val="20"/>
                <w:color w:val="auto"/>
              </w:rPr>
            </w:pPr>
            <w:r>
              <w:rPr>
                <w:rFonts w:ascii="Arial" w:cs="Arial" w:eastAsia="Arial" w:hAnsi="Arial"/>
                <w:sz w:val="16"/>
                <w:szCs w:val="16"/>
                <w:b w:val="1"/>
                <w:bCs w:val="1"/>
                <w:color w:val="3D3935"/>
              </w:rPr>
              <w:t>17,129,594</w:t>
            </w:r>
          </w:p>
        </w:tc>
        <w:tc>
          <w:tcPr>
            <w:tcW w:w="1040" w:type="dxa"/>
            <w:vAlign w:val="bottom"/>
            <w:tcBorders>
              <w:bottom w:val="single" w:sz="8" w:color="0072CE"/>
            </w:tcBorders>
          </w:tcPr>
          <w:p>
            <w:pPr>
              <w:jc w:val="right"/>
              <w:spacing w:after="0"/>
              <w:rPr>
                <w:sz w:val="20"/>
                <w:szCs w:val="20"/>
                <w:color w:val="auto"/>
              </w:rPr>
            </w:pPr>
            <w:r>
              <w:rPr>
                <w:rFonts w:ascii="Arial" w:cs="Arial" w:eastAsia="Arial" w:hAnsi="Arial"/>
                <w:sz w:val="16"/>
                <w:szCs w:val="16"/>
                <w:b w:val="1"/>
                <w:bCs w:val="1"/>
                <w:color w:val="3D3935"/>
              </w:rPr>
              <w:t>17,933,186</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200" w:right="200" w:hanging="192"/>
        <w:spacing w:after="0" w:line="275" w:lineRule="auto"/>
        <w:tabs>
          <w:tab w:leader="none" w:pos="200" w:val="left"/>
        </w:tabs>
        <w:numPr>
          <w:ilvl w:val="0"/>
          <w:numId w:val="107"/>
        </w:numPr>
        <w:rPr>
          <w:rFonts w:ascii="Arial" w:cs="Arial" w:eastAsia="Arial" w:hAnsi="Arial"/>
          <w:sz w:val="19"/>
          <w:szCs w:val="19"/>
          <w:color w:val="3D3935"/>
          <w:vertAlign w:val="superscript"/>
        </w:rPr>
      </w:pPr>
      <w:r>
        <w:rPr>
          <w:rFonts w:ascii="Arial" w:cs="Arial" w:eastAsia="Arial" w:hAnsi="Arial"/>
          <w:sz w:val="14"/>
          <w:szCs w:val="14"/>
          <w:color w:val="3D3935"/>
        </w:rPr>
        <w:t>Cash amounts shown for Executive Severance Program are based on (i) involuntary termination due to role elimination as a result of a reduction in force or a reorganization or a staffing reduction not in connection with a Change in Control or (ii) a mutual agreement to terminate employment not in connection with a Change in Control, and Change in Control with Termination is based on severance pay under the Executive Severance Program. Payments include 2X salary for the CEO and 1.5X salary for all other NEOs. Under the Executive Severance Program, the CEO is eligible for a cash payment equal to 24 months of COBRA premiums and the other NEOs are eligible for a cash payment equal to 18 months of COBRA premiums. There are no cash payments due upon Voluntary Separation or Termination for Cause, Retirement, Disability, or Death.</w:t>
      </w:r>
    </w:p>
    <w:p>
      <w:pPr>
        <w:spacing w:after="0" w:line="33" w:lineRule="exact"/>
        <w:rPr>
          <w:rFonts w:ascii="Arial" w:cs="Arial" w:eastAsia="Arial" w:hAnsi="Arial"/>
          <w:sz w:val="19"/>
          <w:szCs w:val="19"/>
          <w:color w:val="3D3935"/>
          <w:vertAlign w:val="superscript"/>
        </w:rPr>
      </w:pPr>
    </w:p>
    <w:p>
      <w:pPr>
        <w:ind w:left="200" w:right="460" w:hanging="192"/>
        <w:spacing w:after="0" w:line="257" w:lineRule="auto"/>
        <w:tabs>
          <w:tab w:leader="none" w:pos="200" w:val="left"/>
        </w:tabs>
        <w:numPr>
          <w:ilvl w:val="0"/>
          <w:numId w:val="107"/>
        </w:numPr>
        <w:rPr>
          <w:rFonts w:ascii="Arial" w:cs="Arial" w:eastAsia="Arial" w:hAnsi="Arial"/>
          <w:sz w:val="19"/>
          <w:szCs w:val="19"/>
          <w:color w:val="3D3935"/>
          <w:vertAlign w:val="superscript"/>
        </w:rPr>
      </w:pPr>
      <w:r>
        <w:rPr>
          <w:rFonts w:ascii="Arial" w:cs="Arial" w:eastAsia="Arial" w:hAnsi="Arial"/>
          <w:sz w:val="14"/>
          <w:szCs w:val="14"/>
          <w:color w:val="3D3935"/>
        </w:rPr>
        <w:t>STIP amounts shown under Retirement, Disability, and Death are based on final Company performance. STIP amounts shown for Executive Severance Program and Change in Control with Termination reflect target-level performance. Executives forfeit STIP awards for Voluntary Separation or Termination for Cause.</w:t>
      </w:r>
    </w:p>
    <w:p>
      <w:pPr>
        <w:spacing w:after="0" w:line="42" w:lineRule="exact"/>
        <w:rPr>
          <w:rFonts w:ascii="Arial" w:cs="Arial" w:eastAsia="Arial" w:hAnsi="Arial"/>
          <w:sz w:val="19"/>
          <w:szCs w:val="19"/>
          <w:color w:val="3D3935"/>
          <w:vertAlign w:val="superscript"/>
        </w:rPr>
      </w:pPr>
    </w:p>
    <w:p>
      <w:pPr>
        <w:ind w:left="200" w:right="240" w:hanging="192"/>
        <w:spacing w:after="0" w:line="266" w:lineRule="auto"/>
        <w:tabs>
          <w:tab w:leader="none" w:pos="200" w:val="left"/>
        </w:tabs>
        <w:numPr>
          <w:ilvl w:val="0"/>
          <w:numId w:val="107"/>
        </w:numPr>
        <w:rPr>
          <w:rFonts w:ascii="Arial" w:cs="Arial" w:eastAsia="Arial" w:hAnsi="Arial"/>
          <w:sz w:val="19"/>
          <w:szCs w:val="19"/>
          <w:color w:val="3D3935"/>
          <w:vertAlign w:val="superscript"/>
        </w:rPr>
      </w:pPr>
      <w:r>
        <w:rPr>
          <w:rFonts w:ascii="Arial" w:cs="Arial" w:eastAsia="Arial" w:hAnsi="Arial"/>
          <w:sz w:val="14"/>
          <w:szCs w:val="14"/>
          <w:color w:val="3D3935"/>
        </w:rPr>
        <w:t>LTIP amounts shown reflect the value of any unvested RSU awards, PSU awards, and stock options that may vest upon termination. The value of the awards is based on the closing price of GM common stock on December 29, 2024, of $53.27. Under the Executive Severance Program, structure equity awards are delivered in cash once vested; the value displayed reflects the value of awards that would be</w:t>
      </w:r>
    </w:p>
    <w:p>
      <w:pPr>
        <w:sectPr>
          <w:pgSz w:w="11900" w:h="16846" w:orient="portrait"/>
          <w:cols w:equalWidth="0" w:num="1">
            <w:col w:w="9240"/>
          </w:cols>
          <w:pgMar w:left="1400" w:top="1440" w:right="1259" w:bottom="0" w:gutter="0" w:footer="0" w:header="0"/>
        </w:sectPr>
      </w:pPr>
    </w:p>
    <w:bookmarkStart w:id="73" w:name="page74"/>
    <w:bookmarkEnd w:id="73"/>
    <w:p>
      <w:pPr>
        <w:ind w:left="200"/>
        <w:spacing w:after="0"/>
        <w:rPr>
          <w:sz w:val="20"/>
          <w:szCs w:val="20"/>
          <w:color w:val="auto"/>
        </w:rPr>
      </w:pPr>
      <w:r>
        <w:rPr>
          <w:rFonts w:ascii="Arial" w:cs="Arial" w:eastAsia="Arial" w:hAnsi="Arial"/>
          <w:sz w:val="14"/>
          <w:szCs w:val="14"/>
          <w:color w:val="3D3935"/>
        </w:rPr>
        <w:t>subject to payment based on awards outstanding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-87630</wp:posOffset>
            </wp:positionV>
            <wp:extent cx="6810375" cy="12020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10375" cy="1202055"/>
                    </a:xfrm>
                    <a:prstGeom prst="rect">
                      <a:avLst/>
                    </a:prstGeom>
                    <a:noFill/>
                  </pic:spPr>
                </pic:pic>
              </a:graphicData>
            </a:graphic>
          </wp:anchor>
        </w:drawing>
      </w:r>
    </w:p>
    <w:p>
      <w:pPr>
        <w:ind w:left="200" w:hanging="192"/>
        <w:spacing w:after="0" w:line="224" w:lineRule="auto"/>
        <w:tabs>
          <w:tab w:leader="none" w:pos="200" w:val="left"/>
        </w:tabs>
        <w:numPr>
          <w:ilvl w:val="0"/>
          <w:numId w:val="108"/>
        </w:numPr>
        <w:rPr>
          <w:rFonts w:ascii="Arial" w:cs="Arial" w:eastAsia="Arial" w:hAnsi="Arial"/>
          <w:sz w:val="19"/>
          <w:szCs w:val="19"/>
          <w:color w:val="3D3935"/>
          <w:vertAlign w:val="superscript"/>
        </w:rPr>
      </w:pPr>
      <w:r>
        <w:rPr>
          <w:rFonts w:ascii="Arial" w:cs="Arial" w:eastAsia="Arial" w:hAnsi="Arial"/>
          <w:sz w:val="14"/>
          <w:szCs w:val="14"/>
          <w:color w:val="3D3935"/>
        </w:rPr>
        <w:t>Ms. Barra, Mr. Reuss, Mr. Glidden, and Mr. Harvey were eligible for full career status retirement as of December 31, 2024.</w:t>
      </w:r>
    </w:p>
    <w:p>
      <w:pPr>
        <w:spacing w:after="0" w:line="43" w:lineRule="exact"/>
        <w:rPr>
          <w:rFonts w:ascii="Arial" w:cs="Arial" w:eastAsia="Arial" w:hAnsi="Arial"/>
          <w:sz w:val="19"/>
          <w:szCs w:val="19"/>
          <w:color w:val="3D3935"/>
          <w:vertAlign w:val="superscript"/>
        </w:rPr>
      </w:pPr>
    </w:p>
    <w:p>
      <w:pPr>
        <w:ind w:left="200" w:hanging="192"/>
        <w:spacing w:after="0" w:line="219" w:lineRule="auto"/>
        <w:tabs>
          <w:tab w:leader="none" w:pos="200" w:val="left"/>
        </w:tabs>
        <w:numPr>
          <w:ilvl w:val="0"/>
          <w:numId w:val="108"/>
        </w:numPr>
        <w:rPr>
          <w:rFonts w:ascii="Arial" w:cs="Arial" w:eastAsia="Arial" w:hAnsi="Arial"/>
          <w:sz w:val="19"/>
          <w:szCs w:val="19"/>
          <w:color w:val="3D3935"/>
          <w:vertAlign w:val="superscript"/>
        </w:rPr>
      </w:pPr>
      <w:r>
        <w:rPr>
          <w:rFonts w:ascii="Arial" w:cs="Arial" w:eastAsia="Arial" w:hAnsi="Arial"/>
          <w:sz w:val="14"/>
          <w:szCs w:val="14"/>
          <w:color w:val="3D3935"/>
        </w:rPr>
        <w:t>Mr. Abbott’s resignation, effective April 2, 2024, is reflected in the table as a Voluntary Separation.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3D3935"/>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88677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CEO Pay Ratio</w:t>
      </w:r>
    </w:p>
    <w:p>
      <w:pPr>
        <w:spacing w:after="0" w:line="127" w:lineRule="exact"/>
        <w:rPr>
          <w:sz w:val="20"/>
          <w:szCs w:val="20"/>
          <w:color w:val="auto"/>
        </w:rPr>
      </w:pPr>
    </w:p>
    <w:p>
      <w:pPr>
        <w:ind w:right="460"/>
        <w:spacing w:after="0" w:line="301" w:lineRule="auto"/>
        <w:rPr>
          <w:sz w:val="20"/>
          <w:szCs w:val="20"/>
          <w:color w:val="auto"/>
        </w:rPr>
      </w:pPr>
      <w:r>
        <w:rPr>
          <w:rFonts w:ascii="Arial" w:cs="Arial" w:eastAsia="Arial" w:hAnsi="Arial"/>
          <w:sz w:val="16"/>
          <w:szCs w:val="16"/>
          <w:color w:val="3D3935"/>
        </w:rPr>
        <w:t>Our CEO, who leads our global workforce of 162,000 employees (97,000 located in the United States and 65,000 non-U.S. employees) as of December 31, 2024, earned $29,496,637 in total compensation in 2024 as reported in the Summary Compensation Table.</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3D3935"/>
        </w:rPr>
        <w:t>To identify our new median employee for 2024, we:</w:t>
      </w:r>
    </w:p>
    <w:p>
      <w:pPr>
        <w:spacing w:after="0" w:line="167" w:lineRule="exact"/>
        <w:rPr>
          <w:sz w:val="20"/>
          <w:szCs w:val="20"/>
          <w:color w:val="auto"/>
        </w:rPr>
      </w:pPr>
    </w:p>
    <w:p>
      <w:pPr>
        <w:ind w:left="260" w:hanging="252"/>
        <w:spacing w:after="0" w:line="291" w:lineRule="auto"/>
        <w:tabs>
          <w:tab w:leader="none" w:pos="260" w:val="left"/>
        </w:tabs>
        <w:numPr>
          <w:ilvl w:val="0"/>
          <w:numId w:val="109"/>
        </w:numPr>
        <w:rPr>
          <w:rFonts w:ascii="Arial" w:cs="Arial" w:eastAsia="Arial" w:hAnsi="Arial"/>
          <w:sz w:val="16"/>
          <w:szCs w:val="16"/>
          <w:b w:val="1"/>
          <w:bCs w:val="1"/>
          <w:color w:val="0072CE"/>
        </w:rPr>
      </w:pPr>
      <w:r>
        <w:rPr>
          <w:rFonts w:ascii="Arial" w:cs="Arial" w:eastAsia="Arial" w:hAnsi="Arial"/>
          <w:sz w:val="16"/>
          <w:szCs w:val="16"/>
          <w:color w:val="3D3935"/>
        </w:rPr>
        <w:t>Excluded all employees (6,660) in the following 29 countries under the SEC’s 5 percent de minimis exemption: Argentina (1,271), Australia (190), Chile (225), China (1,103), Colombia (502), Ecuador (130), Egypt (591), France (16), Germany (117), India (320), Indonesia (8), Ireland (392), Israel (681), Italy (1), Japan (39), New Zealand (14), Norway (1), Peru (43), Philippines (568), Singapore (3), South Africa (4), Sweden (9), Switzerland (120), Taiwan (9), Thailand (40), United Arab Emirates (202), United Kingdom (47), Uruguay (8), and Uzbekistan (6);</w:t>
      </w:r>
    </w:p>
    <w:p>
      <w:pPr>
        <w:spacing w:after="0" w:line="18" w:lineRule="exact"/>
        <w:rPr>
          <w:rFonts w:ascii="Arial" w:cs="Arial" w:eastAsia="Arial" w:hAnsi="Arial"/>
          <w:sz w:val="16"/>
          <w:szCs w:val="16"/>
          <w:b w:val="1"/>
          <w:bCs w:val="1"/>
          <w:color w:val="0072CE"/>
        </w:rPr>
      </w:pPr>
    </w:p>
    <w:p>
      <w:pPr>
        <w:ind w:left="260" w:hanging="252"/>
        <w:spacing w:after="0"/>
        <w:tabs>
          <w:tab w:leader="none" w:pos="260" w:val="left"/>
        </w:tabs>
        <w:numPr>
          <w:ilvl w:val="0"/>
          <w:numId w:val="109"/>
        </w:numPr>
        <w:rPr>
          <w:rFonts w:ascii="Arial" w:cs="Arial" w:eastAsia="Arial" w:hAnsi="Arial"/>
          <w:sz w:val="16"/>
          <w:szCs w:val="16"/>
          <w:b w:val="1"/>
          <w:bCs w:val="1"/>
          <w:color w:val="0072CE"/>
        </w:rPr>
      </w:pPr>
      <w:r>
        <w:rPr>
          <w:rFonts w:ascii="Arial" w:cs="Arial" w:eastAsia="Arial" w:hAnsi="Arial"/>
          <w:sz w:val="16"/>
          <w:szCs w:val="16"/>
          <w:color w:val="3D3935"/>
        </w:rPr>
        <w:t>Calculated year-to-date payroll as of November 1, 2024, for all employees excluding the CEO;</w:t>
      </w:r>
    </w:p>
    <w:p>
      <w:pPr>
        <w:spacing w:after="0" w:line="86" w:lineRule="exact"/>
        <w:rPr>
          <w:rFonts w:ascii="Arial" w:cs="Arial" w:eastAsia="Arial" w:hAnsi="Arial"/>
          <w:sz w:val="16"/>
          <w:szCs w:val="16"/>
          <w:b w:val="1"/>
          <w:bCs w:val="1"/>
          <w:color w:val="0072CE"/>
        </w:rPr>
      </w:pPr>
    </w:p>
    <w:p>
      <w:pPr>
        <w:ind w:left="260" w:right="980" w:hanging="252"/>
        <w:spacing w:after="0" w:line="316" w:lineRule="auto"/>
        <w:tabs>
          <w:tab w:leader="none" w:pos="260" w:val="left"/>
        </w:tabs>
        <w:numPr>
          <w:ilvl w:val="0"/>
          <w:numId w:val="109"/>
        </w:numPr>
        <w:rPr>
          <w:rFonts w:ascii="Arial" w:cs="Arial" w:eastAsia="Arial" w:hAnsi="Arial"/>
          <w:sz w:val="16"/>
          <w:szCs w:val="16"/>
          <w:b w:val="1"/>
          <w:bCs w:val="1"/>
          <w:color w:val="0072CE"/>
        </w:rPr>
      </w:pPr>
      <w:r>
        <w:rPr>
          <w:rFonts w:ascii="Arial" w:cs="Arial" w:eastAsia="Arial" w:hAnsi="Arial"/>
          <w:sz w:val="16"/>
          <w:szCs w:val="16"/>
          <w:color w:val="3D3935"/>
        </w:rPr>
        <w:t>Identified the middle 51 employees using year-to-date payroll converted to U.S. dollars as a consistently applied compensation measure;</w:t>
      </w:r>
    </w:p>
    <w:p>
      <w:pPr>
        <w:spacing w:after="0" w:line="1" w:lineRule="exact"/>
        <w:rPr>
          <w:rFonts w:ascii="Arial" w:cs="Arial" w:eastAsia="Arial" w:hAnsi="Arial"/>
          <w:sz w:val="16"/>
          <w:szCs w:val="16"/>
          <w:b w:val="1"/>
          <w:bCs w:val="1"/>
          <w:color w:val="0072CE"/>
        </w:rPr>
      </w:pPr>
    </w:p>
    <w:p>
      <w:pPr>
        <w:ind w:left="260" w:right="500" w:hanging="252"/>
        <w:spacing w:after="0" w:line="316" w:lineRule="auto"/>
        <w:tabs>
          <w:tab w:leader="none" w:pos="260" w:val="left"/>
        </w:tabs>
        <w:numPr>
          <w:ilvl w:val="0"/>
          <w:numId w:val="109"/>
        </w:numPr>
        <w:rPr>
          <w:rFonts w:ascii="Arial" w:cs="Arial" w:eastAsia="Arial" w:hAnsi="Arial"/>
          <w:sz w:val="16"/>
          <w:szCs w:val="16"/>
          <w:b w:val="1"/>
          <w:bCs w:val="1"/>
          <w:color w:val="0072CE"/>
        </w:rPr>
      </w:pPr>
      <w:r>
        <w:rPr>
          <w:rFonts w:ascii="Arial" w:cs="Arial" w:eastAsia="Arial" w:hAnsi="Arial"/>
          <w:sz w:val="16"/>
          <w:szCs w:val="16"/>
          <w:color w:val="3D3935"/>
        </w:rPr>
        <w:t>Calculated annual total compensation for the 51 middle employees based on the same SEC requirements that apply to determine total compensation in the Summary Compensation Table; and</w:t>
      </w:r>
    </w:p>
    <w:p>
      <w:pPr>
        <w:spacing w:after="0" w:line="1" w:lineRule="exact"/>
        <w:rPr>
          <w:rFonts w:ascii="Arial" w:cs="Arial" w:eastAsia="Arial" w:hAnsi="Arial"/>
          <w:sz w:val="16"/>
          <w:szCs w:val="16"/>
          <w:b w:val="1"/>
          <w:bCs w:val="1"/>
          <w:color w:val="0072CE"/>
        </w:rPr>
      </w:pPr>
    </w:p>
    <w:p>
      <w:pPr>
        <w:ind w:left="260" w:hanging="252"/>
        <w:spacing w:after="0"/>
        <w:tabs>
          <w:tab w:leader="none" w:pos="260" w:val="left"/>
        </w:tabs>
        <w:numPr>
          <w:ilvl w:val="0"/>
          <w:numId w:val="109"/>
        </w:numPr>
        <w:rPr>
          <w:rFonts w:ascii="Arial" w:cs="Arial" w:eastAsia="Arial" w:hAnsi="Arial"/>
          <w:sz w:val="16"/>
          <w:szCs w:val="16"/>
          <w:b w:val="1"/>
          <w:bCs w:val="1"/>
          <w:color w:val="0072CE"/>
        </w:rPr>
      </w:pPr>
      <w:r>
        <w:rPr>
          <w:rFonts w:ascii="Arial" w:cs="Arial" w:eastAsia="Arial" w:hAnsi="Arial"/>
          <w:sz w:val="16"/>
          <w:szCs w:val="16"/>
          <w:color w:val="3D3935"/>
        </w:rPr>
        <w:t>Re-ranked all middle 51 employees and selected the median employee.</w:t>
      </w:r>
    </w:p>
    <w:p>
      <w:pPr>
        <w:spacing w:after="0" w:line="181" w:lineRule="exact"/>
        <w:rPr>
          <w:sz w:val="20"/>
          <w:szCs w:val="20"/>
          <w:color w:val="auto"/>
        </w:rPr>
      </w:pPr>
    </w:p>
    <w:p>
      <w:pPr>
        <w:ind w:right="400"/>
        <w:spacing w:after="0" w:line="289" w:lineRule="auto"/>
        <w:rPr>
          <w:sz w:val="20"/>
          <w:szCs w:val="20"/>
          <w:color w:val="auto"/>
        </w:rPr>
      </w:pPr>
      <w:r>
        <w:rPr>
          <w:rFonts w:ascii="Arial" w:cs="Arial" w:eastAsia="Arial" w:hAnsi="Arial"/>
          <w:sz w:val="16"/>
          <w:szCs w:val="16"/>
          <w:color w:val="3D3935"/>
        </w:rPr>
        <w:t>At GM, we believe that fair and equitable pay is an essential element of any successful organization, and we invest in our employees with market-competitive pay and benefits. We compensate our employees to create alignment with the short-term and long-term goals tied to the success of the Company and with our vision of zero crashes, zero emissions, and zero congestion.</w:t>
      </w:r>
    </w:p>
    <w:p>
      <w:pPr>
        <w:spacing w:after="0" w:line="113" w:lineRule="exact"/>
        <w:rPr>
          <w:sz w:val="20"/>
          <w:szCs w:val="20"/>
          <w:color w:val="auto"/>
        </w:rPr>
      </w:pPr>
    </w:p>
    <w:p>
      <w:pPr>
        <w:ind w:right="540"/>
        <w:spacing w:after="0" w:line="321" w:lineRule="auto"/>
        <w:rPr>
          <w:sz w:val="20"/>
          <w:szCs w:val="20"/>
          <w:color w:val="auto"/>
        </w:rPr>
      </w:pPr>
      <w:r>
        <w:rPr>
          <w:rFonts w:ascii="Arial" w:cs="Arial" w:eastAsia="Arial" w:hAnsi="Arial"/>
          <w:sz w:val="16"/>
          <w:szCs w:val="16"/>
          <w:color w:val="3D3935"/>
        </w:rPr>
        <w:t>Based on our calculation, we can reasonably estimate that our median employee earned $95,111 in 2024. The ratio of our CEO’s compensation to that of our median employee is estimated to be 310:1.</w:t>
      </w:r>
    </w:p>
    <w:p>
      <w:pPr>
        <w:spacing w:after="0" w:line="88"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3D3935"/>
        </w:rPr>
        <w:t>The rules outlined by the SEC for identifying the median employee and calculating the pay ratio based on that employee’s annual total compensation allow companies to adopt a variety of methodologies to calculate the median employee, excluding up to 5 percent of the workforce, and make reasonable estimates and assumptions that may impact their employee populations. As a result, the pay ratio reported by other companies may not be comparable to the pay ratio reported above. Other companies have different employee populations, compensation practices, and the ability to utilize different methodologies, exclusions, estimates, and assumptions in calculating their own pay ratios.</w:t>
      </w:r>
    </w:p>
    <w:p>
      <w:pPr>
        <w:sectPr>
          <w:pgSz w:w="11900" w:h="16838" w:orient="portrait"/>
          <w:cols w:equalWidth="0" w:num="1">
            <w:col w:w="9260"/>
          </w:cols>
          <w:pgMar w:left="1400" w:top="118" w:right="1239" w:bottom="5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281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10375" cy="281940"/>
                    </a:xfrm>
                    <a:prstGeom prst="rect">
                      <a:avLst/>
                    </a:prstGeom>
                    <a:noFill/>
                  </pic:spPr>
                </pic:pic>
              </a:graphicData>
            </a:graphic>
          </wp:anchor>
        </w:drawing>
      </w:r>
    </w:p>
    <w:p>
      <w:pPr>
        <w:sectPr>
          <w:pgSz w:w="11900" w:h="16838" w:orient="portrait"/>
          <w:cols w:equalWidth="0" w:num="1">
            <w:col w:w="9260"/>
          </w:cols>
          <w:pgMar w:left="1400" w:top="118" w:right="1239" w:bottom="538" w:gutter="0" w:footer="0" w:header="0"/>
          <w:type w:val="continuous"/>
        </w:sectPr>
      </w:pPr>
    </w:p>
    <w:bookmarkStart w:id="74" w:name="page75"/>
    <w:bookmarkEnd w:id="74"/>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-87630</wp:posOffset>
            </wp:positionV>
            <wp:extent cx="6810375" cy="85744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10375" cy="857440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Pay Versus Performance</w:t>
      </w:r>
    </w:p>
    <w:p>
      <w:pPr>
        <w:spacing w:after="0" w:line="127" w:lineRule="exact"/>
        <w:rPr>
          <w:sz w:val="20"/>
          <w:szCs w:val="20"/>
          <w:color w:val="auto"/>
        </w:rPr>
      </w:pPr>
    </w:p>
    <w:p>
      <w:pPr>
        <w:ind w:right="320"/>
        <w:spacing w:after="0" w:line="289" w:lineRule="auto"/>
        <w:rPr>
          <w:sz w:val="20"/>
          <w:szCs w:val="20"/>
          <w:color w:val="auto"/>
        </w:rPr>
      </w:pPr>
      <w:r>
        <w:rPr>
          <w:rFonts w:ascii="Arial" w:cs="Arial" w:eastAsia="Arial" w:hAnsi="Arial"/>
          <w:sz w:val="16"/>
          <w:szCs w:val="16"/>
          <w:color w:val="3D3935"/>
        </w:rPr>
        <w:t>Pursuant to Item 402(v) of Regulation S-K, we are providing the following information about the relationship between Compensation Actually Paid (“CAP”) for the Company’s CEO and non-CEO NEOs and certain aspects of the financial performance of the Company. The CAP values disclosed do not reflect the actual amount of compensation paid to our NEOs during the applicable year. The Compensation Committee does not utilize CAP as a basis for making compensation decisions. For information regarding compensation decisions made by our Compensation Committee, refer to the “Compensation Discussion and Analysis” section beginning on page 45 .</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20" w:type="dxa"/>
            <w:vAlign w:val="bottom"/>
            <w:shd w:val="clear" w:color="auto" w:fill="F0F3F6"/>
          </w:tcPr>
          <w:p>
            <w:pPr>
              <w:spacing w:after="0"/>
              <w:rPr>
                <w:sz w:val="19"/>
                <w:szCs w:val="19"/>
                <w:color w:val="auto"/>
              </w:rPr>
            </w:pPr>
          </w:p>
        </w:tc>
        <w:tc>
          <w:tcPr>
            <w:tcW w:w="1360" w:type="dxa"/>
            <w:vAlign w:val="bottom"/>
            <w:shd w:val="clear" w:color="auto" w:fill="F0F3F6"/>
          </w:tcPr>
          <w:p>
            <w:pPr>
              <w:spacing w:after="0"/>
              <w:rPr>
                <w:sz w:val="19"/>
                <w:szCs w:val="19"/>
                <w:color w:val="auto"/>
              </w:rPr>
            </w:pPr>
          </w:p>
        </w:tc>
        <w:tc>
          <w:tcPr>
            <w:tcW w:w="1140" w:type="dxa"/>
            <w:vAlign w:val="bottom"/>
            <w:shd w:val="clear" w:color="auto" w:fill="F0F3F6"/>
          </w:tcPr>
          <w:p>
            <w:pPr>
              <w:spacing w:after="0"/>
              <w:rPr>
                <w:sz w:val="19"/>
                <w:szCs w:val="19"/>
                <w:color w:val="auto"/>
              </w:rPr>
            </w:pPr>
          </w:p>
        </w:tc>
        <w:tc>
          <w:tcPr>
            <w:tcW w:w="1140" w:type="dxa"/>
            <w:vAlign w:val="bottom"/>
            <w:shd w:val="clear" w:color="auto" w:fill="F0F3F6"/>
          </w:tcPr>
          <w:p>
            <w:pPr>
              <w:jc w:val="right"/>
              <w:ind w:right="64"/>
              <w:spacing w:after="0"/>
              <w:rPr>
                <w:sz w:val="20"/>
                <w:szCs w:val="20"/>
                <w:color w:val="auto"/>
              </w:rPr>
            </w:pPr>
            <w:r>
              <w:rPr>
                <w:rFonts w:ascii="Arial" w:cs="Arial" w:eastAsia="Arial" w:hAnsi="Arial"/>
                <w:sz w:val="14"/>
                <w:szCs w:val="14"/>
                <w:b w:val="1"/>
                <w:bCs w:val="1"/>
                <w:color w:val="3E3935"/>
              </w:rPr>
              <w:t>Average</w:t>
            </w:r>
          </w:p>
        </w:tc>
        <w:tc>
          <w:tcPr>
            <w:tcW w:w="1020" w:type="dxa"/>
            <w:vAlign w:val="bottom"/>
            <w:shd w:val="clear" w:color="auto" w:fill="F0F3F6"/>
          </w:tcPr>
          <w:p>
            <w:pPr>
              <w:spacing w:after="0"/>
              <w:rPr>
                <w:sz w:val="19"/>
                <w:szCs w:val="19"/>
                <w:color w:val="auto"/>
              </w:rPr>
            </w:pPr>
          </w:p>
        </w:tc>
        <w:tc>
          <w:tcPr>
            <w:tcW w:w="60" w:type="dxa"/>
            <w:vAlign w:val="bottom"/>
            <w:shd w:val="clear" w:color="auto" w:fill="F0F3F6"/>
          </w:tcPr>
          <w:p>
            <w:pPr>
              <w:spacing w:after="0"/>
              <w:rPr>
                <w:sz w:val="19"/>
                <w:szCs w:val="19"/>
                <w:color w:val="auto"/>
              </w:rPr>
            </w:pPr>
          </w:p>
        </w:tc>
        <w:tc>
          <w:tcPr>
            <w:tcW w:w="1080" w:type="dxa"/>
            <w:vAlign w:val="bottom"/>
            <w:shd w:val="clear" w:color="auto" w:fill="F0F3F6"/>
          </w:tcPr>
          <w:p>
            <w:pPr>
              <w:spacing w:after="0"/>
              <w:rPr>
                <w:sz w:val="19"/>
                <w:szCs w:val="19"/>
                <w:color w:val="auto"/>
              </w:rPr>
            </w:pPr>
          </w:p>
        </w:tc>
        <w:tc>
          <w:tcPr>
            <w:tcW w:w="920" w:type="dxa"/>
            <w:vAlign w:val="bottom"/>
            <w:shd w:val="clear" w:color="auto" w:fill="F0F3F6"/>
          </w:tcPr>
          <w:p>
            <w:pPr>
              <w:spacing w:after="0"/>
              <w:rPr>
                <w:sz w:val="19"/>
                <w:szCs w:val="19"/>
                <w:color w:val="auto"/>
              </w:rPr>
            </w:pPr>
          </w:p>
        </w:tc>
        <w:tc>
          <w:tcPr>
            <w:tcW w:w="860" w:type="dxa"/>
            <w:vAlign w:val="bottom"/>
            <w:shd w:val="clear" w:color="auto" w:fill="F0F3F6"/>
          </w:tcPr>
          <w:p>
            <w:pPr>
              <w:spacing w:after="0"/>
              <w:rPr>
                <w:sz w:val="19"/>
                <w:szCs w:val="19"/>
                <w:color w:val="auto"/>
              </w:rPr>
            </w:pPr>
          </w:p>
        </w:tc>
        <w:tc>
          <w:tcPr>
            <w:tcW w:w="840" w:type="dxa"/>
            <w:vAlign w:val="bottom"/>
            <w:shd w:val="clear" w:color="auto" w:fill="F0F3F6"/>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720" w:type="dxa"/>
            <w:vAlign w:val="bottom"/>
            <w:shd w:val="clear" w:color="auto" w:fill="F0F3F6"/>
          </w:tcPr>
          <w:p>
            <w:pPr>
              <w:spacing w:after="0"/>
              <w:rPr>
                <w:sz w:val="14"/>
                <w:szCs w:val="14"/>
                <w:color w:val="auto"/>
              </w:rPr>
            </w:pPr>
          </w:p>
        </w:tc>
        <w:tc>
          <w:tcPr>
            <w:tcW w:w="1360" w:type="dxa"/>
            <w:vAlign w:val="bottom"/>
            <w:shd w:val="clear" w:color="auto" w:fill="F0F3F6"/>
          </w:tcPr>
          <w:p>
            <w:pPr>
              <w:spacing w:after="0"/>
              <w:rPr>
                <w:sz w:val="14"/>
                <w:szCs w:val="14"/>
                <w:color w:val="auto"/>
              </w:rPr>
            </w:pPr>
          </w:p>
        </w:tc>
        <w:tc>
          <w:tcPr>
            <w:tcW w:w="1140" w:type="dxa"/>
            <w:vAlign w:val="bottom"/>
            <w:shd w:val="clear" w:color="auto" w:fill="F0F3F6"/>
          </w:tcPr>
          <w:p>
            <w:pPr>
              <w:spacing w:after="0"/>
              <w:rPr>
                <w:sz w:val="14"/>
                <w:szCs w:val="14"/>
                <w:color w:val="auto"/>
              </w:rPr>
            </w:pPr>
          </w:p>
        </w:tc>
        <w:tc>
          <w:tcPr>
            <w:tcW w:w="1140" w:type="dxa"/>
            <w:vAlign w:val="bottom"/>
            <w:shd w:val="clear" w:color="auto" w:fill="F0F3F6"/>
          </w:tcPr>
          <w:p>
            <w:pPr>
              <w:jc w:val="right"/>
              <w:ind w:right="44"/>
              <w:spacing w:after="0"/>
              <w:rPr>
                <w:sz w:val="20"/>
                <w:szCs w:val="20"/>
                <w:color w:val="auto"/>
              </w:rPr>
            </w:pPr>
            <w:r>
              <w:rPr>
                <w:rFonts w:ascii="Arial" w:cs="Arial" w:eastAsia="Arial" w:hAnsi="Arial"/>
                <w:sz w:val="14"/>
                <w:szCs w:val="14"/>
                <w:b w:val="1"/>
                <w:bCs w:val="1"/>
                <w:color w:val="3E3935"/>
              </w:rPr>
              <w:t>Summary</w:t>
            </w:r>
          </w:p>
        </w:tc>
        <w:tc>
          <w:tcPr>
            <w:tcW w:w="1020" w:type="dxa"/>
            <w:vAlign w:val="bottom"/>
            <w:shd w:val="clear" w:color="auto" w:fill="F0F3F6"/>
          </w:tcPr>
          <w:p>
            <w:pPr>
              <w:spacing w:after="0"/>
              <w:rPr>
                <w:sz w:val="14"/>
                <w:szCs w:val="14"/>
                <w:color w:val="auto"/>
              </w:rPr>
            </w:pPr>
          </w:p>
        </w:tc>
        <w:tc>
          <w:tcPr>
            <w:tcW w:w="60" w:type="dxa"/>
            <w:vAlign w:val="bottom"/>
            <w:shd w:val="clear" w:color="auto" w:fill="F0F3F6"/>
          </w:tcPr>
          <w:p>
            <w:pPr>
              <w:spacing w:after="0"/>
              <w:rPr>
                <w:sz w:val="14"/>
                <w:szCs w:val="14"/>
                <w:color w:val="auto"/>
              </w:rPr>
            </w:pPr>
          </w:p>
        </w:tc>
        <w:tc>
          <w:tcPr>
            <w:tcW w:w="2000" w:type="dxa"/>
            <w:vAlign w:val="bottom"/>
            <w:gridSpan w:val="2"/>
            <w:vMerge w:val="restart"/>
            <w:shd w:val="clear" w:color="auto" w:fill="F0F3F6"/>
          </w:tcPr>
          <w:p>
            <w:pPr>
              <w:jc w:val="right"/>
              <w:ind w:right="62"/>
              <w:spacing w:after="0"/>
              <w:rPr>
                <w:sz w:val="20"/>
                <w:szCs w:val="20"/>
                <w:color w:val="auto"/>
              </w:rPr>
            </w:pPr>
            <w:r>
              <w:rPr>
                <w:rFonts w:ascii="Arial" w:cs="Arial" w:eastAsia="Arial" w:hAnsi="Arial"/>
                <w:sz w:val="14"/>
                <w:szCs w:val="14"/>
                <w:b w:val="1"/>
                <w:bCs w:val="1"/>
                <w:color w:val="3E3935"/>
              </w:rPr>
              <w:t>Value of Initial Fixed $100</w:t>
            </w:r>
          </w:p>
        </w:tc>
        <w:tc>
          <w:tcPr>
            <w:tcW w:w="860" w:type="dxa"/>
            <w:vAlign w:val="bottom"/>
            <w:shd w:val="clear" w:color="auto" w:fill="F0F3F6"/>
          </w:tcPr>
          <w:p>
            <w:pPr>
              <w:spacing w:after="0"/>
              <w:rPr>
                <w:sz w:val="14"/>
                <w:szCs w:val="14"/>
                <w:color w:val="auto"/>
              </w:rPr>
            </w:pPr>
          </w:p>
        </w:tc>
        <w:tc>
          <w:tcPr>
            <w:tcW w:w="840" w:type="dxa"/>
            <w:vAlign w:val="bottom"/>
            <w:shd w:val="clear" w:color="auto" w:fill="F0F3F6"/>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720" w:type="dxa"/>
            <w:vAlign w:val="bottom"/>
            <w:shd w:val="clear" w:color="auto" w:fill="F0F3F6"/>
          </w:tcPr>
          <w:p>
            <w:pPr>
              <w:spacing w:after="0"/>
              <w:rPr>
                <w:sz w:val="7"/>
                <w:szCs w:val="7"/>
                <w:color w:val="auto"/>
              </w:rPr>
            </w:pPr>
          </w:p>
        </w:tc>
        <w:tc>
          <w:tcPr>
            <w:tcW w:w="1360" w:type="dxa"/>
            <w:vAlign w:val="bottom"/>
            <w:vMerge w:val="restart"/>
            <w:shd w:val="clear" w:color="auto" w:fill="F0F3F6"/>
          </w:tcPr>
          <w:p>
            <w:pPr>
              <w:jc w:val="right"/>
              <w:ind w:right="24"/>
              <w:spacing w:after="0"/>
              <w:rPr>
                <w:sz w:val="20"/>
                <w:szCs w:val="20"/>
                <w:color w:val="auto"/>
              </w:rPr>
            </w:pPr>
            <w:r>
              <w:rPr>
                <w:rFonts w:ascii="Arial" w:cs="Arial" w:eastAsia="Arial" w:hAnsi="Arial"/>
                <w:sz w:val="14"/>
                <w:szCs w:val="14"/>
                <w:b w:val="1"/>
                <w:bCs w:val="1"/>
                <w:color w:val="3E3935"/>
              </w:rPr>
              <w:t>Summary</w:t>
            </w:r>
          </w:p>
        </w:tc>
        <w:tc>
          <w:tcPr>
            <w:tcW w:w="1140" w:type="dxa"/>
            <w:vAlign w:val="bottom"/>
            <w:shd w:val="clear" w:color="auto" w:fill="F0F3F6"/>
          </w:tcPr>
          <w:p>
            <w:pPr>
              <w:spacing w:after="0"/>
              <w:rPr>
                <w:sz w:val="7"/>
                <w:szCs w:val="7"/>
                <w:color w:val="auto"/>
              </w:rPr>
            </w:pPr>
          </w:p>
        </w:tc>
        <w:tc>
          <w:tcPr>
            <w:tcW w:w="1140" w:type="dxa"/>
            <w:vAlign w:val="bottom"/>
            <w:vMerge w:val="restart"/>
            <w:shd w:val="clear" w:color="auto" w:fill="F0F3F6"/>
          </w:tcPr>
          <w:p>
            <w:pPr>
              <w:jc w:val="right"/>
              <w:ind w:right="4"/>
              <w:spacing w:after="0"/>
              <w:rPr>
                <w:sz w:val="20"/>
                <w:szCs w:val="20"/>
                <w:color w:val="auto"/>
              </w:rPr>
            </w:pPr>
            <w:r>
              <w:rPr>
                <w:rFonts w:ascii="Arial" w:cs="Arial" w:eastAsia="Arial" w:hAnsi="Arial"/>
                <w:sz w:val="14"/>
                <w:szCs w:val="14"/>
                <w:b w:val="1"/>
                <w:bCs w:val="1"/>
                <w:color w:val="3E3935"/>
              </w:rPr>
              <w:t>Compensation</w:t>
            </w:r>
          </w:p>
        </w:tc>
        <w:tc>
          <w:tcPr>
            <w:tcW w:w="1020" w:type="dxa"/>
            <w:vAlign w:val="bottom"/>
            <w:shd w:val="clear" w:color="auto" w:fill="F0F3F6"/>
          </w:tcPr>
          <w:p>
            <w:pPr>
              <w:spacing w:after="0"/>
              <w:rPr>
                <w:sz w:val="7"/>
                <w:szCs w:val="7"/>
                <w:color w:val="auto"/>
              </w:rPr>
            </w:pPr>
          </w:p>
        </w:tc>
        <w:tc>
          <w:tcPr>
            <w:tcW w:w="60" w:type="dxa"/>
            <w:vAlign w:val="bottom"/>
            <w:shd w:val="clear" w:color="auto" w:fill="F0F3F6"/>
          </w:tcPr>
          <w:p>
            <w:pPr>
              <w:spacing w:after="0"/>
              <w:rPr>
                <w:sz w:val="7"/>
                <w:szCs w:val="7"/>
                <w:color w:val="auto"/>
              </w:rPr>
            </w:pPr>
          </w:p>
        </w:tc>
        <w:tc>
          <w:tcPr>
            <w:tcW w:w="2000" w:type="dxa"/>
            <w:vAlign w:val="bottom"/>
            <w:gridSpan w:val="2"/>
            <w:vMerge w:val="continue"/>
            <w:shd w:val="clear" w:color="auto" w:fill="F0F3F6"/>
          </w:tcPr>
          <w:p>
            <w:pPr>
              <w:spacing w:after="0"/>
              <w:rPr>
                <w:sz w:val="7"/>
                <w:szCs w:val="7"/>
                <w:color w:val="auto"/>
              </w:rPr>
            </w:pPr>
          </w:p>
        </w:tc>
        <w:tc>
          <w:tcPr>
            <w:tcW w:w="860" w:type="dxa"/>
            <w:vAlign w:val="bottom"/>
            <w:shd w:val="clear" w:color="auto" w:fill="F0F3F6"/>
          </w:tcPr>
          <w:p>
            <w:pPr>
              <w:spacing w:after="0"/>
              <w:rPr>
                <w:sz w:val="7"/>
                <w:szCs w:val="7"/>
                <w:color w:val="auto"/>
              </w:rPr>
            </w:pPr>
          </w:p>
        </w:tc>
        <w:tc>
          <w:tcPr>
            <w:tcW w:w="840" w:type="dxa"/>
            <w:vAlign w:val="bottom"/>
            <w:shd w:val="clear" w:color="auto" w:fill="F0F3F6"/>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shd w:val="clear" w:color="auto" w:fill="F0F3F6"/>
          </w:tcPr>
          <w:p>
            <w:pPr>
              <w:spacing w:after="0"/>
              <w:rPr>
                <w:sz w:val="7"/>
                <w:szCs w:val="7"/>
                <w:color w:val="auto"/>
              </w:rPr>
            </w:pPr>
          </w:p>
        </w:tc>
        <w:tc>
          <w:tcPr>
            <w:tcW w:w="1360" w:type="dxa"/>
            <w:vAlign w:val="bottom"/>
            <w:vMerge w:val="continue"/>
            <w:shd w:val="clear" w:color="auto" w:fill="F0F3F6"/>
          </w:tcPr>
          <w:p>
            <w:pPr>
              <w:spacing w:after="0"/>
              <w:rPr>
                <w:sz w:val="7"/>
                <w:szCs w:val="7"/>
                <w:color w:val="auto"/>
              </w:rPr>
            </w:pPr>
          </w:p>
        </w:tc>
        <w:tc>
          <w:tcPr>
            <w:tcW w:w="1140" w:type="dxa"/>
            <w:vAlign w:val="bottom"/>
            <w:shd w:val="clear" w:color="auto" w:fill="F0F3F6"/>
          </w:tcPr>
          <w:p>
            <w:pPr>
              <w:spacing w:after="0"/>
              <w:rPr>
                <w:sz w:val="7"/>
                <w:szCs w:val="7"/>
                <w:color w:val="auto"/>
              </w:rPr>
            </w:pPr>
          </w:p>
        </w:tc>
        <w:tc>
          <w:tcPr>
            <w:tcW w:w="1140" w:type="dxa"/>
            <w:vAlign w:val="bottom"/>
            <w:vMerge w:val="continue"/>
            <w:shd w:val="clear" w:color="auto" w:fill="F0F3F6"/>
          </w:tcPr>
          <w:p>
            <w:pPr>
              <w:spacing w:after="0"/>
              <w:rPr>
                <w:sz w:val="7"/>
                <w:szCs w:val="7"/>
                <w:color w:val="auto"/>
              </w:rPr>
            </w:pPr>
          </w:p>
        </w:tc>
        <w:tc>
          <w:tcPr>
            <w:tcW w:w="1020" w:type="dxa"/>
            <w:vAlign w:val="bottom"/>
            <w:shd w:val="clear" w:color="auto" w:fill="F0F3F6"/>
          </w:tcPr>
          <w:p>
            <w:pPr>
              <w:spacing w:after="0"/>
              <w:rPr>
                <w:sz w:val="7"/>
                <w:szCs w:val="7"/>
                <w:color w:val="auto"/>
              </w:rPr>
            </w:pPr>
          </w:p>
        </w:tc>
        <w:tc>
          <w:tcPr>
            <w:tcW w:w="60" w:type="dxa"/>
            <w:vAlign w:val="bottom"/>
            <w:shd w:val="clear" w:color="auto" w:fill="F0F3F6"/>
          </w:tcPr>
          <w:p>
            <w:pPr>
              <w:spacing w:after="0"/>
              <w:rPr>
                <w:sz w:val="7"/>
                <w:szCs w:val="7"/>
                <w:color w:val="auto"/>
              </w:rPr>
            </w:pPr>
          </w:p>
        </w:tc>
        <w:tc>
          <w:tcPr>
            <w:tcW w:w="2000" w:type="dxa"/>
            <w:vAlign w:val="bottom"/>
            <w:gridSpan w:val="2"/>
            <w:vMerge w:val="restart"/>
            <w:shd w:val="clear" w:color="auto" w:fill="F0F3F6"/>
          </w:tcPr>
          <w:p>
            <w:pPr>
              <w:jc w:val="right"/>
              <w:ind w:right="142"/>
              <w:spacing w:after="0"/>
              <w:rPr>
                <w:sz w:val="20"/>
                <w:szCs w:val="20"/>
                <w:color w:val="auto"/>
              </w:rPr>
            </w:pPr>
            <w:r>
              <w:rPr>
                <w:rFonts w:ascii="Arial" w:cs="Arial" w:eastAsia="Arial" w:hAnsi="Arial"/>
                <w:sz w:val="14"/>
                <w:szCs w:val="14"/>
                <w:b w:val="1"/>
                <w:bCs w:val="1"/>
                <w:color w:val="3E3935"/>
              </w:rPr>
              <w:t>Investment Based On:</w:t>
            </w:r>
          </w:p>
        </w:tc>
        <w:tc>
          <w:tcPr>
            <w:tcW w:w="860" w:type="dxa"/>
            <w:vAlign w:val="bottom"/>
            <w:shd w:val="clear" w:color="auto" w:fill="F0F3F6"/>
          </w:tcPr>
          <w:p>
            <w:pPr>
              <w:spacing w:after="0"/>
              <w:rPr>
                <w:sz w:val="7"/>
                <w:szCs w:val="7"/>
                <w:color w:val="auto"/>
              </w:rPr>
            </w:pPr>
          </w:p>
        </w:tc>
        <w:tc>
          <w:tcPr>
            <w:tcW w:w="840" w:type="dxa"/>
            <w:vAlign w:val="bottom"/>
            <w:shd w:val="clear" w:color="auto" w:fill="F0F3F6"/>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720" w:type="dxa"/>
            <w:vAlign w:val="bottom"/>
            <w:tcBorders>
              <w:bottom w:val="single" w:sz="8" w:color="F0F3F6"/>
            </w:tcBorders>
            <w:shd w:val="clear" w:color="auto" w:fill="F0F3F6"/>
          </w:tcPr>
          <w:p>
            <w:pPr>
              <w:spacing w:after="0"/>
              <w:rPr>
                <w:sz w:val="10"/>
                <w:szCs w:val="10"/>
                <w:color w:val="auto"/>
              </w:rPr>
            </w:pPr>
          </w:p>
        </w:tc>
        <w:tc>
          <w:tcPr>
            <w:tcW w:w="1360" w:type="dxa"/>
            <w:vAlign w:val="bottom"/>
            <w:tcBorders>
              <w:bottom w:val="single" w:sz="8" w:color="F0F3F6"/>
            </w:tcBorders>
            <w:vMerge w:val="restart"/>
            <w:shd w:val="clear" w:color="auto" w:fill="F0F3F6"/>
          </w:tcPr>
          <w:p>
            <w:pPr>
              <w:jc w:val="center"/>
              <w:ind w:left="124"/>
              <w:spacing w:after="0"/>
              <w:rPr>
                <w:sz w:val="20"/>
                <w:szCs w:val="20"/>
                <w:color w:val="auto"/>
              </w:rPr>
            </w:pPr>
            <w:r>
              <w:rPr>
                <w:rFonts w:ascii="Arial" w:cs="Arial" w:eastAsia="Arial" w:hAnsi="Arial"/>
                <w:sz w:val="14"/>
                <w:szCs w:val="14"/>
                <w:b w:val="1"/>
                <w:bCs w:val="1"/>
                <w:color w:val="3E3935"/>
              </w:rPr>
              <w:t>Compensation</w:t>
            </w:r>
          </w:p>
        </w:tc>
        <w:tc>
          <w:tcPr>
            <w:tcW w:w="1140" w:type="dxa"/>
            <w:vAlign w:val="bottom"/>
            <w:tcBorders>
              <w:bottom w:val="single" w:sz="8" w:color="F0F3F6"/>
            </w:tcBorders>
            <w:shd w:val="clear" w:color="auto" w:fill="F0F3F6"/>
          </w:tcPr>
          <w:p>
            <w:pPr>
              <w:spacing w:after="0"/>
              <w:rPr>
                <w:sz w:val="10"/>
                <w:szCs w:val="10"/>
                <w:color w:val="auto"/>
              </w:rPr>
            </w:pPr>
          </w:p>
        </w:tc>
        <w:tc>
          <w:tcPr>
            <w:tcW w:w="1140" w:type="dxa"/>
            <w:vAlign w:val="bottom"/>
            <w:tcBorders>
              <w:bottom w:val="single" w:sz="8" w:color="F0F3F6"/>
            </w:tcBorders>
            <w:vMerge w:val="restart"/>
            <w:shd w:val="clear" w:color="auto" w:fill="F0F3F6"/>
          </w:tcPr>
          <w:p>
            <w:pPr>
              <w:jc w:val="right"/>
              <w:ind w:right="64"/>
              <w:spacing w:after="0"/>
              <w:rPr>
                <w:sz w:val="20"/>
                <w:szCs w:val="20"/>
                <w:color w:val="auto"/>
              </w:rPr>
            </w:pPr>
            <w:r>
              <w:rPr>
                <w:rFonts w:ascii="Arial" w:cs="Arial" w:eastAsia="Arial" w:hAnsi="Arial"/>
                <w:sz w:val="14"/>
                <w:szCs w:val="14"/>
                <w:b w:val="1"/>
                <w:bCs w:val="1"/>
                <w:color w:val="3E3935"/>
              </w:rPr>
              <w:t>Table Total</w:t>
            </w:r>
          </w:p>
        </w:tc>
        <w:tc>
          <w:tcPr>
            <w:tcW w:w="1020" w:type="dxa"/>
            <w:vAlign w:val="bottom"/>
            <w:tcBorders>
              <w:bottom w:val="single" w:sz="8" w:color="F0F3F6"/>
            </w:tcBorders>
            <w:vMerge w:val="restart"/>
            <w:shd w:val="clear" w:color="auto" w:fill="F0F3F6"/>
          </w:tcPr>
          <w:p>
            <w:pPr>
              <w:jc w:val="center"/>
              <w:spacing w:after="0"/>
              <w:rPr>
                <w:sz w:val="20"/>
                <w:szCs w:val="20"/>
                <w:color w:val="auto"/>
              </w:rPr>
            </w:pPr>
            <w:r>
              <w:rPr>
                <w:rFonts w:ascii="Arial" w:cs="Arial" w:eastAsia="Arial" w:hAnsi="Arial"/>
                <w:sz w:val="14"/>
                <w:szCs w:val="14"/>
                <w:b w:val="1"/>
                <w:bCs w:val="1"/>
                <w:color w:val="3E3935"/>
              </w:rPr>
              <w:t>Average CAP</w:t>
            </w:r>
          </w:p>
        </w:tc>
        <w:tc>
          <w:tcPr>
            <w:tcW w:w="60" w:type="dxa"/>
            <w:vAlign w:val="bottom"/>
            <w:tcBorders>
              <w:bottom w:val="single" w:sz="8" w:color="F0F3F6"/>
            </w:tcBorders>
            <w:shd w:val="clear" w:color="auto" w:fill="F0F3F6"/>
          </w:tcPr>
          <w:p>
            <w:pPr>
              <w:spacing w:after="0"/>
              <w:rPr>
                <w:sz w:val="10"/>
                <w:szCs w:val="10"/>
                <w:color w:val="auto"/>
              </w:rPr>
            </w:pPr>
          </w:p>
        </w:tc>
        <w:tc>
          <w:tcPr>
            <w:tcW w:w="2000" w:type="dxa"/>
            <w:vAlign w:val="bottom"/>
            <w:tcBorders>
              <w:bottom w:val="single" w:sz="8" w:color="0072CE"/>
            </w:tcBorders>
            <w:gridSpan w:val="2"/>
            <w:vMerge w:val="continue"/>
            <w:shd w:val="clear" w:color="auto" w:fill="F0F3F6"/>
          </w:tcPr>
          <w:p>
            <w:pPr>
              <w:spacing w:after="0"/>
              <w:rPr>
                <w:sz w:val="10"/>
                <w:szCs w:val="10"/>
                <w:color w:val="auto"/>
              </w:rPr>
            </w:pPr>
          </w:p>
        </w:tc>
        <w:tc>
          <w:tcPr>
            <w:tcW w:w="860" w:type="dxa"/>
            <w:vAlign w:val="bottom"/>
            <w:tcBorders>
              <w:bottom w:val="single" w:sz="8" w:color="F0F3F6"/>
            </w:tcBorders>
            <w:shd w:val="clear" w:color="auto" w:fill="F0F3F6"/>
          </w:tcPr>
          <w:p>
            <w:pPr>
              <w:spacing w:after="0"/>
              <w:rPr>
                <w:sz w:val="10"/>
                <w:szCs w:val="10"/>
                <w:color w:val="auto"/>
              </w:rPr>
            </w:pPr>
          </w:p>
        </w:tc>
        <w:tc>
          <w:tcPr>
            <w:tcW w:w="840" w:type="dxa"/>
            <w:vAlign w:val="bottom"/>
            <w:tcBorders>
              <w:bottom w:val="single" w:sz="8" w:color="F0F3F6"/>
            </w:tcBorders>
            <w:shd w:val="clear" w:color="auto" w:fill="F0F3F6"/>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720" w:type="dxa"/>
            <w:vAlign w:val="bottom"/>
            <w:shd w:val="clear" w:color="auto" w:fill="F0F3F6"/>
          </w:tcPr>
          <w:p>
            <w:pPr>
              <w:spacing w:after="0"/>
              <w:rPr>
                <w:sz w:val="2"/>
                <w:szCs w:val="2"/>
                <w:color w:val="auto"/>
              </w:rPr>
            </w:pPr>
          </w:p>
        </w:tc>
        <w:tc>
          <w:tcPr>
            <w:tcW w:w="1360" w:type="dxa"/>
            <w:vAlign w:val="bottom"/>
            <w:vMerge w:val="continue"/>
            <w:shd w:val="clear" w:color="auto" w:fill="F0F3F6"/>
          </w:tcPr>
          <w:p>
            <w:pPr>
              <w:spacing w:after="0"/>
              <w:rPr>
                <w:sz w:val="2"/>
                <w:szCs w:val="2"/>
                <w:color w:val="auto"/>
              </w:rPr>
            </w:pPr>
          </w:p>
        </w:tc>
        <w:tc>
          <w:tcPr>
            <w:tcW w:w="1140" w:type="dxa"/>
            <w:vAlign w:val="bottom"/>
            <w:shd w:val="clear" w:color="auto" w:fill="F0F3F6"/>
          </w:tcPr>
          <w:p>
            <w:pPr>
              <w:spacing w:after="0"/>
              <w:rPr>
                <w:sz w:val="2"/>
                <w:szCs w:val="2"/>
                <w:color w:val="auto"/>
              </w:rPr>
            </w:pPr>
          </w:p>
        </w:tc>
        <w:tc>
          <w:tcPr>
            <w:tcW w:w="1140" w:type="dxa"/>
            <w:vAlign w:val="bottom"/>
            <w:vMerge w:val="continue"/>
            <w:shd w:val="clear" w:color="auto" w:fill="F0F3F6"/>
          </w:tcPr>
          <w:p>
            <w:pPr>
              <w:spacing w:after="0"/>
              <w:rPr>
                <w:sz w:val="2"/>
                <w:szCs w:val="2"/>
                <w:color w:val="auto"/>
              </w:rPr>
            </w:pPr>
          </w:p>
        </w:tc>
        <w:tc>
          <w:tcPr>
            <w:tcW w:w="1020" w:type="dxa"/>
            <w:vAlign w:val="bottom"/>
            <w:vMerge w:val="continue"/>
            <w:shd w:val="clear" w:color="auto" w:fill="F0F3F6"/>
          </w:tcPr>
          <w:p>
            <w:pPr>
              <w:spacing w:after="0"/>
              <w:rPr>
                <w:sz w:val="2"/>
                <w:szCs w:val="2"/>
                <w:color w:val="auto"/>
              </w:rPr>
            </w:pPr>
          </w:p>
        </w:tc>
        <w:tc>
          <w:tcPr>
            <w:tcW w:w="60" w:type="dxa"/>
            <w:vAlign w:val="bottom"/>
            <w:shd w:val="clear" w:color="auto" w:fill="F0F3F6"/>
          </w:tcPr>
          <w:p>
            <w:pPr>
              <w:spacing w:after="0"/>
              <w:rPr>
                <w:sz w:val="2"/>
                <w:szCs w:val="2"/>
                <w:color w:val="auto"/>
              </w:rPr>
            </w:pPr>
          </w:p>
        </w:tc>
        <w:tc>
          <w:tcPr>
            <w:tcW w:w="1080" w:type="dxa"/>
            <w:vAlign w:val="bottom"/>
            <w:shd w:val="clear" w:color="auto" w:fill="F0F3F6"/>
          </w:tcPr>
          <w:p>
            <w:pPr>
              <w:spacing w:after="0"/>
              <w:rPr>
                <w:sz w:val="2"/>
                <w:szCs w:val="2"/>
                <w:color w:val="auto"/>
              </w:rPr>
            </w:pPr>
          </w:p>
        </w:tc>
        <w:tc>
          <w:tcPr>
            <w:tcW w:w="920" w:type="dxa"/>
            <w:vAlign w:val="bottom"/>
            <w:shd w:val="clear" w:color="auto" w:fill="F0F3F6"/>
          </w:tcPr>
          <w:p>
            <w:pPr>
              <w:spacing w:after="0"/>
              <w:rPr>
                <w:sz w:val="2"/>
                <w:szCs w:val="2"/>
                <w:color w:val="auto"/>
              </w:rPr>
            </w:pPr>
          </w:p>
        </w:tc>
        <w:tc>
          <w:tcPr>
            <w:tcW w:w="860" w:type="dxa"/>
            <w:vAlign w:val="bottom"/>
            <w:shd w:val="clear" w:color="auto" w:fill="F0F3F6"/>
          </w:tcPr>
          <w:p>
            <w:pPr>
              <w:spacing w:after="0"/>
              <w:rPr>
                <w:sz w:val="2"/>
                <w:szCs w:val="2"/>
                <w:color w:val="auto"/>
              </w:rPr>
            </w:pPr>
          </w:p>
        </w:tc>
        <w:tc>
          <w:tcPr>
            <w:tcW w:w="840" w:type="dxa"/>
            <w:vAlign w:val="bottom"/>
            <w:shd w:val="clear" w:color="auto" w:fill="F0F3F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20" w:type="dxa"/>
            <w:vAlign w:val="bottom"/>
            <w:shd w:val="clear" w:color="auto" w:fill="F0F3F6"/>
          </w:tcPr>
          <w:p>
            <w:pPr>
              <w:spacing w:after="0"/>
              <w:rPr>
                <w:sz w:val="13"/>
                <w:szCs w:val="13"/>
                <w:color w:val="auto"/>
              </w:rPr>
            </w:pPr>
          </w:p>
        </w:tc>
        <w:tc>
          <w:tcPr>
            <w:tcW w:w="1360" w:type="dxa"/>
            <w:vAlign w:val="bottom"/>
            <w:shd w:val="clear" w:color="auto" w:fill="F0F3F6"/>
          </w:tcPr>
          <w:p>
            <w:pPr>
              <w:jc w:val="right"/>
              <w:ind w:right="44"/>
              <w:spacing w:after="0" w:line="159" w:lineRule="exact"/>
              <w:rPr>
                <w:sz w:val="20"/>
                <w:szCs w:val="20"/>
                <w:color w:val="auto"/>
              </w:rPr>
            </w:pPr>
            <w:r>
              <w:rPr>
                <w:rFonts w:ascii="Arial" w:cs="Arial" w:eastAsia="Arial" w:hAnsi="Arial"/>
                <w:sz w:val="14"/>
                <w:szCs w:val="14"/>
                <w:b w:val="1"/>
                <w:bCs w:val="1"/>
                <w:color w:val="3E3935"/>
              </w:rPr>
              <w:t>Table Total</w:t>
            </w:r>
          </w:p>
        </w:tc>
        <w:tc>
          <w:tcPr>
            <w:tcW w:w="1140" w:type="dxa"/>
            <w:vAlign w:val="bottom"/>
            <w:shd w:val="clear" w:color="auto" w:fill="F0F3F6"/>
          </w:tcPr>
          <w:p>
            <w:pPr>
              <w:spacing w:after="0"/>
              <w:rPr>
                <w:sz w:val="13"/>
                <w:szCs w:val="13"/>
                <w:color w:val="auto"/>
              </w:rPr>
            </w:pPr>
          </w:p>
        </w:tc>
        <w:tc>
          <w:tcPr>
            <w:tcW w:w="1140" w:type="dxa"/>
            <w:vAlign w:val="bottom"/>
            <w:shd w:val="clear" w:color="auto" w:fill="F0F3F6"/>
          </w:tcPr>
          <w:p>
            <w:pPr>
              <w:jc w:val="right"/>
              <w:ind w:right="24"/>
              <w:spacing w:after="0" w:line="159" w:lineRule="exact"/>
              <w:rPr>
                <w:sz w:val="20"/>
                <w:szCs w:val="20"/>
                <w:color w:val="auto"/>
              </w:rPr>
            </w:pPr>
            <w:r>
              <w:rPr>
                <w:rFonts w:ascii="Arial" w:cs="Arial" w:eastAsia="Arial" w:hAnsi="Arial"/>
                <w:sz w:val="14"/>
                <w:szCs w:val="14"/>
                <w:b w:val="1"/>
                <w:bCs w:val="1"/>
                <w:color w:val="3E3935"/>
              </w:rPr>
              <w:t>for Non-CEO</w:t>
            </w:r>
          </w:p>
        </w:tc>
        <w:tc>
          <w:tcPr>
            <w:tcW w:w="1020" w:type="dxa"/>
            <w:vAlign w:val="bottom"/>
            <w:shd w:val="clear" w:color="auto" w:fill="F0F3F6"/>
          </w:tcPr>
          <w:p>
            <w:pPr>
              <w:jc w:val="right"/>
              <w:spacing w:after="0" w:line="159" w:lineRule="exact"/>
              <w:rPr>
                <w:sz w:val="20"/>
                <w:szCs w:val="20"/>
                <w:color w:val="auto"/>
              </w:rPr>
            </w:pPr>
            <w:r>
              <w:rPr>
                <w:rFonts w:ascii="Arial" w:cs="Arial" w:eastAsia="Arial" w:hAnsi="Arial"/>
                <w:sz w:val="14"/>
                <w:szCs w:val="14"/>
                <w:b w:val="1"/>
                <w:bCs w:val="1"/>
                <w:color w:val="3E3935"/>
              </w:rPr>
              <w:t>to Non-CEO</w:t>
            </w:r>
          </w:p>
        </w:tc>
        <w:tc>
          <w:tcPr>
            <w:tcW w:w="60" w:type="dxa"/>
            <w:vAlign w:val="bottom"/>
            <w:shd w:val="clear" w:color="auto" w:fill="F0F3F6"/>
          </w:tcPr>
          <w:p>
            <w:pPr>
              <w:spacing w:after="0"/>
              <w:rPr>
                <w:sz w:val="13"/>
                <w:szCs w:val="13"/>
                <w:color w:val="auto"/>
              </w:rPr>
            </w:pPr>
          </w:p>
        </w:tc>
        <w:tc>
          <w:tcPr>
            <w:tcW w:w="1080" w:type="dxa"/>
            <w:vAlign w:val="bottom"/>
            <w:shd w:val="clear" w:color="auto" w:fill="F0F3F6"/>
          </w:tcPr>
          <w:p>
            <w:pPr>
              <w:spacing w:after="0"/>
              <w:rPr>
                <w:sz w:val="13"/>
                <w:szCs w:val="13"/>
                <w:color w:val="auto"/>
              </w:rPr>
            </w:pPr>
          </w:p>
        </w:tc>
        <w:tc>
          <w:tcPr>
            <w:tcW w:w="920" w:type="dxa"/>
            <w:vAlign w:val="bottom"/>
            <w:shd w:val="clear" w:color="auto" w:fill="F0F3F6"/>
          </w:tcPr>
          <w:p>
            <w:pPr>
              <w:jc w:val="right"/>
              <w:spacing w:after="0" w:line="159" w:lineRule="exact"/>
              <w:rPr>
                <w:sz w:val="20"/>
                <w:szCs w:val="20"/>
                <w:color w:val="auto"/>
              </w:rPr>
            </w:pPr>
            <w:r>
              <w:rPr>
                <w:rFonts w:ascii="Arial" w:cs="Arial" w:eastAsia="Arial" w:hAnsi="Arial"/>
                <w:sz w:val="14"/>
                <w:szCs w:val="14"/>
                <w:b w:val="1"/>
                <w:bCs w:val="1"/>
                <w:color w:val="3E3935"/>
              </w:rPr>
              <w:t>Peer Group</w:t>
            </w:r>
          </w:p>
        </w:tc>
        <w:tc>
          <w:tcPr>
            <w:tcW w:w="860" w:type="dxa"/>
            <w:vAlign w:val="bottom"/>
            <w:shd w:val="clear" w:color="auto" w:fill="F0F3F6"/>
          </w:tcPr>
          <w:p>
            <w:pPr>
              <w:jc w:val="right"/>
              <w:ind w:right="22"/>
              <w:spacing w:after="0" w:line="159" w:lineRule="exact"/>
              <w:rPr>
                <w:sz w:val="20"/>
                <w:szCs w:val="20"/>
                <w:color w:val="auto"/>
              </w:rPr>
            </w:pPr>
            <w:r>
              <w:rPr>
                <w:rFonts w:ascii="Arial" w:cs="Arial" w:eastAsia="Arial" w:hAnsi="Arial"/>
                <w:sz w:val="14"/>
                <w:szCs w:val="14"/>
                <w:b w:val="1"/>
                <w:bCs w:val="1"/>
                <w:color w:val="3E3935"/>
              </w:rPr>
              <w:t>Net</w:t>
            </w:r>
          </w:p>
        </w:tc>
        <w:tc>
          <w:tcPr>
            <w:tcW w:w="840" w:type="dxa"/>
            <w:vAlign w:val="bottom"/>
            <w:shd w:val="clear" w:color="auto" w:fill="F0F3F6"/>
          </w:tcPr>
          <w:p>
            <w:pPr>
              <w:jc w:val="right"/>
              <w:ind w:right="2"/>
              <w:spacing w:after="0" w:line="159" w:lineRule="exact"/>
              <w:rPr>
                <w:sz w:val="20"/>
                <w:szCs w:val="20"/>
                <w:color w:val="auto"/>
              </w:rPr>
            </w:pPr>
            <w:r>
              <w:rPr>
                <w:rFonts w:ascii="Arial" w:cs="Arial" w:eastAsia="Arial" w:hAnsi="Arial"/>
                <w:sz w:val="14"/>
                <w:szCs w:val="14"/>
                <w:b w:val="1"/>
                <w:bCs w:val="1"/>
                <w:color w:val="3E3935"/>
              </w:rPr>
              <w:t>EBIT-</w:t>
            </w:r>
          </w:p>
        </w:tc>
        <w:tc>
          <w:tcPr>
            <w:tcW w:w="0" w:type="dxa"/>
            <w:vAlign w:val="bottom"/>
          </w:tcPr>
          <w:p>
            <w:pPr>
              <w:spacing w:after="0"/>
              <w:rPr>
                <w:sz w:val="1"/>
                <w:szCs w:val="1"/>
                <w:color w:val="auto"/>
              </w:rPr>
            </w:pPr>
          </w:p>
        </w:tc>
      </w:tr>
      <w:tr>
        <w:trPr>
          <w:trHeight w:val="178"/>
        </w:trPr>
        <w:tc>
          <w:tcPr>
            <w:tcW w:w="720" w:type="dxa"/>
            <w:vAlign w:val="bottom"/>
            <w:shd w:val="clear" w:color="auto" w:fill="F0F3F6"/>
          </w:tcPr>
          <w:p>
            <w:pPr>
              <w:spacing w:after="0"/>
              <w:rPr>
                <w:sz w:val="15"/>
                <w:szCs w:val="15"/>
                <w:color w:val="auto"/>
              </w:rPr>
            </w:pPr>
          </w:p>
        </w:tc>
        <w:tc>
          <w:tcPr>
            <w:tcW w:w="1360" w:type="dxa"/>
            <w:vAlign w:val="bottom"/>
            <w:shd w:val="clear" w:color="auto" w:fill="F0F3F6"/>
          </w:tcPr>
          <w:p>
            <w:pPr>
              <w:jc w:val="right"/>
              <w:ind w:right="24"/>
              <w:spacing w:after="0" w:line="178" w:lineRule="exact"/>
              <w:rPr>
                <w:sz w:val="20"/>
                <w:szCs w:val="20"/>
                <w:color w:val="auto"/>
              </w:rPr>
            </w:pPr>
            <w:r>
              <w:rPr>
                <w:rFonts w:ascii="Arial" w:cs="Arial" w:eastAsia="Arial" w:hAnsi="Arial"/>
                <w:sz w:val="14"/>
                <w:szCs w:val="14"/>
                <w:b w:val="1"/>
                <w:bCs w:val="1"/>
                <w:color w:val="3E3935"/>
              </w:rPr>
              <w:t>for CEO</w:t>
            </w:r>
            <w:r>
              <w:rPr>
                <w:rFonts w:ascii="Arial" w:cs="Arial" w:eastAsia="Arial" w:hAnsi="Arial"/>
                <w:sz w:val="18"/>
                <w:szCs w:val="18"/>
                <w:b w:val="1"/>
                <w:bCs w:val="1"/>
                <w:color w:val="3E3935"/>
                <w:vertAlign w:val="superscript"/>
              </w:rPr>
              <w:t>(1)</w:t>
            </w:r>
          </w:p>
        </w:tc>
        <w:tc>
          <w:tcPr>
            <w:tcW w:w="1140" w:type="dxa"/>
            <w:vAlign w:val="bottom"/>
            <w:shd w:val="clear" w:color="auto" w:fill="F0F3F6"/>
          </w:tcPr>
          <w:p>
            <w:pPr>
              <w:jc w:val="center"/>
              <w:spacing w:after="0" w:line="178" w:lineRule="exact"/>
              <w:rPr>
                <w:sz w:val="20"/>
                <w:szCs w:val="20"/>
                <w:color w:val="auto"/>
              </w:rPr>
            </w:pPr>
            <w:r>
              <w:rPr>
                <w:rFonts w:ascii="Arial" w:cs="Arial" w:eastAsia="Arial" w:hAnsi="Arial"/>
                <w:sz w:val="14"/>
                <w:szCs w:val="14"/>
                <w:b w:val="1"/>
                <w:bCs w:val="1"/>
                <w:color w:val="3E3935"/>
                <w:w w:val="96"/>
              </w:rPr>
              <w:t>CAP to CEO</w:t>
            </w:r>
            <w:r>
              <w:rPr>
                <w:rFonts w:ascii="Arial" w:cs="Arial" w:eastAsia="Arial" w:hAnsi="Arial"/>
                <w:sz w:val="18"/>
                <w:szCs w:val="18"/>
                <w:b w:val="1"/>
                <w:bCs w:val="1"/>
                <w:color w:val="3E3935"/>
                <w:w w:val="96"/>
                <w:vertAlign w:val="superscript"/>
              </w:rPr>
              <w:t>(3)</w:t>
            </w:r>
          </w:p>
        </w:tc>
        <w:tc>
          <w:tcPr>
            <w:tcW w:w="1140" w:type="dxa"/>
            <w:vAlign w:val="bottom"/>
            <w:shd w:val="clear" w:color="auto" w:fill="F0F3F6"/>
          </w:tcPr>
          <w:p>
            <w:pPr>
              <w:jc w:val="right"/>
              <w:ind w:right="64"/>
              <w:spacing w:after="0" w:line="178" w:lineRule="exact"/>
              <w:rPr>
                <w:sz w:val="20"/>
                <w:szCs w:val="20"/>
                <w:color w:val="auto"/>
              </w:rPr>
            </w:pPr>
            <w:r>
              <w:rPr>
                <w:rFonts w:ascii="Arial" w:cs="Arial" w:eastAsia="Arial" w:hAnsi="Arial"/>
                <w:sz w:val="14"/>
                <w:szCs w:val="14"/>
                <w:b w:val="1"/>
                <w:bCs w:val="1"/>
                <w:color w:val="3E3935"/>
              </w:rPr>
              <w:t>NEOs</w:t>
            </w:r>
            <w:r>
              <w:rPr>
                <w:rFonts w:ascii="Arial" w:cs="Arial" w:eastAsia="Arial" w:hAnsi="Arial"/>
                <w:sz w:val="18"/>
                <w:szCs w:val="18"/>
                <w:b w:val="1"/>
                <w:bCs w:val="1"/>
                <w:color w:val="3E3935"/>
                <w:vertAlign w:val="superscript"/>
              </w:rPr>
              <w:t>(2)</w:t>
            </w:r>
          </w:p>
        </w:tc>
        <w:tc>
          <w:tcPr>
            <w:tcW w:w="1020" w:type="dxa"/>
            <w:vAlign w:val="bottom"/>
            <w:shd w:val="clear" w:color="auto" w:fill="F0F3F6"/>
          </w:tcPr>
          <w:p>
            <w:pPr>
              <w:jc w:val="right"/>
              <w:spacing w:after="0" w:line="178" w:lineRule="exact"/>
              <w:rPr>
                <w:sz w:val="20"/>
                <w:szCs w:val="20"/>
                <w:color w:val="auto"/>
              </w:rPr>
            </w:pPr>
            <w:r>
              <w:rPr>
                <w:rFonts w:ascii="Arial" w:cs="Arial" w:eastAsia="Arial" w:hAnsi="Arial"/>
                <w:sz w:val="14"/>
                <w:szCs w:val="14"/>
                <w:b w:val="1"/>
                <w:bCs w:val="1"/>
                <w:color w:val="3E3935"/>
              </w:rPr>
              <w:t>NEOs</w:t>
            </w:r>
            <w:r>
              <w:rPr>
                <w:rFonts w:ascii="Arial" w:cs="Arial" w:eastAsia="Arial" w:hAnsi="Arial"/>
                <w:sz w:val="18"/>
                <w:szCs w:val="18"/>
                <w:b w:val="1"/>
                <w:bCs w:val="1"/>
                <w:color w:val="3E3935"/>
                <w:vertAlign w:val="superscript"/>
              </w:rPr>
              <w:t>(3)</w:t>
            </w:r>
          </w:p>
        </w:tc>
        <w:tc>
          <w:tcPr>
            <w:tcW w:w="60" w:type="dxa"/>
            <w:vAlign w:val="bottom"/>
            <w:shd w:val="clear" w:color="auto" w:fill="F0F3F6"/>
          </w:tcPr>
          <w:p>
            <w:pPr>
              <w:spacing w:after="0"/>
              <w:rPr>
                <w:sz w:val="15"/>
                <w:szCs w:val="15"/>
                <w:color w:val="auto"/>
              </w:rPr>
            </w:pPr>
          </w:p>
        </w:tc>
        <w:tc>
          <w:tcPr>
            <w:tcW w:w="1080" w:type="dxa"/>
            <w:vAlign w:val="bottom"/>
            <w:shd w:val="clear" w:color="auto" w:fill="F0F3F6"/>
          </w:tcPr>
          <w:p>
            <w:pPr>
              <w:jc w:val="right"/>
              <w:ind w:right="28"/>
              <w:spacing w:after="0" w:line="178" w:lineRule="exact"/>
              <w:rPr>
                <w:sz w:val="20"/>
                <w:szCs w:val="20"/>
                <w:color w:val="auto"/>
              </w:rPr>
            </w:pPr>
            <w:r>
              <w:rPr>
                <w:rFonts w:ascii="Arial" w:cs="Arial" w:eastAsia="Arial" w:hAnsi="Arial"/>
                <w:sz w:val="14"/>
                <w:szCs w:val="14"/>
                <w:b w:val="1"/>
                <w:bCs w:val="1"/>
                <w:color w:val="3E3935"/>
              </w:rPr>
              <w:t>TSR</w:t>
            </w:r>
            <w:r>
              <w:rPr>
                <w:rFonts w:ascii="Arial" w:cs="Arial" w:eastAsia="Arial" w:hAnsi="Arial"/>
                <w:sz w:val="18"/>
                <w:szCs w:val="18"/>
                <w:b w:val="1"/>
                <w:bCs w:val="1"/>
                <w:color w:val="3E3935"/>
                <w:vertAlign w:val="superscript"/>
              </w:rPr>
              <w:t>(4)</w:t>
            </w:r>
          </w:p>
        </w:tc>
        <w:tc>
          <w:tcPr>
            <w:tcW w:w="920" w:type="dxa"/>
            <w:vAlign w:val="bottom"/>
            <w:shd w:val="clear" w:color="auto" w:fill="F0F3F6"/>
          </w:tcPr>
          <w:p>
            <w:pPr>
              <w:jc w:val="right"/>
              <w:spacing w:after="0" w:line="178" w:lineRule="exact"/>
              <w:rPr>
                <w:sz w:val="20"/>
                <w:szCs w:val="20"/>
                <w:color w:val="auto"/>
              </w:rPr>
            </w:pPr>
            <w:r>
              <w:rPr>
                <w:rFonts w:ascii="Arial" w:cs="Arial" w:eastAsia="Arial" w:hAnsi="Arial"/>
                <w:sz w:val="14"/>
                <w:szCs w:val="14"/>
                <w:b w:val="1"/>
                <w:bCs w:val="1"/>
                <w:color w:val="3E3935"/>
              </w:rPr>
              <w:t>TSR</w:t>
            </w:r>
            <w:r>
              <w:rPr>
                <w:rFonts w:ascii="Arial" w:cs="Arial" w:eastAsia="Arial" w:hAnsi="Arial"/>
                <w:sz w:val="18"/>
                <w:szCs w:val="18"/>
                <w:b w:val="1"/>
                <w:bCs w:val="1"/>
                <w:color w:val="3E3935"/>
                <w:vertAlign w:val="superscript"/>
              </w:rPr>
              <w:t>(5)</w:t>
            </w:r>
          </w:p>
        </w:tc>
        <w:tc>
          <w:tcPr>
            <w:tcW w:w="860" w:type="dxa"/>
            <w:vAlign w:val="bottom"/>
            <w:shd w:val="clear" w:color="auto" w:fill="F0F3F6"/>
          </w:tcPr>
          <w:p>
            <w:pPr>
              <w:jc w:val="right"/>
              <w:ind w:right="22"/>
              <w:spacing w:after="0" w:line="178" w:lineRule="exact"/>
              <w:rPr>
                <w:sz w:val="20"/>
                <w:szCs w:val="20"/>
                <w:color w:val="auto"/>
              </w:rPr>
            </w:pPr>
            <w:r>
              <w:rPr>
                <w:rFonts w:ascii="Arial" w:cs="Arial" w:eastAsia="Arial" w:hAnsi="Arial"/>
                <w:sz w:val="14"/>
                <w:szCs w:val="14"/>
                <w:b w:val="1"/>
                <w:bCs w:val="1"/>
                <w:color w:val="3E3935"/>
              </w:rPr>
              <w:t>Income</w:t>
            </w:r>
            <w:r>
              <w:rPr>
                <w:rFonts w:ascii="Arial" w:cs="Arial" w:eastAsia="Arial" w:hAnsi="Arial"/>
                <w:sz w:val="18"/>
                <w:szCs w:val="18"/>
                <w:b w:val="1"/>
                <w:bCs w:val="1"/>
                <w:color w:val="3E3935"/>
                <w:vertAlign w:val="superscript"/>
              </w:rPr>
              <w:t>(6)</w:t>
            </w:r>
          </w:p>
        </w:tc>
        <w:tc>
          <w:tcPr>
            <w:tcW w:w="840" w:type="dxa"/>
            <w:vAlign w:val="bottom"/>
            <w:shd w:val="clear" w:color="auto" w:fill="F0F3F6"/>
          </w:tcPr>
          <w:p>
            <w:pPr>
              <w:jc w:val="right"/>
              <w:spacing w:after="0" w:line="178" w:lineRule="exact"/>
              <w:rPr>
                <w:sz w:val="20"/>
                <w:szCs w:val="20"/>
                <w:color w:val="auto"/>
              </w:rPr>
            </w:pPr>
            <w:r>
              <w:rPr>
                <w:rFonts w:ascii="Arial" w:cs="Arial" w:eastAsia="Arial" w:hAnsi="Arial"/>
                <w:sz w:val="14"/>
                <w:szCs w:val="14"/>
                <w:b w:val="1"/>
                <w:bCs w:val="1"/>
                <w:color w:val="3E3935"/>
              </w:rPr>
              <w:t>adjusted</w:t>
            </w:r>
            <w:r>
              <w:rPr>
                <w:rFonts w:ascii="Arial" w:cs="Arial" w:eastAsia="Arial" w:hAnsi="Arial"/>
                <w:sz w:val="18"/>
                <w:szCs w:val="18"/>
                <w:b w:val="1"/>
                <w:bCs w:val="1"/>
                <w:color w:val="3E3935"/>
                <w:vertAlign w:val="superscript"/>
              </w:rPr>
              <w:t>(7)</w:t>
            </w:r>
          </w:p>
        </w:tc>
        <w:tc>
          <w:tcPr>
            <w:tcW w:w="0" w:type="dxa"/>
            <w:vAlign w:val="bottom"/>
          </w:tcPr>
          <w:p>
            <w:pPr>
              <w:spacing w:after="0"/>
              <w:rPr>
                <w:sz w:val="1"/>
                <w:szCs w:val="1"/>
                <w:color w:val="auto"/>
              </w:rPr>
            </w:pPr>
          </w:p>
        </w:tc>
      </w:tr>
      <w:tr>
        <w:trPr>
          <w:trHeight w:val="197"/>
        </w:trPr>
        <w:tc>
          <w:tcPr>
            <w:tcW w:w="720" w:type="dxa"/>
            <w:vAlign w:val="bottom"/>
            <w:tcBorders>
              <w:bottom w:val="single" w:sz="8" w:color="0072CE"/>
            </w:tcBorders>
            <w:shd w:val="clear" w:color="auto" w:fill="F0F3F6"/>
          </w:tcPr>
          <w:p>
            <w:pPr>
              <w:jc w:val="right"/>
              <w:ind w:right="221"/>
              <w:spacing w:after="0"/>
              <w:rPr>
                <w:sz w:val="20"/>
                <w:szCs w:val="20"/>
                <w:color w:val="auto"/>
              </w:rPr>
            </w:pPr>
            <w:r>
              <w:rPr>
                <w:rFonts w:ascii="Arial" w:cs="Arial" w:eastAsia="Arial" w:hAnsi="Arial"/>
                <w:sz w:val="14"/>
                <w:szCs w:val="14"/>
                <w:b w:val="1"/>
                <w:bCs w:val="1"/>
                <w:color w:val="3E3935"/>
              </w:rPr>
              <w:t>Year</w:t>
            </w:r>
          </w:p>
        </w:tc>
        <w:tc>
          <w:tcPr>
            <w:tcW w:w="1360" w:type="dxa"/>
            <w:vAlign w:val="bottom"/>
            <w:tcBorders>
              <w:bottom w:val="single" w:sz="8" w:color="0072CE"/>
            </w:tcBorders>
            <w:shd w:val="clear" w:color="auto" w:fill="F0F3F6"/>
          </w:tcPr>
          <w:p>
            <w:pPr>
              <w:jc w:val="right"/>
              <w:ind w:right="44"/>
              <w:spacing w:after="0"/>
              <w:rPr>
                <w:sz w:val="20"/>
                <w:szCs w:val="20"/>
                <w:color w:val="auto"/>
              </w:rPr>
            </w:pPr>
            <w:r>
              <w:rPr>
                <w:rFonts w:ascii="Arial" w:cs="Arial" w:eastAsia="Arial" w:hAnsi="Arial"/>
                <w:sz w:val="14"/>
                <w:szCs w:val="14"/>
                <w:b w:val="1"/>
                <w:bCs w:val="1"/>
                <w:color w:val="3E3935"/>
              </w:rPr>
              <w:t>($)</w:t>
            </w:r>
          </w:p>
        </w:tc>
        <w:tc>
          <w:tcPr>
            <w:tcW w:w="1140" w:type="dxa"/>
            <w:vAlign w:val="bottom"/>
            <w:tcBorders>
              <w:bottom w:val="single" w:sz="8" w:color="0072CE"/>
            </w:tcBorders>
            <w:shd w:val="clear" w:color="auto" w:fill="F0F3F6"/>
          </w:tcPr>
          <w:p>
            <w:pPr>
              <w:jc w:val="right"/>
              <w:ind w:right="62"/>
              <w:spacing w:after="0"/>
              <w:rPr>
                <w:sz w:val="20"/>
                <w:szCs w:val="20"/>
                <w:color w:val="auto"/>
              </w:rPr>
            </w:pPr>
            <w:r>
              <w:rPr>
                <w:rFonts w:ascii="Arial" w:cs="Arial" w:eastAsia="Arial" w:hAnsi="Arial"/>
                <w:sz w:val="14"/>
                <w:szCs w:val="14"/>
                <w:b w:val="1"/>
                <w:bCs w:val="1"/>
                <w:color w:val="3E3935"/>
              </w:rPr>
              <w:t>($)</w:t>
            </w:r>
          </w:p>
        </w:tc>
        <w:tc>
          <w:tcPr>
            <w:tcW w:w="1140" w:type="dxa"/>
            <w:vAlign w:val="bottom"/>
            <w:tcBorders>
              <w:bottom w:val="single" w:sz="8" w:color="0072CE"/>
            </w:tcBorders>
            <w:shd w:val="clear" w:color="auto" w:fill="F0F3F6"/>
          </w:tcPr>
          <w:p>
            <w:pPr>
              <w:jc w:val="right"/>
              <w:ind w:right="64"/>
              <w:spacing w:after="0"/>
              <w:rPr>
                <w:sz w:val="20"/>
                <w:szCs w:val="20"/>
                <w:color w:val="auto"/>
              </w:rPr>
            </w:pPr>
            <w:r>
              <w:rPr>
                <w:rFonts w:ascii="Arial" w:cs="Arial" w:eastAsia="Arial" w:hAnsi="Arial"/>
                <w:sz w:val="14"/>
                <w:szCs w:val="14"/>
                <w:b w:val="1"/>
                <w:bCs w:val="1"/>
                <w:color w:val="3E3935"/>
              </w:rPr>
              <w:t>($)</w:t>
            </w:r>
          </w:p>
        </w:tc>
        <w:tc>
          <w:tcPr>
            <w:tcW w:w="1020" w:type="dxa"/>
            <w:vAlign w:val="bottom"/>
            <w:tcBorders>
              <w:bottom w:val="single" w:sz="8" w:color="0072CE"/>
            </w:tcBorders>
            <w:shd w:val="clear" w:color="auto" w:fill="F0F3F6"/>
          </w:tcPr>
          <w:p>
            <w:pPr>
              <w:jc w:val="right"/>
              <w:spacing w:after="0"/>
              <w:rPr>
                <w:sz w:val="20"/>
                <w:szCs w:val="20"/>
                <w:color w:val="auto"/>
              </w:rPr>
            </w:pPr>
            <w:r>
              <w:rPr>
                <w:rFonts w:ascii="Arial" w:cs="Arial" w:eastAsia="Arial" w:hAnsi="Arial"/>
                <w:sz w:val="14"/>
                <w:szCs w:val="14"/>
                <w:b w:val="1"/>
                <w:bCs w:val="1"/>
                <w:color w:val="3E3935"/>
              </w:rPr>
              <w:t>($)</w:t>
            </w:r>
          </w:p>
        </w:tc>
        <w:tc>
          <w:tcPr>
            <w:tcW w:w="60" w:type="dxa"/>
            <w:vAlign w:val="bottom"/>
            <w:tcBorders>
              <w:bottom w:val="single" w:sz="8" w:color="0072CE"/>
            </w:tcBorders>
            <w:shd w:val="clear" w:color="auto" w:fill="F0F3F6"/>
          </w:tcPr>
          <w:p>
            <w:pPr>
              <w:spacing w:after="0"/>
              <w:rPr>
                <w:sz w:val="17"/>
                <w:szCs w:val="17"/>
                <w:color w:val="auto"/>
              </w:rPr>
            </w:pPr>
          </w:p>
        </w:tc>
        <w:tc>
          <w:tcPr>
            <w:tcW w:w="1080" w:type="dxa"/>
            <w:vAlign w:val="bottom"/>
            <w:tcBorders>
              <w:bottom w:val="single" w:sz="8" w:color="0072CE"/>
            </w:tcBorders>
            <w:shd w:val="clear" w:color="auto" w:fill="F0F3F6"/>
          </w:tcPr>
          <w:p>
            <w:pPr>
              <w:jc w:val="right"/>
              <w:ind w:right="48"/>
              <w:spacing w:after="0"/>
              <w:rPr>
                <w:sz w:val="20"/>
                <w:szCs w:val="20"/>
                <w:color w:val="auto"/>
              </w:rPr>
            </w:pPr>
            <w:r>
              <w:rPr>
                <w:rFonts w:ascii="Arial" w:cs="Arial" w:eastAsia="Arial" w:hAnsi="Arial"/>
                <w:sz w:val="14"/>
                <w:szCs w:val="14"/>
                <w:b w:val="1"/>
                <w:bCs w:val="1"/>
                <w:color w:val="3E3935"/>
              </w:rPr>
              <w:t>($)</w:t>
            </w:r>
          </w:p>
        </w:tc>
        <w:tc>
          <w:tcPr>
            <w:tcW w:w="920" w:type="dxa"/>
            <w:vAlign w:val="bottom"/>
            <w:tcBorders>
              <w:bottom w:val="single" w:sz="8" w:color="0072CE"/>
            </w:tcBorders>
            <w:shd w:val="clear" w:color="auto" w:fill="F0F3F6"/>
          </w:tcPr>
          <w:p>
            <w:pPr>
              <w:jc w:val="right"/>
              <w:ind w:right="2"/>
              <w:spacing w:after="0"/>
              <w:rPr>
                <w:sz w:val="20"/>
                <w:szCs w:val="20"/>
                <w:color w:val="auto"/>
              </w:rPr>
            </w:pPr>
            <w:r>
              <w:rPr>
                <w:rFonts w:ascii="Arial" w:cs="Arial" w:eastAsia="Arial" w:hAnsi="Arial"/>
                <w:sz w:val="14"/>
                <w:szCs w:val="14"/>
                <w:b w:val="1"/>
                <w:bCs w:val="1"/>
                <w:color w:val="3E3935"/>
              </w:rPr>
              <w:t>($)</w:t>
            </w:r>
          </w:p>
        </w:tc>
        <w:tc>
          <w:tcPr>
            <w:tcW w:w="860" w:type="dxa"/>
            <w:vAlign w:val="bottom"/>
            <w:tcBorders>
              <w:bottom w:val="single" w:sz="8" w:color="0072CE"/>
            </w:tcBorders>
            <w:shd w:val="clear" w:color="auto" w:fill="F0F3F6"/>
          </w:tcPr>
          <w:p>
            <w:pPr>
              <w:jc w:val="right"/>
              <w:ind w:right="22"/>
              <w:spacing w:after="0"/>
              <w:rPr>
                <w:sz w:val="20"/>
                <w:szCs w:val="20"/>
                <w:color w:val="auto"/>
              </w:rPr>
            </w:pPr>
            <w:r>
              <w:rPr>
                <w:rFonts w:ascii="Arial" w:cs="Arial" w:eastAsia="Arial" w:hAnsi="Arial"/>
                <w:sz w:val="14"/>
                <w:szCs w:val="14"/>
                <w:b w:val="1"/>
                <w:bCs w:val="1"/>
                <w:color w:val="3E3935"/>
              </w:rPr>
              <w:t>($B)</w:t>
            </w:r>
          </w:p>
        </w:tc>
        <w:tc>
          <w:tcPr>
            <w:tcW w:w="840" w:type="dxa"/>
            <w:vAlign w:val="bottom"/>
            <w:tcBorders>
              <w:bottom w:val="single" w:sz="8" w:color="0072CE"/>
            </w:tcBorders>
            <w:shd w:val="clear" w:color="auto" w:fill="F0F3F6"/>
          </w:tcPr>
          <w:p>
            <w:pPr>
              <w:jc w:val="right"/>
              <w:spacing w:after="0"/>
              <w:rPr>
                <w:sz w:val="20"/>
                <w:szCs w:val="20"/>
                <w:color w:val="auto"/>
              </w:rPr>
            </w:pPr>
            <w:r>
              <w:rPr>
                <w:rFonts w:ascii="Arial" w:cs="Arial" w:eastAsia="Arial" w:hAnsi="Arial"/>
                <w:sz w:val="14"/>
                <w:szCs w:val="14"/>
                <w:b w:val="1"/>
                <w:bCs w:val="1"/>
                <w:color w:val="3E3935"/>
              </w:rPr>
              <w:t>($B)</w:t>
            </w:r>
          </w:p>
        </w:tc>
        <w:tc>
          <w:tcPr>
            <w:tcW w:w="0" w:type="dxa"/>
            <w:vAlign w:val="bottom"/>
          </w:tcPr>
          <w:p>
            <w:pPr>
              <w:spacing w:after="0"/>
              <w:rPr>
                <w:sz w:val="1"/>
                <w:szCs w:val="1"/>
                <w:color w:val="auto"/>
              </w:rPr>
            </w:pPr>
          </w:p>
        </w:tc>
      </w:tr>
      <w:tr>
        <w:trPr>
          <w:trHeight w:val="250"/>
        </w:trPr>
        <w:tc>
          <w:tcPr>
            <w:tcW w:w="720" w:type="dxa"/>
            <w:vAlign w:val="bottom"/>
            <w:tcBorders>
              <w:bottom w:val="single" w:sz="8" w:color="D9D9D6"/>
            </w:tcBorders>
          </w:tcPr>
          <w:p>
            <w:pPr>
              <w:jc w:val="right"/>
              <w:ind w:right="221"/>
              <w:spacing w:after="0"/>
              <w:rPr>
                <w:sz w:val="20"/>
                <w:szCs w:val="20"/>
                <w:color w:val="auto"/>
              </w:rPr>
            </w:pPr>
            <w:r>
              <w:rPr>
                <w:rFonts w:ascii="Arial" w:cs="Arial" w:eastAsia="Arial" w:hAnsi="Arial"/>
                <w:sz w:val="16"/>
                <w:szCs w:val="16"/>
                <w:color w:val="3D3935"/>
              </w:rPr>
              <w:t>2024</w:t>
            </w:r>
          </w:p>
        </w:tc>
        <w:tc>
          <w:tcPr>
            <w:tcW w:w="1360" w:type="dxa"/>
            <w:vAlign w:val="bottom"/>
            <w:tcBorders>
              <w:bottom w:val="single" w:sz="8" w:color="D9D9D6"/>
            </w:tcBorders>
          </w:tcPr>
          <w:p>
            <w:pPr>
              <w:jc w:val="center"/>
              <w:ind w:left="144"/>
              <w:spacing w:after="0"/>
              <w:rPr>
                <w:sz w:val="20"/>
                <w:szCs w:val="20"/>
                <w:color w:val="auto"/>
              </w:rPr>
            </w:pPr>
            <w:r>
              <w:rPr>
                <w:rFonts w:ascii="Arial" w:cs="Arial" w:eastAsia="Arial" w:hAnsi="Arial"/>
                <w:sz w:val="16"/>
                <w:szCs w:val="16"/>
                <w:color w:val="3D3935"/>
              </w:rPr>
              <w:t>29,496,637</w:t>
            </w:r>
          </w:p>
        </w:tc>
        <w:tc>
          <w:tcPr>
            <w:tcW w:w="1140" w:type="dxa"/>
            <w:vAlign w:val="bottom"/>
            <w:tcBorders>
              <w:bottom w:val="single" w:sz="8" w:color="D9D9D6"/>
            </w:tcBorders>
          </w:tcPr>
          <w:p>
            <w:pPr>
              <w:jc w:val="center"/>
              <w:spacing w:after="0"/>
              <w:rPr>
                <w:sz w:val="20"/>
                <w:szCs w:val="20"/>
                <w:color w:val="auto"/>
              </w:rPr>
            </w:pPr>
            <w:r>
              <w:rPr>
                <w:rFonts w:ascii="Arial" w:cs="Arial" w:eastAsia="Arial" w:hAnsi="Arial"/>
                <w:sz w:val="16"/>
                <w:szCs w:val="16"/>
                <w:color w:val="3D3935"/>
                <w:w w:val="99"/>
              </w:rPr>
              <w:t>65,519,064</w:t>
            </w:r>
          </w:p>
        </w:tc>
        <w:tc>
          <w:tcPr>
            <w:tcW w:w="1140" w:type="dxa"/>
            <w:vAlign w:val="bottom"/>
            <w:tcBorders>
              <w:bottom w:val="single" w:sz="8" w:color="D9D9D6"/>
            </w:tcBorders>
          </w:tcPr>
          <w:p>
            <w:pPr>
              <w:jc w:val="right"/>
              <w:ind w:right="64"/>
              <w:spacing w:after="0"/>
              <w:rPr>
                <w:sz w:val="20"/>
                <w:szCs w:val="20"/>
                <w:color w:val="auto"/>
              </w:rPr>
            </w:pPr>
            <w:r>
              <w:rPr>
                <w:rFonts w:ascii="Arial" w:cs="Arial" w:eastAsia="Arial" w:hAnsi="Arial"/>
                <w:sz w:val="16"/>
                <w:szCs w:val="16"/>
                <w:color w:val="3D3935"/>
              </w:rPr>
              <w:t>12,772,607</w:t>
            </w:r>
          </w:p>
        </w:tc>
        <w:tc>
          <w:tcPr>
            <w:tcW w:w="1020" w:type="dxa"/>
            <w:vAlign w:val="bottom"/>
            <w:tcBorders>
              <w:bottom w:val="single" w:sz="8" w:color="D9D9D6"/>
            </w:tcBorders>
          </w:tcPr>
          <w:p>
            <w:pPr>
              <w:jc w:val="center"/>
              <w:spacing w:after="0"/>
              <w:rPr>
                <w:sz w:val="20"/>
                <w:szCs w:val="20"/>
                <w:color w:val="auto"/>
              </w:rPr>
            </w:pPr>
            <w:r>
              <w:rPr>
                <w:rFonts w:ascii="Arial" w:cs="Arial" w:eastAsia="Arial" w:hAnsi="Arial"/>
                <w:sz w:val="16"/>
                <w:szCs w:val="16"/>
                <w:color w:val="3D3935"/>
                <w:w w:val="99"/>
              </w:rPr>
              <w:t>20,502,315</w:t>
            </w:r>
          </w:p>
        </w:tc>
        <w:tc>
          <w:tcPr>
            <w:tcW w:w="1140" w:type="dxa"/>
            <w:vAlign w:val="bottom"/>
            <w:tcBorders>
              <w:bottom w:val="single" w:sz="8" w:color="D9D9D6"/>
            </w:tcBorders>
            <w:gridSpan w:val="2"/>
          </w:tcPr>
          <w:p>
            <w:pPr>
              <w:jc w:val="right"/>
              <w:ind w:right="28"/>
              <w:spacing w:after="0"/>
              <w:rPr>
                <w:sz w:val="20"/>
                <w:szCs w:val="20"/>
                <w:color w:val="auto"/>
              </w:rPr>
            </w:pPr>
            <w:r>
              <w:rPr>
                <w:rFonts w:ascii="Arial" w:cs="Arial" w:eastAsia="Arial" w:hAnsi="Arial"/>
                <w:sz w:val="16"/>
                <w:szCs w:val="16"/>
                <w:color w:val="3D3935"/>
              </w:rPr>
              <w:t>152</w:t>
            </w:r>
          </w:p>
        </w:tc>
        <w:tc>
          <w:tcPr>
            <w:tcW w:w="92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183</w:t>
            </w:r>
          </w:p>
        </w:tc>
        <w:tc>
          <w:tcPr>
            <w:tcW w:w="860" w:type="dxa"/>
            <w:vAlign w:val="bottom"/>
            <w:tcBorders>
              <w:bottom w:val="single" w:sz="8" w:color="D9D9D6"/>
            </w:tcBorders>
          </w:tcPr>
          <w:p>
            <w:pPr>
              <w:jc w:val="right"/>
              <w:ind w:right="62"/>
              <w:spacing w:after="0"/>
              <w:rPr>
                <w:sz w:val="20"/>
                <w:szCs w:val="20"/>
                <w:color w:val="auto"/>
              </w:rPr>
            </w:pPr>
            <w:r>
              <w:rPr>
                <w:rFonts w:ascii="Arial" w:cs="Arial" w:eastAsia="Arial" w:hAnsi="Arial"/>
                <w:sz w:val="16"/>
                <w:szCs w:val="16"/>
                <w:color w:val="3D3935"/>
              </w:rPr>
              <w:t>5.963</w:t>
            </w:r>
          </w:p>
        </w:tc>
        <w:tc>
          <w:tcPr>
            <w:tcW w:w="840" w:type="dxa"/>
            <w:vAlign w:val="bottom"/>
            <w:tcBorders>
              <w:bottom w:val="single" w:sz="8" w:color="D9D9D6"/>
            </w:tcBorders>
          </w:tcPr>
          <w:p>
            <w:pPr>
              <w:jc w:val="right"/>
              <w:ind w:right="2"/>
              <w:spacing w:after="0"/>
              <w:rPr>
                <w:sz w:val="20"/>
                <w:szCs w:val="20"/>
                <w:color w:val="auto"/>
              </w:rPr>
            </w:pPr>
            <w:r>
              <w:rPr>
                <w:rFonts w:ascii="Arial" w:cs="Arial" w:eastAsia="Arial" w:hAnsi="Arial"/>
                <w:sz w:val="16"/>
                <w:szCs w:val="16"/>
                <w:color w:val="3D3935"/>
              </w:rPr>
              <w:t>14.934</w:t>
            </w:r>
          </w:p>
        </w:tc>
        <w:tc>
          <w:tcPr>
            <w:tcW w:w="0" w:type="dxa"/>
            <w:vAlign w:val="bottom"/>
          </w:tcPr>
          <w:p>
            <w:pPr>
              <w:spacing w:after="0"/>
              <w:rPr>
                <w:sz w:val="1"/>
                <w:szCs w:val="1"/>
                <w:color w:val="auto"/>
              </w:rPr>
            </w:pPr>
          </w:p>
        </w:tc>
      </w:tr>
      <w:tr>
        <w:trPr>
          <w:trHeight w:val="250"/>
        </w:trPr>
        <w:tc>
          <w:tcPr>
            <w:tcW w:w="720" w:type="dxa"/>
            <w:vAlign w:val="bottom"/>
            <w:tcBorders>
              <w:bottom w:val="single" w:sz="8" w:color="D9D9D6"/>
            </w:tcBorders>
          </w:tcPr>
          <w:p>
            <w:pPr>
              <w:jc w:val="right"/>
              <w:ind w:right="221"/>
              <w:spacing w:after="0"/>
              <w:rPr>
                <w:sz w:val="20"/>
                <w:szCs w:val="20"/>
                <w:color w:val="auto"/>
              </w:rPr>
            </w:pPr>
            <w:r>
              <w:rPr>
                <w:rFonts w:ascii="Arial" w:cs="Arial" w:eastAsia="Arial" w:hAnsi="Arial"/>
                <w:sz w:val="16"/>
                <w:szCs w:val="16"/>
                <w:color w:val="3D3935"/>
              </w:rPr>
              <w:t>2023</w:t>
            </w:r>
          </w:p>
        </w:tc>
        <w:tc>
          <w:tcPr>
            <w:tcW w:w="1360" w:type="dxa"/>
            <w:vAlign w:val="bottom"/>
            <w:tcBorders>
              <w:bottom w:val="single" w:sz="8" w:color="D9D9D6"/>
            </w:tcBorders>
          </w:tcPr>
          <w:p>
            <w:pPr>
              <w:jc w:val="center"/>
              <w:ind w:left="124"/>
              <w:spacing w:after="0"/>
              <w:rPr>
                <w:sz w:val="20"/>
                <w:szCs w:val="20"/>
                <w:color w:val="auto"/>
              </w:rPr>
            </w:pPr>
            <w:r>
              <w:rPr>
                <w:rFonts w:ascii="Arial" w:cs="Arial" w:eastAsia="Arial" w:hAnsi="Arial"/>
                <w:sz w:val="16"/>
                <w:szCs w:val="16"/>
                <w:color w:val="3D3935"/>
                <w:w w:val="99"/>
              </w:rPr>
              <w:t>27,847,405</w:t>
            </w:r>
          </w:p>
        </w:tc>
        <w:tc>
          <w:tcPr>
            <w:tcW w:w="1140" w:type="dxa"/>
            <w:vAlign w:val="bottom"/>
            <w:tcBorders>
              <w:bottom w:val="single" w:sz="8" w:color="D9D9D6"/>
            </w:tcBorders>
          </w:tcPr>
          <w:p>
            <w:pPr>
              <w:jc w:val="right"/>
              <w:ind w:right="42"/>
              <w:spacing w:after="0"/>
              <w:rPr>
                <w:sz w:val="20"/>
                <w:szCs w:val="20"/>
                <w:color w:val="auto"/>
              </w:rPr>
            </w:pPr>
            <w:r>
              <w:rPr>
                <w:rFonts w:ascii="Arial" w:cs="Arial" w:eastAsia="Arial" w:hAnsi="Arial"/>
                <w:sz w:val="16"/>
                <w:szCs w:val="16"/>
                <w:color w:val="3D3935"/>
              </w:rPr>
              <w:t>21,715,743</w:t>
            </w:r>
          </w:p>
        </w:tc>
        <w:tc>
          <w:tcPr>
            <w:tcW w:w="1140" w:type="dxa"/>
            <w:vAlign w:val="bottom"/>
            <w:tcBorders>
              <w:bottom w:val="single" w:sz="8" w:color="D9D9D6"/>
            </w:tcBorders>
          </w:tcPr>
          <w:p>
            <w:pPr>
              <w:jc w:val="right"/>
              <w:ind w:right="64"/>
              <w:spacing w:after="0"/>
              <w:rPr>
                <w:sz w:val="20"/>
                <w:szCs w:val="20"/>
                <w:color w:val="auto"/>
              </w:rPr>
            </w:pPr>
            <w:r>
              <w:rPr>
                <w:rFonts w:ascii="Arial" w:cs="Arial" w:eastAsia="Arial" w:hAnsi="Arial"/>
                <w:sz w:val="16"/>
                <w:szCs w:val="16"/>
                <w:color w:val="3D3935"/>
              </w:rPr>
              <w:t>15,245,310</w:t>
            </w:r>
          </w:p>
        </w:tc>
        <w:tc>
          <w:tcPr>
            <w:tcW w:w="1020" w:type="dxa"/>
            <w:vAlign w:val="bottom"/>
            <w:tcBorders>
              <w:bottom w:val="single" w:sz="8" w:color="D9D9D6"/>
            </w:tcBorders>
          </w:tcPr>
          <w:p>
            <w:pPr>
              <w:jc w:val="center"/>
              <w:spacing w:after="0"/>
              <w:rPr>
                <w:sz w:val="20"/>
                <w:szCs w:val="20"/>
                <w:color w:val="auto"/>
              </w:rPr>
            </w:pPr>
            <w:r>
              <w:rPr>
                <w:rFonts w:ascii="Arial" w:cs="Arial" w:eastAsia="Arial" w:hAnsi="Arial"/>
                <w:sz w:val="16"/>
                <w:szCs w:val="16"/>
                <w:color w:val="3D3935"/>
                <w:w w:val="99"/>
              </w:rPr>
              <w:t>12,490,596</w:t>
            </w:r>
          </w:p>
        </w:tc>
        <w:tc>
          <w:tcPr>
            <w:tcW w:w="1140" w:type="dxa"/>
            <w:vAlign w:val="bottom"/>
            <w:tcBorders>
              <w:bottom w:val="single" w:sz="8" w:color="D9D9D6"/>
            </w:tcBorders>
            <w:gridSpan w:val="2"/>
          </w:tcPr>
          <w:p>
            <w:pPr>
              <w:jc w:val="right"/>
              <w:ind w:right="48"/>
              <w:spacing w:after="0"/>
              <w:rPr>
                <w:sz w:val="20"/>
                <w:szCs w:val="20"/>
                <w:color w:val="auto"/>
              </w:rPr>
            </w:pPr>
            <w:r>
              <w:rPr>
                <w:rFonts w:ascii="Arial" w:cs="Arial" w:eastAsia="Arial" w:hAnsi="Arial"/>
                <w:sz w:val="16"/>
                <w:szCs w:val="16"/>
                <w:color w:val="3D3935"/>
              </w:rPr>
              <w:t>102</w:t>
            </w:r>
          </w:p>
        </w:tc>
        <w:tc>
          <w:tcPr>
            <w:tcW w:w="92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170</w:t>
            </w:r>
          </w:p>
        </w:tc>
        <w:tc>
          <w:tcPr>
            <w:tcW w:w="860" w:type="dxa"/>
            <w:vAlign w:val="bottom"/>
            <w:tcBorders>
              <w:bottom w:val="single" w:sz="8" w:color="D9D9D6"/>
            </w:tcBorders>
          </w:tcPr>
          <w:p>
            <w:pPr>
              <w:jc w:val="right"/>
              <w:ind w:right="82"/>
              <w:spacing w:after="0"/>
              <w:rPr>
                <w:sz w:val="20"/>
                <w:szCs w:val="20"/>
                <w:color w:val="auto"/>
              </w:rPr>
            </w:pPr>
            <w:r>
              <w:rPr>
                <w:rFonts w:ascii="Arial" w:cs="Arial" w:eastAsia="Arial" w:hAnsi="Arial"/>
                <w:sz w:val="16"/>
                <w:szCs w:val="16"/>
                <w:color w:val="3D3935"/>
              </w:rPr>
              <w:t>9.840</w:t>
            </w:r>
          </w:p>
        </w:tc>
        <w:tc>
          <w:tcPr>
            <w:tcW w:w="8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12.357</w:t>
            </w:r>
          </w:p>
        </w:tc>
        <w:tc>
          <w:tcPr>
            <w:tcW w:w="0" w:type="dxa"/>
            <w:vAlign w:val="bottom"/>
          </w:tcPr>
          <w:p>
            <w:pPr>
              <w:spacing w:after="0"/>
              <w:rPr>
                <w:sz w:val="1"/>
                <w:szCs w:val="1"/>
                <w:color w:val="auto"/>
              </w:rPr>
            </w:pPr>
          </w:p>
        </w:tc>
      </w:tr>
      <w:tr>
        <w:trPr>
          <w:trHeight w:val="250"/>
        </w:trPr>
        <w:tc>
          <w:tcPr>
            <w:tcW w:w="720" w:type="dxa"/>
            <w:vAlign w:val="bottom"/>
            <w:tcBorders>
              <w:bottom w:val="single" w:sz="8" w:color="D9D9D6"/>
            </w:tcBorders>
          </w:tcPr>
          <w:p>
            <w:pPr>
              <w:jc w:val="right"/>
              <w:ind w:right="221"/>
              <w:spacing w:after="0"/>
              <w:rPr>
                <w:sz w:val="20"/>
                <w:szCs w:val="20"/>
                <w:color w:val="auto"/>
              </w:rPr>
            </w:pPr>
            <w:r>
              <w:rPr>
                <w:rFonts w:ascii="Arial" w:cs="Arial" w:eastAsia="Arial" w:hAnsi="Arial"/>
                <w:sz w:val="16"/>
                <w:szCs w:val="16"/>
                <w:color w:val="3D3935"/>
              </w:rPr>
              <w:t>2022</w:t>
            </w:r>
          </w:p>
        </w:tc>
        <w:tc>
          <w:tcPr>
            <w:tcW w:w="1360" w:type="dxa"/>
            <w:vAlign w:val="bottom"/>
            <w:tcBorders>
              <w:bottom w:val="single" w:sz="8" w:color="D9D9D6"/>
            </w:tcBorders>
          </w:tcPr>
          <w:p>
            <w:pPr>
              <w:jc w:val="center"/>
              <w:ind w:left="144"/>
              <w:spacing w:after="0"/>
              <w:rPr>
                <w:sz w:val="20"/>
                <w:szCs w:val="20"/>
                <w:color w:val="auto"/>
              </w:rPr>
            </w:pPr>
            <w:r>
              <w:rPr>
                <w:rFonts w:ascii="Arial" w:cs="Arial" w:eastAsia="Arial" w:hAnsi="Arial"/>
                <w:sz w:val="16"/>
                <w:szCs w:val="16"/>
                <w:color w:val="3D3935"/>
              </w:rPr>
              <w:t>28,979,570</w:t>
            </w:r>
          </w:p>
        </w:tc>
        <w:tc>
          <w:tcPr>
            <w:tcW w:w="11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(16,991,516)</w:t>
            </w:r>
          </w:p>
        </w:tc>
        <w:tc>
          <w:tcPr>
            <w:tcW w:w="1140" w:type="dxa"/>
            <w:vAlign w:val="bottom"/>
            <w:tcBorders>
              <w:bottom w:val="single" w:sz="8" w:color="D9D9D6"/>
            </w:tcBorders>
          </w:tcPr>
          <w:p>
            <w:pPr>
              <w:jc w:val="right"/>
              <w:ind w:right="84"/>
              <w:spacing w:after="0"/>
              <w:rPr>
                <w:sz w:val="20"/>
                <w:szCs w:val="20"/>
                <w:color w:val="auto"/>
              </w:rPr>
            </w:pPr>
            <w:r>
              <w:rPr>
                <w:rFonts w:ascii="Arial" w:cs="Arial" w:eastAsia="Arial" w:hAnsi="Arial"/>
                <w:sz w:val="16"/>
                <w:szCs w:val="16"/>
                <w:color w:val="3D3935"/>
              </w:rPr>
              <w:t>10,539,930</w:t>
            </w:r>
          </w:p>
        </w:tc>
        <w:tc>
          <w:tcPr>
            <w:tcW w:w="102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(2,724,335)</w:t>
            </w:r>
          </w:p>
        </w:tc>
        <w:tc>
          <w:tcPr>
            <w:tcW w:w="1140" w:type="dxa"/>
            <w:vAlign w:val="bottom"/>
            <w:tcBorders>
              <w:bottom w:val="single" w:sz="8" w:color="D9D9D6"/>
            </w:tcBorders>
            <w:gridSpan w:val="2"/>
          </w:tcPr>
          <w:p>
            <w:pPr>
              <w:jc w:val="right"/>
              <w:ind w:right="68"/>
              <w:spacing w:after="0"/>
              <w:rPr>
                <w:sz w:val="20"/>
                <w:szCs w:val="20"/>
                <w:color w:val="auto"/>
              </w:rPr>
            </w:pPr>
            <w:r>
              <w:rPr>
                <w:rFonts w:ascii="Arial" w:cs="Arial" w:eastAsia="Arial" w:hAnsi="Arial"/>
                <w:sz w:val="16"/>
                <w:szCs w:val="16"/>
                <w:color w:val="3D3935"/>
              </w:rPr>
              <w:t>94</w:t>
            </w:r>
          </w:p>
        </w:tc>
        <w:tc>
          <w:tcPr>
            <w:tcW w:w="920" w:type="dxa"/>
            <w:vAlign w:val="bottom"/>
            <w:tcBorders>
              <w:bottom w:val="single" w:sz="8" w:color="D9D9D6"/>
            </w:tcBorders>
          </w:tcPr>
          <w:p>
            <w:pPr>
              <w:jc w:val="right"/>
              <w:ind w:right="2"/>
              <w:spacing w:after="0"/>
              <w:rPr>
                <w:sz w:val="20"/>
                <w:szCs w:val="20"/>
                <w:color w:val="auto"/>
              </w:rPr>
            </w:pPr>
            <w:r>
              <w:rPr>
                <w:rFonts w:ascii="Arial" w:cs="Arial" w:eastAsia="Arial" w:hAnsi="Arial"/>
                <w:sz w:val="16"/>
                <w:szCs w:val="16"/>
                <w:color w:val="3D3935"/>
              </w:rPr>
              <w:t>128</w:t>
            </w:r>
          </w:p>
        </w:tc>
        <w:tc>
          <w:tcPr>
            <w:tcW w:w="860" w:type="dxa"/>
            <w:vAlign w:val="bottom"/>
            <w:tcBorders>
              <w:bottom w:val="single" w:sz="8" w:color="D9D9D6"/>
            </w:tcBorders>
          </w:tcPr>
          <w:p>
            <w:pPr>
              <w:jc w:val="right"/>
              <w:ind w:right="62"/>
              <w:spacing w:after="0"/>
              <w:rPr>
                <w:sz w:val="20"/>
                <w:szCs w:val="20"/>
                <w:color w:val="auto"/>
              </w:rPr>
            </w:pPr>
            <w:r>
              <w:rPr>
                <w:rFonts w:ascii="Arial" w:cs="Arial" w:eastAsia="Arial" w:hAnsi="Arial"/>
                <w:sz w:val="16"/>
                <w:szCs w:val="16"/>
                <w:color w:val="3D3935"/>
              </w:rPr>
              <w:t>9.708</w:t>
            </w:r>
          </w:p>
        </w:tc>
        <w:tc>
          <w:tcPr>
            <w:tcW w:w="840" w:type="dxa"/>
            <w:vAlign w:val="bottom"/>
            <w:tcBorders>
              <w:bottom w:val="single" w:sz="8" w:color="D9D9D6"/>
            </w:tcBorders>
          </w:tcPr>
          <w:p>
            <w:pPr>
              <w:jc w:val="right"/>
              <w:ind w:right="2"/>
              <w:spacing w:after="0"/>
              <w:rPr>
                <w:sz w:val="20"/>
                <w:szCs w:val="20"/>
                <w:color w:val="auto"/>
              </w:rPr>
            </w:pPr>
            <w:r>
              <w:rPr>
                <w:rFonts w:ascii="Arial" w:cs="Arial" w:eastAsia="Arial" w:hAnsi="Arial"/>
                <w:sz w:val="16"/>
                <w:szCs w:val="16"/>
                <w:color w:val="3D3935"/>
              </w:rPr>
              <w:t>14.474</w:t>
            </w:r>
          </w:p>
        </w:tc>
        <w:tc>
          <w:tcPr>
            <w:tcW w:w="0" w:type="dxa"/>
            <w:vAlign w:val="bottom"/>
          </w:tcPr>
          <w:p>
            <w:pPr>
              <w:spacing w:after="0"/>
              <w:rPr>
                <w:sz w:val="1"/>
                <w:szCs w:val="1"/>
                <w:color w:val="auto"/>
              </w:rPr>
            </w:pPr>
          </w:p>
        </w:tc>
      </w:tr>
      <w:tr>
        <w:trPr>
          <w:trHeight w:val="250"/>
        </w:trPr>
        <w:tc>
          <w:tcPr>
            <w:tcW w:w="720" w:type="dxa"/>
            <w:vAlign w:val="bottom"/>
            <w:tcBorders>
              <w:bottom w:val="single" w:sz="8" w:color="D9D9D6"/>
            </w:tcBorders>
          </w:tcPr>
          <w:p>
            <w:pPr>
              <w:jc w:val="right"/>
              <w:ind w:right="221"/>
              <w:spacing w:after="0"/>
              <w:rPr>
                <w:sz w:val="20"/>
                <w:szCs w:val="20"/>
                <w:color w:val="auto"/>
              </w:rPr>
            </w:pPr>
            <w:r>
              <w:rPr>
                <w:rFonts w:ascii="Arial" w:cs="Arial" w:eastAsia="Arial" w:hAnsi="Arial"/>
                <w:sz w:val="16"/>
                <w:szCs w:val="16"/>
                <w:color w:val="3D3935"/>
              </w:rPr>
              <w:t>2021</w:t>
            </w:r>
          </w:p>
        </w:tc>
        <w:tc>
          <w:tcPr>
            <w:tcW w:w="1360" w:type="dxa"/>
            <w:vAlign w:val="bottom"/>
            <w:tcBorders>
              <w:bottom w:val="single" w:sz="8" w:color="D9D9D6"/>
            </w:tcBorders>
          </w:tcPr>
          <w:p>
            <w:pPr>
              <w:jc w:val="right"/>
              <w:ind w:right="64"/>
              <w:spacing w:after="0"/>
              <w:rPr>
                <w:sz w:val="20"/>
                <w:szCs w:val="20"/>
                <w:color w:val="auto"/>
              </w:rPr>
            </w:pPr>
            <w:r>
              <w:rPr>
                <w:rFonts w:ascii="Arial" w:cs="Arial" w:eastAsia="Arial" w:hAnsi="Arial"/>
                <w:sz w:val="16"/>
                <w:szCs w:val="16"/>
                <w:color w:val="3D3935"/>
              </w:rPr>
              <w:t>29,136,780</w:t>
            </w:r>
          </w:p>
        </w:tc>
        <w:tc>
          <w:tcPr>
            <w:tcW w:w="1140" w:type="dxa"/>
            <w:vAlign w:val="bottom"/>
            <w:tcBorders>
              <w:bottom w:val="single" w:sz="8" w:color="D9D9D6"/>
            </w:tcBorders>
          </w:tcPr>
          <w:p>
            <w:pPr>
              <w:jc w:val="center"/>
              <w:spacing w:after="0"/>
              <w:rPr>
                <w:sz w:val="20"/>
                <w:szCs w:val="20"/>
                <w:color w:val="auto"/>
              </w:rPr>
            </w:pPr>
            <w:r>
              <w:rPr>
                <w:rFonts w:ascii="Arial" w:cs="Arial" w:eastAsia="Arial" w:hAnsi="Arial"/>
                <w:sz w:val="16"/>
                <w:szCs w:val="16"/>
                <w:color w:val="3D3935"/>
                <w:w w:val="99"/>
              </w:rPr>
              <w:t>76,096,506</w:t>
            </w:r>
          </w:p>
        </w:tc>
        <w:tc>
          <w:tcPr>
            <w:tcW w:w="1140" w:type="dxa"/>
            <w:vAlign w:val="bottom"/>
            <w:tcBorders>
              <w:bottom w:val="single" w:sz="8" w:color="D9D9D6"/>
            </w:tcBorders>
          </w:tcPr>
          <w:p>
            <w:pPr>
              <w:jc w:val="right"/>
              <w:ind w:right="64"/>
              <w:spacing w:after="0"/>
              <w:rPr>
                <w:sz w:val="20"/>
                <w:szCs w:val="20"/>
                <w:color w:val="auto"/>
              </w:rPr>
            </w:pPr>
            <w:r>
              <w:rPr>
                <w:rFonts w:ascii="Arial" w:cs="Arial" w:eastAsia="Arial" w:hAnsi="Arial"/>
                <w:sz w:val="16"/>
                <w:szCs w:val="16"/>
                <w:color w:val="3D3935"/>
              </w:rPr>
              <w:t>9,982,519</w:t>
            </w:r>
          </w:p>
        </w:tc>
        <w:tc>
          <w:tcPr>
            <w:tcW w:w="1020" w:type="dxa"/>
            <w:vAlign w:val="bottom"/>
            <w:tcBorders>
              <w:bottom w:val="single" w:sz="8" w:color="D9D9D6"/>
            </w:tcBorders>
          </w:tcPr>
          <w:p>
            <w:pPr>
              <w:jc w:val="center"/>
              <w:spacing w:after="0"/>
              <w:rPr>
                <w:sz w:val="20"/>
                <w:szCs w:val="20"/>
                <w:color w:val="auto"/>
              </w:rPr>
            </w:pPr>
            <w:r>
              <w:rPr>
                <w:rFonts w:ascii="Arial" w:cs="Arial" w:eastAsia="Arial" w:hAnsi="Arial"/>
                <w:sz w:val="16"/>
                <w:szCs w:val="16"/>
                <w:color w:val="3D3935"/>
                <w:w w:val="99"/>
              </w:rPr>
              <w:t>19,443,928</w:t>
            </w:r>
          </w:p>
        </w:tc>
        <w:tc>
          <w:tcPr>
            <w:tcW w:w="1140" w:type="dxa"/>
            <w:vAlign w:val="bottom"/>
            <w:tcBorders>
              <w:bottom w:val="single" w:sz="8" w:color="D9D9D6"/>
            </w:tcBorders>
            <w:gridSpan w:val="2"/>
          </w:tcPr>
          <w:p>
            <w:pPr>
              <w:jc w:val="right"/>
              <w:ind w:right="48"/>
              <w:spacing w:after="0"/>
              <w:rPr>
                <w:sz w:val="20"/>
                <w:szCs w:val="20"/>
                <w:color w:val="auto"/>
              </w:rPr>
            </w:pPr>
            <w:r>
              <w:rPr>
                <w:rFonts w:ascii="Arial" w:cs="Arial" w:eastAsia="Arial" w:hAnsi="Arial"/>
                <w:sz w:val="16"/>
                <w:szCs w:val="16"/>
                <w:color w:val="3D3935"/>
              </w:rPr>
              <w:t>164</w:t>
            </w:r>
          </w:p>
        </w:tc>
        <w:tc>
          <w:tcPr>
            <w:tcW w:w="920" w:type="dxa"/>
            <w:vAlign w:val="bottom"/>
            <w:tcBorders>
              <w:bottom w:val="single" w:sz="8" w:color="D9D9D6"/>
            </w:tcBorders>
          </w:tcPr>
          <w:p>
            <w:pPr>
              <w:jc w:val="right"/>
              <w:ind w:right="2"/>
              <w:spacing w:after="0"/>
              <w:rPr>
                <w:sz w:val="20"/>
                <w:szCs w:val="20"/>
                <w:color w:val="auto"/>
              </w:rPr>
            </w:pPr>
            <w:r>
              <w:rPr>
                <w:rFonts w:ascii="Arial" w:cs="Arial" w:eastAsia="Arial" w:hAnsi="Arial"/>
                <w:sz w:val="16"/>
                <w:szCs w:val="16"/>
                <w:color w:val="3D3935"/>
              </w:rPr>
              <w:t>188</w:t>
            </w:r>
          </w:p>
        </w:tc>
        <w:tc>
          <w:tcPr>
            <w:tcW w:w="860" w:type="dxa"/>
            <w:vAlign w:val="bottom"/>
            <w:tcBorders>
              <w:bottom w:val="single" w:sz="8" w:color="D9D9D6"/>
            </w:tcBorders>
          </w:tcPr>
          <w:p>
            <w:pPr>
              <w:jc w:val="right"/>
              <w:ind w:right="62"/>
              <w:spacing w:after="0"/>
              <w:rPr>
                <w:sz w:val="20"/>
                <w:szCs w:val="20"/>
                <w:color w:val="auto"/>
              </w:rPr>
            </w:pPr>
            <w:r>
              <w:rPr>
                <w:rFonts w:ascii="Arial" w:cs="Arial" w:eastAsia="Arial" w:hAnsi="Arial"/>
                <w:sz w:val="16"/>
                <w:szCs w:val="16"/>
                <w:color w:val="3D3935"/>
              </w:rPr>
              <w:t>9.945</w:t>
            </w:r>
          </w:p>
        </w:tc>
        <w:tc>
          <w:tcPr>
            <w:tcW w:w="840" w:type="dxa"/>
            <w:vAlign w:val="bottom"/>
            <w:tcBorders>
              <w:bottom w:val="single" w:sz="8" w:color="D9D9D6"/>
            </w:tcBorders>
          </w:tcPr>
          <w:p>
            <w:pPr>
              <w:jc w:val="right"/>
              <w:ind w:right="2"/>
              <w:spacing w:after="0"/>
              <w:rPr>
                <w:sz w:val="20"/>
                <w:szCs w:val="20"/>
                <w:color w:val="auto"/>
              </w:rPr>
            </w:pPr>
            <w:r>
              <w:rPr>
                <w:rFonts w:ascii="Arial" w:cs="Arial" w:eastAsia="Arial" w:hAnsi="Arial"/>
                <w:sz w:val="16"/>
                <w:szCs w:val="16"/>
                <w:color w:val="3D3935"/>
              </w:rPr>
              <w:t>14.295</w:t>
            </w:r>
          </w:p>
        </w:tc>
        <w:tc>
          <w:tcPr>
            <w:tcW w:w="0" w:type="dxa"/>
            <w:vAlign w:val="bottom"/>
          </w:tcPr>
          <w:p>
            <w:pPr>
              <w:spacing w:after="0"/>
              <w:rPr>
                <w:sz w:val="1"/>
                <w:szCs w:val="1"/>
                <w:color w:val="auto"/>
              </w:rPr>
            </w:pPr>
          </w:p>
        </w:tc>
      </w:tr>
      <w:tr>
        <w:trPr>
          <w:trHeight w:val="250"/>
        </w:trPr>
        <w:tc>
          <w:tcPr>
            <w:tcW w:w="720" w:type="dxa"/>
            <w:vAlign w:val="bottom"/>
            <w:tcBorders>
              <w:bottom w:val="single" w:sz="8" w:color="0072CE"/>
            </w:tcBorders>
          </w:tcPr>
          <w:p>
            <w:pPr>
              <w:jc w:val="right"/>
              <w:ind w:right="221"/>
              <w:spacing w:after="0"/>
              <w:rPr>
                <w:sz w:val="20"/>
                <w:szCs w:val="20"/>
                <w:color w:val="auto"/>
              </w:rPr>
            </w:pPr>
            <w:r>
              <w:rPr>
                <w:rFonts w:ascii="Arial" w:cs="Arial" w:eastAsia="Arial" w:hAnsi="Arial"/>
                <w:sz w:val="16"/>
                <w:szCs w:val="16"/>
                <w:color w:val="3D3935"/>
              </w:rPr>
              <w:t>2020</w:t>
            </w:r>
          </w:p>
        </w:tc>
        <w:tc>
          <w:tcPr>
            <w:tcW w:w="1360" w:type="dxa"/>
            <w:vAlign w:val="bottom"/>
            <w:tcBorders>
              <w:bottom w:val="single" w:sz="8" w:color="0072CE"/>
            </w:tcBorders>
          </w:tcPr>
          <w:p>
            <w:pPr>
              <w:jc w:val="center"/>
              <w:ind w:left="164"/>
              <w:spacing w:after="0"/>
              <w:rPr>
                <w:sz w:val="20"/>
                <w:szCs w:val="20"/>
                <w:color w:val="auto"/>
              </w:rPr>
            </w:pPr>
            <w:r>
              <w:rPr>
                <w:rFonts w:ascii="Arial" w:cs="Arial" w:eastAsia="Arial" w:hAnsi="Arial"/>
                <w:sz w:val="16"/>
                <w:szCs w:val="16"/>
                <w:color w:val="3D3935"/>
                <w:w w:val="99"/>
              </w:rPr>
              <w:t>23,657,987</w:t>
            </w:r>
          </w:p>
        </w:tc>
        <w:tc>
          <w:tcPr>
            <w:tcW w:w="1140" w:type="dxa"/>
            <w:vAlign w:val="bottom"/>
            <w:tcBorders>
              <w:bottom w:val="single" w:sz="8" w:color="0072CE"/>
            </w:tcBorders>
          </w:tcPr>
          <w:p>
            <w:pPr>
              <w:jc w:val="center"/>
              <w:spacing w:after="0"/>
              <w:rPr>
                <w:sz w:val="20"/>
                <w:szCs w:val="20"/>
                <w:color w:val="auto"/>
              </w:rPr>
            </w:pPr>
            <w:r>
              <w:rPr>
                <w:rFonts w:ascii="Arial" w:cs="Arial" w:eastAsia="Arial" w:hAnsi="Arial"/>
                <w:sz w:val="16"/>
                <w:szCs w:val="16"/>
                <w:color w:val="3D3935"/>
              </w:rPr>
              <w:t>45,185,399</w:t>
            </w:r>
          </w:p>
        </w:tc>
        <w:tc>
          <w:tcPr>
            <w:tcW w:w="1140" w:type="dxa"/>
            <w:vAlign w:val="bottom"/>
            <w:tcBorders>
              <w:bottom w:val="single" w:sz="8" w:color="0072CE"/>
            </w:tcBorders>
          </w:tcPr>
          <w:p>
            <w:pPr>
              <w:jc w:val="right"/>
              <w:ind w:right="104"/>
              <w:spacing w:after="0"/>
              <w:rPr>
                <w:sz w:val="20"/>
                <w:szCs w:val="20"/>
                <w:color w:val="auto"/>
              </w:rPr>
            </w:pPr>
            <w:r>
              <w:rPr>
                <w:rFonts w:ascii="Arial" w:cs="Arial" w:eastAsia="Arial" w:hAnsi="Arial"/>
                <w:sz w:val="16"/>
                <w:szCs w:val="16"/>
                <w:color w:val="3D3935"/>
              </w:rPr>
              <w:t>6,632,869</w:t>
            </w:r>
          </w:p>
        </w:tc>
        <w:tc>
          <w:tcPr>
            <w:tcW w:w="1020" w:type="dxa"/>
            <w:vAlign w:val="bottom"/>
            <w:tcBorders>
              <w:bottom w:val="single" w:sz="8" w:color="0072CE"/>
            </w:tcBorders>
          </w:tcPr>
          <w:p>
            <w:pPr>
              <w:jc w:val="right"/>
              <w:ind w:right="3"/>
              <w:spacing w:after="0"/>
              <w:rPr>
                <w:sz w:val="20"/>
                <w:szCs w:val="20"/>
                <w:color w:val="auto"/>
              </w:rPr>
            </w:pPr>
            <w:r>
              <w:rPr>
                <w:rFonts w:ascii="Arial" w:cs="Arial" w:eastAsia="Arial" w:hAnsi="Arial"/>
                <w:sz w:val="16"/>
                <w:szCs w:val="16"/>
                <w:color w:val="3D3935"/>
              </w:rPr>
              <w:t>5,817,820</w:t>
            </w:r>
          </w:p>
        </w:tc>
        <w:tc>
          <w:tcPr>
            <w:tcW w:w="1140" w:type="dxa"/>
            <w:vAlign w:val="bottom"/>
            <w:tcBorders>
              <w:bottom w:val="single" w:sz="8" w:color="0072CE"/>
            </w:tcBorders>
            <w:gridSpan w:val="2"/>
          </w:tcPr>
          <w:p>
            <w:pPr>
              <w:jc w:val="right"/>
              <w:ind w:right="8"/>
              <w:spacing w:after="0"/>
              <w:rPr>
                <w:sz w:val="20"/>
                <w:szCs w:val="20"/>
                <w:color w:val="auto"/>
              </w:rPr>
            </w:pPr>
            <w:r>
              <w:rPr>
                <w:rFonts w:ascii="Arial" w:cs="Arial" w:eastAsia="Arial" w:hAnsi="Arial"/>
                <w:sz w:val="16"/>
                <w:szCs w:val="16"/>
                <w:color w:val="3D3935"/>
              </w:rPr>
              <w:t>116</w:t>
            </w:r>
          </w:p>
        </w:tc>
        <w:tc>
          <w:tcPr>
            <w:tcW w:w="920" w:type="dxa"/>
            <w:vAlign w:val="bottom"/>
            <w:tcBorders>
              <w:bottom w:val="single" w:sz="8" w:color="0072CE"/>
            </w:tcBorders>
          </w:tcPr>
          <w:p>
            <w:pPr>
              <w:jc w:val="right"/>
              <w:spacing w:after="0"/>
              <w:rPr>
                <w:sz w:val="20"/>
                <w:szCs w:val="20"/>
                <w:color w:val="auto"/>
              </w:rPr>
            </w:pPr>
            <w:r>
              <w:rPr>
                <w:rFonts w:ascii="Arial" w:cs="Arial" w:eastAsia="Arial" w:hAnsi="Arial"/>
                <w:sz w:val="16"/>
                <w:szCs w:val="16"/>
                <w:color w:val="3D3935"/>
              </w:rPr>
              <w:t>151</w:t>
            </w:r>
          </w:p>
        </w:tc>
        <w:tc>
          <w:tcPr>
            <w:tcW w:w="860" w:type="dxa"/>
            <w:vAlign w:val="bottom"/>
            <w:tcBorders>
              <w:bottom w:val="single" w:sz="8" w:color="0072CE"/>
            </w:tcBorders>
          </w:tcPr>
          <w:p>
            <w:pPr>
              <w:jc w:val="right"/>
              <w:ind w:right="22"/>
              <w:spacing w:after="0"/>
              <w:rPr>
                <w:sz w:val="20"/>
                <w:szCs w:val="20"/>
                <w:color w:val="auto"/>
              </w:rPr>
            </w:pPr>
            <w:r>
              <w:rPr>
                <w:rFonts w:ascii="Arial" w:cs="Arial" w:eastAsia="Arial" w:hAnsi="Arial"/>
                <w:sz w:val="16"/>
                <w:szCs w:val="16"/>
                <w:color w:val="3D3935"/>
              </w:rPr>
              <w:t>6.321</w:t>
            </w:r>
          </w:p>
        </w:tc>
        <w:tc>
          <w:tcPr>
            <w:tcW w:w="840" w:type="dxa"/>
            <w:vAlign w:val="bottom"/>
            <w:tcBorders>
              <w:bottom w:val="single" w:sz="8" w:color="0072CE"/>
            </w:tcBorders>
          </w:tcPr>
          <w:p>
            <w:pPr>
              <w:jc w:val="right"/>
              <w:spacing w:after="0"/>
              <w:rPr>
                <w:sz w:val="20"/>
                <w:szCs w:val="20"/>
                <w:color w:val="auto"/>
              </w:rPr>
            </w:pPr>
            <w:r>
              <w:rPr>
                <w:rFonts w:ascii="Arial" w:cs="Arial" w:eastAsia="Arial" w:hAnsi="Arial"/>
                <w:sz w:val="16"/>
                <w:szCs w:val="16"/>
                <w:color w:val="3D3935"/>
              </w:rPr>
              <w:t>9.710</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200" w:hanging="192"/>
        <w:spacing w:after="0"/>
        <w:tabs>
          <w:tab w:leader="none" w:pos="200" w:val="left"/>
        </w:tabs>
        <w:numPr>
          <w:ilvl w:val="0"/>
          <w:numId w:val="110"/>
        </w:numPr>
        <w:rPr>
          <w:rFonts w:ascii="Arial" w:cs="Arial" w:eastAsia="Arial" w:hAnsi="Arial"/>
          <w:sz w:val="19"/>
          <w:szCs w:val="19"/>
          <w:color w:val="3D3935"/>
          <w:vertAlign w:val="superscript"/>
        </w:rPr>
      </w:pPr>
      <w:r>
        <w:rPr>
          <w:rFonts w:ascii="Arial" w:cs="Arial" w:eastAsia="Arial" w:hAnsi="Arial"/>
          <w:sz w:val="14"/>
          <w:szCs w:val="14"/>
          <w:color w:val="3D3935"/>
        </w:rPr>
        <w:t>Ms. Barra served as our CEO in 2024, 2023, 2022, 2021, and 2020.</w:t>
      </w:r>
    </w:p>
    <w:p>
      <w:pPr>
        <w:spacing w:after="0" w:line="52" w:lineRule="exact"/>
        <w:rPr>
          <w:rFonts w:ascii="Arial" w:cs="Arial" w:eastAsia="Arial" w:hAnsi="Arial"/>
          <w:sz w:val="19"/>
          <w:szCs w:val="19"/>
          <w:color w:val="3D3935"/>
          <w:vertAlign w:val="superscript"/>
        </w:rPr>
      </w:pPr>
    </w:p>
    <w:p>
      <w:pPr>
        <w:ind w:left="200" w:right="300" w:hanging="192"/>
        <w:spacing w:after="0" w:line="279" w:lineRule="auto"/>
        <w:tabs>
          <w:tab w:leader="none" w:pos="200" w:val="left"/>
        </w:tabs>
        <w:numPr>
          <w:ilvl w:val="0"/>
          <w:numId w:val="110"/>
        </w:numPr>
        <w:rPr>
          <w:rFonts w:ascii="Arial" w:cs="Arial" w:eastAsia="Arial" w:hAnsi="Arial"/>
          <w:sz w:val="19"/>
          <w:szCs w:val="19"/>
          <w:color w:val="3D3935"/>
          <w:vertAlign w:val="superscript"/>
        </w:rPr>
      </w:pPr>
      <w:r>
        <w:rPr>
          <w:rFonts w:ascii="Arial" w:cs="Arial" w:eastAsia="Arial" w:hAnsi="Arial"/>
          <w:sz w:val="14"/>
          <w:szCs w:val="14"/>
          <w:color w:val="3D3935"/>
        </w:rPr>
        <w:t>Non-CEO NEOs in 2024 included Messrs. Jacobson, Reuss, Abbott, Glidden, and Harvey. Non-CEO NEOs in 2023 included Messrs. Jacobson, Reuss, Abbott, and Glidden. Non-CEO NEOs in 2022 and 2021 included Mr. Jacobson, Mr. Reuss, Mr. Douglas Parks (Former Executive Vice President, Global Product Development, Purchasing and Supply Chain), and Mr. Stephen Carlisle (Former Executive Vice President and President, North America). Non-CEO NEOs in 2020 included Messrs. Jacobson, Reuss, Parks, and Carlisle, Ms. Dhivya Suryadevara (Former Executive Vice President and Chief Financial Officer), Mr. John Stapleton (Vice President and Chief Financial Officer, North America and Former Acting Chief Financial Officer), and Mr. Barry Engle (Former Executive Vice President and President, North America).</w:t>
      </w:r>
    </w:p>
    <w:p>
      <w:pPr>
        <w:ind w:left="200" w:hanging="192"/>
        <w:spacing w:after="0"/>
        <w:tabs>
          <w:tab w:leader="none" w:pos="200" w:val="left"/>
        </w:tabs>
        <w:numPr>
          <w:ilvl w:val="0"/>
          <w:numId w:val="110"/>
        </w:numPr>
        <w:rPr>
          <w:rFonts w:ascii="Arial" w:cs="Arial" w:eastAsia="Arial" w:hAnsi="Arial"/>
          <w:sz w:val="19"/>
          <w:szCs w:val="19"/>
          <w:color w:val="3D3935"/>
          <w:vertAlign w:val="superscript"/>
        </w:rPr>
      </w:pPr>
      <w:r>
        <w:rPr>
          <w:rFonts w:ascii="Arial" w:cs="Arial" w:eastAsia="Arial" w:hAnsi="Arial"/>
          <w:sz w:val="14"/>
          <w:szCs w:val="14"/>
          <w:color w:val="3D3935"/>
        </w:rPr>
        <w:t>Reflects CAP values computed in accordance with Item 402(v) of Regulation S-K and FASB ASC Topic 718.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80" w:type="dxa"/>
            <w:vAlign w:val="bottom"/>
            <w:tcBorders>
              <w:bottom w:val="single" w:sz="8" w:color="F0F3F6"/>
            </w:tcBorders>
            <w:shd w:val="clear" w:color="auto" w:fill="F0F3F6"/>
          </w:tcPr>
          <w:p>
            <w:pPr>
              <w:spacing w:after="0"/>
              <w:rPr>
                <w:sz w:val="18"/>
                <w:szCs w:val="18"/>
                <w:color w:val="auto"/>
              </w:rPr>
            </w:pPr>
          </w:p>
        </w:tc>
        <w:tc>
          <w:tcPr>
            <w:tcW w:w="920" w:type="dxa"/>
            <w:vAlign w:val="bottom"/>
            <w:tcBorders>
              <w:bottom w:val="single" w:sz="8" w:color="0072CE"/>
            </w:tcBorders>
            <w:shd w:val="clear" w:color="auto" w:fill="F0F3F6"/>
          </w:tcPr>
          <w:p>
            <w:pPr>
              <w:jc w:val="right"/>
              <w:spacing w:after="0"/>
              <w:rPr>
                <w:sz w:val="20"/>
                <w:szCs w:val="20"/>
                <w:color w:val="auto"/>
              </w:rPr>
            </w:pPr>
            <w:r>
              <w:rPr>
                <w:rFonts w:ascii="Arial" w:cs="Arial" w:eastAsia="Arial" w:hAnsi="Arial"/>
                <w:sz w:val="11"/>
                <w:szCs w:val="11"/>
                <w:b w:val="1"/>
                <w:bCs w:val="1"/>
                <w:color w:val="3D3935"/>
              </w:rPr>
              <w:t>2024</w:t>
            </w:r>
          </w:p>
        </w:tc>
        <w:tc>
          <w:tcPr>
            <w:tcW w:w="680" w:type="dxa"/>
            <w:vAlign w:val="bottom"/>
            <w:tcBorders>
              <w:bottom w:val="single" w:sz="8" w:color="0072CE"/>
            </w:tcBorders>
            <w:shd w:val="clear" w:color="auto" w:fill="F0F3F6"/>
          </w:tcPr>
          <w:p>
            <w:pPr>
              <w:spacing w:after="0"/>
              <w:rPr>
                <w:sz w:val="18"/>
                <w:szCs w:val="18"/>
                <w:color w:val="auto"/>
              </w:rPr>
            </w:pPr>
          </w:p>
        </w:tc>
        <w:tc>
          <w:tcPr>
            <w:tcW w:w="60" w:type="dxa"/>
            <w:vAlign w:val="bottom"/>
            <w:tcBorders>
              <w:bottom w:val="single" w:sz="8" w:color="F0F3F6"/>
            </w:tcBorders>
            <w:shd w:val="clear" w:color="auto" w:fill="F0F3F6"/>
          </w:tcPr>
          <w:p>
            <w:pPr>
              <w:spacing w:after="0"/>
              <w:rPr>
                <w:sz w:val="18"/>
                <w:szCs w:val="18"/>
                <w:color w:val="auto"/>
              </w:rPr>
            </w:pPr>
          </w:p>
        </w:tc>
        <w:tc>
          <w:tcPr>
            <w:tcW w:w="1580" w:type="dxa"/>
            <w:vAlign w:val="bottom"/>
            <w:tcBorders>
              <w:bottom w:val="single" w:sz="8" w:color="0072CE"/>
            </w:tcBorders>
            <w:gridSpan w:val="2"/>
            <w:shd w:val="clear" w:color="auto" w:fill="F0F3F6"/>
          </w:tcPr>
          <w:p>
            <w:pPr>
              <w:jc w:val="right"/>
              <w:ind w:right="621"/>
              <w:spacing w:after="0"/>
              <w:rPr>
                <w:sz w:val="20"/>
                <w:szCs w:val="20"/>
                <w:color w:val="auto"/>
              </w:rPr>
            </w:pPr>
            <w:r>
              <w:rPr>
                <w:rFonts w:ascii="Arial" w:cs="Arial" w:eastAsia="Arial" w:hAnsi="Arial"/>
                <w:sz w:val="11"/>
                <w:szCs w:val="11"/>
                <w:b w:val="1"/>
                <w:bCs w:val="1"/>
                <w:color w:val="3D3935"/>
              </w:rPr>
              <w:t>2023</w:t>
            </w:r>
          </w:p>
        </w:tc>
        <w:tc>
          <w:tcPr>
            <w:tcW w:w="60" w:type="dxa"/>
            <w:vAlign w:val="bottom"/>
            <w:tcBorders>
              <w:bottom w:val="single" w:sz="8" w:color="F0F3F6"/>
            </w:tcBorders>
            <w:shd w:val="clear" w:color="auto" w:fill="F0F3F6"/>
          </w:tcPr>
          <w:p>
            <w:pPr>
              <w:spacing w:after="0"/>
              <w:rPr>
                <w:sz w:val="18"/>
                <w:szCs w:val="18"/>
                <w:color w:val="auto"/>
              </w:rPr>
            </w:pPr>
          </w:p>
        </w:tc>
        <w:tc>
          <w:tcPr>
            <w:tcW w:w="1560" w:type="dxa"/>
            <w:vAlign w:val="bottom"/>
            <w:tcBorders>
              <w:bottom w:val="single" w:sz="8" w:color="0072CE"/>
            </w:tcBorders>
            <w:gridSpan w:val="2"/>
            <w:shd w:val="clear" w:color="auto" w:fill="F0F3F6"/>
          </w:tcPr>
          <w:p>
            <w:pPr>
              <w:jc w:val="center"/>
              <w:spacing w:after="0"/>
              <w:rPr>
                <w:sz w:val="20"/>
                <w:szCs w:val="20"/>
                <w:color w:val="auto"/>
              </w:rPr>
            </w:pPr>
            <w:r>
              <w:rPr>
                <w:rFonts w:ascii="Arial" w:cs="Arial" w:eastAsia="Arial" w:hAnsi="Arial"/>
                <w:sz w:val="11"/>
                <w:szCs w:val="11"/>
                <w:b w:val="1"/>
                <w:bCs w:val="1"/>
                <w:color w:val="3D3935"/>
                <w:w w:val="97"/>
              </w:rPr>
              <w:t>2022</w:t>
            </w:r>
          </w:p>
        </w:tc>
        <w:tc>
          <w:tcPr>
            <w:tcW w:w="60" w:type="dxa"/>
            <w:vAlign w:val="bottom"/>
            <w:tcBorders>
              <w:bottom w:val="single" w:sz="8" w:color="F0F3F6"/>
            </w:tcBorders>
            <w:shd w:val="clear" w:color="auto" w:fill="F0F3F6"/>
          </w:tcPr>
          <w:p>
            <w:pPr>
              <w:spacing w:after="0"/>
              <w:rPr>
                <w:sz w:val="18"/>
                <w:szCs w:val="18"/>
                <w:color w:val="auto"/>
              </w:rPr>
            </w:pPr>
          </w:p>
        </w:tc>
        <w:tc>
          <w:tcPr>
            <w:tcW w:w="1580" w:type="dxa"/>
            <w:vAlign w:val="bottom"/>
            <w:tcBorders>
              <w:bottom w:val="single" w:sz="8" w:color="0072CE"/>
            </w:tcBorders>
            <w:gridSpan w:val="2"/>
            <w:shd w:val="clear" w:color="auto" w:fill="F0F3F6"/>
          </w:tcPr>
          <w:p>
            <w:pPr>
              <w:jc w:val="right"/>
              <w:ind w:right="621"/>
              <w:spacing w:after="0"/>
              <w:rPr>
                <w:sz w:val="20"/>
                <w:szCs w:val="20"/>
                <w:color w:val="auto"/>
              </w:rPr>
            </w:pPr>
            <w:r>
              <w:rPr>
                <w:rFonts w:ascii="Arial" w:cs="Arial" w:eastAsia="Arial" w:hAnsi="Arial"/>
                <w:sz w:val="11"/>
                <w:szCs w:val="11"/>
                <w:b w:val="1"/>
                <w:bCs w:val="1"/>
                <w:color w:val="3D3935"/>
              </w:rPr>
              <w:t>2021</w:t>
            </w:r>
          </w:p>
        </w:tc>
        <w:tc>
          <w:tcPr>
            <w:tcW w:w="60" w:type="dxa"/>
            <w:vAlign w:val="bottom"/>
            <w:tcBorders>
              <w:bottom w:val="single" w:sz="8" w:color="F0F3F6"/>
            </w:tcBorders>
            <w:shd w:val="clear" w:color="auto" w:fill="F0F3F6"/>
          </w:tcPr>
          <w:p>
            <w:pPr>
              <w:spacing w:after="0"/>
              <w:rPr>
                <w:sz w:val="18"/>
                <w:szCs w:val="18"/>
                <w:color w:val="auto"/>
              </w:rPr>
            </w:pPr>
          </w:p>
        </w:tc>
        <w:tc>
          <w:tcPr>
            <w:tcW w:w="1540" w:type="dxa"/>
            <w:vAlign w:val="bottom"/>
            <w:tcBorders>
              <w:bottom w:val="single" w:sz="8" w:color="0072CE"/>
            </w:tcBorders>
            <w:gridSpan w:val="2"/>
            <w:shd w:val="clear" w:color="auto" w:fill="F0F3F6"/>
          </w:tcPr>
          <w:p>
            <w:pPr>
              <w:jc w:val="right"/>
              <w:ind w:right="601"/>
              <w:spacing w:after="0"/>
              <w:rPr>
                <w:sz w:val="20"/>
                <w:szCs w:val="20"/>
                <w:color w:val="auto"/>
              </w:rPr>
            </w:pPr>
            <w:r>
              <w:rPr>
                <w:rFonts w:ascii="Arial" w:cs="Arial" w:eastAsia="Arial" w:hAnsi="Arial"/>
                <w:sz w:val="11"/>
                <w:szCs w:val="11"/>
                <w:b w:val="1"/>
                <w:bCs w:val="1"/>
                <w:color w:val="3D3935"/>
              </w:rPr>
              <w:t>2020</w:t>
            </w:r>
          </w:p>
        </w:tc>
        <w:tc>
          <w:tcPr>
            <w:tcW w:w="0" w:type="dxa"/>
            <w:vAlign w:val="bottom"/>
          </w:tcPr>
          <w:p>
            <w:pPr>
              <w:spacing w:after="0"/>
              <w:rPr>
                <w:sz w:val="1"/>
                <w:szCs w:val="1"/>
                <w:color w:val="auto"/>
              </w:rPr>
            </w:pPr>
          </w:p>
        </w:tc>
      </w:tr>
      <w:tr>
        <w:trPr>
          <w:trHeight w:val="162"/>
        </w:trPr>
        <w:tc>
          <w:tcPr>
            <w:tcW w:w="980" w:type="dxa"/>
            <w:vAlign w:val="bottom"/>
            <w:shd w:val="clear" w:color="auto" w:fill="F0F3F6"/>
          </w:tcPr>
          <w:p>
            <w:pPr>
              <w:spacing w:after="0"/>
              <w:rPr>
                <w:sz w:val="14"/>
                <w:szCs w:val="14"/>
                <w:color w:val="auto"/>
              </w:rPr>
            </w:pPr>
          </w:p>
        </w:tc>
        <w:tc>
          <w:tcPr>
            <w:tcW w:w="920" w:type="dxa"/>
            <w:vAlign w:val="bottom"/>
            <w:shd w:val="clear" w:color="auto" w:fill="F0F3F6"/>
          </w:tcPr>
          <w:p>
            <w:pPr>
              <w:spacing w:after="0"/>
              <w:rPr>
                <w:sz w:val="14"/>
                <w:szCs w:val="14"/>
                <w:color w:val="auto"/>
              </w:rPr>
            </w:pPr>
          </w:p>
        </w:tc>
        <w:tc>
          <w:tcPr>
            <w:tcW w:w="740" w:type="dxa"/>
            <w:vAlign w:val="bottom"/>
            <w:gridSpan w:val="2"/>
            <w:shd w:val="clear" w:color="auto" w:fill="F0F3F6"/>
          </w:tcPr>
          <w:p>
            <w:pPr>
              <w:jc w:val="right"/>
              <w:ind w:right="100"/>
              <w:spacing w:after="0"/>
              <w:rPr>
                <w:sz w:val="20"/>
                <w:szCs w:val="20"/>
                <w:color w:val="auto"/>
              </w:rPr>
            </w:pPr>
            <w:r>
              <w:rPr>
                <w:rFonts w:ascii="Arial" w:cs="Arial" w:eastAsia="Arial" w:hAnsi="Arial"/>
                <w:sz w:val="11"/>
                <w:szCs w:val="11"/>
                <w:b w:val="1"/>
                <w:bCs w:val="1"/>
                <w:color w:val="3E3935"/>
              </w:rPr>
              <w:t>Average</w:t>
            </w:r>
          </w:p>
        </w:tc>
        <w:tc>
          <w:tcPr>
            <w:tcW w:w="840" w:type="dxa"/>
            <w:vAlign w:val="bottom"/>
            <w:shd w:val="clear" w:color="auto" w:fill="F0F3F6"/>
          </w:tcPr>
          <w:p>
            <w:pPr>
              <w:spacing w:after="0"/>
              <w:rPr>
                <w:sz w:val="14"/>
                <w:szCs w:val="14"/>
                <w:color w:val="auto"/>
              </w:rPr>
            </w:pPr>
          </w:p>
        </w:tc>
        <w:tc>
          <w:tcPr>
            <w:tcW w:w="800" w:type="dxa"/>
            <w:vAlign w:val="bottom"/>
            <w:gridSpan w:val="2"/>
            <w:shd w:val="clear" w:color="auto" w:fill="F0F3F6"/>
          </w:tcPr>
          <w:p>
            <w:pPr>
              <w:ind w:left="260"/>
              <w:spacing w:after="0"/>
              <w:rPr>
                <w:sz w:val="20"/>
                <w:szCs w:val="20"/>
                <w:color w:val="auto"/>
              </w:rPr>
            </w:pPr>
            <w:r>
              <w:rPr>
                <w:rFonts w:ascii="Arial" w:cs="Arial" w:eastAsia="Arial" w:hAnsi="Arial"/>
                <w:sz w:val="11"/>
                <w:szCs w:val="11"/>
                <w:b w:val="1"/>
                <w:bCs w:val="1"/>
                <w:color w:val="3D3935"/>
              </w:rPr>
              <w:t>Average</w:t>
            </w:r>
          </w:p>
        </w:tc>
        <w:tc>
          <w:tcPr>
            <w:tcW w:w="840" w:type="dxa"/>
            <w:vAlign w:val="bottom"/>
            <w:shd w:val="clear" w:color="auto" w:fill="F0F3F6"/>
          </w:tcPr>
          <w:p>
            <w:pPr>
              <w:spacing w:after="0"/>
              <w:rPr>
                <w:sz w:val="14"/>
                <w:szCs w:val="14"/>
                <w:color w:val="auto"/>
              </w:rPr>
            </w:pPr>
          </w:p>
        </w:tc>
        <w:tc>
          <w:tcPr>
            <w:tcW w:w="780" w:type="dxa"/>
            <w:vAlign w:val="bottom"/>
            <w:gridSpan w:val="2"/>
            <w:shd w:val="clear" w:color="auto" w:fill="F0F3F6"/>
          </w:tcPr>
          <w:p>
            <w:pPr>
              <w:ind w:left="240"/>
              <w:spacing w:after="0"/>
              <w:rPr>
                <w:sz w:val="20"/>
                <w:szCs w:val="20"/>
                <w:color w:val="auto"/>
              </w:rPr>
            </w:pPr>
            <w:r>
              <w:rPr>
                <w:rFonts w:ascii="Arial" w:cs="Arial" w:eastAsia="Arial" w:hAnsi="Arial"/>
                <w:sz w:val="11"/>
                <w:szCs w:val="11"/>
                <w:b w:val="1"/>
                <w:bCs w:val="1"/>
                <w:color w:val="3D3935"/>
              </w:rPr>
              <w:t>Average</w:t>
            </w:r>
          </w:p>
        </w:tc>
        <w:tc>
          <w:tcPr>
            <w:tcW w:w="840" w:type="dxa"/>
            <w:vAlign w:val="bottom"/>
            <w:shd w:val="clear" w:color="auto" w:fill="F0F3F6"/>
          </w:tcPr>
          <w:p>
            <w:pPr>
              <w:spacing w:after="0"/>
              <w:rPr>
                <w:sz w:val="14"/>
                <w:szCs w:val="14"/>
                <w:color w:val="auto"/>
              </w:rPr>
            </w:pPr>
          </w:p>
        </w:tc>
        <w:tc>
          <w:tcPr>
            <w:tcW w:w="800" w:type="dxa"/>
            <w:vAlign w:val="bottom"/>
            <w:gridSpan w:val="2"/>
            <w:shd w:val="clear" w:color="auto" w:fill="F0F3F6"/>
          </w:tcPr>
          <w:p>
            <w:pPr>
              <w:ind w:left="260"/>
              <w:spacing w:after="0"/>
              <w:rPr>
                <w:sz w:val="20"/>
                <w:szCs w:val="20"/>
                <w:color w:val="auto"/>
              </w:rPr>
            </w:pPr>
            <w:r>
              <w:rPr>
                <w:rFonts w:ascii="Arial" w:cs="Arial" w:eastAsia="Arial" w:hAnsi="Arial"/>
                <w:sz w:val="11"/>
                <w:szCs w:val="11"/>
                <w:b w:val="1"/>
                <w:bCs w:val="1"/>
                <w:color w:val="3D3935"/>
              </w:rPr>
              <w:t>Average</w:t>
            </w:r>
          </w:p>
        </w:tc>
        <w:tc>
          <w:tcPr>
            <w:tcW w:w="820" w:type="dxa"/>
            <w:vAlign w:val="bottom"/>
            <w:shd w:val="clear" w:color="auto" w:fill="F0F3F6"/>
          </w:tcPr>
          <w:p>
            <w:pPr>
              <w:spacing w:after="0"/>
              <w:rPr>
                <w:sz w:val="14"/>
                <w:szCs w:val="14"/>
                <w:color w:val="auto"/>
              </w:rPr>
            </w:pPr>
          </w:p>
        </w:tc>
        <w:tc>
          <w:tcPr>
            <w:tcW w:w="720" w:type="dxa"/>
            <w:vAlign w:val="bottom"/>
            <w:shd w:val="clear" w:color="auto" w:fill="F0F3F6"/>
          </w:tcPr>
          <w:p>
            <w:pPr>
              <w:jc w:val="right"/>
              <w:ind w:right="1"/>
              <w:spacing w:after="0"/>
              <w:rPr>
                <w:sz w:val="20"/>
                <w:szCs w:val="20"/>
                <w:color w:val="auto"/>
              </w:rPr>
            </w:pPr>
            <w:r>
              <w:rPr>
                <w:rFonts w:ascii="Arial" w:cs="Arial" w:eastAsia="Arial" w:hAnsi="Arial"/>
                <w:sz w:val="11"/>
                <w:szCs w:val="11"/>
                <w:b w:val="1"/>
                <w:bCs w:val="1"/>
                <w:color w:val="3D3935"/>
              </w:rPr>
              <w:t>Average</w:t>
            </w:r>
          </w:p>
        </w:tc>
        <w:tc>
          <w:tcPr>
            <w:tcW w:w="0" w:type="dxa"/>
            <w:vAlign w:val="bottom"/>
          </w:tcPr>
          <w:p>
            <w:pPr>
              <w:spacing w:after="0"/>
              <w:rPr>
                <w:sz w:val="1"/>
                <w:szCs w:val="1"/>
                <w:color w:val="auto"/>
              </w:rPr>
            </w:pPr>
          </w:p>
        </w:tc>
      </w:tr>
      <w:tr>
        <w:trPr>
          <w:trHeight w:val="135"/>
        </w:trPr>
        <w:tc>
          <w:tcPr>
            <w:tcW w:w="980" w:type="dxa"/>
            <w:vAlign w:val="bottom"/>
            <w:shd w:val="clear" w:color="auto" w:fill="F0F3F6"/>
          </w:tcPr>
          <w:p>
            <w:pPr>
              <w:spacing w:after="0"/>
              <w:rPr>
                <w:sz w:val="11"/>
                <w:szCs w:val="11"/>
                <w:color w:val="auto"/>
              </w:rPr>
            </w:pPr>
          </w:p>
        </w:tc>
        <w:tc>
          <w:tcPr>
            <w:tcW w:w="920" w:type="dxa"/>
            <w:vAlign w:val="bottom"/>
            <w:vMerge w:val="restart"/>
            <w:shd w:val="clear" w:color="auto" w:fill="F0F3F6"/>
          </w:tcPr>
          <w:p>
            <w:pPr>
              <w:jc w:val="right"/>
              <w:ind w:right="80"/>
              <w:spacing w:after="0"/>
              <w:rPr>
                <w:sz w:val="20"/>
                <w:szCs w:val="20"/>
                <w:color w:val="auto"/>
              </w:rPr>
            </w:pPr>
            <w:r>
              <w:rPr>
                <w:rFonts w:ascii="Arial" w:cs="Arial" w:eastAsia="Arial" w:hAnsi="Arial"/>
                <w:sz w:val="13"/>
                <w:szCs w:val="13"/>
                <w:b w:val="1"/>
                <w:bCs w:val="1"/>
                <w:color w:val="3E3935"/>
              </w:rPr>
              <w:t>CEO</w:t>
            </w:r>
          </w:p>
        </w:tc>
        <w:tc>
          <w:tcPr>
            <w:tcW w:w="740" w:type="dxa"/>
            <w:vAlign w:val="bottom"/>
            <w:gridSpan w:val="2"/>
            <w:shd w:val="clear" w:color="auto" w:fill="F0F3F6"/>
          </w:tcPr>
          <w:p>
            <w:pPr>
              <w:jc w:val="right"/>
              <w:ind w:right="100"/>
              <w:spacing w:after="0"/>
              <w:rPr>
                <w:sz w:val="20"/>
                <w:szCs w:val="20"/>
                <w:color w:val="auto"/>
              </w:rPr>
            </w:pPr>
            <w:r>
              <w:rPr>
                <w:rFonts w:ascii="Arial" w:cs="Arial" w:eastAsia="Arial" w:hAnsi="Arial"/>
                <w:sz w:val="11"/>
                <w:szCs w:val="11"/>
                <w:b w:val="1"/>
                <w:bCs w:val="1"/>
                <w:color w:val="3E3935"/>
              </w:rPr>
              <w:t>Non-CEO</w:t>
            </w:r>
          </w:p>
        </w:tc>
        <w:tc>
          <w:tcPr>
            <w:tcW w:w="840" w:type="dxa"/>
            <w:vAlign w:val="bottom"/>
            <w:shd w:val="clear" w:color="auto" w:fill="F0F3F6"/>
          </w:tcPr>
          <w:p>
            <w:pPr>
              <w:spacing w:after="0"/>
              <w:rPr>
                <w:sz w:val="11"/>
                <w:szCs w:val="11"/>
                <w:color w:val="auto"/>
              </w:rPr>
            </w:pPr>
          </w:p>
        </w:tc>
        <w:tc>
          <w:tcPr>
            <w:tcW w:w="800" w:type="dxa"/>
            <w:vAlign w:val="bottom"/>
            <w:gridSpan w:val="2"/>
            <w:shd w:val="clear" w:color="auto" w:fill="F0F3F6"/>
          </w:tcPr>
          <w:p>
            <w:pPr>
              <w:jc w:val="right"/>
              <w:ind w:right="100"/>
              <w:spacing w:after="0"/>
              <w:rPr>
                <w:sz w:val="20"/>
                <w:szCs w:val="20"/>
                <w:color w:val="auto"/>
              </w:rPr>
            </w:pPr>
            <w:r>
              <w:rPr>
                <w:rFonts w:ascii="Arial" w:cs="Arial" w:eastAsia="Arial" w:hAnsi="Arial"/>
                <w:sz w:val="11"/>
                <w:szCs w:val="11"/>
                <w:b w:val="1"/>
                <w:bCs w:val="1"/>
                <w:color w:val="3D3935"/>
              </w:rPr>
              <w:t>Non-CEO</w:t>
            </w:r>
          </w:p>
        </w:tc>
        <w:tc>
          <w:tcPr>
            <w:tcW w:w="840" w:type="dxa"/>
            <w:vAlign w:val="bottom"/>
            <w:shd w:val="clear" w:color="auto" w:fill="F0F3F6"/>
          </w:tcPr>
          <w:p>
            <w:pPr>
              <w:spacing w:after="0"/>
              <w:rPr>
                <w:sz w:val="11"/>
                <w:szCs w:val="11"/>
                <w:color w:val="auto"/>
              </w:rPr>
            </w:pPr>
          </w:p>
        </w:tc>
        <w:tc>
          <w:tcPr>
            <w:tcW w:w="780" w:type="dxa"/>
            <w:vAlign w:val="bottom"/>
            <w:gridSpan w:val="2"/>
            <w:shd w:val="clear" w:color="auto" w:fill="F0F3F6"/>
          </w:tcPr>
          <w:p>
            <w:pPr>
              <w:ind w:left="200"/>
              <w:spacing w:after="0"/>
              <w:rPr>
                <w:sz w:val="20"/>
                <w:szCs w:val="20"/>
                <w:color w:val="auto"/>
              </w:rPr>
            </w:pPr>
            <w:r>
              <w:rPr>
                <w:rFonts w:ascii="Arial" w:cs="Arial" w:eastAsia="Arial" w:hAnsi="Arial"/>
                <w:sz w:val="11"/>
                <w:szCs w:val="11"/>
                <w:b w:val="1"/>
                <w:bCs w:val="1"/>
                <w:color w:val="3D3935"/>
              </w:rPr>
              <w:t>Non-CEO</w:t>
            </w:r>
          </w:p>
        </w:tc>
        <w:tc>
          <w:tcPr>
            <w:tcW w:w="840" w:type="dxa"/>
            <w:vAlign w:val="bottom"/>
            <w:shd w:val="clear" w:color="auto" w:fill="F0F3F6"/>
          </w:tcPr>
          <w:p>
            <w:pPr>
              <w:spacing w:after="0"/>
              <w:rPr>
                <w:sz w:val="11"/>
                <w:szCs w:val="11"/>
                <w:color w:val="auto"/>
              </w:rPr>
            </w:pPr>
          </w:p>
        </w:tc>
        <w:tc>
          <w:tcPr>
            <w:tcW w:w="800" w:type="dxa"/>
            <w:vAlign w:val="bottom"/>
            <w:gridSpan w:val="2"/>
            <w:shd w:val="clear" w:color="auto" w:fill="F0F3F6"/>
          </w:tcPr>
          <w:p>
            <w:pPr>
              <w:jc w:val="right"/>
              <w:ind w:right="100"/>
              <w:spacing w:after="0"/>
              <w:rPr>
                <w:sz w:val="20"/>
                <w:szCs w:val="20"/>
                <w:color w:val="auto"/>
              </w:rPr>
            </w:pPr>
            <w:r>
              <w:rPr>
                <w:rFonts w:ascii="Arial" w:cs="Arial" w:eastAsia="Arial" w:hAnsi="Arial"/>
                <w:sz w:val="11"/>
                <w:szCs w:val="11"/>
                <w:b w:val="1"/>
                <w:bCs w:val="1"/>
                <w:color w:val="3D3935"/>
              </w:rPr>
              <w:t>Non-CEO</w:t>
            </w:r>
          </w:p>
        </w:tc>
        <w:tc>
          <w:tcPr>
            <w:tcW w:w="820" w:type="dxa"/>
            <w:vAlign w:val="bottom"/>
            <w:shd w:val="clear" w:color="auto" w:fill="F0F3F6"/>
          </w:tcPr>
          <w:p>
            <w:pPr>
              <w:spacing w:after="0"/>
              <w:rPr>
                <w:sz w:val="11"/>
                <w:szCs w:val="11"/>
                <w:color w:val="auto"/>
              </w:rPr>
            </w:pPr>
          </w:p>
        </w:tc>
        <w:tc>
          <w:tcPr>
            <w:tcW w:w="720" w:type="dxa"/>
            <w:vAlign w:val="bottom"/>
            <w:shd w:val="clear" w:color="auto" w:fill="F0F3F6"/>
          </w:tcPr>
          <w:p>
            <w:pPr>
              <w:jc w:val="right"/>
              <w:spacing w:after="0"/>
              <w:rPr>
                <w:sz w:val="20"/>
                <w:szCs w:val="20"/>
                <w:color w:val="auto"/>
              </w:rPr>
            </w:pPr>
            <w:r>
              <w:rPr>
                <w:rFonts w:ascii="Arial" w:cs="Arial" w:eastAsia="Arial" w:hAnsi="Arial"/>
                <w:sz w:val="11"/>
                <w:szCs w:val="11"/>
                <w:b w:val="1"/>
                <w:bCs w:val="1"/>
                <w:color w:val="3D3935"/>
              </w:rPr>
              <w:t>Non-CEO</w:t>
            </w:r>
          </w:p>
        </w:tc>
        <w:tc>
          <w:tcPr>
            <w:tcW w:w="0" w:type="dxa"/>
            <w:vAlign w:val="bottom"/>
          </w:tcPr>
          <w:p>
            <w:pPr>
              <w:spacing w:after="0"/>
              <w:rPr>
                <w:sz w:val="1"/>
                <w:szCs w:val="1"/>
                <w:color w:val="auto"/>
              </w:rPr>
            </w:pPr>
          </w:p>
        </w:tc>
      </w:tr>
      <w:tr>
        <w:trPr>
          <w:trHeight w:val="155"/>
        </w:trPr>
        <w:tc>
          <w:tcPr>
            <w:tcW w:w="980" w:type="dxa"/>
            <w:vAlign w:val="bottom"/>
            <w:tcBorders>
              <w:bottom w:val="single" w:sz="8" w:color="0072CE"/>
            </w:tcBorders>
            <w:shd w:val="clear" w:color="auto" w:fill="F0F3F6"/>
          </w:tcPr>
          <w:p>
            <w:pPr>
              <w:spacing w:after="0"/>
              <w:rPr>
                <w:sz w:val="13"/>
                <w:szCs w:val="13"/>
                <w:color w:val="auto"/>
              </w:rPr>
            </w:pPr>
          </w:p>
        </w:tc>
        <w:tc>
          <w:tcPr>
            <w:tcW w:w="920" w:type="dxa"/>
            <w:vAlign w:val="bottom"/>
            <w:tcBorders>
              <w:bottom w:val="single" w:sz="8" w:color="0072CE"/>
            </w:tcBorders>
            <w:vMerge w:val="continue"/>
            <w:shd w:val="clear" w:color="auto" w:fill="F0F3F6"/>
          </w:tcPr>
          <w:p>
            <w:pPr>
              <w:spacing w:after="0"/>
              <w:rPr>
                <w:sz w:val="13"/>
                <w:szCs w:val="13"/>
                <w:color w:val="auto"/>
              </w:rPr>
            </w:pPr>
          </w:p>
        </w:tc>
        <w:tc>
          <w:tcPr>
            <w:tcW w:w="740" w:type="dxa"/>
            <w:vAlign w:val="bottom"/>
            <w:tcBorders>
              <w:bottom w:val="single" w:sz="8" w:color="0072CE"/>
            </w:tcBorders>
            <w:gridSpan w:val="2"/>
            <w:shd w:val="clear" w:color="auto" w:fill="F0F3F6"/>
          </w:tcPr>
          <w:p>
            <w:pPr>
              <w:jc w:val="right"/>
              <w:ind w:right="80"/>
              <w:spacing w:after="0"/>
              <w:rPr>
                <w:sz w:val="20"/>
                <w:szCs w:val="20"/>
                <w:color w:val="auto"/>
              </w:rPr>
            </w:pPr>
            <w:r>
              <w:rPr>
                <w:rFonts w:ascii="Arial" w:cs="Arial" w:eastAsia="Arial" w:hAnsi="Arial"/>
                <w:sz w:val="11"/>
                <w:szCs w:val="11"/>
                <w:b w:val="1"/>
                <w:bCs w:val="1"/>
                <w:color w:val="3E3935"/>
              </w:rPr>
              <w:t>NEOs</w:t>
            </w:r>
          </w:p>
        </w:tc>
        <w:tc>
          <w:tcPr>
            <w:tcW w:w="840" w:type="dxa"/>
            <w:vAlign w:val="bottom"/>
            <w:tcBorders>
              <w:bottom w:val="single" w:sz="8" w:color="0072CE"/>
            </w:tcBorders>
            <w:shd w:val="clear" w:color="auto" w:fill="F0F3F6"/>
          </w:tcPr>
          <w:p>
            <w:pPr>
              <w:jc w:val="right"/>
              <w:ind w:right="260"/>
              <w:spacing w:after="0"/>
              <w:rPr>
                <w:sz w:val="20"/>
                <w:szCs w:val="20"/>
                <w:color w:val="auto"/>
              </w:rPr>
            </w:pPr>
            <w:r>
              <w:rPr>
                <w:rFonts w:ascii="Arial" w:cs="Arial" w:eastAsia="Arial" w:hAnsi="Arial"/>
                <w:sz w:val="11"/>
                <w:szCs w:val="11"/>
                <w:b w:val="1"/>
                <w:bCs w:val="1"/>
                <w:color w:val="3D3935"/>
              </w:rPr>
              <w:t>CEO</w:t>
            </w:r>
          </w:p>
        </w:tc>
        <w:tc>
          <w:tcPr>
            <w:tcW w:w="800" w:type="dxa"/>
            <w:vAlign w:val="bottom"/>
            <w:tcBorders>
              <w:bottom w:val="single" w:sz="8" w:color="0072CE"/>
            </w:tcBorders>
            <w:gridSpan w:val="2"/>
            <w:shd w:val="clear" w:color="auto" w:fill="F0F3F6"/>
          </w:tcPr>
          <w:p>
            <w:pPr>
              <w:jc w:val="right"/>
              <w:ind w:right="100"/>
              <w:spacing w:after="0"/>
              <w:rPr>
                <w:sz w:val="20"/>
                <w:szCs w:val="20"/>
                <w:color w:val="auto"/>
              </w:rPr>
            </w:pPr>
            <w:r>
              <w:rPr>
                <w:rFonts w:ascii="Arial" w:cs="Arial" w:eastAsia="Arial" w:hAnsi="Arial"/>
                <w:sz w:val="11"/>
                <w:szCs w:val="11"/>
                <w:b w:val="1"/>
                <w:bCs w:val="1"/>
                <w:color w:val="3D3935"/>
              </w:rPr>
              <w:t>NEOs</w:t>
            </w:r>
          </w:p>
        </w:tc>
        <w:tc>
          <w:tcPr>
            <w:tcW w:w="840" w:type="dxa"/>
            <w:vAlign w:val="bottom"/>
            <w:tcBorders>
              <w:bottom w:val="single" w:sz="8" w:color="0072CE"/>
            </w:tcBorders>
            <w:shd w:val="clear" w:color="auto" w:fill="F0F3F6"/>
          </w:tcPr>
          <w:p>
            <w:pPr>
              <w:ind w:left="540"/>
              <w:spacing w:after="0"/>
              <w:rPr>
                <w:sz w:val="20"/>
                <w:szCs w:val="20"/>
                <w:color w:val="auto"/>
              </w:rPr>
            </w:pPr>
            <w:r>
              <w:rPr>
                <w:rFonts w:ascii="Arial" w:cs="Arial" w:eastAsia="Arial" w:hAnsi="Arial"/>
                <w:sz w:val="11"/>
                <w:szCs w:val="11"/>
                <w:b w:val="1"/>
                <w:bCs w:val="1"/>
                <w:color w:val="3D3935"/>
              </w:rPr>
              <w:t>CEO</w:t>
            </w:r>
          </w:p>
        </w:tc>
        <w:tc>
          <w:tcPr>
            <w:tcW w:w="780" w:type="dxa"/>
            <w:vAlign w:val="bottom"/>
            <w:tcBorders>
              <w:bottom w:val="single" w:sz="8" w:color="0072CE"/>
            </w:tcBorders>
            <w:gridSpan w:val="2"/>
            <w:shd w:val="clear" w:color="auto" w:fill="F0F3F6"/>
          </w:tcPr>
          <w:p>
            <w:pPr>
              <w:ind w:left="380"/>
              <w:spacing w:after="0"/>
              <w:rPr>
                <w:sz w:val="20"/>
                <w:szCs w:val="20"/>
                <w:color w:val="auto"/>
              </w:rPr>
            </w:pPr>
            <w:r>
              <w:rPr>
                <w:rFonts w:ascii="Arial" w:cs="Arial" w:eastAsia="Arial" w:hAnsi="Arial"/>
                <w:sz w:val="11"/>
                <w:szCs w:val="11"/>
                <w:b w:val="1"/>
                <w:bCs w:val="1"/>
                <w:color w:val="3D3935"/>
              </w:rPr>
              <w:t>NEOs</w:t>
            </w:r>
          </w:p>
        </w:tc>
        <w:tc>
          <w:tcPr>
            <w:tcW w:w="840" w:type="dxa"/>
            <w:vAlign w:val="bottom"/>
            <w:tcBorders>
              <w:bottom w:val="single" w:sz="8" w:color="0072CE"/>
            </w:tcBorders>
            <w:shd w:val="clear" w:color="auto" w:fill="F0F3F6"/>
          </w:tcPr>
          <w:p>
            <w:pPr>
              <w:jc w:val="right"/>
              <w:ind w:right="20"/>
              <w:spacing w:after="0"/>
              <w:rPr>
                <w:sz w:val="20"/>
                <w:szCs w:val="20"/>
                <w:color w:val="auto"/>
              </w:rPr>
            </w:pPr>
            <w:r>
              <w:rPr>
                <w:rFonts w:ascii="Arial" w:cs="Arial" w:eastAsia="Arial" w:hAnsi="Arial"/>
                <w:sz w:val="11"/>
                <w:szCs w:val="11"/>
                <w:b w:val="1"/>
                <w:bCs w:val="1"/>
                <w:color w:val="3D3935"/>
              </w:rPr>
              <w:t>CEO</w:t>
            </w:r>
          </w:p>
        </w:tc>
        <w:tc>
          <w:tcPr>
            <w:tcW w:w="800" w:type="dxa"/>
            <w:vAlign w:val="bottom"/>
            <w:tcBorders>
              <w:bottom w:val="single" w:sz="8" w:color="0072CE"/>
            </w:tcBorders>
            <w:gridSpan w:val="2"/>
            <w:shd w:val="clear" w:color="auto" w:fill="F0F3F6"/>
          </w:tcPr>
          <w:p>
            <w:pPr>
              <w:jc w:val="right"/>
              <w:ind w:right="80"/>
              <w:spacing w:after="0"/>
              <w:rPr>
                <w:sz w:val="20"/>
                <w:szCs w:val="20"/>
                <w:color w:val="auto"/>
              </w:rPr>
            </w:pPr>
            <w:r>
              <w:rPr>
                <w:rFonts w:ascii="Arial" w:cs="Arial" w:eastAsia="Arial" w:hAnsi="Arial"/>
                <w:sz w:val="11"/>
                <w:szCs w:val="11"/>
                <w:b w:val="1"/>
                <w:bCs w:val="1"/>
                <w:color w:val="3D3935"/>
              </w:rPr>
              <w:t>NEOs</w:t>
            </w:r>
          </w:p>
        </w:tc>
        <w:tc>
          <w:tcPr>
            <w:tcW w:w="820" w:type="dxa"/>
            <w:vAlign w:val="bottom"/>
            <w:tcBorders>
              <w:bottom w:val="single" w:sz="8" w:color="0072CE"/>
            </w:tcBorders>
            <w:shd w:val="clear" w:color="auto" w:fill="F0F3F6"/>
          </w:tcPr>
          <w:p>
            <w:pPr>
              <w:jc w:val="right"/>
              <w:spacing w:after="0"/>
              <w:rPr>
                <w:sz w:val="20"/>
                <w:szCs w:val="20"/>
                <w:color w:val="auto"/>
              </w:rPr>
            </w:pPr>
            <w:r>
              <w:rPr>
                <w:rFonts w:ascii="Arial" w:cs="Arial" w:eastAsia="Arial" w:hAnsi="Arial"/>
                <w:sz w:val="11"/>
                <w:szCs w:val="11"/>
                <w:b w:val="1"/>
                <w:bCs w:val="1"/>
                <w:color w:val="3D3935"/>
              </w:rPr>
              <w:t>CEO</w:t>
            </w:r>
          </w:p>
        </w:tc>
        <w:tc>
          <w:tcPr>
            <w:tcW w:w="720" w:type="dxa"/>
            <w:vAlign w:val="bottom"/>
            <w:tcBorders>
              <w:bottom w:val="single" w:sz="8" w:color="0072CE"/>
            </w:tcBorders>
            <w:shd w:val="clear" w:color="auto" w:fill="F0F3F6"/>
          </w:tcPr>
          <w:p>
            <w:pPr>
              <w:jc w:val="right"/>
              <w:spacing w:after="0"/>
              <w:rPr>
                <w:sz w:val="20"/>
                <w:szCs w:val="20"/>
                <w:color w:val="auto"/>
              </w:rPr>
            </w:pPr>
            <w:r>
              <w:rPr>
                <w:rFonts w:ascii="Arial" w:cs="Arial" w:eastAsia="Arial" w:hAnsi="Arial"/>
                <w:sz w:val="11"/>
                <w:szCs w:val="11"/>
                <w:b w:val="1"/>
                <w:bCs w:val="1"/>
                <w:color w:val="3D3935"/>
              </w:rPr>
              <w:t>NEOs</w:t>
            </w:r>
          </w:p>
        </w:tc>
        <w:tc>
          <w:tcPr>
            <w:tcW w:w="0" w:type="dxa"/>
            <w:vAlign w:val="bottom"/>
          </w:tcPr>
          <w:p>
            <w:pPr>
              <w:spacing w:after="0"/>
              <w:rPr>
                <w:sz w:val="1"/>
                <w:szCs w:val="1"/>
                <w:color w:val="auto"/>
              </w:rPr>
            </w:pPr>
          </w:p>
        </w:tc>
      </w:tr>
      <w:tr>
        <w:trPr>
          <w:trHeight w:val="188"/>
        </w:trPr>
        <w:tc>
          <w:tcPr>
            <w:tcW w:w="980" w:type="dxa"/>
            <w:vAlign w:val="bottom"/>
          </w:tcPr>
          <w:p>
            <w:pPr>
              <w:ind w:left="60"/>
              <w:spacing w:after="0"/>
              <w:rPr>
                <w:sz w:val="20"/>
                <w:szCs w:val="20"/>
                <w:color w:val="auto"/>
              </w:rPr>
            </w:pPr>
            <w:r>
              <w:rPr>
                <w:rFonts w:ascii="Arial" w:cs="Arial" w:eastAsia="Arial" w:hAnsi="Arial"/>
                <w:sz w:val="13"/>
                <w:szCs w:val="13"/>
                <w:color w:val="3D3935"/>
              </w:rPr>
              <w:t>SCT Total</w:t>
            </w:r>
          </w:p>
        </w:tc>
        <w:tc>
          <w:tcPr>
            <w:tcW w:w="920" w:type="dxa"/>
            <w:vAlign w:val="bottom"/>
          </w:tcPr>
          <w:p>
            <w:pPr>
              <w:jc w:val="right"/>
              <w:ind w:right="140"/>
              <w:spacing w:after="0"/>
              <w:rPr>
                <w:sz w:val="20"/>
                <w:szCs w:val="20"/>
                <w:color w:val="auto"/>
              </w:rPr>
            </w:pPr>
            <w:r>
              <w:rPr>
                <w:rFonts w:ascii="Arial" w:cs="Arial" w:eastAsia="Arial" w:hAnsi="Arial"/>
                <w:sz w:val="13"/>
                <w:szCs w:val="13"/>
                <w:color w:val="3D3935"/>
              </w:rPr>
              <w:t>29,496,637</w:t>
            </w:r>
          </w:p>
        </w:tc>
        <w:tc>
          <w:tcPr>
            <w:tcW w:w="680" w:type="dxa"/>
            <w:vAlign w:val="bottom"/>
          </w:tcPr>
          <w:p>
            <w:pPr>
              <w:jc w:val="right"/>
              <w:spacing w:after="0"/>
              <w:rPr>
                <w:sz w:val="20"/>
                <w:szCs w:val="20"/>
                <w:color w:val="auto"/>
              </w:rPr>
            </w:pPr>
            <w:r>
              <w:rPr>
                <w:rFonts w:ascii="Arial" w:cs="Arial" w:eastAsia="Arial" w:hAnsi="Arial"/>
                <w:sz w:val="13"/>
                <w:szCs w:val="13"/>
                <w:color w:val="3D3935"/>
                <w:w w:val="95"/>
              </w:rPr>
              <w:t>12,772,607</w:t>
            </w:r>
          </w:p>
        </w:tc>
        <w:tc>
          <w:tcPr>
            <w:tcW w:w="60" w:type="dxa"/>
            <w:vAlign w:val="bottom"/>
          </w:tcPr>
          <w:p>
            <w:pPr>
              <w:spacing w:after="0"/>
              <w:rPr>
                <w:sz w:val="16"/>
                <w:szCs w:val="16"/>
                <w:color w:val="auto"/>
              </w:rPr>
            </w:pPr>
          </w:p>
        </w:tc>
        <w:tc>
          <w:tcPr>
            <w:tcW w:w="840" w:type="dxa"/>
            <w:vAlign w:val="bottom"/>
          </w:tcPr>
          <w:p>
            <w:pPr>
              <w:jc w:val="right"/>
              <w:ind w:right="60"/>
              <w:spacing w:after="0"/>
              <w:rPr>
                <w:sz w:val="20"/>
                <w:szCs w:val="20"/>
                <w:color w:val="auto"/>
              </w:rPr>
            </w:pPr>
            <w:r>
              <w:rPr>
                <w:rFonts w:ascii="Arial" w:cs="Arial" w:eastAsia="Arial" w:hAnsi="Arial"/>
                <w:sz w:val="13"/>
                <w:szCs w:val="13"/>
                <w:color w:val="3D3935"/>
              </w:rPr>
              <w:t>27,847,405</w:t>
            </w:r>
          </w:p>
        </w:tc>
        <w:tc>
          <w:tcPr>
            <w:tcW w:w="740" w:type="dxa"/>
            <w:vAlign w:val="bottom"/>
          </w:tcPr>
          <w:p>
            <w:pPr>
              <w:jc w:val="right"/>
              <w:ind w:right="1"/>
              <w:spacing w:after="0"/>
              <w:rPr>
                <w:sz w:val="20"/>
                <w:szCs w:val="20"/>
                <w:color w:val="auto"/>
              </w:rPr>
            </w:pPr>
            <w:r>
              <w:rPr>
                <w:rFonts w:ascii="Arial" w:cs="Arial" w:eastAsia="Arial" w:hAnsi="Arial"/>
                <w:sz w:val="13"/>
                <w:szCs w:val="13"/>
                <w:color w:val="3D3935"/>
              </w:rPr>
              <w:t>15,245,310</w:t>
            </w:r>
          </w:p>
        </w:tc>
        <w:tc>
          <w:tcPr>
            <w:tcW w:w="6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3"/>
                <w:szCs w:val="13"/>
                <w:color w:val="3D3935"/>
              </w:rPr>
              <w:t>28,979,570</w:t>
            </w:r>
          </w:p>
        </w:tc>
        <w:tc>
          <w:tcPr>
            <w:tcW w:w="720" w:type="dxa"/>
            <w:vAlign w:val="bottom"/>
          </w:tcPr>
          <w:p>
            <w:pPr>
              <w:ind w:left="20"/>
              <w:spacing w:after="0"/>
              <w:rPr>
                <w:sz w:val="20"/>
                <w:szCs w:val="20"/>
                <w:color w:val="auto"/>
              </w:rPr>
            </w:pPr>
            <w:r>
              <w:rPr>
                <w:rFonts w:ascii="Arial" w:cs="Arial" w:eastAsia="Arial" w:hAnsi="Arial"/>
                <w:sz w:val="13"/>
                <w:szCs w:val="13"/>
                <w:color w:val="3D3935"/>
              </w:rPr>
              <w:t>10,539,930</w:t>
            </w:r>
          </w:p>
        </w:tc>
        <w:tc>
          <w:tcPr>
            <w:tcW w:w="60" w:type="dxa"/>
            <w:vAlign w:val="bottom"/>
          </w:tcPr>
          <w:p>
            <w:pPr>
              <w:spacing w:after="0"/>
              <w:rPr>
                <w:sz w:val="16"/>
                <w:szCs w:val="16"/>
                <w:color w:val="auto"/>
              </w:rPr>
            </w:pPr>
          </w:p>
        </w:tc>
        <w:tc>
          <w:tcPr>
            <w:tcW w:w="840" w:type="dxa"/>
            <w:vAlign w:val="bottom"/>
          </w:tcPr>
          <w:p>
            <w:pPr>
              <w:jc w:val="right"/>
              <w:ind w:right="60"/>
              <w:spacing w:after="0"/>
              <w:rPr>
                <w:sz w:val="20"/>
                <w:szCs w:val="20"/>
                <w:color w:val="auto"/>
              </w:rPr>
            </w:pPr>
            <w:r>
              <w:rPr>
                <w:rFonts w:ascii="Arial" w:cs="Arial" w:eastAsia="Arial" w:hAnsi="Arial"/>
                <w:sz w:val="13"/>
                <w:szCs w:val="13"/>
                <w:color w:val="3D3935"/>
              </w:rPr>
              <w:t>29,136,780</w:t>
            </w:r>
          </w:p>
        </w:tc>
        <w:tc>
          <w:tcPr>
            <w:tcW w:w="740" w:type="dxa"/>
            <w:vAlign w:val="bottom"/>
          </w:tcPr>
          <w:p>
            <w:pPr>
              <w:jc w:val="right"/>
              <w:ind w:right="1"/>
              <w:spacing w:after="0"/>
              <w:rPr>
                <w:sz w:val="20"/>
                <w:szCs w:val="20"/>
                <w:color w:val="auto"/>
              </w:rPr>
            </w:pPr>
            <w:r>
              <w:rPr>
                <w:rFonts w:ascii="Arial" w:cs="Arial" w:eastAsia="Arial" w:hAnsi="Arial"/>
                <w:sz w:val="13"/>
                <w:szCs w:val="13"/>
                <w:color w:val="3D3935"/>
              </w:rPr>
              <w:t>9,982,519</w:t>
            </w:r>
          </w:p>
        </w:tc>
        <w:tc>
          <w:tcPr>
            <w:tcW w:w="60" w:type="dxa"/>
            <w:vAlign w:val="bottom"/>
          </w:tcPr>
          <w:p>
            <w:pPr>
              <w:spacing w:after="0"/>
              <w:rPr>
                <w:sz w:val="16"/>
                <w:szCs w:val="16"/>
                <w:color w:val="auto"/>
              </w:rPr>
            </w:pPr>
          </w:p>
        </w:tc>
        <w:tc>
          <w:tcPr>
            <w:tcW w:w="820" w:type="dxa"/>
            <w:vAlign w:val="bottom"/>
          </w:tcPr>
          <w:p>
            <w:pPr>
              <w:jc w:val="right"/>
              <w:ind w:right="40"/>
              <w:spacing w:after="0"/>
              <w:rPr>
                <w:sz w:val="20"/>
                <w:szCs w:val="20"/>
                <w:color w:val="auto"/>
              </w:rPr>
            </w:pPr>
            <w:r>
              <w:rPr>
                <w:rFonts w:ascii="Arial" w:cs="Arial" w:eastAsia="Arial" w:hAnsi="Arial"/>
                <w:sz w:val="13"/>
                <w:szCs w:val="13"/>
                <w:color w:val="3D3935"/>
              </w:rPr>
              <w:t>23,657,987</w:t>
            </w:r>
          </w:p>
        </w:tc>
        <w:tc>
          <w:tcPr>
            <w:tcW w:w="720" w:type="dxa"/>
            <w:vAlign w:val="bottom"/>
          </w:tcPr>
          <w:p>
            <w:pPr>
              <w:jc w:val="right"/>
              <w:ind w:right="21"/>
              <w:spacing w:after="0"/>
              <w:rPr>
                <w:sz w:val="20"/>
                <w:szCs w:val="20"/>
                <w:color w:val="auto"/>
              </w:rPr>
            </w:pPr>
            <w:r>
              <w:rPr>
                <w:rFonts w:ascii="Arial" w:cs="Arial" w:eastAsia="Arial" w:hAnsi="Arial"/>
                <w:sz w:val="13"/>
                <w:szCs w:val="13"/>
                <w:color w:val="3D3935"/>
              </w:rPr>
              <w:t>6,632,869</w:t>
            </w:r>
          </w:p>
        </w:tc>
        <w:tc>
          <w:tcPr>
            <w:tcW w:w="0" w:type="dxa"/>
            <w:vAlign w:val="bottom"/>
          </w:tcPr>
          <w:p>
            <w:pPr>
              <w:spacing w:after="0"/>
              <w:rPr>
                <w:sz w:val="1"/>
                <w:szCs w:val="1"/>
                <w:color w:val="auto"/>
              </w:rPr>
            </w:pPr>
          </w:p>
        </w:tc>
      </w:tr>
      <w:tr>
        <w:trPr>
          <w:trHeight w:val="28"/>
        </w:trPr>
        <w:tc>
          <w:tcPr>
            <w:tcW w:w="980" w:type="dxa"/>
            <w:vAlign w:val="bottom"/>
            <w:tcBorders>
              <w:bottom w:val="single" w:sz="8" w:color="D9D9D6"/>
            </w:tcBorders>
          </w:tcPr>
          <w:p>
            <w:pPr>
              <w:spacing w:after="0"/>
              <w:rPr>
                <w:sz w:val="2"/>
                <w:szCs w:val="2"/>
                <w:color w:val="auto"/>
              </w:rPr>
            </w:pPr>
          </w:p>
        </w:tc>
        <w:tc>
          <w:tcPr>
            <w:tcW w:w="920" w:type="dxa"/>
            <w:vAlign w:val="bottom"/>
            <w:tcBorders>
              <w:bottom w:val="single" w:sz="8" w:color="D9D9D6"/>
            </w:tcBorders>
          </w:tcPr>
          <w:p>
            <w:pPr>
              <w:spacing w:after="0"/>
              <w:rPr>
                <w:sz w:val="2"/>
                <w:szCs w:val="2"/>
                <w:color w:val="auto"/>
              </w:rPr>
            </w:pPr>
          </w:p>
        </w:tc>
        <w:tc>
          <w:tcPr>
            <w:tcW w:w="680" w:type="dxa"/>
            <w:vAlign w:val="bottom"/>
            <w:tcBorders>
              <w:bottom w:val="single" w:sz="8" w:color="D9D9D6"/>
            </w:tcBorders>
          </w:tcPr>
          <w:p>
            <w:pPr>
              <w:spacing w:after="0"/>
              <w:rPr>
                <w:sz w:val="2"/>
                <w:szCs w:val="2"/>
                <w:color w:val="auto"/>
              </w:rPr>
            </w:pPr>
          </w:p>
        </w:tc>
        <w:tc>
          <w:tcPr>
            <w:tcW w:w="60" w:type="dxa"/>
            <w:vAlign w:val="bottom"/>
            <w:tcBorders>
              <w:bottom w:val="single" w:sz="8" w:color="D9D9D6"/>
            </w:tcBorders>
          </w:tcPr>
          <w:p>
            <w:pPr>
              <w:spacing w:after="0"/>
              <w:rPr>
                <w:sz w:val="2"/>
                <w:szCs w:val="2"/>
                <w:color w:val="auto"/>
              </w:rPr>
            </w:pPr>
          </w:p>
        </w:tc>
        <w:tc>
          <w:tcPr>
            <w:tcW w:w="840" w:type="dxa"/>
            <w:vAlign w:val="bottom"/>
            <w:tcBorders>
              <w:bottom w:val="single" w:sz="8" w:color="D9D9D6"/>
            </w:tcBorders>
          </w:tcPr>
          <w:p>
            <w:pPr>
              <w:spacing w:after="0"/>
              <w:rPr>
                <w:sz w:val="2"/>
                <w:szCs w:val="2"/>
                <w:color w:val="auto"/>
              </w:rPr>
            </w:pPr>
          </w:p>
        </w:tc>
        <w:tc>
          <w:tcPr>
            <w:tcW w:w="740" w:type="dxa"/>
            <w:vAlign w:val="bottom"/>
            <w:tcBorders>
              <w:bottom w:val="single" w:sz="8" w:color="D9D9D6"/>
            </w:tcBorders>
          </w:tcPr>
          <w:p>
            <w:pPr>
              <w:spacing w:after="0"/>
              <w:rPr>
                <w:sz w:val="2"/>
                <w:szCs w:val="2"/>
                <w:color w:val="auto"/>
              </w:rPr>
            </w:pPr>
          </w:p>
        </w:tc>
        <w:tc>
          <w:tcPr>
            <w:tcW w:w="60" w:type="dxa"/>
            <w:vAlign w:val="bottom"/>
            <w:tcBorders>
              <w:bottom w:val="single" w:sz="8" w:color="D9D9D6"/>
            </w:tcBorders>
          </w:tcPr>
          <w:p>
            <w:pPr>
              <w:spacing w:after="0"/>
              <w:rPr>
                <w:sz w:val="2"/>
                <w:szCs w:val="2"/>
                <w:color w:val="auto"/>
              </w:rPr>
            </w:pPr>
          </w:p>
        </w:tc>
        <w:tc>
          <w:tcPr>
            <w:tcW w:w="840" w:type="dxa"/>
            <w:vAlign w:val="bottom"/>
            <w:tcBorders>
              <w:bottom w:val="single" w:sz="8" w:color="D9D9D6"/>
            </w:tcBorders>
          </w:tcPr>
          <w:p>
            <w:pPr>
              <w:spacing w:after="0"/>
              <w:rPr>
                <w:sz w:val="2"/>
                <w:szCs w:val="2"/>
                <w:color w:val="auto"/>
              </w:rPr>
            </w:pPr>
          </w:p>
        </w:tc>
        <w:tc>
          <w:tcPr>
            <w:tcW w:w="720" w:type="dxa"/>
            <w:vAlign w:val="bottom"/>
            <w:tcBorders>
              <w:bottom w:val="single" w:sz="8" w:color="D9D9D6"/>
            </w:tcBorders>
          </w:tcPr>
          <w:p>
            <w:pPr>
              <w:spacing w:after="0"/>
              <w:rPr>
                <w:sz w:val="2"/>
                <w:szCs w:val="2"/>
                <w:color w:val="auto"/>
              </w:rPr>
            </w:pPr>
          </w:p>
        </w:tc>
        <w:tc>
          <w:tcPr>
            <w:tcW w:w="60" w:type="dxa"/>
            <w:vAlign w:val="bottom"/>
            <w:tcBorders>
              <w:bottom w:val="single" w:sz="8" w:color="D9D9D6"/>
            </w:tcBorders>
          </w:tcPr>
          <w:p>
            <w:pPr>
              <w:spacing w:after="0"/>
              <w:rPr>
                <w:sz w:val="2"/>
                <w:szCs w:val="2"/>
                <w:color w:val="auto"/>
              </w:rPr>
            </w:pPr>
          </w:p>
        </w:tc>
        <w:tc>
          <w:tcPr>
            <w:tcW w:w="840" w:type="dxa"/>
            <w:vAlign w:val="bottom"/>
            <w:tcBorders>
              <w:bottom w:val="single" w:sz="8" w:color="D9D9D6"/>
            </w:tcBorders>
          </w:tcPr>
          <w:p>
            <w:pPr>
              <w:spacing w:after="0"/>
              <w:rPr>
                <w:sz w:val="2"/>
                <w:szCs w:val="2"/>
                <w:color w:val="auto"/>
              </w:rPr>
            </w:pPr>
          </w:p>
        </w:tc>
        <w:tc>
          <w:tcPr>
            <w:tcW w:w="740" w:type="dxa"/>
            <w:vAlign w:val="bottom"/>
            <w:tcBorders>
              <w:bottom w:val="single" w:sz="8" w:color="D9D9D6"/>
            </w:tcBorders>
          </w:tcPr>
          <w:p>
            <w:pPr>
              <w:spacing w:after="0"/>
              <w:rPr>
                <w:sz w:val="2"/>
                <w:szCs w:val="2"/>
                <w:color w:val="auto"/>
              </w:rPr>
            </w:pPr>
          </w:p>
        </w:tc>
        <w:tc>
          <w:tcPr>
            <w:tcW w:w="60" w:type="dxa"/>
            <w:vAlign w:val="bottom"/>
            <w:tcBorders>
              <w:bottom w:val="single" w:sz="8" w:color="D9D9D6"/>
            </w:tcBorders>
          </w:tcPr>
          <w:p>
            <w:pPr>
              <w:spacing w:after="0"/>
              <w:rPr>
                <w:sz w:val="2"/>
                <w:szCs w:val="2"/>
                <w:color w:val="auto"/>
              </w:rPr>
            </w:pPr>
          </w:p>
        </w:tc>
        <w:tc>
          <w:tcPr>
            <w:tcW w:w="820" w:type="dxa"/>
            <w:vAlign w:val="bottom"/>
            <w:tcBorders>
              <w:bottom w:val="single" w:sz="8" w:color="D9D9D6"/>
            </w:tcBorders>
          </w:tcPr>
          <w:p>
            <w:pPr>
              <w:spacing w:after="0"/>
              <w:rPr>
                <w:sz w:val="2"/>
                <w:szCs w:val="2"/>
                <w:color w:val="auto"/>
              </w:rPr>
            </w:pPr>
          </w:p>
        </w:tc>
        <w:tc>
          <w:tcPr>
            <w:tcW w:w="720" w:type="dxa"/>
            <w:vAlign w:val="bottom"/>
            <w:tcBorders>
              <w:bottom w:val="single" w:sz="8" w:color="D9D9D6"/>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980" w:type="dxa"/>
            <w:vAlign w:val="bottom"/>
          </w:tcPr>
          <w:p>
            <w:pPr>
              <w:ind w:left="60"/>
              <w:spacing w:after="0"/>
              <w:rPr>
                <w:sz w:val="20"/>
                <w:szCs w:val="20"/>
                <w:color w:val="auto"/>
              </w:rPr>
            </w:pPr>
            <w:r>
              <w:rPr>
                <w:rFonts w:ascii="Arial" w:cs="Arial" w:eastAsia="Arial" w:hAnsi="Arial"/>
                <w:sz w:val="13"/>
                <w:szCs w:val="13"/>
                <w:color w:val="3D3935"/>
              </w:rPr>
              <w:t>Less: Change</w:t>
            </w:r>
          </w:p>
        </w:tc>
        <w:tc>
          <w:tcPr>
            <w:tcW w:w="920" w:type="dxa"/>
            <w:vAlign w:val="bottom"/>
          </w:tcPr>
          <w:p>
            <w:pPr>
              <w:jc w:val="right"/>
              <w:ind w:right="60"/>
              <w:spacing w:after="0"/>
              <w:rPr>
                <w:sz w:val="20"/>
                <w:szCs w:val="20"/>
                <w:color w:val="auto"/>
              </w:rPr>
            </w:pPr>
            <w:r>
              <w:rPr>
                <w:rFonts w:ascii="Arial" w:cs="Arial" w:eastAsia="Arial" w:hAnsi="Arial"/>
                <w:sz w:val="13"/>
                <w:szCs w:val="13"/>
                <w:color w:val="3D3935"/>
              </w:rPr>
              <w:t>—</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3D3935"/>
              </w:rPr>
              <w:t>—</w:t>
            </w:r>
          </w:p>
        </w:tc>
        <w:tc>
          <w:tcPr>
            <w:tcW w:w="840" w:type="dxa"/>
            <w:vAlign w:val="bottom"/>
          </w:tcPr>
          <w:p>
            <w:pPr>
              <w:jc w:val="right"/>
              <w:spacing w:after="0"/>
              <w:rPr>
                <w:sz w:val="20"/>
                <w:szCs w:val="20"/>
                <w:color w:val="auto"/>
              </w:rPr>
            </w:pPr>
            <w:r>
              <w:rPr>
                <w:rFonts w:ascii="Arial" w:cs="Arial" w:eastAsia="Arial" w:hAnsi="Arial"/>
                <w:sz w:val="13"/>
                <w:szCs w:val="13"/>
                <w:color w:val="3D3935"/>
              </w:rPr>
              <w:t>—</w:t>
            </w:r>
          </w:p>
        </w:tc>
        <w:tc>
          <w:tcPr>
            <w:tcW w:w="740" w:type="dxa"/>
            <w:vAlign w:val="bottom"/>
          </w:tcPr>
          <w:p>
            <w:pPr>
              <w:jc w:val="right"/>
              <w:spacing w:after="0"/>
              <w:rPr>
                <w:sz w:val="20"/>
                <w:szCs w:val="20"/>
                <w:color w:val="auto"/>
              </w:rPr>
            </w:pPr>
            <w:r>
              <w:rPr>
                <w:rFonts w:ascii="Arial" w:cs="Arial" w:eastAsia="Arial" w:hAnsi="Arial"/>
                <w:sz w:val="13"/>
                <w:szCs w:val="13"/>
                <w:color w:val="3D3935"/>
              </w:rPr>
              <w:t>(5,554)</w:t>
            </w:r>
          </w:p>
        </w:tc>
        <w:tc>
          <w:tcPr>
            <w:tcW w:w="60" w:type="dxa"/>
            <w:vAlign w:val="bottom"/>
          </w:tcPr>
          <w:p>
            <w:pPr>
              <w:spacing w:after="0"/>
              <w:rPr>
                <w:sz w:val="14"/>
                <w:szCs w:val="14"/>
                <w:color w:val="auto"/>
              </w:rPr>
            </w:pPr>
          </w:p>
        </w:tc>
        <w:tc>
          <w:tcPr>
            <w:tcW w:w="840" w:type="dxa"/>
            <w:vAlign w:val="bottom"/>
          </w:tcPr>
          <w:p>
            <w:pPr>
              <w:jc w:val="center"/>
              <w:ind w:left="600"/>
              <w:spacing w:after="0"/>
              <w:rPr>
                <w:sz w:val="20"/>
                <w:szCs w:val="20"/>
                <w:color w:val="auto"/>
              </w:rPr>
            </w:pPr>
            <w:r>
              <w:rPr>
                <w:rFonts w:ascii="Arial" w:cs="Arial" w:eastAsia="Arial" w:hAnsi="Arial"/>
                <w:sz w:val="13"/>
                <w:szCs w:val="13"/>
                <w:color w:val="3D3935"/>
              </w:rPr>
              <w:t>—</w:t>
            </w:r>
          </w:p>
        </w:tc>
        <w:tc>
          <w:tcPr>
            <w:tcW w:w="780" w:type="dxa"/>
            <w:vAlign w:val="bottom"/>
            <w:gridSpan w:val="2"/>
          </w:tcPr>
          <w:p>
            <w:pPr>
              <w:ind w:left="600"/>
              <w:spacing w:after="0"/>
              <w:rPr>
                <w:sz w:val="20"/>
                <w:szCs w:val="20"/>
                <w:color w:val="auto"/>
              </w:rPr>
            </w:pPr>
            <w:r>
              <w:rPr>
                <w:rFonts w:ascii="Arial" w:cs="Arial" w:eastAsia="Arial" w:hAnsi="Arial"/>
                <w:sz w:val="13"/>
                <w:szCs w:val="13"/>
                <w:color w:val="3D3935"/>
              </w:rPr>
              <w:t>—</w:t>
            </w:r>
          </w:p>
        </w:tc>
        <w:tc>
          <w:tcPr>
            <w:tcW w:w="840" w:type="dxa"/>
            <w:vAlign w:val="bottom"/>
          </w:tcPr>
          <w:p>
            <w:pPr>
              <w:jc w:val="right"/>
              <w:spacing w:after="0"/>
              <w:rPr>
                <w:sz w:val="20"/>
                <w:szCs w:val="20"/>
                <w:color w:val="auto"/>
              </w:rPr>
            </w:pPr>
            <w:r>
              <w:rPr>
                <w:rFonts w:ascii="Arial" w:cs="Arial" w:eastAsia="Arial" w:hAnsi="Arial"/>
                <w:sz w:val="13"/>
                <w:szCs w:val="13"/>
                <w:color w:val="3D3935"/>
              </w:rPr>
              <w:t>—</w:t>
            </w:r>
          </w:p>
        </w:tc>
        <w:tc>
          <w:tcPr>
            <w:tcW w:w="800" w:type="dxa"/>
            <w:vAlign w:val="bottom"/>
            <w:gridSpan w:val="2"/>
          </w:tcPr>
          <w:p>
            <w:pPr>
              <w:ind w:left="620"/>
              <w:spacing w:after="0"/>
              <w:rPr>
                <w:sz w:val="20"/>
                <w:szCs w:val="20"/>
                <w:color w:val="auto"/>
              </w:rPr>
            </w:pPr>
            <w:r>
              <w:rPr>
                <w:rFonts w:ascii="Arial" w:cs="Arial" w:eastAsia="Arial" w:hAnsi="Arial"/>
                <w:sz w:val="13"/>
                <w:szCs w:val="13"/>
                <w:color w:val="3D3935"/>
              </w:rPr>
              <w:t>—</w:t>
            </w:r>
          </w:p>
        </w:tc>
        <w:tc>
          <w:tcPr>
            <w:tcW w:w="820" w:type="dxa"/>
            <w:vAlign w:val="bottom"/>
          </w:tcPr>
          <w:p>
            <w:pPr>
              <w:jc w:val="right"/>
              <w:ind w:right="20"/>
              <w:spacing w:after="0"/>
              <w:rPr>
                <w:sz w:val="20"/>
                <w:szCs w:val="20"/>
                <w:color w:val="auto"/>
              </w:rPr>
            </w:pPr>
            <w:r>
              <w:rPr>
                <w:rFonts w:ascii="Arial" w:cs="Arial" w:eastAsia="Arial" w:hAnsi="Arial"/>
                <w:sz w:val="13"/>
                <w:szCs w:val="13"/>
                <w:color w:val="3D3935"/>
              </w:rPr>
              <w:t>(423,608)</w:t>
            </w:r>
          </w:p>
        </w:tc>
        <w:tc>
          <w:tcPr>
            <w:tcW w:w="720" w:type="dxa"/>
            <w:vAlign w:val="bottom"/>
          </w:tcPr>
          <w:p>
            <w:pPr>
              <w:jc w:val="right"/>
              <w:spacing w:after="0"/>
              <w:rPr>
                <w:sz w:val="20"/>
                <w:szCs w:val="20"/>
                <w:color w:val="auto"/>
              </w:rPr>
            </w:pPr>
            <w:r>
              <w:rPr>
                <w:rFonts w:ascii="Arial" w:cs="Arial" w:eastAsia="Arial" w:hAnsi="Arial"/>
                <w:sz w:val="13"/>
                <w:szCs w:val="13"/>
                <w:color w:val="3D3935"/>
              </w:rPr>
              <w:t>(141,675)</w:t>
            </w:r>
          </w:p>
        </w:tc>
        <w:tc>
          <w:tcPr>
            <w:tcW w:w="0" w:type="dxa"/>
            <w:vAlign w:val="bottom"/>
          </w:tcPr>
          <w:p>
            <w:pPr>
              <w:spacing w:after="0"/>
              <w:rPr>
                <w:sz w:val="1"/>
                <w:szCs w:val="1"/>
                <w:color w:val="auto"/>
              </w:rPr>
            </w:pPr>
          </w:p>
        </w:tc>
      </w:tr>
      <w:tr>
        <w:trPr>
          <w:trHeight w:val="148"/>
        </w:trPr>
        <w:tc>
          <w:tcPr>
            <w:tcW w:w="980" w:type="dxa"/>
            <w:vAlign w:val="bottom"/>
          </w:tcPr>
          <w:p>
            <w:pPr>
              <w:ind w:left="60"/>
              <w:spacing w:after="0"/>
              <w:rPr>
                <w:sz w:val="20"/>
                <w:szCs w:val="20"/>
                <w:color w:val="auto"/>
              </w:rPr>
            </w:pPr>
            <w:r>
              <w:rPr>
                <w:rFonts w:ascii="Arial" w:cs="Arial" w:eastAsia="Arial" w:hAnsi="Arial"/>
                <w:sz w:val="13"/>
                <w:szCs w:val="13"/>
                <w:color w:val="3D3935"/>
              </w:rPr>
              <w:t>in Actuarial</w:t>
            </w: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80" w:type="dxa"/>
            <w:vAlign w:val="bottom"/>
          </w:tcPr>
          <w:p>
            <w:pPr>
              <w:ind w:left="60"/>
              <w:spacing w:after="0"/>
              <w:rPr>
                <w:sz w:val="20"/>
                <w:szCs w:val="20"/>
                <w:color w:val="auto"/>
              </w:rPr>
            </w:pPr>
            <w:r>
              <w:rPr>
                <w:rFonts w:ascii="Arial" w:cs="Arial" w:eastAsia="Arial" w:hAnsi="Arial"/>
                <w:sz w:val="13"/>
                <w:szCs w:val="13"/>
                <w:color w:val="3D3935"/>
              </w:rPr>
              <w:t>Present Value</w:t>
            </w: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60"/>
              <w:spacing w:after="0"/>
              <w:rPr>
                <w:sz w:val="20"/>
                <w:szCs w:val="20"/>
                <w:color w:val="auto"/>
              </w:rPr>
            </w:pPr>
            <w:r>
              <w:rPr>
                <w:rFonts w:ascii="Arial" w:cs="Arial" w:eastAsia="Arial" w:hAnsi="Arial"/>
                <w:sz w:val="13"/>
                <w:szCs w:val="13"/>
                <w:color w:val="3D3935"/>
              </w:rPr>
              <w:t>Reported in</w:t>
            </w: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80" w:type="dxa"/>
            <w:vAlign w:val="bottom"/>
          </w:tcPr>
          <w:p>
            <w:pPr>
              <w:ind w:left="60"/>
              <w:spacing w:after="0"/>
              <w:rPr>
                <w:sz w:val="20"/>
                <w:szCs w:val="20"/>
                <w:color w:val="auto"/>
              </w:rPr>
            </w:pPr>
            <w:r>
              <w:rPr>
                <w:rFonts w:ascii="Arial" w:cs="Arial" w:eastAsia="Arial" w:hAnsi="Arial"/>
                <w:sz w:val="13"/>
                <w:szCs w:val="13"/>
                <w:color w:val="3D3935"/>
              </w:rPr>
              <w:t>the “Change in</w:t>
            </w: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60"/>
              <w:spacing w:after="0"/>
              <w:rPr>
                <w:sz w:val="20"/>
                <w:szCs w:val="20"/>
                <w:color w:val="auto"/>
              </w:rPr>
            </w:pPr>
            <w:r>
              <w:rPr>
                <w:rFonts w:ascii="Arial" w:cs="Arial" w:eastAsia="Arial" w:hAnsi="Arial"/>
                <w:sz w:val="13"/>
                <w:szCs w:val="13"/>
                <w:color w:val="3D3935"/>
              </w:rPr>
              <w:t>Pension Value</w:t>
            </w: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80" w:type="dxa"/>
            <w:vAlign w:val="bottom"/>
          </w:tcPr>
          <w:p>
            <w:pPr>
              <w:ind w:left="60"/>
              <w:spacing w:after="0"/>
              <w:rPr>
                <w:sz w:val="20"/>
                <w:szCs w:val="20"/>
                <w:color w:val="auto"/>
              </w:rPr>
            </w:pPr>
            <w:r>
              <w:rPr>
                <w:rFonts w:ascii="Arial" w:cs="Arial" w:eastAsia="Arial" w:hAnsi="Arial"/>
                <w:sz w:val="13"/>
                <w:szCs w:val="13"/>
                <w:color w:val="3D3935"/>
              </w:rPr>
              <w:t>and NQ</w:t>
            </w: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60"/>
              <w:spacing w:after="0"/>
              <w:rPr>
                <w:sz w:val="20"/>
                <w:szCs w:val="20"/>
                <w:color w:val="auto"/>
              </w:rPr>
            </w:pPr>
            <w:r>
              <w:rPr>
                <w:rFonts w:ascii="Arial" w:cs="Arial" w:eastAsia="Arial" w:hAnsi="Arial"/>
                <w:sz w:val="13"/>
                <w:szCs w:val="13"/>
                <w:color w:val="3D3935"/>
              </w:rPr>
              <w:t>Deferred</w:t>
            </w: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80" w:type="dxa"/>
            <w:vAlign w:val="bottom"/>
          </w:tcPr>
          <w:p>
            <w:pPr>
              <w:ind w:left="60"/>
              <w:spacing w:after="0"/>
              <w:rPr>
                <w:sz w:val="20"/>
                <w:szCs w:val="20"/>
                <w:color w:val="auto"/>
              </w:rPr>
            </w:pPr>
            <w:r>
              <w:rPr>
                <w:rFonts w:ascii="Arial" w:cs="Arial" w:eastAsia="Arial" w:hAnsi="Arial"/>
                <w:sz w:val="13"/>
                <w:szCs w:val="13"/>
                <w:color w:val="3D3935"/>
              </w:rPr>
              <w:t>Compensation</w:t>
            </w: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80" w:type="dxa"/>
            <w:vAlign w:val="bottom"/>
          </w:tcPr>
          <w:p>
            <w:pPr>
              <w:ind w:left="60"/>
              <w:spacing w:after="0"/>
              <w:rPr>
                <w:sz w:val="20"/>
                <w:szCs w:val="20"/>
                <w:color w:val="auto"/>
              </w:rPr>
            </w:pPr>
            <w:r>
              <w:rPr>
                <w:rFonts w:ascii="Arial" w:cs="Arial" w:eastAsia="Arial" w:hAnsi="Arial"/>
                <w:sz w:val="13"/>
                <w:szCs w:val="13"/>
                <w:color w:val="3D3935"/>
              </w:rPr>
              <w:t>Earnings”</w:t>
            </w: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80" w:type="dxa"/>
            <w:vAlign w:val="bottom"/>
          </w:tcPr>
          <w:p>
            <w:pPr>
              <w:ind w:left="60"/>
              <w:spacing w:after="0"/>
              <w:rPr>
                <w:sz w:val="20"/>
                <w:szCs w:val="20"/>
                <w:color w:val="auto"/>
              </w:rPr>
            </w:pPr>
            <w:r>
              <w:rPr>
                <w:rFonts w:ascii="Arial" w:cs="Arial" w:eastAsia="Arial" w:hAnsi="Arial"/>
                <w:sz w:val="13"/>
                <w:szCs w:val="13"/>
                <w:color w:val="3D3935"/>
              </w:rPr>
              <w:t>Column of the</w:t>
            </w: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980" w:type="dxa"/>
            <w:vAlign w:val="bottom"/>
          </w:tcPr>
          <w:p>
            <w:pPr>
              <w:ind w:left="60"/>
              <w:spacing w:after="0"/>
              <w:rPr>
                <w:sz w:val="20"/>
                <w:szCs w:val="20"/>
                <w:color w:val="auto"/>
              </w:rPr>
            </w:pPr>
            <w:r>
              <w:rPr>
                <w:rFonts w:ascii="Arial" w:cs="Arial" w:eastAsia="Arial" w:hAnsi="Arial"/>
                <w:sz w:val="13"/>
                <w:szCs w:val="13"/>
                <w:color w:val="3D3935"/>
              </w:rPr>
              <w:t>SCT</w:t>
            </w: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980" w:type="dxa"/>
            <w:vAlign w:val="bottom"/>
            <w:tcBorders>
              <w:bottom w:val="single" w:sz="8" w:color="D9D9D6"/>
            </w:tcBorders>
          </w:tcPr>
          <w:p>
            <w:pPr>
              <w:spacing w:after="0"/>
              <w:rPr>
                <w:sz w:val="2"/>
                <w:szCs w:val="2"/>
                <w:color w:val="auto"/>
              </w:rPr>
            </w:pPr>
          </w:p>
        </w:tc>
        <w:tc>
          <w:tcPr>
            <w:tcW w:w="920" w:type="dxa"/>
            <w:vAlign w:val="bottom"/>
            <w:tcBorders>
              <w:bottom w:val="single" w:sz="8" w:color="D9D9D6"/>
            </w:tcBorders>
          </w:tcPr>
          <w:p>
            <w:pPr>
              <w:spacing w:after="0"/>
              <w:rPr>
                <w:sz w:val="2"/>
                <w:szCs w:val="2"/>
                <w:color w:val="auto"/>
              </w:rPr>
            </w:pPr>
          </w:p>
        </w:tc>
        <w:tc>
          <w:tcPr>
            <w:tcW w:w="680" w:type="dxa"/>
            <w:vAlign w:val="bottom"/>
            <w:tcBorders>
              <w:bottom w:val="single" w:sz="8" w:color="D9D9D6"/>
            </w:tcBorders>
          </w:tcPr>
          <w:p>
            <w:pPr>
              <w:spacing w:after="0"/>
              <w:rPr>
                <w:sz w:val="2"/>
                <w:szCs w:val="2"/>
                <w:color w:val="auto"/>
              </w:rPr>
            </w:pPr>
          </w:p>
        </w:tc>
        <w:tc>
          <w:tcPr>
            <w:tcW w:w="60" w:type="dxa"/>
            <w:vAlign w:val="bottom"/>
            <w:tcBorders>
              <w:bottom w:val="single" w:sz="8" w:color="D9D9D6"/>
            </w:tcBorders>
          </w:tcPr>
          <w:p>
            <w:pPr>
              <w:spacing w:after="0"/>
              <w:rPr>
                <w:sz w:val="2"/>
                <w:szCs w:val="2"/>
                <w:color w:val="auto"/>
              </w:rPr>
            </w:pPr>
          </w:p>
        </w:tc>
        <w:tc>
          <w:tcPr>
            <w:tcW w:w="840" w:type="dxa"/>
            <w:vAlign w:val="bottom"/>
            <w:tcBorders>
              <w:bottom w:val="single" w:sz="8" w:color="D9D9D6"/>
            </w:tcBorders>
          </w:tcPr>
          <w:p>
            <w:pPr>
              <w:spacing w:after="0"/>
              <w:rPr>
                <w:sz w:val="2"/>
                <w:szCs w:val="2"/>
                <w:color w:val="auto"/>
              </w:rPr>
            </w:pPr>
          </w:p>
        </w:tc>
        <w:tc>
          <w:tcPr>
            <w:tcW w:w="740" w:type="dxa"/>
            <w:vAlign w:val="bottom"/>
            <w:tcBorders>
              <w:bottom w:val="single" w:sz="8" w:color="D9D9D6"/>
            </w:tcBorders>
          </w:tcPr>
          <w:p>
            <w:pPr>
              <w:spacing w:after="0"/>
              <w:rPr>
                <w:sz w:val="2"/>
                <w:szCs w:val="2"/>
                <w:color w:val="auto"/>
              </w:rPr>
            </w:pPr>
          </w:p>
        </w:tc>
        <w:tc>
          <w:tcPr>
            <w:tcW w:w="60" w:type="dxa"/>
            <w:vAlign w:val="bottom"/>
            <w:tcBorders>
              <w:bottom w:val="single" w:sz="8" w:color="D9D9D6"/>
            </w:tcBorders>
          </w:tcPr>
          <w:p>
            <w:pPr>
              <w:spacing w:after="0"/>
              <w:rPr>
                <w:sz w:val="2"/>
                <w:szCs w:val="2"/>
                <w:color w:val="auto"/>
              </w:rPr>
            </w:pPr>
          </w:p>
        </w:tc>
        <w:tc>
          <w:tcPr>
            <w:tcW w:w="840" w:type="dxa"/>
            <w:vAlign w:val="bottom"/>
            <w:tcBorders>
              <w:bottom w:val="single" w:sz="8" w:color="D9D9D6"/>
            </w:tcBorders>
          </w:tcPr>
          <w:p>
            <w:pPr>
              <w:spacing w:after="0"/>
              <w:rPr>
                <w:sz w:val="2"/>
                <w:szCs w:val="2"/>
                <w:color w:val="auto"/>
              </w:rPr>
            </w:pPr>
          </w:p>
        </w:tc>
        <w:tc>
          <w:tcPr>
            <w:tcW w:w="720" w:type="dxa"/>
            <w:vAlign w:val="bottom"/>
            <w:tcBorders>
              <w:bottom w:val="single" w:sz="8" w:color="D9D9D6"/>
            </w:tcBorders>
          </w:tcPr>
          <w:p>
            <w:pPr>
              <w:spacing w:after="0"/>
              <w:rPr>
                <w:sz w:val="2"/>
                <w:szCs w:val="2"/>
                <w:color w:val="auto"/>
              </w:rPr>
            </w:pPr>
          </w:p>
        </w:tc>
        <w:tc>
          <w:tcPr>
            <w:tcW w:w="60" w:type="dxa"/>
            <w:vAlign w:val="bottom"/>
            <w:tcBorders>
              <w:bottom w:val="single" w:sz="8" w:color="D9D9D6"/>
            </w:tcBorders>
          </w:tcPr>
          <w:p>
            <w:pPr>
              <w:spacing w:after="0"/>
              <w:rPr>
                <w:sz w:val="2"/>
                <w:szCs w:val="2"/>
                <w:color w:val="auto"/>
              </w:rPr>
            </w:pPr>
          </w:p>
        </w:tc>
        <w:tc>
          <w:tcPr>
            <w:tcW w:w="840" w:type="dxa"/>
            <w:vAlign w:val="bottom"/>
            <w:tcBorders>
              <w:bottom w:val="single" w:sz="8" w:color="D9D9D6"/>
            </w:tcBorders>
          </w:tcPr>
          <w:p>
            <w:pPr>
              <w:spacing w:after="0"/>
              <w:rPr>
                <w:sz w:val="2"/>
                <w:szCs w:val="2"/>
                <w:color w:val="auto"/>
              </w:rPr>
            </w:pPr>
          </w:p>
        </w:tc>
        <w:tc>
          <w:tcPr>
            <w:tcW w:w="740" w:type="dxa"/>
            <w:vAlign w:val="bottom"/>
            <w:tcBorders>
              <w:bottom w:val="single" w:sz="8" w:color="D9D9D6"/>
            </w:tcBorders>
          </w:tcPr>
          <w:p>
            <w:pPr>
              <w:spacing w:after="0"/>
              <w:rPr>
                <w:sz w:val="2"/>
                <w:szCs w:val="2"/>
                <w:color w:val="auto"/>
              </w:rPr>
            </w:pPr>
          </w:p>
        </w:tc>
        <w:tc>
          <w:tcPr>
            <w:tcW w:w="60" w:type="dxa"/>
            <w:vAlign w:val="bottom"/>
            <w:tcBorders>
              <w:bottom w:val="single" w:sz="8" w:color="D9D9D6"/>
            </w:tcBorders>
          </w:tcPr>
          <w:p>
            <w:pPr>
              <w:spacing w:after="0"/>
              <w:rPr>
                <w:sz w:val="2"/>
                <w:szCs w:val="2"/>
                <w:color w:val="auto"/>
              </w:rPr>
            </w:pPr>
          </w:p>
        </w:tc>
        <w:tc>
          <w:tcPr>
            <w:tcW w:w="820" w:type="dxa"/>
            <w:vAlign w:val="bottom"/>
            <w:tcBorders>
              <w:bottom w:val="single" w:sz="8" w:color="D9D9D6"/>
            </w:tcBorders>
          </w:tcPr>
          <w:p>
            <w:pPr>
              <w:spacing w:after="0"/>
              <w:rPr>
                <w:sz w:val="2"/>
                <w:szCs w:val="2"/>
                <w:color w:val="auto"/>
              </w:rPr>
            </w:pPr>
          </w:p>
        </w:tc>
        <w:tc>
          <w:tcPr>
            <w:tcW w:w="720" w:type="dxa"/>
            <w:vAlign w:val="bottom"/>
            <w:tcBorders>
              <w:bottom w:val="single" w:sz="8" w:color="D9D9D6"/>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980" w:type="dxa"/>
            <w:vAlign w:val="bottom"/>
          </w:tcPr>
          <w:p>
            <w:pPr>
              <w:ind w:left="60"/>
              <w:spacing w:after="0"/>
              <w:rPr>
                <w:sz w:val="20"/>
                <w:szCs w:val="20"/>
                <w:color w:val="auto"/>
              </w:rPr>
            </w:pPr>
            <w:r>
              <w:rPr>
                <w:rFonts w:ascii="Arial" w:cs="Arial" w:eastAsia="Arial" w:hAnsi="Arial"/>
                <w:sz w:val="13"/>
                <w:szCs w:val="13"/>
                <w:color w:val="3D3935"/>
              </w:rPr>
              <w:t>Plus: Service</w:t>
            </w:r>
          </w:p>
        </w:tc>
        <w:tc>
          <w:tcPr>
            <w:tcW w:w="920" w:type="dxa"/>
            <w:vAlign w:val="bottom"/>
          </w:tcPr>
          <w:p>
            <w:pPr>
              <w:jc w:val="right"/>
              <w:ind w:right="60"/>
              <w:spacing w:after="0"/>
              <w:rPr>
                <w:sz w:val="20"/>
                <w:szCs w:val="20"/>
                <w:color w:val="auto"/>
              </w:rPr>
            </w:pPr>
            <w:r>
              <w:rPr>
                <w:rFonts w:ascii="Arial" w:cs="Arial" w:eastAsia="Arial" w:hAnsi="Arial"/>
                <w:sz w:val="13"/>
                <w:szCs w:val="13"/>
                <w:color w:val="3D3935"/>
              </w:rPr>
              <w:t>—</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3D3935"/>
              </w:rPr>
              <w:t>—</w:t>
            </w:r>
          </w:p>
        </w:tc>
        <w:tc>
          <w:tcPr>
            <w:tcW w:w="840" w:type="dxa"/>
            <w:vAlign w:val="bottom"/>
          </w:tcPr>
          <w:p>
            <w:pPr>
              <w:jc w:val="right"/>
              <w:spacing w:after="0"/>
              <w:rPr>
                <w:sz w:val="20"/>
                <w:szCs w:val="20"/>
                <w:color w:val="auto"/>
              </w:rPr>
            </w:pPr>
            <w:r>
              <w:rPr>
                <w:rFonts w:ascii="Arial" w:cs="Arial" w:eastAsia="Arial" w:hAnsi="Arial"/>
                <w:sz w:val="13"/>
                <w:szCs w:val="13"/>
                <w:color w:val="3D3935"/>
              </w:rPr>
              <w:t>—</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3D3935"/>
              </w:rPr>
              <w:t>—</w:t>
            </w:r>
          </w:p>
        </w:tc>
        <w:tc>
          <w:tcPr>
            <w:tcW w:w="840" w:type="dxa"/>
            <w:vAlign w:val="bottom"/>
          </w:tcPr>
          <w:p>
            <w:pPr>
              <w:jc w:val="center"/>
              <w:ind w:left="600"/>
              <w:spacing w:after="0"/>
              <w:rPr>
                <w:sz w:val="20"/>
                <w:szCs w:val="20"/>
                <w:color w:val="auto"/>
              </w:rPr>
            </w:pPr>
            <w:r>
              <w:rPr>
                <w:rFonts w:ascii="Arial" w:cs="Arial" w:eastAsia="Arial" w:hAnsi="Arial"/>
                <w:sz w:val="13"/>
                <w:szCs w:val="13"/>
                <w:color w:val="3D3935"/>
              </w:rPr>
              <w:t>—</w:t>
            </w:r>
          </w:p>
        </w:tc>
        <w:tc>
          <w:tcPr>
            <w:tcW w:w="780" w:type="dxa"/>
            <w:vAlign w:val="bottom"/>
            <w:gridSpan w:val="2"/>
          </w:tcPr>
          <w:p>
            <w:pPr>
              <w:ind w:left="600"/>
              <w:spacing w:after="0"/>
              <w:rPr>
                <w:sz w:val="20"/>
                <w:szCs w:val="20"/>
                <w:color w:val="auto"/>
              </w:rPr>
            </w:pPr>
            <w:r>
              <w:rPr>
                <w:rFonts w:ascii="Arial" w:cs="Arial" w:eastAsia="Arial" w:hAnsi="Arial"/>
                <w:sz w:val="13"/>
                <w:szCs w:val="13"/>
                <w:color w:val="3D3935"/>
              </w:rPr>
              <w:t>—</w:t>
            </w:r>
          </w:p>
        </w:tc>
        <w:tc>
          <w:tcPr>
            <w:tcW w:w="840" w:type="dxa"/>
            <w:vAlign w:val="bottom"/>
          </w:tcPr>
          <w:p>
            <w:pPr>
              <w:jc w:val="right"/>
              <w:spacing w:after="0"/>
              <w:rPr>
                <w:sz w:val="20"/>
                <w:szCs w:val="20"/>
                <w:color w:val="auto"/>
              </w:rPr>
            </w:pPr>
            <w:r>
              <w:rPr>
                <w:rFonts w:ascii="Arial" w:cs="Arial" w:eastAsia="Arial" w:hAnsi="Arial"/>
                <w:sz w:val="13"/>
                <w:szCs w:val="13"/>
                <w:color w:val="3D3935"/>
              </w:rPr>
              <w:t>—</w:t>
            </w:r>
          </w:p>
        </w:tc>
        <w:tc>
          <w:tcPr>
            <w:tcW w:w="800" w:type="dxa"/>
            <w:vAlign w:val="bottom"/>
            <w:gridSpan w:val="2"/>
          </w:tcPr>
          <w:p>
            <w:pPr>
              <w:ind w:left="620"/>
              <w:spacing w:after="0"/>
              <w:rPr>
                <w:sz w:val="20"/>
                <w:szCs w:val="20"/>
                <w:color w:val="auto"/>
              </w:rPr>
            </w:pPr>
            <w:r>
              <w:rPr>
                <w:rFonts w:ascii="Arial" w:cs="Arial" w:eastAsia="Arial" w:hAnsi="Arial"/>
                <w:sz w:val="13"/>
                <w:szCs w:val="13"/>
                <w:color w:val="3D3935"/>
              </w:rPr>
              <w:t>—</w:t>
            </w:r>
          </w:p>
        </w:tc>
        <w:tc>
          <w:tcPr>
            <w:tcW w:w="820" w:type="dxa"/>
            <w:vAlign w:val="bottom"/>
          </w:tcPr>
          <w:p>
            <w:pPr>
              <w:jc w:val="right"/>
              <w:spacing w:after="0"/>
              <w:rPr>
                <w:sz w:val="20"/>
                <w:szCs w:val="20"/>
                <w:color w:val="auto"/>
              </w:rPr>
            </w:pPr>
            <w:r>
              <w:rPr>
                <w:rFonts w:ascii="Arial" w:cs="Arial" w:eastAsia="Arial" w:hAnsi="Arial"/>
                <w:sz w:val="13"/>
                <w:szCs w:val="13"/>
                <w:color w:val="3D3935"/>
              </w:rPr>
              <w:t>—</w:t>
            </w:r>
          </w:p>
        </w:tc>
        <w:tc>
          <w:tcPr>
            <w:tcW w:w="720" w:type="dxa"/>
            <w:vAlign w:val="bottom"/>
          </w:tcPr>
          <w:p>
            <w:pPr>
              <w:jc w:val="right"/>
              <w:ind w:right="1"/>
              <w:spacing w:after="0"/>
              <w:rPr>
                <w:sz w:val="20"/>
                <w:szCs w:val="20"/>
                <w:color w:val="auto"/>
              </w:rPr>
            </w:pPr>
            <w:r>
              <w:rPr>
                <w:rFonts w:ascii="Arial" w:cs="Arial" w:eastAsia="Arial" w:hAnsi="Arial"/>
                <w:sz w:val="13"/>
                <w:szCs w:val="13"/>
                <w:color w:val="3D3935"/>
              </w:rPr>
              <w:t>149</w:t>
            </w:r>
          </w:p>
        </w:tc>
        <w:tc>
          <w:tcPr>
            <w:tcW w:w="0" w:type="dxa"/>
            <w:vAlign w:val="bottom"/>
          </w:tcPr>
          <w:p>
            <w:pPr>
              <w:spacing w:after="0"/>
              <w:rPr>
                <w:sz w:val="1"/>
                <w:szCs w:val="1"/>
                <w:color w:val="auto"/>
              </w:rPr>
            </w:pPr>
          </w:p>
        </w:tc>
      </w:tr>
      <w:tr>
        <w:trPr>
          <w:trHeight w:val="149"/>
        </w:trPr>
        <w:tc>
          <w:tcPr>
            <w:tcW w:w="980" w:type="dxa"/>
            <w:vAlign w:val="bottom"/>
          </w:tcPr>
          <w:p>
            <w:pPr>
              <w:ind w:left="60"/>
              <w:spacing w:after="0"/>
              <w:rPr>
                <w:sz w:val="20"/>
                <w:szCs w:val="20"/>
                <w:color w:val="auto"/>
              </w:rPr>
            </w:pPr>
            <w:r>
              <w:rPr>
                <w:rFonts w:ascii="Arial" w:cs="Arial" w:eastAsia="Arial" w:hAnsi="Arial"/>
                <w:sz w:val="13"/>
                <w:szCs w:val="13"/>
                <w:color w:val="3D3935"/>
              </w:rPr>
              <w:t>Cost for</w:t>
            </w: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980" w:type="dxa"/>
            <w:vAlign w:val="bottom"/>
          </w:tcPr>
          <w:p>
            <w:pPr>
              <w:ind w:left="60"/>
              <w:spacing w:after="0"/>
              <w:rPr>
                <w:sz w:val="20"/>
                <w:szCs w:val="20"/>
                <w:color w:val="auto"/>
              </w:rPr>
            </w:pPr>
            <w:r>
              <w:rPr>
                <w:rFonts w:ascii="Arial" w:cs="Arial" w:eastAsia="Arial" w:hAnsi="Arial"/>
                <w:sz w:val="13"/>
                <w:szCs w:val="13"/>
                <w:color w:val="3D3935"/>
              </w:rPr>
              <w:t>Pension Plans</w:t>
            </w: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980" w:type="dxa"/>
            <w:vAlign w:val="bottom"/>
            <w:tcBorders>
              <w:bottom w:val="single" w:sz="8" w:color="D9D9D6"/>
            </w:tcBorders>
          </w:tcPr>
          <w:p>
            <w:pPr>
              <w:spacing w:after="0"/>
              <w:rPr>
                <w:sz w:val="2"/>
                <w:szCs w:val="2"/>
                <w:color w:val="auto"/>
              </w:rPr>
            </w:pPr>
          </w:p>
        </w:tc>
        <w:tc>
          <w:tcPr>
            <w:tcW w:w="920" w:type="dxa"/>
            <w:vAlign w:val="bottom"/>
            <w:tcBorders>
              <w:bottom w:val="single" w:sz="8" w:color="D9D9D6"/>
            </w:tcBorders>
          </w:tcPr>
          <w:p>
            <w:pPr>
              <w:spacing w:after="0"/>
              <w:rPr>
                <w:sz w:val="2"/>
                <w:szCs w:val="2"/>
                <w:color w:val="auto"/>
              </w:rPr>
            </w:pPr>
          </w:p>
        </w:tc>
        <w:tc>
          <w:tcPr>
            <w:tcW w:w="680" w:type="dxa"/>
            <w:vAlign w:val="bottom"/>
            <w:tcBorders>
              <w:bottom w:val="single" w:sz="8" w:color="D9D9D6"/>
            </w:tcBorders>
          </w:tcPr>
          <w:p>
            <w:pPr>
              <w:spacing w:after="0"/>
              <w:rPr>
                <w:sz w:val="2"/>
                <w:szCs w:val="2"/>
                <w:color w:val="auto"/>
              </w:rPr>
            </w:pPr>
          </w:p>
        </w:tc>
        <w:tc>
          <w:tcPr>
            <w:tcW w:w="60" w:type="dxa"/>
            <w:vAlign w:val="bottom"/>
            <w:tcBorders>
              <w:bottom w:val="single" w:sz="8" w:color="D9D9D6"/>
            </w:tcBorders>
          </w:tcPr>
          <w:p>
            <w:pPr>
              <w:spacing w:after="0"/>
              <w:rPr>
                <w:sz w:val="2"/>
                <w:szCs w:val="2"/>
                <w:color w:val="auto"/>
              </w:rPr>
            </w:pPr>
          </w:p>
        </w:tc>
        <w:tc>
          <w:tcPr>
            <w:tcW w:w="840" w:type="dxa"/>
            <w:vAlign w:val="bottom"/>
            <w:tcBorders>
              <w:bottom w:val="single" w:sz="8" w:color="D9D9D6"/>
            </w:tcBorders>
          </w:tcPr>
          <w:p>
            <w:pPr>
              <w:spacing w:after="0"/>
              <w:rPr>
                <w:sz w:val="2"/>
                <w:szCs w:val="2"/>
                <w:color w:val="auto"/>
              </w:rPr>
            </w:pPr>
          </w:p>
        </w:tc>
        <w:tc>
          <w:tcPr>
            <w:tcW w:w="740" w:type="dxa"/>
            <w:vAlign w:val="bottom"/>
            <w:tcBorders>
              <w:bottom w:val="single" w:sz="8" w:color="D9D9D6"/>
            </w:tcBorders>
          </w:tcPr>
          <w:p>
            <w:pPr>
              <w:spacing w:after="0"/>
              <w:rPr>
                <w:sz w:val="2"/>
                <w:szCs w:val="2"/>
                <w:color w:val="auto"/>
              </w:rPr>
            </w:pPr>
          </w:p>
        </w:tc>
        <w:tc>
          <w:tcPr>
            <w:tcW w:w="60" w:type="dxa"/>
            <w:vAlign w:val="bottom"/>
            <w:tcBorders>
              <w:bottom w:val="single" w:sz="8" w:color="D9D9D6"/>
            </w:tcBorders>
          </w:tcPr>
          <w:p>
            <w:pPr>
              <w:spacing w:after="0"/>
              <w:rPr>
                <w:sz w:val="2"/>
                <w:szCs w:val="2"/>
                <w:color w:val="auto"/>
              </w:rPr>
            </w:pPr>
          </w:p>
        </w:tc>
        <w:tc>
          <w:tcPr>
            <w:tcW w:w="840" w:type="dxa"/>
            <w:vAlign w:val="bottom"/>
            <w:tcBorders>
              <w:bottom w:val="single" w:sz="8" w:color="D9D9D6"/>
            </w:tcBorders>
          </w:tcPr>
          <w:p>
            <w:pPr>
              <w:spacing w:after="0"/>
              <w:rPr>
                <w:sz w:val="2"/>
                <w:szCs w:val="2"/>
                <w:color w:val="auto"/>
              </w:rPr>
            </w:pPr>
          </w:p>
        </w:tc>
        <w:tc>
          <w:tcPr>
            <w:tcW w:w="720" w:type="dxa"/>
            <w:vAlign w:val="bottom"/>
            <w:tcBorders>
              <w:bottom w:val="single" w:sz="8" w:color="D9D9D6"/>
            </w:tcBorders>
          </w:tcPr>
          <w:p>
            <w:pPr>
              <w:spacing w:after="0"/>
              <w:rPr>
                <w:sz w:val="2"/>
                <w:szCs w:val="2"/>
                <w:color w:val="auto"/>
              </w:rPr>
            </w:pPr>
          </w:p>
        </w:tc>
        <w:tc>
          <w:tcPr>
            <w:tcW w:w="60" w:type="dxa"/>
            <w:vAlign w:val="bottom"/>
            <w:tcBorders>
              <w:bottom w:val="single" w:sz="8" w:color="D9D9D6"/>
            </w:tcBorders>
          </w:tcPr>
          <w:p>
            <w:pPr>
              <w:spacing w:after="0"/>
              <w:rPr>
                <w:sz w:val="2"/>
                <w:szCs w:val="2"/>
                <w:color w:val="auto"/>
              </w:rPr>
            </w:pPr>
          </w:p>
        </w:tc>
        <w:tc>
          <w:tcPr>
            <w:tcW w:w="840" w:type="dxa"/>
            <w:vAlign w:val="bottom"/>
            <w:tcBorders>
              <w:bottom w:val="single" w:sz="8" w:color="D9D9D6"/>
            </w:tcBorders>
          </w:tcPr>
          <w:p>
            <w:pPr>
              <w:spacing w:after="0"/>
              <w:rPr>
                <w:sz w:val="2"/>
                <w:szCs w:val="2"/>
                <w:color w:val="auto"/>
              </w:rPr>
            </w:pPr>
          </w:p>
        </w:tc>
        <w:tc>
          <w:tcPr>
            <w:tcW w:w="740" w:type="dxa"/>
            <w:vAlign w:val="bottom"/>
            <w:tcBorders>
              <w:bottom w:val="single" w:sz="8" w:color="D9D9D6"/>
            </w:tcBorders>
          </w:tcPr>
          <w:p>
            <w:pPr>
              <w:spacing w:after="0"/>
              <w:rPr>
                <w:sz w:val="2"/>
                <w:szCs w:val="2"/>
                <w:color w:val="auto"/>
              </w:rPr>
            </w:pPr>
          </w:p>
        </w:tc>
        <w:tc>
          <w:tcPr>
            <w:tcW w:w="60" w:type="dxa"/>
            <w:vAlign w:val="bottom"/>
            <w:tcBorders>
              <w:bottom w:val="single" w:sz="8" w:color="D9D9D6"/>
            </w:tcBorders>
          </w:tcPr>
          <w:p>
            <w:pPr>
              <w:spacing w:after="0"/>
              <w:rPr>
                <w:sz w:val="2"/>
                <w:szCs w:val="2"/>
                <w:color w:val="auto"/>
              </w:rPr>
            </w:pPr>
          </w:p>
        </w:tc>
        <w:tc>
          <w:tcPr>
            <w:tcW w:w="820" w:type="dxa"/>
            <w:vAlign w:val="bottom"/>
            <w:tcBorders>
              <w:bottom w:val="single" w:sz="8" w:color="D9D9D6"/>
            </w:tcBorders>
          </w:tcPr>
          <w:p>
            <w:pPr>
              <w:spacing w:after="0"/>
              <w:rPr>
                <w:sz w:val="2"/>
                <w:szCs w:val="2"/>
                <w:color w:val="auto"/>
              </w:rPr>
            </w:pPr>
          </w:p>
        </w:tc>
        <w:tc>
          <w:tcPr>
            <w:tcW w:w="720" w:type="dxa"/>
            <w:vAlign w:val="bottom"/>
            <w:tcBorders>
              <w:bottom w:val="single" w:sz="8" w:color="D9D9D6"/>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980" w:type="dxa"/>
            <w:vAlign w:val="bottom"/>
          </w:tcPr>
          <w:p>
            <w:pPr>
              <w:ind w:left="60"/>
              <w:spacing w:after="0"/>
              <w:rPr>
                <w:sz w:val="20"/>
                <w:szCs w:val="20"/>
                <w:color w:val="auto"/>
              </w:rPr>
            </w:pPr>
            <w:r>
              <w:rPr>
                <w:rFonts w:ascii="Arial" w:cs="Arial" w:eastAsia="Arial" w:hAnsi="Arial"/>
                <w:sz w:val="13"/>
                <w:szCs w:val="13"/>
                <w:color w:val="3D3935"/>
              </w:rPr>
              <w:t>Less: Amount</w:t>
            </w:r>
          </w:p>
        </w:tc>
        <w:tc>
          <w:tcPr>
            <w:tcW w:w="920" w:type="dxa"/>
            <w:vAlign w:val="bottom"/>
          </w:tcPr>
          <w:p>
            <w:pPr>
              <w:jc w:val="right"/>
              <w:ind w:right="100"/>
              <w:spacing w:after="0"/>
              <w:rPr>
                <w:sz w:val="20"/>
                <w:szCs w:val="20"/>
                <w:color w:val="auto"/>
              </w:rPr>
            </w:pPr>
            <w:r>
              <w:rPr>
                <w:rFonts w:ascii="Arial" w:cs="Arial" w:eastAsia="Arial" w:hAnsi="Arial"/>
                <w:sz w:val="11"/>
                <w:szCs w:val="11"/>
                <w:color w:val="3D3935"/>
              </w:rPr>
              <w:t>(19,500,028)</w:t>
            </w:r>
          </w:p>
        </w:tc>
        <w:tc>
          <w:tcPr>
            <w:tcW w:w="680" w:type="dxa"/>
            <w:vAlign w:val="bottom"/>
          </w:tcPr>
          <w:p>
            <w:pPr>
              <w:jc w:val="right"/>
              <w:spacing w:after="0"/>
              <w:rPr>
                <w:sz w:val="20"/>
                <w:szCs w:val="20"/>
                <w:color w:val="auto"/>
              </w:rPr>
            </w:pPr>
            <w:r>
              <w:rPr>
                <w:rFonts w:ascii="Arial" w:cs="Arial" w:eastAsia="Arial" w:hAnsi="Arial"/>
                <w:sz w:val="13"/>
                <w:szCs w:val="13"/>
                <w:color w:val="3D3935"/>
                <w:w w:val="96"/>
              </w:rPr>
              <w:t>(9,735,018)</w:t>
            </w:r>
          </w:p>
        </w:tc>
        <w:tc>
          <w:tcPr>
            <w:tcW w:w="60" w:type="dxa"/>
            <w:vAlign w:val="bottom"/>
          </w:tcPr>
          <w:p>
            <w:pPr>
              <w:spacing w:after="0"/>
              <w:rPr>
                <w:sz w:val="14"/>
                <w:szCs w:val="14"/>
                <w:color w:val="auto"/>
              </w:rPr>
            </w:pPr>
          </w:p>
        </w:tc>
        <w:tc>
          <w:tcPr>
            <w:tcW w:w="840" w:type="dxa"/>
            <w:vAlign w:val="bottom"/>
          </w:tcPr>
          <w:p>
            <w:pPr>
              <w:jc w:val="right"/>
              <w:ind w:right="20"/>
              <w:spacing w:after="0"/>
              <w:rPr>
                <w:sz w:val="20"/>
                <w:szCs w:val="20"/>
                <w:color w:val="auto"/>
              </w:rPr>
            </w:pPr>
            <w:r>
              <w:rPr>
                <w:rFonts w:ascii="Arial" w:cs="Arial" w:eastAsia="Arial" w:hAnsi="Arial"/>
                <w:sz w:val="13"/>
                <w:szCs w:val="13"/>
                <w:color w:val="3D3935"/>
              </w:rPr>
              <w:t>(14,625,000)</w:t>
            </w:r>
          </w:p>
        </w:tc>
        <w:tc>
          <w:tcPr>
            <w:tcW w:w="740" w:type="dxa"/>
            <w:vAlign w:val="bottom"/>
          </w:tcPr>
          <w:p>
            <w:pPr>
              <w:jc w:val="right"/>
              <w:spacing w:after="0"/>
              <w:rPr>
                <w:sz w:val="20"/>
                <w:szCs w:val="20"/>
                <w:color w:val="auto"/>
              </w:rPr>
            </w:pPr>
            <w:r>
              <w:rPr>
                <w:rFonts w:ascii="Arial" w:cs="Arial" w:eastAsia="Arial" w:hAnsi="Arial"/>
                <w:sz w:val="13"/>
                <w:szCs w:val="13"/>
                <w:color w:val="3D3935"/>
                <w:w w:val="97"/>
              </w:rPr>
              <w:t>(10,139,445)</w:t>
            </w:r>
          </w:p>
        </w:tc>
        <w:tc>
          <w:tcPr>
            <w:tcW w:w="60" w:type="dxa"/>
            <w:vAlign w:val="bottom"/>
          </w:tcPr>
          <w:p>
            <w:pPr>
              <w:spacing w:after="0"/>
              <w:rPr>
                <w:sz w:val="14"/>
                <w:szCs w:val="14"/>
                <w:color w:val="auto"/>
              </w:rPr>
            </w:pPr>
          </w:p>
        </w:tc>
        <w:tc>
          <w:tcPr>
            <w:tcW w:w="840" w:type="dxa"/>
            <w:vAlign w:val="bottom"/>
          </w:tcPr>
          <w:p>
            <w:pPr>
              <w:jc w:val="right"/>
              <w:ind w:right="20"/>
              <w:spacing w:after="0"/>
              <w:rPr>
                <w:sz w:val="20"/>
                <w:szCs w:val="20"/>
                <w:color w:val="auto"/>
              </w:rPr>
            </w:pPr>
            <w:r>
              <w:rPr>
                <w:rFonts w:ascii="Arial" w:cs="Arial" w:eastAsia="Arial" w:hAnsi="Arial"/>
                <w:sz w:val="13"/>
                <w:szCs w:val="13"/>
                <w:color w:val="3D3935"/>
              </w:rPr>
              <w:t>(14,625,000)</w:t>
            </w:r>
          </w:p>
        </w:tc>
        <w:tc>
          <w:tcPr>
            <w:tcW w:w="720" w:type="dxa"/>
            <w:vAlign w:val="bottom"/>
          </w:tcPr>
          <w:p>
            <w:pPr>
              <w:ind w:left="20"/>
              <w:spacing w:after="0"/>
              <w:rPr>
                <w:sz w:val="20"/>
                <w:szCs w:val="20"/>
                <w:color w:val="auto"/>
              </w:rPr>
            </w:pPr>
            <w:r>
              <w:rPr>
                <w:rFonts w:ascii="Arial" w:cs="Arial" w:eastAsia="Arial" w:hAnsi="Arial"/>
                <w:sz w:val="13"/>
                <w:szCs w:val="13"/>
                <w:color w:val="3D3935"/>
              </w:rPr>
              <w:t>(5,470,294)</w:t>
            </w: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3D3935"/>
              </w:rPr>
              <w:t>(14,582,198)</w:t>
            </w:r>
          </w:p>
        </w:tc>
        <w:tc>
          <w:tcPr>
            <w:tcW w:w="740" w:type="dxa"/>
            <w:vAlign w:val="bottom"/>
          </w:tcPr>
          <w:p>
            <w:pPr>
              <w:jc w:val="right"/>
              <w:spacing w:after="0"/>
              <w:rPr>
                <w:sz w:val="20"/>
                <w:szCs w:val="20"/>
                <w:color w:val="auto"/>
              </w:rPr>
            </w:pPr>
            <w:r>
              <w:rPr>
                <w:rFonts w:ascii="Arial" w:cs="Arial" w:eastAsia="Arial" w:hAnsi="Arial"/>
                <w:sz w:val="13"/>
                <w:szCs w:val="13"/>
                <w:color w:val="3D3935"/>
              </w:rPr>
              <w:t>(5,069,059)</w:t>
            </w:r>
          </w:p>
        </w:tc>
        <w:tc>
          <w:tcPr>
            <w:tcW w:w="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3D3935"/>
              </w:rPr>
              <w:t>(13,093,722)</w:t>
            </w:r>
          </w:p>
        </w:tc>
        <w:tc>
          <w:tcPr>
            <w:tcW w:w="720" w:type="dxa"/>
            <w:vAlign w:val="bottom"/>
          </w:tcPr>
          <w:p>
            <w:pPr>
              <w:jc w:val="right"/>
              <w:spacing w:after="0"/>
              <w:rPr>
                <w:sz w:val="20"/>
                <w:szCs w:val="20"/>
                <w:color w:val="auto"/>
              </w:rPr>
            </w:pPr>
            <w:r>
              <w:rPr>
                <w:rFonts w:ascii="Arial" w:cs="Arial" w:eastAsia="Arial" w:hAnsi="Arial"/>
                <w:sz w:val="13"/>
                <w:szCs w:val="13"/>
                <w:color w:val="3D3935"/>
                <w:w w:val="99"/>
              </w:rPr>
              <w:t>(3,793,686)</w:t>
            </w:r>
          </w:p>
        </w:tc>
        <w:tc>
          <w:tcPr>
            <w:tcW w:w="0" w:type="dxa"/>
            <w:vAlign w:val="bottom"/>
          </w:tcPr>
          <w:p>
            <w:pPr>
              <w:spacing w:after="0"/>
              <w:rPr>
                <w:sz w:val="1"/>
                <w:szCs w:val="1"/>
                <w:color w:val="auto"/>
              </w:rPr>
            </w:pPr>
          </w:p>
        </w:tc>
      </w:tr>
      <w:tr>
        <w:trPr>
          <w:trHeight w:val="148"/>
        </w:trPr>
        <w:tc>
          <w:tcPr>
            <w:tcW w:w="980" w:type="dxa"/>
            <w:vAlign w:val="bottom"/>
          </w:tcPr>
          <w:p>
            <w:pPr>
              <w:ind w:left="60"/>
              <w:spacing w:after="0"/>
              <w:rPr>
                <w:sz w:val="20"/>
                <w:szCs w:val="20"/>
                <w:color w:val="auto"/>
              </w:rPr>
            </w:pPr>
            <w:r>
              <w:rPr>
                <w:rFonts w:ascii="Arial" w:cs="Arial" w:eastAsia="Arial" w:hAnsi="Arial"/>
                <w:sz w:val="13"/>
                <w:szCs w:val="13"/>
                <w:color w:val="3D3935"/>
              </w:rPr>
              <w:t>Reported in</w:t>
            </w: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80" w:type="dxa"/>
            <w:vAlign w:val="bottom"/>
          </w:tcPr>
          <w:p>
            <w:pPr>
              <w:ind w:left="60"/>
              <w:spacing w:after="0"/>
              <w:rPr>
                <w:sz w:val="20"/>
                <w:szCs w:val="20"/>
                <w:color w:val="auto"/>
              </w:rPr>
            </w:pPr>
            <w:r>
              <w:rPr>
                <w:rFonts w:ascii="Arial" w:cs="Arial" w:eastAsia="Arial" w:hAnsi="Arial"/>
                <w:sz w:val="13"/>
                <w:szCs w:val="13"/>
                <w:color w:val="3D3935"/>
              </w:rPr>
              <w:t>the “Stock</w:t>
            </w: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ind w:left="60"/>
              <w:spacing w:after="0"/>
              <w:rPr>
                <w:sz w:val="20"/>
                <w:szCs w:val="20"/>
                <w:color w:val="auto"/>
              </w:rPr>
            </w:pPr>
            <w:r>
              <w:rPr>
                <w:rFonts w:ascii="Arial" w:cs="Arial" w:eastAsia="Arial" w:hAnsi="Arial"/>
                <w:sz w:val="13"/>
                <w:szCs w:val="13"/>
                <w:color w:val="3D3935"/>
              </w:rPr>
              <w:t>Awards”</w:t>
            </w: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80" w:type="dxa"/>
            <w:vAlign w:val="bottom"/>
          </w:tcPr>
          <w:p>
            <w:pPr>
              <w:ind w:left="60"/>
              <w:spacing w:after="0"/>
              <w:rPr>
                <w:sz w:val="20"/>
                <w:szCs w:val="20"/>
                <w:color w:val="auto"/>
              </w:rPr>
            </w:pPr>
            <w:r>
              <w:rPr>
                <w:rFonts w:ascii="Arial" w:cs="Arial" w:eastAsia="Arial" w:hAnsi="Arial"/>
                <w:sz w:val="13"/>
                <w:szCs w:val="13"/>
                <w:color w:val="3D3935"/>
              </w:rPr>
              <w:t>Column of the</w:t>
            </w: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980" w:type="dxa"/>
            <w:vAlign w:val="bottom"/>
          </w:tcPr>
          <w:p>
            <w:pPr>
              <w:ind w:left="60"/>
              <w:spacing w:after="0"/>
              <w:rPr>
                <w:sz w:val="20"/>
                <w:szCs w:val="20"/>
                <w:color w:val="auto"/>
              </w:rPr>
            </w:pPr>
            <w:r>
              <w:rPr>
                <w:rFonts w:ascii="Arial" w:cs="Arial" w:eastAsia="Arial" w:hAnsi="Arial"/>
                <w:sz w:val="13"/>
                <w:szCs w:val="13"/>
                <w:color w:val="3D3935"/>
              </w:rPr>
              <w:t>SCT</w:t>
            </w: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980" w:type="dxa"/>
            <w:vAlign w:val="bottom"/>
            <w:tcBorders>
              <w:bottom w:val="single" w:sz="8" w:color="D9D9D6"/>
            </w:tcBorders>
          </w:tcPr>
          <w:p>
            <w:pPr>
              <w:spacing w:after="0"/>
              <w:rPr>
                <w:sz w:val="2"/>
                <w:szCs w:val="2"/>
                <w:color w:val="auto"/>
              </w:rPr>
            </w:pPr>
          </w:p>
        </w:tc>
        <w:tc>
          <w:tcPr>
            <w:tcW w:w="920" w:type="dxa"/>
            <w:vAlign w:val="bottom"/>
            <w:tcBorders>
              <w:bottom w:val="single" w:sz="8" w:color="D9D9D6"/>
            </w:tcBorders>
          </w:tcPr>
          <w:p>
            <w:pPr>
              <w:spacing w:after="0"/>
              <w:rPr>
                <w:sz w:val="2"/>
                <w:szCs w:val="2"/>
                <w:color w:val="auto"/>
              </w:rPr>
            </w:pPr>
          </w:p>
        </w:tc>
        <w:tc>
          <w:tcPr>
            <w:tcW w:w="680" w:type="dxa"/>
            <w:vAlign w:val="bottom"/>
            <w:tcBorders>
              <w:bottom w:val="single" w:sz="8" w:color="D9D9D6"/>
            </w:tcBorders>
          </w:tcPr>
          <w:p>
            <w:pPr>
              <w:spacing w:after="0"/>
              <w:rPr>
                <w:sz w:val="2"/>
                <w:szCs w:val="2"/>
                <w:color w:val="auto"/>
              </w:rPr>
            </w:pPr>
          </w:p>
        </w:tc>
        <w:tc>
          <w:tcPr>
            <w:tcW w:w="60" w:type="dxa"/>
            <w:vAlign w:val="bottom"/>
            <w:tcBorders>
              <w:bottom w:val="single" w:sz="8" w:color="D9D9D6"/>
            </w:tcBorders>
          </w:tcPr>
          <w:p>
            <w:pPr>
              <w:spacing w:after="0"/>
              <w:rPr>
                <w:sz w:val="2"/>
                <w:szCs w:val="2"/>
                <w:color w:val="auto"/>
              </w:rPr>
            </w:pPr>
          </w:p>
        </w:tc>
        <w:tc>
          <w:tcPr>
            <w:tcW w:w="840" w:type="dxa"/>
            <w:vAlign w:val="bottom"/>
            <w:tcBorders>
              <w:bottom w:val="single" w:sz="8" w:color="D9D9D6"/>
            </w:tcBorders>
          </w:tcPr>
          <w:p>
            <w:pPr>
              <w:spacing w:after="0"/>
              <w:rPr>
                <w:sz w:val="2"/>
                <w:szCs w:val="2"/>
                <w:color w:val="auto"/>
              </w:rPr>
            </w:pPr>
          </w:p>
        </w:tc>
        <w:tc>
          <w:tcPr>
            <w:tcW w:w="740" w:type="dxa"/>
            <w:vAlign w:val="bottom"/>
            <w:tcBorders>
              <w:bottom w:val="single" w:sz="8" w:color="D9D9D6"/>
            </w:tcBorders>
          </w:tcPr>
          <w:p>
            <w:pPr>
              <w:spacing w:after="0"/>
              <w:rPr>
                <w:sz w:val="2"/>
                <w:szCs w:val="2"/>
                <w:color w:val="auto"/>
              </w:rPr>
            </w:pPr>
          </w:p>
        </w:tc>
        <w:tc>
          <w:tcPr>
            <w:tcW w:w="60" w:type="dxa"/>
            <w:vAlign w:val="bottom"/>
            <w:tcBorders>
              <w:bottom w:val="single" w:sz="8" w:color="D9D9D6"/>
            </w:tcBorders>
          </w:tcPr>
          <w:p>
            <w:pPr>
              <w:spacing w:after="0"/>
              <w:rPr>
                <w:sz w:val="2"/>
                <w:szCs w:val="2"/>
                <w:color w:val="auto"/>
              </w:rPr>
            </w:pPr>
          </w:p>
        </w:tc>
        <w:tc>
          <w:tcPr>
            <w:tcW w:w="840" w:type="dxa"/>
            <w:vAlign w:val="bottom"/>
            <w:tcBorders>
              <w:bottom w:val="single" w:sz="8" w:color="D9D9D6"/>
            </w:tcBorders>
          </w:tcPr>
          <w:p>
            <w:pPr>
              <w:spacing w:after="0"/>
              <w:rPr>
                <w:sz w:val="2"/>
                <w:szCs w:val="2"/>
                <w:color w:val="auto"/>
              </w:rPr>
            </w:pPr>
          </w:p>
        </w:tc>
        <w:tc>
          <w:tcPr>
            <w:tcW w:w="720" w:type="dxa"/>
            <w:vAlign w:val="bottom"/>
            <w:tcBorders>
              <w:bottom w:val="single" w:sz="8" w:color="D9D9D6"/>
            </w:tcBorders>
          </w:tcPr>
          <w:p>
            <w:pPr>
              <w:spacing w:after="0"/>
              <w:rPr>
                <w:sz w:val="2"/>
                <w:szCs w:val="2"/>
                <w:color w:val="auto"/>
              </w:rPr>
            </w:pPr>
          </w:p>
        </w:tc>
        <w:tc>
          <w:tcPr>
            <w:tcW w:w="60" w:type="dxa"/>
            <w:vAlign w:val="bottom"/>
            <w:tcBorders>
              <w:bottom w:val="single" w:sz="8" w:color="D9D9D6"/>
            </w:tcBorders>
          </w:tcPr>
          <w:p>
            <w:pPr>
              <w:spacing w:after="0"/>
              <w:rPr>
                <w:sz w:val="2"/>
                <w:szCs w:val="2"/>
                <w:color w:val="auto"/>
              </w:rPr>
            </w:pPr>
          </w:p>
        </w:tc>
        <w:tc>
          <w:tcPr>
            <w:tcW w:w="840" w:type="dxa"/>
            <w:vAlign w:val="bottom"/>
            <w:tcBorders>
              <w:bottom w:val="single" w:sz="8" w:color="D9D9D6"/>
            </w:tcBorders>
          </w:tcPr>
          <w:p>
            <w:pPr>
              <w:spacing w:after="0"/>
              <w:rPr>
                <w:sz w:val="2"/>
                <w:szCs w:val="2"/>
                <w:color w:val="auto"/>
              </w:rPr>
            </w:pPr>
          </w:p>
        </w:tc>
        <w:tc>
          <w:tcPr>
            <w:tcW w:w="740" w:type="dxa"/>
            <w:vAlign w:val="bottom"/>
            <w:tcBorders>
              <w:bottom w:val="single" w:sz="8" w:color="D9D9D6"/>
            </w:tcBorders>
          </w:tcPr>
          <w:p>
            <w:pPr>
              <w:spacing w:after="0"/>
              <w:rPr>
                <w:sz w:val="2"/>
                <w:szCs w:val="2"/>
                <w:color w:val="auto"/>
              </w:rPr>
            </w:pPr>
          </w:p>
        </w:tc>
        <w:tc>
          <w:tcPr>
            <w:tcW w:w="60" w:type="dxa"/>
            <w:vAlign w:val="bottom"/>
            <w:tcBorders>
              <w:bottom w:val="single" w:sz="8" w:color="D9D9D6"/>
            </w:tcBorders>
          </w:tcPr>
          <w:p>
            <w:pPr>
              <w:spacing w:after="0"/>
              <w:rPr>
                <w:sz w:val="2"/>
                <w:szCs w:val="2"/>
                <w:color w:val="auto"/>
              </w:rPr>
            </w:pPr>
          </w:p>
        </w:tc>
        <w:tc>
          <w:tcPr>
            <w:tcW w:w="820" w:type="dxa"/>
            <w:vAlign w:val="bottom"/>
            <w:tcBorders>
              <w:bottom w:val="single" w:sz="8" w:color="D9D9D6"/>
            </w:tcBorders>
          </w:tcPr>
          <w:p>
            <w:pPr>
              <w:spacing w:after="0"/>
              <w:rPr>
                <w:sz w:val="2"/>
                <w:szCs w:val="2"/>
                <w:color w:val="auto"/>
              </w:rPr>
            </w:pPr>
          </w:p>
        </w:tc>
        <w:tc>
          <w:tcPr>
            <w:tcW w:w="720" w:type="dxa"/>
            <w:vAlign w:val="bottom"/>
            <w:tcBorders>
              <w:bottom w:val="single" w:sz="8" w:color="D9D9D6"/>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3D3935"/>
              </w:rPr>
              <w:t>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18592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10375" cy="185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148"/>
        </w:trPr>
        <w:tc>
          <w:tcPr>
            <w:tcW w:w="1840" w:type="dxa"/>
            <w:vAlign w:val="bottom"/>
          </w:tcPr>
          <w:p>
            <w:pPr>
              <w:jc w:val="right"/>
              <w:spacing w:after="0"/>
              <w:rPr>
                <w:sz w:val="20"/>
                <w:szCs w:val="20"/>
                <w:color w:val="auto"/>
              </w:rPr>
            </w:pPr>
            <w:r>
              <w:rPr>
                <w:rFonts w:ascii="Arial" w:cs="Arial" w:eastAsia="Arial" w:hAnsi="Arial"/>
                <w:sz w:val="11"/>
                <w:szCs w:val="11"/>
                <w:b w:val="1"/>
                <w:bCs w:val="1"/>
                <w:color w:val="3D3935"/>
              </w:rPr>
              <w:t>2024</w:t>
            </w:r>
          </w:p>
        </w:tc>
        <w:tc>
          <w:tcPr>
            <w:tcW w:w="7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b w:val="1"/>
                <w:bCs w:val="1"/>
                <w:color w:val="3D3935"/>
              </w:rPr>
              <w:t>2023</w:t>
            </w:r>
          </w:p>
        </w:tc>
        <w:tc>
          <w:tcPr>
            <w:tcW w:w="7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b w:val="1"/>
                <w:bCs w:val="1"/>
                <w:color w:val="3D3935"/>
              </w:rPr>
              <w:t>2022</w:t>
            </w:r>
          </w:p>
        </w:tc>
        <w:tc>
          <w:tcPr>
            <w:tcW w:w="7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b w:val="1"/>
                <w:bCs w:val="1"/>
                <w:color w:val="3D3935"/>
              </w:rPr>
              <w:t>2021</w:t>
            </w:r>
          </w:p>
        </w:tc>
        <w:tc>
          <w:tcPr>
            <w:tcW w:w="7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b w:val="1"/>
                <w:bCs w:val="1"/>
                <w:color w:val="3D3935"/>
              </w:rPr>
              <w:t>2020</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840" w:type="dxa"/>
            <w:vAlign w:val="bottom"/>
          </w:tcPr>
          <w:p>
            <w:pPr>
              <w:spacing w:after="0"/>
              <w:rPr>
                <w:sz w:val="16"/>
                <w:szCs w:val="16"/>
                <w:color w:val="auto"/>
              </w:rPr>
            </w:pPr>
          </w:p>
        </w:tc>
        <w:tc>
          <w:tcPr>
            <w:tcW w:w="780" w:type="dxa"/>
            <w:vAlign w:val="bottom"/>
          </w:tcPr>
          <w:p>
            <w:pPr>
              <w:jc w:val="right"/>
              <w:ind w:right="84"/>
              <w:spacing w:after="0"/>
              <w:rPr>
                <w:sz w:val="20"/>
                <w:szCs w:val="20"/>
                <w:color w:val="auto"/>
              </w:rPr>
            </w:pPr>
            <w:r>
              <w:rPr>
                <w:rFonts w:ascii="Arial" w:cs="Arial" w:eastAsia="Arial" w:hAnsi="Arial"/>
                <w:sz w:val="11"/>
                <w:szCs w:val="11"/>
                <w:b w:val="1"/>
                <w:bCs w:val="1"/>
                <w:color w:val="3E3935"/>
              </w:rPr>
              <w:t>Average</w:t>
            </w:r>
          </w:p>
        </w:tc>
        <w:tc>
          <w:tcPr>
            <w:tcW w:w="880" w:type="dxa"/>
            <w:vAlign w:val="bottom"/>
          </w:tcPr>
          <w:p>
            <w:pPr>
              <w:spacing w:after="0"/>
              <w:rPr>
                <w:sz w:val="16"/>
                <w:szCs w:val="16"/>
                <w:color w:val="auto"/>
              </w:rPr>
            </w:pPr>
          </w:p>
        </w:tc>
        <w:tc>
          <w:tcPr>
            <w:tcW w:w="760" w:type="dxa"/>
            <w:vAlign w:val="bottom"/>
          </w:tcPr>
          <w:p>
            <w:pPr>
              <w:jc w:val="right"/>
              <w:ind w:right="104"/>
              <w:spacing w:after="0"/>
              <w:rPr>
                <w:sz w:val="20"/>
                <w:szCs w:val="20"/>
                <w:color w:val="auto"/>
              </w:rPr>
            </w:pPr>
            <w:r>
              <w:rPr>
                <w:rFonts w:ascii="Arial" w:cs="Arial" w:eastAsia="Arial" w:hAnsi="Arial"/>
                <w:sz w:val="11"/>
                <w:szCs w:val="11"/>
                <w:b w:val="1"/>
                <w:bCs w:val="1"/>
                <w:color w:val="3D3935"/>
              </w:rPr>
              <w:t>Average</w:t>
            </w:r>
          </w:p>
        </w:tc>
        <w:tc>
          <w:tcPr>
            <w:tcW w:w="860" w:type="dxa"/>
            <w:vAlign w:val="bottom"/>
          </w:tcPr>
          <w:p>
            <w:pPr>
              <w:spacing w:after="0"/>
              <w:rPr>
                <w:sz w:val="16"/>
                <w:szCs w:val="16"/>
                <w:color w:val="auto"/>
              </w:rPr>
            </w:pPr>
          </w:p>
        </w:tc>
        <w:tc>
          <w:tcPr>
            <w:tcW w:w="740" w:type="dxa"/>
            <w:vAlign w:val="bottom"/>
          </w:tcPr>
          <w:p>
            <w:pPr>
              <w:jc w:val="right"/>
              <w:ind w:right="84"/>
              <w:spacing w:after="0"/>
              <w:rPr>
                <w:sz w:val="20"/>
                <w:szCs w:val="20"/>
                <w:color w:val="auto"/>
              </w:rPr>
            </w:pPr>
            <w:r>
              <w:rPr>
                <w:rFonts w:ascii="Arial" w:cs="Arial" w:eastAsia="Arial" w:hAnsi="Arial"/>
                <w:sz w:val="11"/>
                <w:szCs w:val="11"/>
                <w:b w:val="1"/>
                <w:bCs w:val="1"/>
                <w:color w:val="3D3935"/>
              </w:rPr>
              <w:t>Average</w:t>
            </w:r>
          </w:p>
        </w:tc>
        <w:tc>
          <w:tcPr>
            <w:tcW w:w="900" w:type="dxa"/>
            <w:vAlign w:val="bottom"/>
          </w:tcPr>
          <w:p>
            <w:pPr>
              <w:spacing w:after="0"/>
              <w:rPr>
                <w:sz w:val="16"/>
                <w:szCs w:val="16"/>
                <w:color w:val="auto"/>
              </w:rPr>
            </w:pPr>
          </w:p>
        </w:tc>
        <w:tc>
          <w:tcPr>
            <w:tcW w:w="720" w:type="dxa"/>
            <w:vAlign w:val="bottom"/>
          </w:tcPr>
          <w:p>
            <w:pPr>
              <w:jc w:val="right"/>
              <w:ind w:right="44"/>
              <w:spacing w:after="0"/>
              <w:rPr>
                <w:sz w:val="20"/>
                <w:szCs w:val="20"/>
                <w:color w:val="auto"/>
              </w:rPr>
            </w:pPr>
            <w:r>
              <w:rPr>
                <w:rFonts w:ascii="Arial" w:cs="Arial" w:eastAsia="Arial" w:hAnsi="Arial"/>
                <w:sz w:val="11"/>
                <w:szCs w:val="11"/>
                <w:b w:val="1"/>
                <w:bCs w:val="1"/>
                <w:color w:val="3D3935"/>
              </w:rPr>
              <w:t>Average</w:t>
            </w:r>
          </w:p>
        </w:tc>
        <w:tc>
          <w:tcPr>
            <w:tcW w:w="8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1"/>
                <w:szCs w:val="11"/>
                <w:b w:val="1"/>
                <w:bCs w:val="1"/>
                <w:color w:val="3D3935"/>
              </w:rPr>
              <w:t>Average</w:t>
            </w:r>
          </w:p>
        </w:tc>
        <w:tc>
          <w:tcPr>
            <w:tcW w:w="0" w:type="dxa"/>
            <w:vAlign w:val="bottom"/>
          </w:tcPr>
          <w:p>
            <w:pPr>
              <w:spacing w:after="0"/>
              <w:rPr>
                <w:sz w:val="1"/>
                <w:szCs w:val="1"/>
                <w:color w:val="auto"/>
              </w:rPr>
            </w:pPr>
          </w:p>
        </w:tc>
      </w:tr>
      <w:tr>
        <w:trPr>
          <w:trHeight w:val="135"/>
        </w:trPr>
        <w:tc>
          <w:tcPr>
            <w:tcW w:w="1840" w:type="dxa"/>
            <w:vAlign w:val="bottom"/>
            <w:vMerge w:val="restart"/>
          </w:tcPr>
          <w:p>
            <w:pPr>
              <w:jc w:val="right"/>
              <w:ind w:right="80"/>
              <w:spacing w:after="0"/>
              <w:rPr>
                <w:sz w:val="20"/>
                <w:szCs w:val="20"/>
                <w:color w:val="auto"/>
              </w:rPr>
            </w:pPr>
            <w:r>
              <w:rPr>
                <w:rFonts w:ascii="Arial" w:cs="Arial" w:eastAsia="Arial" w:hAnsi="Arial"/>
                <w:sz w:val="13"/>
                <w:szCs w:val="13"/>
                <w:b w:val="1"/>
                <w:bCs w:val="1"/>
                <w:color w:val="3E3935"/>
              </w:rPr>
              <w:t>CEO</w:t>
            </w:r>
          </w:p>
        </w:tc>
        <w:tc>
          <w:tcPr>
            <w:tcW w:w="780" w:type="dxa"/>
            <w:vAlign w:val="bottom"/>
          </w:tcPr>
          <w:p>
            <w:pPr>
              <w:jc w:val="right"/>
              <w:ind w:right="84"/>
              <w:spacing w:after="0"/>
              <w:rPr>
                <w:sz w:val="20"/>
                <w:szCs w:val="20"/>
                <w:color w:val="auto"/>
              </w:rPr>
            </w:pPr>
            <w:r>
              <w:rPr>
                <w:rFonts w:ascii="Arial" w:cs="Arial" w:eastAsia="Arial" w:hAnsi="Arial"/>
                <w:sz w:val="11"/>
                <w:szCs w:val="11"/>
                <w:b w:val="1"/>
                <w:bCs w:val="1"/>
                <w:color w:val="3E3935"/>
              </w:rPr>
              <w:t>Non-CEO</w:t>
            </w:r>
          </w:p>
        </w:tc>
        <w:tc>
          <w:tcPr>
            <w:tcW w:w="880" w:type="dxa"/>
            <w:vAlign w:val="bottom"/>
          </w:tcPr>
          <w:p>
            <w:pPr>
              <w:spacing w:after="0"/>
              <w:rPr>
                <w:sz w:val="11"/>
                <w:szCs w:val="11"/>
                <w:color w:val="auto"/>
              </w:rPr>
            </w:pPr>
          </w:p>
        </w:tc>
        <w:tc>
          <w:tcPr>
            <w:tcW w:w="760" w:type="dxa"/>
            <w:vAlign w:val="bottom"/>
          </w:tcPr>
          <w:p>
            <w:pPr>
              <w:jc w:val="right"/>
              <w:ind w:right="84"/>
              <w:spacing w:after="0"/>
              <w:rPr>
                <w:sz w:val="20"/>
                <w:szCs w:val="20"/>
                <w:color w:val="auto"/>
              </w:rPr>
            </w:pPr>
            <w:r>
              <w:rPr>
                <w:rFonts w:ascii="Arial" w:cs="Arial" w:eastAsia="Arial" w:hAnsi="Arial"/>
                <w:sz w:val="11"/>
                <w:szCs w:val="11"/>
                <w:b w:val="1"/>
                <w:bCs w:val="1"/>
                <w:color w:val="3D3935"/>
              </w:rPr>
              <w:t>Non-CEO</w:t>
            </w:r>
          </w:p>
        </w:tc>
        <w:tc>
          <w:tcPr>
            <w:tcW w:w="860" w:type="dxa"/>
            <w:vAlign w:val="bottom"/>
          </w:tcPr>
          <w:p>
            <w:pPr>
              <w:spacing w:after="0"/>
              <w:rPr>
                <w:sz w:val="11"/>
                <w:szCs w:val="11"/>
                <w:color w:val="auto"/>
              </w:rPr>
            </w:pPr>
          </w:p>
        </w:tc>
        <w:tc>
          <w:tcPr>
            <w:tcW w:w="740" w:type="dxa"/>
            <w:vAlign w:val="bottom"/>
          </w:tcPr>
          <w:p>
            <w:pPr>
              <w:jc w:val="right"/>
              <w:ind w:right="64"/>
              <w:spacing w:after="0"/>
              <w:rPr>
                <w:sz w:val="20"/>
                <w:szCs w:val="20"/>
                <w:color w:val="auto"/>
              </w:rPr>
            </w:pPr>
            <w:r>
              <w:rPr>
                <w:rFonts w:ascii="Arial" w:cs="Arial" w:eastAsia="Arial" w:hAnsi="Arial"/>
                <w:sz w:val="11"/>
                <w:szCs w:val="11"/>
                <w:b w:val="1"/>
                <w:bCs w:val="1"/>
                <w:color w:val="3D3935"/>
              </w:rPr>
              <w:t>Non-CEO</w:t>
            </w:r>
          </w:p>
        </w:tc>
        <w:tc>
          <w:tcPr>
            <w:tcW w:w="900" w:type="dxa"/>
            <w:vAlign w:val="bottom"/>
          </w:tcPr>
          <w:p>
            <w:pPr>
              <w:spacing w:after="0"/>
              <w:rPr>
                <w:sz w:val="11"/>
                <w:szCs w:val="11"/>
                <w:color w:val="auto"/>
              </w:rPr>
            </w:pPr>
          </w:p>
        </w:tc>
        <w:tc>
          <w:tcPr>
            <w:tcW w:w="720" w:type="dxa"/>
            <w:vAlign w:val="bottom"/>
          </w:tcPr>
          <w:p>
            <w:pPr>
              <w:jc w:val="right"/>
              <w:ind w:right="44"/>
              <w:spacing w:after="0"/>
              <w:rPr>
                <w:sz w:val="20"/>
                <w:szCs w:val="20"/>
                <w:color w:val="auto"/>
              </w:rPr>
            </w:pPr>
            <w:r>
              <w:rPr>
                <w:rFonts w:ascii="Arial" w:cs="Arial" w:eastAsia="Arial" w:hAnsi="Arial"/>
                <w:sz w:val="11"/>
                <w:szCs w:val="11"/>
                <w:b w:val="1"/>
                <w:bCs w:val="1"/>
                <w:color w:val="3D3935"/>
              </w:rPr>
              <w:t>Non-CEO</w:t>
            </w:r>
          </w:p>
        </w:tc>
        <w:tc>
          <w:tcPr>
            <w:tcW w:w="8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b w:val="1"/>
                <w:bCs w:val="1"/>
                <w:color w:val="3D3935"/>
              </w:rPr>
              <w:t>Non-CEO</w:t>
            </w:r>
          </w:p>
        </w:tc>
        <w:tc>
          <w:tcPr>
            <w:tcW w:w="0" w:type="dxa"/>
            <w:vAlign w:val="bottom"/>
          </w:tcPr>
          <w:p>
            <w:pPr>
              <w:spacing w:after="0"/>
              <w:rPr>
                <w:sz w:val="1"/>
                <w:szCs w:val="1"/>
                <w:color w:val="auto"/>
              </w:rPr>
            </w:pPr>
          </w:p>
        </w:tc>
      </w:tr>
      <w:tr>
        <w:trPr>
          <w:trHeight w:val="154"/>
        </w:trPr>
        <w:tc>
          <w:tcPr>
            <w:tcW w:w="1840" w:type="dxa"/>
            <w:vAlign w:val="bottom"/>
            <w:vMerge w:val="continue"/>
          </w:tcPr>
          <w:p>
            <w:pPr>
              <w:spacing w:after="0"/>
              <w:rPr>
                <w:sz w:val="13"/>
                <w:szCs w:val="13"/>
                <w:color w:val="auto"/>
              </w:rPr>
            </w:pPr>
          </w:p>
        </w:tc>
        <w:tc>
          <w:tcPr>
            <w:tcW w:w="780" w:type="dxa"/>
            <w:vAlign w:val="bottom"/>
          </w:tcPr>
          <w:p>
            <w:pPr>
              <w:jc w:val="right"/>
              <w:ind w:right="64"/>
              <w:spacing w:after="0"/>
              <w:rPr>
                <w:sz w:val="20"/>
                <w:szCs w:val="20"/>
                <w:color w:val="auto"/>
              </w:rPr>
            </w:pPr>
            <w:r>
              <w:rPr>
                <w:rFonts w:ascii="Arial" w:cs="Arial" w:eastAsia="Arial" w:hAnsi="Arial"/>
                <w:sz w:val="11"/>
                <w:szCs w:val="11"/>
                <w:b w:val="1"/>
                <w:bCs w:val="1"/>
                <w:color w:val="3E3935"/>
              </w:rPr>
              <w:t>NEOs</w:t>
            </w:r>
          </w:p>
        </w:tc>
        <w:tc>
          <w:tcPr>
            <w:tcW w:w="880" w:type="dxa"/>
            <w:vAlign w:val="bottom"/>
          </w:tcPr>
          <w:p>
            <w:pPr>
              <w:jc w:val="right"/>
              <w:ind w:right="343"/>
              <w:spacing w:after="0"/>
              <w:rPr>
                <w:sz w:val="20"/>
                <w:szCs w:val="20"/>
                <w:color w:val="auto"/>
              </w:rPr>
            </w:pPr>
            <w:r>
              <w:rPr>
                <w:rFonts w:ascii="Arial" w:cs="Arial" w:eastAsia="Arial" w:hAnsi="Arial"/>
                <w:sz w:val="11"/>
                <w:szCs w:val="11"/>
                <w:b w:val="1"/>
                <w:bCs w:val="1"/>
                <w:color w:val="3D3935"/>
              </w:rPr>
              <w:t>CEO</w:t>
            </w:r>
          </w:p>
        </w:tc>
        <w:tc>
          <w:tcPr>
            <w:tcW w:w="760" w:type="dxa"/>
            <w:vAlign w:val="bottom"/>
          </w:tcPr>
          <w:p>
            <w:pPr>
              <w:jc w:val="right"/>
              <w:ind w:right="84"/>
              <w:spacing w:after="0"/>
              <w:rPr>
                <w:sz w:val="20"/>
                <w:szCs w:val="20"/>
                <w:color w:val="auto"/>
              </w:rPr>
            </w:pPr>
            <w:r>
              <w:rPr>
                <w:rFonts w:ascii="Arial" w:cs="Arial" w:eastAsia="Arial" w:hAnsi="Arial"/>
                <w:sz w:val="11"/>
                <w:szCs w:val="11"/>
                <w:b w:val="1"/>
                <w:bCs w:val="1"/>
                <w:color w:val="3D3935"/>
              </w:rPr>
              <w:t>NEOs</w:t>
            </w:r>
          </w:p>
        </w:tc>
        <w:tc>
          <w:tcPr>
            <w:tcW w:w="860" w:type="dxa"/>
            <w:vAlign w:val="bottom"/>
          </w:tcPr>
          <w:p>
            <w:pPr>
              <w:jc w:val="right"/>
              <w:ind w:right="63"/>
              <w:spacing w:after="0"/>
              <w:rPr>
                <w:sz w:val="20"/>
                <w:szCs w:val="20"/>
                <w:color w:val="auto"/>
              </w:rPr>
            </w:pPr>
            <w:r>
              <w:rPr>
                <w:rFonts w:ascii="Arial" w:cs="Arial" w:eastAsia="Arial" w:hAnsi="Arial"/>
                <w:sz w:val="11"/>
                <w:szCs w:val="11"/>
                <w:b w:val="1"/>
                <w:bCs w:val="1"/>
                <w:color w:val="3D3935"/>
              </w:rPr>
              <w:t>CEO</w:t>
            </w:r>
          </w:p>
        </w:tc>
        <w:tc>
          <w:tcPr>
            <w:tcW w:w="740" w:type="dxa"/>
            <w:vAlign w:val="bottom"/>
          </w:tcPr>
          <w:p>
            <w:pPr>
              <w:jc w:val="right"/>
              <w:ind w:right="64"/>
              <w:spacing w:after="0"/>
              <w:rPr>
                <w:sz w:val="20"/>
                <w:szCs w:val="20"/>
                <w:color w:val="auto"/>
              </w:rPr>
            </w:pPr>
            <w:r>
              <w:rPr>
                <w:rFonts w:ascii="Arial" w:cs="Arial" w:eastAsia="Arial" w:hAnsi="Arial"/>
                <w:sz w:val="11"/>
                <w:szCs w:val="11"/>
                <w:b w:val="1"/>
                <w:bCs w:val="1"/>
                <w:color w:val="3D3935"/>
              </w:rPr>
              <w:t>NEOs</w:t>
            </w:r>
          </w:p>
        </w:tc>
        <w:tc>
          <w:tcPr>
            <w:tcW w:w="900" w:type="dxa"/>
            <w:vAlign w:val="bottom"/>
          </w:tcPr>
          <w:p>
            <w:pPr>
              <w:jc w:val="right"/>
              <w:ind w:right="103"/>
              <w:spacing w:after="0"/>
              <w:rPr>
                <w:sz w:val="20"/>
                <w:szCs w:val="20"/>
                <w:color w:val="auto"/>
              </w:rPr>
            </w:pPr>
            <w:r>
              <w:rPr>
                <w:rFonts w:ascii="Arial" w:cs="Arial" w:eastAsia="Arial" w:hAnsi="Arial"/>
                <w:sz w:val="11"/>
                <w:szCs w:val="11"/>
                <w:b w:val="1"/>
                <w:bCs w:val="1"/>
                <w:color w:val="3D3935"/>
              </w:rPr>
              <w:t>CEO</w:t>
            </w:r>
          </w:p>
        </w:tc>
        <w:tc>
          <w:tcPr>
            <w:tcW w:w="720" w:type="dxa"/>
            <w:vAlign w:val="bottom"/>
          </w:tcPr>
          <w:p>
            <w:pPr>
              <w:jc w:val="right"/>
              <w:ind w:right="24"/>
              <w:spacing w:after="0"/>
              <w:rPr>
                <w:sz w:val="20"/>
                <w:szCs w:val="20"/>
                <w:color w:val="auto"/>
              </w:rPr>
            </w:pPr>
            <w:r>
              <w:rPr>
                <w:rFonts w:ascii="Arial" w:cs="Arial" w:eastAsia="Arial" w:hAnsi="Arial"/>
                <w:sz w:val="11"/>
                <w:szCs w:val="11"/>
                <w:b w:val="1"/>
                <w:bCs w:val="1"/>
                <w:color w:val="3D3935"/>
              </w:rPr>
              <w:t>NEOs</w:t>
            </w:r>
          </w:p>
        </w:tc>
        <w:tc>
          <w:tcPr>
            <w:tcW w:w="880" w:type="dxa"/>
            <w:vAlign w:val="bottom"/>
          </w:tcPr>
          <w:p>
            <w:pPr>
              <w:jc w:val="right"/>
              <w:ind w:right="63"/>
              <w:spacing w:after="0"/>
              <w:rPr>
                <w:sz w:val="20"/>
                <w:szCs w:val="20"/>
                <w:color w:val="auto"/>
              </w:rPr>
            </w:pPr>
            <w:r>
              <w:rPr>
                <w:rFonts w:ascii="Arial" w:cs="Arial" w:eastAsia="Arial" w:hAnsi="Arial"/>
                <w:sz w:val="11"/>
                <w:szCs w:val="11"/>
                <w:b w:val="1"/>
                <w:bCs w:val="1"/>
                <w:color w:val="3D3935"/>
              </w:rPr>
              <w:t>CEO</w:t>
            </w:r>
          </w:p>
        </w:tc>
        <w:tc>
          <w:tcPr>
            <w:tcW w:w="620" w:type="dxa"/>
            <w:vAlign w:val="bottom"/>
          </w:tcPr>
          <w:p>
            <w:pPr>
              <w:jc w:val="right"/>
              <w:spacing w:after="0"/>
              <w:rPr>
                <w:sz w:val="20"/>
                <w:szCs w:val="20"/>
                <w:color w:val="auto"/>
              </w:rPr>
            </w:pPr>
            <w:r>
              <w:rPr>
                <w:rFonts w:ascii="Arial" w:cs="Arial" w:eastAsia="Arial" w:hAnsi="Arial"/>
                <w:sz w:val="11"/>
                <w:szCs w:val="11"/>
                <w:b w:val="1"/>
                <w:bCs w:val="1"/>
                <w:color w:val="3D3935"/>
              </w:rPr>
              <w:t>NEOs</w:t>
            </w:r>
          </w:p>
        </w:tc>
        <w:tc>
          <w:tcPr>
            <w:tcW w:w="0" w:type="dxa"/>
            <w:vAlign w:val="bottom"/>
          </w:tcPr>
          <w:p>
            <w:pPr>
              <w:spacing w:after="0"/>
              <w:rPr>
                <w:sz w:val="1"/>
                <w:szCs w:val="1"/>
                <w:color w:val="auto"/>
              </w:rPr>
            </w:pPr>
          </w:p>
        </w:tc>
      </w:tr>
      <w:tr>
        <w:trPr>
          <w:trHeight w:val="205"/>
        </w:trPr>
        <w:tc>
          <w:tcPr>
            <w:tcW w:w="1840" w:type="dxa"/>
            <w:vAlign w:val="bottom"/>
          </w:tcPr>
          <w:p>
            <w:pPr>
              <w:jc w:val="right"/>
              <w:ind w:right="100"/>
              <w:spacing w:after="0"/>
              <w:rPr>
                <w:sz w:val="20"/>
                <w:szCs w:val="20"/>
                <w:color w:val="auto"/>
              </w:rPr>
            </w:pPr>
            <w:r>
              <w:rPr>
                <w:rFonts w:ascii="Arial" w:cs="Arial" w:eastAsia="Arial" w:hAnsi="Arial"/>
                <w:sz w:val="13"/>
                <w:szCs w:val="13"/>
                <w:color w:val="3D3935"/>
              </w:rPr>
              <w:t>Plus: Year-end    31,206,150</w:t>
            </w:r>
          </w:p>
        </w:tc>
        <w:tc>
          <w:tcPr>
            <w:tcW w:w="780" w:type="dxa"/>
            <w:vAlign w:val="bottom"/>
          </w:tcPr>
          <w:p>
            <w:pPr>
              <w:jc w:val="right"/>
              <w:ind w:right="84"/>
              <w:spacing w:after="0"/>
              <w:rPr>
                <w:sz w:val="20"/>
                <w:szCs w:val="20"/>
                <w:color w:val="auto"/>
              </w:rPr>
            </w:pPr>
            <w:r>
              <w:rPr>
                <w:rFonts w:ascii="Arial" w:cs="Arial" w:eastAsia="Arial" w:hAnsi="Arial"/>
                <w:sz w:val="13"/>
                <w:szCs w:val="13"/>
                <w:color w:val="3D3935"/>
                <w:w w:val="95"/>
              </w:rPr>
              <w:t>11,962,345</w:t>
            </w:r>
          </w:p>
        </w:tc>
        <w:tc>
          <w:tcPr>
            <w:tcW w:w="880" w:type="dxa"/>
            <w:vAlign w:val="bottom"/>
          </w:tcPr>
          <w:p>
            <w:pPr>
              <w:jc w:val="right"/>
              <w:ind w:right="63"/>
              <w:spacing w:after="0"/>
              <w:rPr>
                <w:sz w:val="20"/>
                <w:szCs w:val="20"/>
                <w:color w:val="auto"/>
              </w:rPr>
            </w:pPr>
            <w:r>
              <w:rPr>
                <w:rFonts w:ascii="Arial" w:cs="Arial" w:eastAsia="Arial" w:hAnsi="Arial"/>
                <w:sz w:val="13"/>
                <w:szCs w:val="13"/>
                <w:color w:val="3D3935"/>
              </w:rPr>
              <w:t>11,941,185</w:t>
            </w:r>
          </w:p>
        </w:tc>
        <w:tc>
          <w:tcPr>
            <w:tcW w:w="760" w:type="dxa"/>
            <w:vAlign w:val="bottom"/>
          </w:tcPr>
          <w:p>
            <w:pPr>
              <w:jc w:val="right"/>
              <w:ind w:right="144"/>
              <w:spacing w:after="0"/>
              <w:rPr>
                <w:sz w:val="20"/>
                <w:szCs w:val="20"/>
                <w:color w:val="auto"/>
              </w:rPr>
            </w:pPr>
            <w:r>
              <w:rPr>
                <w:rFonts w:ascii="Arial" w:cs="Arial" w:eastAsia="Arial" w:hAnsi="Arial"/>
                <w:sz w:val="13"/>
                <w:szCs w:val="13"/>
                <w:color w:val="3D3935"/>
                <w:w w:val="93"/>
              </w:rPr>
              <w:t>8,866,850</w:t>
            </w:r>
          </w:p>
        </w:tc>
        <w:tc>
          <w:tcPr>
            <w:tcW w:w="860" w:type="dxa"/>
            <w:vAlign w:val="bottom"/>
          </w:tcPr>
          <w:p>
            <w:pPr>
              <w:jc w:val="right"/>
              <w:ind w:right="123"/>
              <w:spacing w:after="0"/>
              <w:rPr>
                <w:sz w:val="20"/>
                <w:szCs w:val="20"/>
                <w:color w:val="auto"/>
              </w:rPr>
            </w:pPr>
            <w:r>
              <w:rPr>
                <w:rFonts w:ascii="Arial" w:cs="Arial" w:eastAsia="Arial" w:hAnsi="Arial"/>
                <w:sz w:val="13"/>
                <w:szCs w:val="13"/>
                <w:color w:val="3D3935"/>
              </w:rPr>
              <w:t>8,629,590</w:t>
            </w:r>
          </w:p>
        </w:tc>
        <w:tc>
          <w:tcPr>
            <w:tcW w:w="740" w:type="dxa"/>
            <w:vAlign w:val="bottom"/>
          </w:tcPr>
          <w:p>
            <w:pPr>
              <w:jc w:val="right"/>
              <w:ind w:right="104"/>
              <w:spacing w:after="0"/>
              <w:rPr>
                <w:sz w:val="20"/>
                <w:szCs w:val="20"/>
                <w:color w:val="auto"/>
              </w:rPr>
            </w:pPr>
            <w:r>
              <w:rPr>
                <w:rFonts w:ascii="Arial" w:cs="Arial" w:eastAsia="Arial" w:hAnsi="Arial"/>
                <w:sz w:val="13"/>
                <w:szCs w:val="13"/>
                <w:color w:val="3D3935"/>
                <w:w w:val="96"/>
              </w:rPr>
              <w:t>3,227,799</w:t>
            </w:r>
          </w:p>
        </w:tc>
        <w:tc>
          <w:tcPr>
            <w:tcW w:w="900" w:type="dxa"/>
            <w:vAlign w:val="bottom"/>
          </w:tcPr>
          <w:p>
            <w:pPr>
              <w:jc w:val="right"/>
              <w:ind w:right="103"/>
              <w:spacing w:after="0"/>
              <w:rPr>
                <w:sz w:val="20"/>
                <w:szCs w:val="20"/>
                <w:color w:val="auto"/>
              </w:rPr>
            </w:pPr>
            <w:r>
              <w:rPr>
                <w:rFonts w:ascii="Arial" w:cs="Arial" w:eastAsia="Arial" w:hAnsi="Arial"/>
                <w:sz w:val="13"/>
                <w:szCs w:val="13"/>
                <w:color w:val="3D3935"/>
              </w:rPr>
              <w:t>18,914,281</w:t>
            </w:r>
          </w:p>
        </w:tc>
        <w:tc>
          <w:tcPr>
            <w:tcW w:w="720" w:type="dxa"/>
            <w:vAlign w:val="bottom"/>
          </w:tcPr>
          <w:p>
            <w:pPr>
              <w:jc w:val="right"/>
              <w:ind w:right="84"/>
              <w:spacing w:after="0"/>
              <w:rPr>
                <w:sz w:val="20"/>
                <w:szCs w:val="20"/>
                <w:color w:val="auto"/>
              </w:rPr>
            </w:pPr>
            <w:r>
              <w:rPr>
                <w:rFonts w:ascii="Arial" w:cs="Arial" w:eastAsia="Arial" w:hAnsi="Arial"/>
                <w:sz w:val="13"/>
                <w:szCs w:val="13"/>
                <w:color w:val="3D3935"/>
                <w:w w:val="96"/>
              </w:rPr>
              <w:t>6,574,982</w:t>
            </w:r>
          </w:p>
        </w:tc>
        <w:tc>
          <w:tcPr>
            <w:tcW w:w="880" w:type="dxa"/>
            <w:vAlign w:val="bottom"/>
          </w:tcPr>
          <w:p>
            <w:pPr>
              <w:jc w:val="right"/>
              <w:ind w:right="103"/>
              <w:spacing w:after="0"/>
              <w:rPr>
                <w:sz w:val="20"/>
                <w:szCs w:val="20"/>
                <w:color w:val="auto"/>
              </w:rPr>
            </w:pPr>
            <w:r>
              <w:rPr>
                <w:rFonts w:ascii="Arial" w:cs="Arial" w:eastAsia="Arial" w:hAnsi="Arial"/>
                <w:sz w:val="13"/>
                <w:szCs w:val="13"/>
                <w:color w:val="3D3935"/>
              </w:rPr>
              <w:t>18,050,565</w:t>
            </w:r>
          </w:p>
        </w:tc>
        <w:tc>
          <w:tcPr>
            <w:tcW w:w="620" w:type="dxa"/>
            <w:vAlign w:val="bottom"/>
          </w:tcPr>
          <w:p>
            <w:pPr>
              <w:jc w:val="right"/>
              <w:spacing w:after="0"/>
              <w:rPr>
                <w:sz w:val="20"/>
                <w:szCs w:val="20"/>
                <w:color w:val="auto"/>
              </w:rPr>
            </w:pPr>
            <w:r>
              <w:rPr>
                <w:rFonts w:ascii="Arial" w:cs="Arial" w:eastAsia="Arial" w:hAnsi="Arial"/>
                <w:sz w:val="13"/>
                <w:szCs w:val="13"/>
                <w:color w:val="3D3935"/>
                <w:w w:val="96"/>
              </w:rPr>
              <w:t>3,545,877</w:t>
            </w: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3"/>
          <w:szCs w:val="13"/>
          <w:color w:val="3D3935"/>
        </w:rPr>
        <w:t>Fair Value of</w:t>
      </w:r>
    </w:p>
    <w:p>
      <w:pPr>
        <w:ind w:left="60"/>
        <w:spacing w:after="0"/>
        <w:rPr>
          <w:sz w:val="20"/>
          <w:szCs w:val="20"/>
          <w:color w:val="auto"/>
        </w:rPr>
      </w:pPr>
      <w:r>
        <w:rPr>
          <w:rFonts w:ascii="Arial" w:cs="Arial" w:eastAsia="Arial" w:hAnsi="Arial"/>
          <w:sz w:val="13"/>
          <w:szCs w:val="13"/>
          <w:color w:val="3D3935"/>
        </w:rPr>
        <w:t>Outstanding</w:t>
      </w:r>
    </w:p>
    <w:p>
      <w:pPr>
        <w:spacing w:after="0" w:line="4" w:lineRule="exact"/>
        <w:rPr>
          <w:sz w:val="20"/>
          <w:szCs w:val="20"/>
          <w:color w:val="auto"/>
        </w:rPr>
      </w:pPr>
    </w:p>
    <w:p>
      <w:pPr>
        <w:ind w:left="60"/>
        <w:spacing w:after="0"/>
        <w:rPr>
          <w:sz w:val="20"/>
          <w:szCs w:val="20"/>
          <w:color w:val="auto"/>
        </w:rPr>
      </w:pPr>
      <w:r>
        <w:rPr>
          <w:rFonts w:ascii="Arial" w:cs="Arial" w:eastAsia="Arial" w:hAnsi="Arial"/>
          <w:sz w:val="13"/>
          <w:szCs w:val="13"/>
          <w:color w:val="3D3935"/>
        </w:rPr>
        <w:t>and Unvested</w:t>
      </w:r>
    </w:p>
    <w:p>
      <w:pPr>
        <w:spacing w:after="0" w:line="6" w:lineRule="exact"/>
        <w:rPr>
          <w:sz w:val="20"/>
          <w:szCs w:val="20"/>
          <w:color w:val="auto"/>
        </w:rPr>
      </w:pPr>
    </w:p>
    <w:p>
      <w:pPr>
        <w:ind w:left="60"/>
        <w:spacing w:after="0"/>
        <w:rPr>
          <w:sz w:val="20"/>
          <w:szCs w:val="20"/>
          <w:color w:val="auto"/>
        </w:rPr>
      </w:pPr>
      <w:r>
        <w:rPr>
          <w:rFonts w:ascii="Arial" w:cs="Arial" w:eastAsia="Arial" w:hAnsi="Arial"/>
          <w:sz w:val="13"/>
          <w:szCs w:val="13"/>
          <w:color w:val="3D3935"/>
        </w:rPr>
        <w:t>Stock Awards</w:t>
      </w:r>
    </w:p>
    <w:p>
      <w:pPr>
        <w:ind w:left="60"/>
        <w:spacing w:after="0"/>
        <w:rPr>
          <w:sz w:val="20"/>
          <w:szCs w:val="20"/>
          <w:color w:val="auto"/>
        </w:rPr>
      </w:pPr>
      <w:r>
        <w:rPr>
          <w:rFonts w:ascii="Arial" w:cs="Arial" w:eastAsia="Arial" w:hAnsi="Arial"/>
          <w:sz w:val="13"/>
          <w:szCs w:val="13"/>
          <w:color w:val="3D3935"/>
        </w:rPr>
        <w:t>Granted in the</w:t>
      </w:r>
    </w:p>
    <w:p>
      <w:pPr>
        <w:ind w:left="60"/>
        <w:spacing w:after="0"/>
        <w:rPr>
          <w:sz w:val="20"/>
          <w:szCs w:val="20"/>
          <w:color w:val="auto"/>
        </w:rPr>
      </w:pPr>
      <w:r>
        <w:rPr>
          <w:rFonts w:ascii="Arial" w:cs="Arial" w:eastAsia="Arial" w:hAnsi="Arial"/>
          <w:sz w:val="13"/>
          <w:szCs w:val="13"/>
          <w:color w:val="3D3935"/>
        </w:rPr>
        <w:t>Covered Year</w:t>
      </w:r>
    </w:p>
    <w:p>
      <w:pPr>
        <w:sectPr>
          <w:pgSz w:w="11900" w:h="16913" w:orient="portrait"/>
          <w:cols w:equalWidth="0" w:num="1">
            <w:col w:w="9240"/>
          </w:cols>
          <w:pgMar w:left="1400" w:top="118" w:right="1259" w:bottom="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16"/>
        </w:trPr>
        <w:tc>
          <w:tcPr>
            <w:tcW w:w="980" w:type="dxa"/>
            <w:vAlign w:val="bottom"/>
            <w:shd w:val="clear" w:color="auto" w:fill="F0F3F6"/>
          </w:tcPr>
          <w:p>
            <w:pPr>
              <w:ind w:left="60"/>
              <w:spacing w:after="0"/>
              <w:rPr>
                <w:sz w:val="20"/>
                <w:szCs w:val="20"/>
                <w:color w:val="auto"/>
              </w:rPr>
            </w:pPr>
            <w:r>
              <w:rPr>
                <w:rFonts w:ascii="Arial" w:cs="Arial" w:eastAsia="Arial" w:hAnsi="Arial"/>
                <w:sz w:val="13"/>
                <w:szCs w:val="13"/>
                <w:color w:val="3D3935"/>
              </w:rPr>
              <w:t>Change in Fair</w:t>
            </w:r>
          </w:p>
        </w:tc>
        <w:tc>
          <w:tcPr>
            <w:tcW w:w="860" w:type="dxa"/>
            <w:vAlign w:val="bottom"/>
            <w:shd w:val="clear" w:color="auto" w:fill="F0F3F6"/>
          </w:tcPr>
          <w:p>
            <w:pPr>
              <w:jc w:val="right"/>
              <w:ind w:right="57"/>
              <w:spacing w:after="0"/>
              <w:rPr>
                <w:sz w:val="20"/>
                <w:szCs w:val="20"/>
                <w:color w:val="auto"/>
              </w:rPr>
            </w:pPr>
            <w:r>
              <w:rPr>
                <w:rFonts w:ascii="Arial" w:cs="Arial" w:eastAsia="Arial" w:hAnsi="Arial"/>
                <w:sz w:val="13"/>
                <w:szCs w:val="13"/>
                <w:color w:val="3D3935"/>
              </w:rPr>
              <w:t>20,123,276</w:t>
            </w:r>
          </w:p>
        </w:tc>
        <w:tc>
          <w:tcPr>
            <w:tcW w:w="740" w:type="dxa"/>
            <w:vAlign w:val="bottom"/>
            <w:shd w:val="clear" w:color="auto" w:fill="F0F3F6"/>
          </w:tcPr>
          <w:p>
            <w:pPr>
              <w:jc w:val="right"/>
              <w:ind w:right="17"/>
              <w:spacing w:after="0"/>
              <w:rPr>
                <w:sz w:val="20"/>
                <w:szCs w:val="20"/>
                <w:color w:val="auto"/>
              </w:rPr>
            </w:pPr>
            <w:r>
              <w:rPr>
                <w:rFonts w:ascii="Arial" w:cs="Arial" w:eastAsia="Arial" w:hAnsi="Arial"/>
                <w:sz w:val="13"/>
                <w:szCs w:val="13"/>
                <w:color w:val="3D3935"/>
              </w:rPr>
              <w:t>7,028,593</w:t>
            </w:r>
          </w:p>
        </w:tc>
        <w:tc>
          <w:tcPr>
            <w:tcW w:w="60" w:type="dxa"/>
            <w:vAlign w:val="bottom"/>
            <w:shd w:val="clear" w:color="auto" w:fill="F0F3F6"/>
          </w:tcPr>
          <w:p>
            <w:pPr>
              <w:spacing w:after="0"/>
              <w:rPr>
                <w:sz w:val="18"/>
                <w:szCs w:val="18"/>
                <w:color w:val="auto"/>
              </w:rPr>
            </w:pPr>
          </w:p>
        </w:tc>
        <w:tc>
          <w:tcPr>
            <w:tcW w:w="840" w:type="dxa"/>
            <w:vAlign w:val="bottom"/>
            <w:shd w:val="clear" w:color="auto" w:fill="F0F3F6"/>
          </w:tcPr>
          <w:p>
            <w:pPr>
              <w:jc w:val="right"/>
              <w:spacing w:after="0"/>
              <w:rPr>
                <w:sz w:val="20"/>
                <w:szCs w:val="20"/>
                <w:color w:val="auto"/>
              </w:rPr>
            </w:pPr>
            <w:r>
              <w:rPr>
                <w:rFonts w:ascii="Arial" w:cs="Arial" w:eastAsia="Arial" w:hAnsi="Arial"/>
                <w:sz w:val="13"/>
                <w:szCs w:val="13"/>
                <w:color w:val="3D3935"/>
              </w:rPr>
              <w:t>(5,416,604)</w:t>
            </w:r>
          </w:p>
        </w:tc>
        <w:tc>
          <w:tcPr>
            <w:tcW w:w="1640" w:type="dxa"/>
            <w:vAlign w:val="bottom"/>
            <w:gridSpan w:val="3"/>
            <w:shd w:val="clear" w:color="auto" w:fill="F0F3F6"/>
          </w:tcPr>
          <w:p>
            <w:pPr>
              <w:jc w:val="right"/>
              <w:ind w:right="17"/>
              <w:spacing w:after="0"/>
              <w:rPr>
                <w:sz w:val="20"/>
                <w:szCs w:val="20"/>
                <w:color w:val="auto"/>
              </w:rPr>
            </w:pPr>
            <w:r>
              <w:rPr>
                <w:rFonts w:ascii="Arial" w:cs="Arial" w:eastAsia="Arial" w:hAnsi="Arial"/>
                <w:sz w:val="13"/>
                <w:szCs w:val="13"/>
                <w:color w:val="3D3935"/>
              </w:rPr>
              <w:t>(1,411,612) (25,258,220)</w:t>
            </w:r>
          </w:p>
        </w:tc>
        <w:tc>
          <w:tcPr>
            <w:tcW w:w="720" w:type="dxa"/>
            <w:vAlign w:val="bottom"/>
            <w:shd w:val="clear" w:color="auto" w:fill="F0F3F6"/>
          </w:tcPr>
          <w:p>
            <w:pPr>
              <w:jc w:val="right"/>
              <w:spacing w:after="0"/>
              <w:rPr>
                <w:sz w:val="20"/>
                <w:szCs w:val="20"/>
                <w:color w:val="auto"/>
              </w:rPr>
            </w:pPr>
            <w:r>
              <w:rPr>
                <w:rFonts w:ascii="Arial" w:cs="Arial" w:eastAsia="Arial" w:hAnsi="Arial"/>
                <w:sz w:val="13"/>
                <w:szCs w:val="13"/>
                <w:color w:val="3D3935"/>
                <w:w w:val="99"/>
              </w:rPr>
              <w:t>(7,683,634)</w:t>
            </w:r>
          </w:p>
        </w:tc>
        <w:tc>
          <w:tcPr>
            <w:tcW w:w="60" w:type="dxa"/>
            <w:vAlign w:val="bottom"/>
            <w:shd w:val="clear" w:color="auto" w:fill="F0F3F6"/>
          </w:tcPr>
          <w:p>
            <w:pPr>
              <w:spacing w:after="0"/>
              <w:rPr>
                <w:sz w:val="18"/>
                <w:szCs w:val="18"/>
                <w:color w:val="auto"/>
              </w:rPr>
            </w:pPr>
          </w:p>
        </w:tc>
        <w:tc>
          <w:tcPr>
            <w:tcW w:w="840" w:type="dxa"/>
            <w:vAlign w:val="bottom"/>
            <w:shd w:val="clear" w:color="auto" w:fill="F0F3F6"/>
          </w:tcPr>
          <w:p>
            <w:pPr>
              <w:jc w:val="right"/>
              <w:ind w:right="97"/>
              <w:spacing w:after="0"/>
              <w:rPr>
                <w:sz w:val="20"/>
                <w:szCs w:val="20"/>
                <w:color w:val="auto"/>
              </w:rPr>
            </w:pPr>
            <w:r>
              <w:rPr>
                <w:rFonts w:ascii="Arial" w:cs="Arial" w:eastAsia="Arial" w:hAnsi="Arial"/>
                <w:sz w:val="13"/>
                <w:szCs w:val="13"/>
                <w:color w:val="3D3935"/>
              </w:rPr>
              <w:t>25,646,494</w:t>
            </w:r>
          </w:p>
        </w:tc>
        <w:tc>
          <w:tcPr>
            <w:tcW w:w="740" w:type="dxa"/>
            <w:vAlign w:val="bottom"/>
            <w:shd w:val="clear" w:color="auto" w:fill="F0F3F6"/>
          </w:tcPr>
          <w:p>
            <w:pPr>
              <w:jc w:val="right"/>
              <w:ind w:right="17"/>
              <w:spacing w:after="0"/>
              <w:rPr>
                <w:sz w:val="20"/>
                <w:szCs w:val="20"/>
                <w:color w:val="auto"/>
              </w:rPr>
            </w:pPr>
            <w:r>
              <w:rPr>
                <w:rFonts w:ascii="Arial" w:cs="Arial" w:eastAsia="Arial" w:hAnsi="Arial"/>
                <w:sz w:val="13"/>
                <w:szCs w:val="13"/>
                <w:color w:val="3D3935"/>
              </w:rPr>
              <w:t>5,307,302</w:t>
            </w:r>
          </w:p>
        </w:tc>
        <w:tc>
          <w:tcPr>
            <w:tcW w:w="60" w:type="dxa"/>
            <w:vAlign w:val="bottom"/>
            <w:shd w:val="clear" w:color="auto" w:fill="F0F3F6"/>
          </w:tcPr>
          <w:p>
            <w:pPr>
              <w:spacing w:after="0"/>
              <w:rPr>
                <w:sz w:val="18"/>
                <w:szCs w:val="18"/>
                <w:color w:val="auto"/>
              </w:rPr>
            </w:pPr>
          </w:p>
        </w:tc>
        <w:tc>
          <w:tcPr>
            <w:tcW w:w="860" w:type="dxa"/>
            <w:vAlign w:val="bottom"/>
            <w:shd w:val="clear" w:color="auto" w:fill="F0F3F6"/>
          </w:tcPr>
          <w:p>
            <w:pPr>
              <w:jc w:val="right"/>
              <w:ind w:right="77"/>
              <w:spacing w:after="0"/>
              <w:rPr>
                <w:sz w:val="20"/>
                <w:szCs w:val="20"/>
                <w:color w:val="auto"/>
              </w:rPr>
            </w:pPr>
            <w:r>
              <w:rPr>
                <w:rFonts w:ascii="Arial" w:cs="Arial" w:eastAsia="Arial" w:hAnsi="Arial"/>
                <w:sz w:val="13"/>
                <w:szCs w:val="13"/>
                <w:color w:val="3D3935"/>
              </w:rPr>
              <w:t>10,087,483</w:t>
            </w:r>
          </w:p>
        </w:tc>
        <w:tc>
          <w:tcPr>
            <w:tcW w:w="680" w:type="dxa"/>
            <w:vAlign w:val="bottom"/>
            <w:shd w:val="clear" w:color="auto" w:fill="F0F3F6"/>
          </w:tcPr>
          <w:p>
            <w:pPr>
              <w:jc w:val="right"/>
              <w:ind w:right="17"/>
              <w:spacing w:after="0"/>
              <w:rPr>
                <w:sz w:val="20"/>
                <w:szCs w:val="20"/>
                <w:color w:val="auto"/>
              </w:rPr>
            </w:pPr>
            <w:r>
              <w:rPr>
                <w:rFonts w:ascii="Arial" w:cs="Arial" w:eastAsia="Arial" w:hAnsi="Arial"/>
                <w:sz w:val="13"/>
                <w:szCs w:val="13"/>
                <w:color w:val="3D3935"/>
              </w:rPr>
              <w:t>768,879</w:t>
            </w:r>
          </w:p>
        </w:tc>
        <w:tc>
          <w:tcPr>
            <w:tcW w:w="20" w:type="dxa"/>
            <w:vAlign w:val="bottom"/>
          </w:tcPr>
          <w:p>
            <w:pPr>
              <w:spacing w:after="0"/>
              <w:rPr>
                <w:sz w:val="18"/>
                <w:szCs w:val="18"/>
                <w:color w:val="auto"/>
              </w:rPr>
            </w:pPr>
          </w:p>
        </w:tc>
      </w:tr>
      <w:tr>
        <w:trPr>
          <w:trHeight w:val="124"/>
        </w:trPr>
        <w:tc>
          <w:tcPr>
            <w:tcW w:w="980" w:type="dxa"/>
            <w:vAlign w:val="bottom"/>
            <w:tcBorders>
              <w:top w:val="single" w:sz="8" w:color="F0F3F6"/>
            </w:tcBorders>
            <w:shd w:val="clear" w:color="auto" w:fill="F0F3F6"/>
          </w:tcPr>
          <w:p>
            <w:pPr>
              <w:ind w:left="60"/>
              <w:spacing w:after="0" w:line="124" w:lineRule="exact"/>
              <w:rPr>
                <w:sz w:val="20"/>
                <w:szCs w:val="20"/>
                <w:color w:val="auto"/>
              </w:rPr>
            </w:pPr>
            <w:r>
              <w:rPr>
                <w:rFonts w:ascii="Arial" w:cs="Arial" w:eastAsia="Arial" w:hAnsi="Arial"/>
                <w:sz w:val="13"/>
                <w:szCs w:val="13"/>
                <w:color w:val="3D3935"/>
              </w:rPr>
              <w:t>Value of</w:t>
            </w:r>
          </w:p>
        </w:tc>
        <w:tc>
          <w:tcPr>
            <w:tcW w:w="860" w:type="dxa"/>
            <w:vAlign w:val="bottom"/>
            <w:tcBorders>
              <w:top w:val="single" w:sz="8" w:color="0072CE"/>
            </w:tcBorders>
            <w:shd w:val="clear" w:color="auto" w:fill="F0F3F6"/>
          </w:tcPr>
          <w:p>
            <w:pPr>
              <w:spacing w:after="0"/>
              <w:rPr>
                <w:sz w:val="10"/>
                <w:szCs w:val="10"/>
                <w:color w:val="auto"/>
              </w:rPr>
            </w:pPr>
          </w:p>
        </w:tc>
        <w:tc>
          <w:tcPr>
            <w:tcW w:w="740" w:type="dxa"/>
            <w:vAlign w:val="bottom"/>
            <w:tcBorders>
              <w:top w:val="single" w:sz="8" w:color="0072CE"/>
            </w:tcBorders>
            <w:shd w:val="clear" w:color="auto" w:fill="F0F3F6"/>
          </w:tcPr>
          <w:p>
            <w:pPr>
              <w:spacing w:after="0"/>
              <w:rPr>
                <w:sz w:val="10"/>
                <w:szCs w:val="10"/>
                <w:color w:val="auto"/>
              </w:rPr>
            </w:pPr>
          </w:p>
        </w:tc>
        <w:tc>
          <w:tcPr>
            <w:tcW w:w="60" w:type="dxa"/>
            <w:vAlign w:val="bottom"/>
            <w:tcBorders>
              <w:top w:val="single" w:sz="8" w:color="F0F3F6"/>
            </w:tcBorders>
            <w:shd w:val="clear" w:color="auto" w:fill="F0F3F6"/>
          </w:tcPr>
          <w:p>
            <w:pPr>
              <w:spacing w:after="0"/>
              <w:rPr>
                <w:sz w:val="10"/>
                <w:szCs w:val="10"/>
                <w:color w:val="auto"/>
              </w:rPr>
            </w:pPr>
          </w:p>
        </w:tc>
        <w:tc>
          <w:tcPr>
            <w:tcW w:w="840" w:type="dxa"/>
            <w:vAlign w:val="bottom"/>
            <w:tcBorders>
              <w:top w:val="single" w:sz="8" w:color="0072CE"/>
            </w:tcBorders>
            <w:shd w:val="clear" w:color="auto" w:fill="F0F3F6"/>
          </w:tcPr>
          <w:p>
            <w:pPr>
              <w:spacing w:after="0"/>
              <w:rPr>
                <w:sz w:val="10"/>
                <w:szCs w:val="10"/>
                <w:color w:val="auto"/>
              </w:rPr>
            </w:pPr>
          </w:p>
        </w:tc>
        <w:tc>
          <w:tcPr>
            <w:tcW w:w="740" w:type="dxa"/>
            <w:vAlign w:val="bottom"/>
            <w:tcBorders>
              <w:top w:val="single" w:sz="8" w:color="0072CE"/>
            </w:tcBorders>
            <w:shd w:val="clear" w:color="auto" w:fill="F0F3F6"/>
          </w:tcPr>
          <w:p>
            <w:pPr>
              <w:spacing w:after="0"/>
              <w:rPr>
                <w:sz w:val="10"/>
                <w:szCs w:val="10"/>
                <w:color w:val="auto"/>
              </w:rPr>
            </w:pPr>
          </w:p>
        </w:tc>
        <w:tc>
          <w:tcPr>
            <w:tcW w:w="60" w:type="dxa"/>
            <w:vAlign w:val="bottom"/>
            <w:tcBorders>
              <w:top w:val="single" w:sz="8" w:color="F0F3F6"/>
            </w:tcBorders>
            <w:shd w:val="clear" w:color="auto" w:fill="F0F3F6"/>
          </w:tcPr>
          <w:p>
            <w:pPr>
              <w:spacing w:after="0"/>
              <w:rPr>
                <w:sz w:val="10"/>
                <w:szCs w:val="10"/>
                <w:color w:val="auto"/>
              </w:rPr>
            </w:pPr>
          </w:p>
        </w:tc>
        <w:tc>
          <w:tcPr>
            <w:tcW w:w="840" w:type="dxa"/>
            <w:vAlign w:val="bottom"/>
            <w:tcBorders>
              <w:top w:val="single" w:sz="8" w:color="0072CE"/>
            </w:tcBorders>
            <w:shd w:val="clear" w:color="auto" w:fill="F0F3F6"/>
          </w:tcPr>
          <w:p>
            <w:pPr>
              <w:spacing w:after="0"/>
              <w:rPr>
                <w:sz w:val="10"/>
                <w:szCs w:val="10"/>
                <w:color w:val="auto"/>
              </w:rPr>
            </w:pPr>
          </w:p>
        </w:tc>
        <w:tc>
          <w:tcPr>
            <w:tcW w:w="720" w:type="dxa"/>
            <w:vAlign w:val="bottom"/>
            <w:tcBorders>
              <w:top w:val="single" w:sz="8" w:color="0072CE"/>
            </w:tcBorders>
            <w:shd w:val="clear" w:color="auto" w:fill="F0F3F6"/>
          </w:tcPr>
          <w:p>
            <w:pPr>
              <w:spacing w:after="0"/>
              <w:rPr>
                <w:sz w:val="10"/>
                <w:szCs w:val="10"/>
                <w:color w:val="auto"/>
              </w:rPr>
            </w:pPr>
          </w:p>
        </w:tc>
        <w:tc>
          <w:tcPr>
            <w:tcW w:w="60" w:type="dxa"/>
            <w:vAlign w:val="bottom"/>
            <w:tcBorders>
              <w:top w:val="single" w:sz="8" w:color="F0F3F6"/>
            </w:tcBorders>
            <w:shd w:val="clear" w:color="auto" w:fill="F0F3F6"/>
          </w:tcPr>
          <w:p>
            <w:pPr>
              <w:spacing w:after="0"/>
              <w:rPr>
                <w:sz w:val="10"/>
                <w:szCs w:val="10"/>
                <w:color w:val="auto"/>
              </w:rPr>
            </w:pPr>
          </w:p>
        </w:tc>
        <w:tc>
          <w:tcPr>
            <w:tcW w:w="840" w:type="dxa"/>
            <w:vAlign w:val="bottom"/>
            <w:tcBorders>
              <w:top w:val="single" w:sz="8" w:color="0072CE"/>
            </w:tcBorders>
            <w:shd w:val="clear" w:color="auto" w:fill="F0F3F6"/>
          </w:tcPr>
          <w:p>
            <w:pPr>
              <w:spacing w:after="0"/>
              <w:rPr>
                <w:sz w:val="10"/>
                <w:szCs w:val="10"/>
                <w:color w:val="auto"/>
              </w:rPr>
            </w:pPr>
          </w:p>
        </w:tc>
        <w:tc>
          <w:tcPr>
            <w:tcW w:w="740" w:type="dxa"/>
            <w:vAlign w:val="bottom"/>
            <w:tcBorders>
              <w:top w:val="single" w:sz="8" w:color="0072CE"/>
            </w:tcBorders>
            <w:shd w:val="clear" w:color="auto" w:fill="F0F3F6"/>
          </w:tcPr>
          <w:p>
            <w:pPr>
              <w:spacing w:after="0"/>
              <w:rPr>
                <w:sz w:val="10"/>
                <w:szCs w:val="10"/>
                <w:color w:val="auto"/>
              </w:rPr>
            </w:pPr>
          </w:p>
        </w:tc>
        <w:tc>
          <w:tcPr>
            <w:tcW w:w="60" w:type="dxa"/>
            <w:vAlign w:val="bottom"/>
            <w:tcBorders>
              <w:top w:val="single" w:sz="8" w:color="F0F3F6"/>
            </w:tcBorders>
            <w:shd w:val="clear" w:color="auto" w:fill="F0F3F6"/>
          </w:tcPr>
          <w:p>
            <w:pPr>
              <w:spacing w:after="0"/>
              <w:rPr>
                <w:sz w:val="10"/>
                <w:szCs w:val="10"/>
                <w:color w:val="auto"/>
              </w:rPr>
            </w:pPr>
          </w:p>
        </w:tc>
        <w:tc>
          <w:tcPr>
            <w:tcW w:w="860" w:type="dxa"/>
            <w:vAlign w:val="bottom"/>
            <w:tcBorders>
              <w:top w:val="single" w:sz="8" w:color="0072CE"/>
            </w:tcBorders>
            <w:shd w:val="clear" w:color="auto" w:fill="F0F3F6"/>
          </w:tcPr>
          <w:p>
            <w:pPr>
              <w:spacing w:after="0"/>
              <w:rPr>
                <w:sz w:val="10"/>
                <w:szCs w:val="10"/>
                <w:color w:val="auto"/>
              </w:rPr>
            </w:pPr>
          </w:p>
        </w:tc>
        <w:tc>
          <w:tcPr>
            <w:tcW w:w="680" w:type="dxa"/>
            <w:vAlign w:val="bottom"/>
            <w:tcBorders>
              <w:top w:val="single" w:sz="8" w:color="0072CE"/>
            </w:tcBorders>
            <w:shd w:val="clear" w:color="auto" w:fill="F0F3F6"/>
          </w:tcPr>
          <w:p>
            <w:pPr>
              <w:spacing w:after="0"/>
              <w:rPr>
                <w:sz w:val="10"/>
                <w:szCs w:val="10"/>
                <w:color w:val="auto"/>
              </w:rPr>
            </w:pPr>
          </w:p>
        </w:tc>
        <w:tc>
          <w:tcPr>
            <w:tcW w:w="20" w:type="dxa"/>
            <w:vAlign w:val="bottom"/>
          </w:tcPr>
          <w:p>
            <w:pPr>
              <w:spacing w:after="0"/>
              <w:rPr>
                <w:sz w:val="10"/>
                <w:szCs w:val="10"/>
                <w:color w:val="auto"/>
              </w:rPr>
            </w:pPr>
          </w:p>
        </w:tc>
      </w:tr>
      <w:tr>
        <w:trPr>
          <w:trHeight w:val="162"/>
        </w:trPr>
        <w:tc>
          <w:tcPr>
            <w:tcW w:w="980" w:type="dxa"/>
            <w:vAlign w:val="bottom"/>
            <w:shd w:val="clear" w:color="auto" w:fill="F0F3F6"/>
          </w:tcPr>
          <w:p>
            <w:pPr>
              <w:ind w:left="60"/>
              <w:spacing w:after="0"/>
              <w:rPr>
                <w:sz w:val="20"/>
                <w:szCs w:val="20"/>
                <w:color w:val="auto"/>
              </w:rPr>
            </w:pPr>
            <w:r>
              <w:rPr>
                <w:rFonts w:ascii="Arial" w:cs="Arial" w:eastAsia="Arial" w:hAnsi="Arial"/>
                <w:sz w:val="13"/>
                <w:szCs w:val="13"/>
                <w:color w:val="3D3935"/>
              </w:rPr>
              <w:t>Outstanding</w:t>
            </w:r>
          </w:p>
        </w:tc>
        <w:tc>
          <w:tcPr>
            <w:tcW w:w="860" w:type="dxa"/>
            <w:vAlign w:val="bottom"/>
            <w:shd w:val="clear" w:color="auto" w:fill="F0F3F6"/>
          </w:tcPr>
          <w:p>
            <w:pPr>
              <w:spacing w:after="0"/>
              <w:rPr>
                <w:sz w:val="14"/>
                <w:szCs w:val="14"/>
                <w:color w:val="auto"/>
              </w:rPr>
            </w:pPr>
          </w:p>
        </w:tc>
        <w:tc>
          <w:tcPr>
            <w:tcW w:w="740" w:type="dxa"/>
            <w:vAlign w:val="bottom"/>
            <w:shd w:val="clear" w:color="auto" w:fill="F0F3F6"/>
          </w:tcPr>
          <w:p>
            <w:pPr>
              <w:spacing w:after="0"/>
              <w:rPr>
                <w:sz w:val="14"/>
                <w:szCs w:val="14"/>
                <w:color w:val="auto"/>
              </w:rPr>
            </w:pPr>
          </w:p>
        </w:tc>
        <w:tc>
          <w:tcPr>
            <w:tcW w:w="60" w:type="dxa"/>
            <w:vAlign w:val="bottom"/>
            <w:shd w:val="clear" w:color="auto" w:fill="F0F3F6"/>
          </w:tcPr>
          <w:p>
            <w:pPr>
              <w:spacing w:after="0"/>
              <w:rPr>
                <w:sz w:val="14"/>
                <w:szCs w:val="14"/>
                <w:color w:val="auto"/>
              </w:rPr>
            </w:pPr>
          </w:p>
        </w:tc>
        <w:tc>
          <w:tcPr>
            <w:tcW w:w="840" w:type="dxa"/>
            <w:vAlign w:val="bottom"/>
            <w:shd w:val="clear" w:color="auto" w:fill="F0F3F6"/>
          </w:tcPr>
          <w:p>
            <w:pPr>
              <w:spacing w:after="0"/>
              <w:rPr>
                <w:sz w:val="14"/>
                <w:szCs w:val="14"/>
                <w:color w:val="auto"/>
              </w:rPr>
            </w:pPr>
          </w:p>
        </w:tc>
        <w:tc>
          <w:tcPr>
            <w:tcW w:w="740" w:type="dxa"/>
            <w:vAlign w:val="bottom"/>
            <w:shd w:val="clear" w:color="auto" w:fill="F0F3F6"/>
          </w:tcPr>
          <w:p>
            <w:pPr>
              <w:spacing w:after="0"/>
              <w:rPr>
                <w:sz w:val="14"/>
                <w:szCs w:val="14"/>
                <w:color w:val="auto"/>
              </w:rPr>
            </w:pPr>
          </w:p>
        </w:tc>
        <w:tc>
          <w:tcPr>
            <w:tcW w:w="60" w:type="dxa"/>
            <w:vAlign w:val="bottom"/>
            <w:shd w:val="clear" w:color="auto" w:fill="F0F3F6"/>
          </w:tcPr>
          <w:p>
            <w:pPr>
              <w:spacing w:after="0"/>
              <w:rPr>
                <w:sz w:val="14"/>
                <w:szCs w:val="14"/>
                <w:color w:val="auto"/>
              </w:rPr>
            </w:pPr>
          </w:p>
        </w:tc>
        <w:tc>
          <w:tcPr>
            <w:tcW w:w="840" w:type="dxa"/>
            <w:vAlign w:val="bottom"/>
            <w:shd w:val="clear" w:color="auto" w:fill="F0F3F6"/>
          </w:tcPr>
          <w:p>
            <w:pPr>
              <w:spacing w:after="0"/>
              <w:rPr>
                <w:sz w:val="14"/>
                <w:szCs w:val="14"/>
                <w:color w:val="auto"/>
              </w:rPr>
            </w:pPr>
          </w:p>
        </w:tc>
        <w:tc>
          <w:tcPr>
            <w:tcW w:w="720" w:type="dxa"/>
            <w:vAlign w:val="bottom"/>
            <w:shd w:val="clear" w:color="auto" w:fill="F0F3F6"/>
          </w:tcPr>
          <w:p>
            <w:pPr>
              <w:spacing w:after="0"/>
              <w:rPr>
                <w:sz w:val="14"/>
                <w:szCs w:val="14"/>
                <w:color w:val="auto"/>
              </w:rPr>
            </w:pPr>
          </w:p>
        </w:tc>
        <w:tc>
          <w:tcPr>
            <w:tcW w:w="60" w:type="dxa"/>
            <w:vAlign w:val="bottom"/>
            <w:shd w:val="clear" w:color="auto" w:fill="F0F3F6"/>
          </w:tcPr>
          <w:p>
            <w:pPr>
              <w:spacing w:after="0"/>
              <w:rPr>
                <w:sz w:val="14"/>
                <w:szCs w:val="14"/>
                <w:color w:val="auto"/>
              </w:rPr>
            </w:pPr>
          </w:p>
        </w:tc>
        <w:tc>
          <w:tcPr>
            <w:tcW w:w="840" w:type="dxa"/>
            <w:vAlign w:val="bottom"/>
            <w:shd w:val="clear" w:color="auto" w:fill="F0F3F6"/>
          </w:tcPr>
          <w:p>
            <w:pPr>
              <w:spacing w:after="0"/>
              <w:rPr>
                <w:sz w:val="14"/>
                <w:szCs w:val="14"/>
                <w:color w:val="auto"/>
              </w:rPr>
            </w:pPr>
          </w:p>
        </w:tc>
        <w:tc>
          <w:tcPr>
            <w:tcW w:w="740" w:type="dxa"/>
            <w:vAlign w:val="bottom"/>
            <w:shd w:val="clear" w:color="auto" w:fill="F0F3F6"/>
          </w:tcPr>
          <w:p>
            <w:pPr>
              <w:spacing w:after="0"/>
              <w:rPr>
                <w:sz w:val="14"/>
                <w:szCs w:val="14"/>
                <w:color w:val="auto"/>
              </w:rPr>
            </w:pPr>
          </w:p>
        </w:tc>
        <w:tc>
          <w:tcPr>
            <w:tcW w:w="60" w:type="dxa"/>
            <w:vAlign w:val="bottom"/>
            <w:shd w:val="clear" w:color="auto" w:fill="F0F3F6"/>
          </w:tcPr>
          <w:p>
            <w:pPr>
              <w:spacing w:after="0"/>
              <w:rPr>
                <w:sz w:val="14"/>
                <w:szCs w:val="14"/>
                <w:color w:val="auto"/>
              </w:rPr>
            </w:pPr>
          </w:p>
        </w:tc>
        <w:tc>
          <w:tcPr>
            <w:tcW w:w="860" w:type="dxa"/>
            <w:vAlign w:val="bottom"/>
            <w:shd w:val="clear" w:color="auto" w:fill="F0F3F6"/>
          </w:tcPr>
          <w:p>
            <w:pPr>
              <w:spacing w:after="0"/>
              <w:rPr>
                <w:sz w:val="14"/>
                <w:szCs w:val="14"/>
                <w:color w:val="auto"/>
              </w:rPr>
            </w:pPr>
          </w:p>
        </w:tc>
        <w:tc>
          <w:tcPr>
            <w:tcW w:w="680" w:type="dxa"/>
            <w:vAlign w:val="bottom"/>
            <w:shd w:val="clear" w:color="auto" w:fill="F0F3F6"/>
          </w:tcPr>
          <w:p>
            <w:pPr>
              <w:spacing w:after="0"/>
              <w:rPr>
                <w:sz w:val="14"/>
                <w:szCs w:val="14"/>
                <w:color w:val="auto"/>
              </w:rPr>
            </w:pPr>
          </w:p>
        </w:tc>
        <w:tc>
          <w:tcPr>
            <w:tcW w:w="20" w:type="dxa"/>
            <w:vAlign w:val="bottom"/>
          </w:tcPr>
          <w:p>
            <w:pPr>
              <w:spacing w:after="0"/>
              <w:rPr>
                <w:sz w:val="14"/>
                <w:szCs w:val="14"/>
                <w:color w:val="auto"/>
              </w:rPr>
            </w:pPr>
          </w:p>
        </w:tc>
      </w:tr>
      <w:tr>
        <w:trPr>
          <w:trHeight w:val="166"/>
        </w:trPr>
        <w:tc>
          <w:tcPr>
            <w:tcW w:w="980" w:type="dxa"/>
            <w:vAlign w:val="bottom"/>
            <w:tcBorders>
              <w:bottom w:val="single" w:sz="8" w:color="0072CE"/>
            </w:tcBorders>
            <w:shd w:val="clear" w:color="auto" w:fill="F0F3F6"/>
          </w:tcPr>
          <w:p>
            <w:pPr>
              <w:ind w:left="60"/>
              <w:spacing w:after="0"/>
              <w:rPr>
                <w:sz w:val="20"/>
                <w:szCs w:val="20"/>
                <w:color w:val="auto"/>
              </w:rPr>
            </w:pPr>
            <w:r>
              <w:rPr>
                <w:rFonts w:ascii="Arial" w:cs="Arial" w:eastAsia="Arial" w:hAnsi="Arial"/>
                <w:sz w:val="13"/>
                <w:szCs w:val="13"/>
                <w:color w:val="3D3935"/>
              </w:rPr>
              <w:t>and Unvested</w:t>
            </w:r>
          </w:p>
        </w:tc>
        <w:tc>
          <w:tcPr>
            <w:tcW w:w="860" w:type="dxa"/>
            <w:vAlign w:val="bottom"/>
            <w:tcBorders>
              <w:bottom w:val="single" w:sz="8" w:color="0072CE"/>
            </w:tcBorders>
            <w:shd w:val="clear" w:color="auto" w:fill="F0F3F6"/>
          </w:tcPr>
          <w:p>
            <w:pPr>
              <w:spacing w:after="0"/>
              <w:rPr>
                <w:sz w:val="14"/>
                <w:szCs w:val="14"/>
                <w:color w:val="auto"/>
              </w:rPr>
            </w:pPr>
          </w:p>
        </w:tc>
        <w:tc>
          <w:tcPr>
            <w:tcW w:w="740" w:type="dxa"/>
            <w:vAlign w:val="bottom"/>
            <w:tcBorders>
              <w:bottom w:val="single" w:sz="8" w:color="0072CE"/>
            </w:tcBorders>
            <w:shd w:val="clear" w:color="auto" w:fill="F0F3F6"/>
          </w:tcPr>
          <w:p>
            <w:pPr>
              <w:spacing w:after="0"/>
              <w:rPr>
                <w:sz w:val="14"/>
                <w:szCs w:val="14"/>
                <w:color w:val="auto"/>
              </w:rPr>
            </w:pPr>
          </w:p>
        </w:tc>
        <w:tc>
          <w:tcPr>
            <w:tcW w:w="60" w:type="dxa"/>
            <w:vAlign w:val="bottom"/>
            <w:tcBorders>
              <w:bottom w:val="single" w:sz="8" w:color="0072CE"/>
            </w:tcBorders>
            <w:shd w:val="clear" w:color="auto" w:fill="F0F3F6"/>
          </w:tcPr>
          <w:p>
            <w:pPr>
              <w:spacing w:after="0"/>
              <w:rPr>
                <w:sz w:val="14"/>
                <w:szCs w:val="14"/>
                <w:color w:val="auto"/>
              </w:rPr>
            </w:pPr>
          </w:p>
        </w:tc>
        <w:tc>
          <w:tcPr>
            <w:tcW w:w="840" w:type="dxa"/>
            <w:vAlign w:val="bottom"/>
            <w:tcBorders>
              <w:bottom w:val="single" w:sz="8" w:color="0072CE"/>
            </w:tcBorders>
            <w:shd w:val="clear" w:color="auto" w:fill="F0F3F6"/>
          </w:tcPr>
          <w:p>
            <w:pPr>
              <w:spacing w:after="0"/>
              <w:rPr>
                <w:sz w:val="14"/>
                <w:szCs w:val="14"/>
                <w:color w:val="auto"/>
              </w:rPr>
            </w:pPr>
          </w:p>
        </w:tc>
        <w:tc>
          <w:tcPr>
            <w:tcW w:w="740" w:type="dxa"/>
            <w:vAlign w:val="bottom"/>
            <w:tcBorders>
              <w:bottom w:val="single" w:sz="8" w:color="0072CE"/>
            </w:tcBorders>
            <w:shd w:val="clear" w:color="auto" w:fill="F0F3F6"/>
          </w:tcPr>
          <w:p>
            <w:pPr>
              <w:spacing w:after="0"/>
              <w:rPr>
                <w:sz w:val="14"/>
                <w:szCs w:val="14"/>
                <w:color w:val="auto"/>
              </w:rPr>
            </w:pPr>
          </w:p>
        </w:tc>
        <w:tc>
          <w:tcPr>
            <w:tcW w:w="60" w:type="dxa"/>
            <w:vAlign w:val="bottom"/>
            <w:tcBorders>
              <w:bottom w:val="single" w:sz="8" w:color="0072CE"/>
            </w:tcBorders>
            <w:shd w:val="clear" w:color="auto" w:fill="F0F3F6"/>
          </w:tcPr>
          <w:p>
            <w:pPr>
              <w:spacing w:after="0"/>
              <w:rPr>
                <w:sz w:val="14"/>
                <w:szCs w:val="14"/>
                <w:color w:val="auto"/>
              </w:rPr>
            </w:pPr>
          </w:p>
        </w:tc>
        <w:tc>
          <w:tcPr>
            <w:tcW w:w="840" w:type="dxa"/>
            <w:vAlign w:val="bottom"/>
            <w:tcBorders>
              <w:bottom w:val="single" w:sz="8" w:color="0072CE"/>
            </w:tcBorders>
            <w:shd w:val="clear" w:color="auto" w:fill="F0F3F6"/>
          </w:tcPr>
          <w:p>
            <w:pPr>
              <w:spacing w:after="0"/>
              <w:rPr>
                <w:sz w:val="14"/>
                <w:szCs w:val="14"/>
                <w:color w:val="auto"/>
              </w:rPr>
            </w:pPr>
          </w:p>
        </w:tc>
        <w:tc>
          <w:tcPr>
            <w:tcW w:w="720" w:type="dxa"/>
            <w:vAlign w:val="bottom"/>
            <w:tcBorders>
              <w:bottom w:val="single" w:sz="8" w:color="0072CE"/>
            </w:tcBorders>
            <w:shd w:val="clear" w:color="auto" w:fill="F0F3F6"/>
          </w:tcPr>
          <w:p>
            <w:pPr>
              <w:spacing w:after="0"/>
              <w:rPr>
                <w:sz w:val="14"/>
                <w:szCs w:val="14"/>
                <w:color w:val="auto"/>
              </w:rPr>
            </w:pPr>
          </w:p>
        </w:tc>
        <w:tc>
          <w:tcPr>
            <w:tcW w:w="60" w:type="dxa"/>
            <w:vAlign w:val="bottom"/>
            <w:tcBorders>
              <w:bottom w:val="single" w:sz="8" w:color="0072CE"/>
            </w:tcBorders>
            <w:shd w:val="clear" w:color="auto" w:fill="F0F3F6"/>
          </w:tcPr>
          <w:p>
            <w:pPr>
              <w:spacing w:after="0"/>
              <w:rPr>
                <w:sz w:val="14"/>
                <w:szCs w:val="14"/>
                <w:color w:val="auto"/>
              </w:rPr>
            </w:pPr>
          </w:p>
        </w:tc>
        <w:tc>
          <w:tcPr>
            <w:tcW w:w="840" w:type="dxa"/>
            <w:vAlign w:val="bottom"/>
            <w:tcBorders>
              <w:bottom w:val="single" w:sz="8" w:color="0072CE"/>
            </w:tcBorders>
            <w:shd w:val="clear" w:color="auto" w:fill="F0F3F6"/>
          </w:tcPr>
          <w:p>
            <w:pPr>
              <w:spacing w:after="0"/>
              <w:rPr>
                <w:sz w:val="14"/>
                <w:szCs w:val="14"/>
                <w:color w:val="auto"/>
              </w:rPr>
            </w:pPr>
          </w:p>
        </w:tc>
        <w:tc>
          <w:tcPr>
            <w:tcW w:w="740" w:type="dxa"/>
            <w:vAlign w:val="bottom"/>
            <w:tcBorders>
              <w:bottom w:val="single" w:sz="8" w:color="0072CE"/>
            </w:tcBorders>
            <w:shd w:val="clear" w:color="auto" w:fill="F0F3F6"/>
          </w:tcPr>
          <w:p>
            <w:pPr>
              <w:spacing w:after="0"/>
              <w:rPr>
                <w:sz w:val="14"/>
                <w:szCs w:val="14"/>
                <w:color w:val="auto"/>
              </w:rPr>
            </w:pPr>
          </w:p>
        </w:tc>
        <w:tc>
          <w:tcPr>
            <w:tcW w:w="60" w:type="dxa"/>
            <w:vAlign w:val="bottom"/>
            <w:tcBorders>
              <w:bottom w:val="single" w:sz="8" w:color="0072CE"/>
            </w:tcBorders>
            <w:shd w:val="clear" w:color="auto" w:fill="F0F3F6"/>
          </w:tcPr>
          <w:p>
            <w:pPr>
              <w:spacing w:after="0"/>
              <w:rPr>
                <w:sz w:val="14"/>
                <w:szCs w:val="14"/>
                <w:color w:val="auto"/>
              </w:rPr>
            </w:pPr>
          </w:p>
        </w:tc>
        <w:tc>
          <w:tcPr>
            <w:tcW w:w="860" w:type="dxa"/>
            <w:vAlign w:val="bottom"/>
            <w:tcBorders>
              <w:bottom w:val="single" w:sz="8" w:color="0072CE"/>
            </w:tcBorders>
            <w:shd w:val="clear" w:color="auto" w:fill="F0F3F6"/>
          </w:tcPr>
          <w:p>
            <w:pPr>
              <w:spacing w:after="0"/>
              <w:rPr>
                <w:sz w:val="14"/>
                <w:szCs w:val="14"/>
                <w:color w:val="auto"/>
              </w:rPr>
            </w:pPr>
          </w:p>
        </w:tc>
        <w:tc>
          <w:tcPr>
            <w:tcW w:w="680" w:type="dxa"/>
            <w:vAlign w:val="bottom"/>
            <w:tcBorders>
              <w:bottom w:val="single" w:sz="8" w:color="0072CE"/>
            </w:tcBorders>
            <w:shd w:val="clear" w:color="auto" w:fill="F0F3F6"/>
          </w:tcPr>
          <w:p>
            <w:pPr>
              <w:spacing w:after="0"/>
              <w:rPr>
                <w:sz w:val="14"/>
                <w:szCs w:val="14"/>
                <w:color w:val="auto"/>
              </w:rPr>
            </w:pPr>
          </w:p>
        </w:tc>
        <w:tc>
          <w:tcPr>
            <w:tcW w:w="20" w:type="dxa"/>
            <w:vAlign w:val="bottom"/>
          </w:tcPr>
          <w:p>
            <w:pPr>
              <w:spacing w:after="0"/>
              <w:rPr>
                <w:sz w:val="14"/>
                <w:szCs w:val="14"/>
                <w:color w:val="auto"/>
              </w:rPr>
            </w:pPr>
          </w:p>
        </w:tc>
      </w:tr>
      <w:tr>
        <w:trPr>
          <w:trHeight w:val="111"/>
        </w:trPr>
        <w:tc>
          <w:tcPr>
            <w:tcW w:w="980" w:type="dxa"/>
            <w:vAlign w:val="bottom"/>
          </w:tcPr>
          <w:p>
            <w:pPr>
              <w:ind w:left="60"/>
              <w:spacing w:after="0" w:line="111" w:lineRule="exact"/>
              <w:rPr>
                <w:sz w:val="20"/>
                <w:szCs w:val="20"/>
                <w:color w:val="auto"/>
              </w:rPr>
            </w:pPr>
            <w:r>
              <w:rPr>
                <w:rFonts w:ascii="Arial" w:cs="Arial" w:eastAsia="Arial" w:hAnsi="Arial"/>
                <w:sz w:val="12"/>
                <w:szCs w:val="12"/>
                <w:color w:val="3D3935"/>
              </w:rPr>
              <w:t>Stock Awards</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48"/>
        </w:trPr>
        <w:tc>
          <w:tcPr>
            <w:tcW w:w="980" w:type="dxa"/>
            <w:vAlign w:val="bottom"/>
          </w:tcPr>
          <w:p>
            <w:pPr>
              <w:ind w:left="60"/>
              <w:spacing w:after="0"/>
              <w:rPr>
                <w:sz w:val="20"/>
                <w:szCs w:val="20"/>
                <w:color w:val="auto"/>
              </w:rPr>
            </w:pPr>
            <w:r>
              <w:rPr>
                <w:rFonts w:ascii="Arial" w:cs="Arial" w:eastAsia="Arial" w:hAnsi="Arial"/>
                <w:sz w:val="13"/>
                <w:szCs w:val="13"/>
                <w:color w:val="3D3935"/>
              </w:rPr>
              <w:t>Granted in</w:t>
            </w: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980" w:type="dxa"/>
            <w:vAlign w:val="bottom"/>
          </w:tcPr>
          <w:p>
            <w:pPr>
              <w:ind w:left="60"/>
              <w:spacing w:after="0"/>
              <w:rPr>
                <w:sz w:val="20"/>
                <w:szCs w:val="20"/>
                <w:color w:val="auto"/>
              </w:rPr>
            </w:pPr>
            <w:r>
              <w:rPr>
                <w:rFonts w:ascii="Arial" w:cs="Arial" w:eastAsia="Arial" w:hAnsi="Arial"/>
                <w:sz w:val="13"/>
                <w:szCs w:val="13"/>
                <w:color w:val="3D3935"/>
              </w:rPr>
              <w:t>Prior Years</w:t>
            </w: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980" w:type="dxa"/>
            <w:vAlign w:val="bottom"/>
          </w:tcPr>
          <w:p>
            <w:pPr>
              <w:ind w:left="60"/>
              <w:spacing w:after="0"/>
              <w:rPr>
                <w:sz w:val="20"/>
                <w:szCs w:val="20"/>
                <w:color w:val="auto"/>
              </w:rPr>
            </w:pPr>
            <w:r>
              <w:rPr>
                <w:rFonts w:ascii="Arial" w:cs="Arial" w:eastAsia="Arial" w:hAnsi="Arial"/>
                <w:sz w:val="13"/>
                <w:szCs w:val="13"/>
                <w:color w:val="3D3935"/>
              </w:rPr>
              <w:t>Change in Fair</w:t>
            </w:r>
          </w:p>
        </w:tc>
        <w:tc>
          <w:tcPr>
            <w:tcW w:w="860" w:type="dxa"/>
            <w:vAlign w:val="bottom"/>
          </w:tcPr>
          <w:p>
            <w:pPr>
              <w:jc w:val="right"/>
              <w:ind w:right="77"/>
              <w:spacing w:after="0"/>
              <w:rPr>
                <w:sz w:val="20"/>
                <w:szCs w:val="20"/>
                <w:color w:val="auto"/>
              </w:rPr>
            </w:pPr>
            <w:r>
              <w:rPr>
                <w:rFonts w:ascii="Arial" w:cs="Arial" w:eastAsia="Arial" w:hAnsi="Arial"/>
                <w:sz w:val="13"/>
                <w:szCs w:val="13"/>
                <w:color w:val="3D3935"/>
              </w:rPr>
              <w:t>465,889</w:t>
            </w:r>
          </w:p>
        </w:tc>
        <w:tc>
          <w:tcPr>
            <w:tcW w:w="740" w:type="dxa"/>
            <w:vAlign w:val="bottom"/>
          </w:tcPr>
          <w:p>
            <w:pPr>
              <w:jc w:val="right"/>
              <w:spacing w:after="0"/>
              <w:rPr>
                <w:sz w:val="20"/>
                <w:szCs w:val="20"/>
                <w:color w:val="auto"/>
              </w:rPr>
            </w:pPr>
            <w:r>
              <w:rPr>
                <w:rFonts w:ascii="Arial" w:cs="Arial" w:eastAsia="Arial" w:hAnsi="Arial"/>
                <w:sz w:val="13"/>
                <w:szCs w:val="13"/>
                <w:color w:val="3D3935"/>
              </w:rPr>
              <w:t>557,210</w:t>
            </w:r>
          </w:p>
        </w:tc>
        <w:tc>
          <w:tcPr>
            <w:tcW w:w="60" w:type="dxa"/>
            <w:vAlign w:val="bottom"/>
          </w:tcPr>
          <w:p>
            <w:pPr>
              <w:spacing w:after="0"/>
              <w:rPr>
                <w:sz w:val="18"/>
                <w:szCs w:val="18"/>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3D3935"/>
              </w:rPr>
              <w:t>3,397,165</w:t>
            </w:r>
          </w:p>
        </w:tc>
        <w:tc>
          <w:tcPr>
            <w:tcW w:w="740" w:type="dxa"/>
            <w:vAlign w:val="bottom"/>
          </w:tcPr>
          <w:p>
            <w:pPr>
              <w:jc w:val="right"/>
              <w:spacing w:after="0"/>
              <w:rPr>
                <w:sz w:val="20"/>
                <w:szCs w:val="20"/>
                <w:color w:val="auto"/>
              </w:rPr>
            </w:pPr>
            <w:r>
              <w:rPr>
                <w:rFonts w:ascii="Arial" w:cs="Arial" w:eastAsia="Arial" w:hAnsi="Arial"/>
                <w:sz w:val="13"/>
                <w:szCs w:val="13"/>
                <w:color w:val="3D3935"/>
              </w:rPr>
              <w:t>583,155</w:t>
            </w: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3D3935"/>
              </w:rPr>
              <w:t>(4,942,601)</w:t>
            </w:r>
          </w:p>
        </w:tc>
        <w:tc>
          <w:tcPr>
            <w:tcW w:w="720" w:type="dxa"/>
            <w:vAlign w:val="bottom"/>
          </w:tcPr>
          <w:p>
            <w:pPr>
              <w:jc w:val="right"/>
              <w:spacing w:after="0"/>
              <w:rPr>
                <w:sz w:val="20"/>
                <w:szCs w:val="20"/>
                <w:color w:val="auto"/>
              </w:rPr>
            </w:pPr>
            <w:r>
              <w:rPr>
                <w:rFonts w:ascii="Arial" w:cs="Arial" w:eastAsia="Arial" w:hAnsi="Arial"/>
                <w:sz w:val="13"/>
                <w:szCs w:val="13"/>
                <w:color w:val="3D3935"/>
              </w:rPr>
              <w:t>(732,230)</w:t>
            </w:r>
          </w:p>
        </w:tc>
        <w:tc>
          <w:tcPr>
            <w:tcW w:w="60" w:type="dxa"/>
            <w:vAlign w:val="bottom"/>
          </w:tcPr>
          <w:p>
            <w:pPr>
              <w:spacing w:after="0"/>
              <w:rPr>
                <w:sz w:val="18"/>
                <w:szCs w:val="18"/>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3D3935"/>
              </w:rPr>
              <w:t>5,626,432</w:t>
            </w:r>
          </w:p>
        </w:tc>
        <w:tc>
          <w:tcPr>
            <w:tcW w:w="740" w:type="dxa"/>
            <w:vAlign w:val="bottom"/>
          </w:tcPr>
          <w:p>
            <w:pPr>
              <w:jc w:val="right"/>
              <w:ind w:right="17"/>
              <w:spacing w:after="0"/>
              <w:rPr>
                <w:sz w:val="20"/>
                <w:szCs w:val="20"/>
                <w:color w:val="auto"/>
              </w:rPr>
            </w:pPr>
            <w:r>
              <w:rPr>
                <w:rFonts w:ascii="Arial" w:cs="Arial" w:eastAsia="Arial" w:hAnsi="Arial"/>
                <w:sz w:val="13"/>
                <w:szCs w:val="13"/>
                <w:color w:val="3D3935"/>
              </w:rPr>
              <w:t>646,960</w:t>
            </w:r>
          </w:p>
        </w:tc>
        <w:tc>
          <w:tcPr>
            <w:tcW w:w="60" w:type="dxa"/>
            <w:vAlign w:val="bottom"/>
          </w:tcPr>
          <w:p>
            <w:pPr>
              <w:spacing w:after="0"/>
              <w:rPr>
                <w:sz w:val="18"/>
                <w:szCs w:val="18"/>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3D3935"/>
              </w:rPr>
              <w:t>(847,866)</w:t>
            </w:r>
          </w:p>
        </w:tc>
        <w:tc>
          <w:tcPr>
            <w:tcW w:w="680" w:type="dxa"/>
            <w:vAlign w:val="bottom"/>
          </w:tcPr>
          <w:p>
            <w:pPr>
              <w:jc w:val="right"/>
              <w:spacing w:after="0"/>
              <w:rPr>
                <w:sz w:val="20"/>
                <w:szCs w:val="20"/>
                <w:color w:val="auto"/>
              </w:rPr>
            </w:pPr>
            <w:r>
              <w:rPr>
                <w:rFonts w:ascii="Arial" w:cs="Arial" w:eastAsia="Arial" w:hAnsi="Arial"/>
                <w:sz w:val="13"/>
                <w:szCs w:val="13"/>
                <w:color w:val="3D3935"/>
              </w:rPr>
              <w:t>(1,522)</w:t>
            </w:r>
          </w:p>
        </w:tc>
        <w:tc>
          <w:tcPr>
            <w:tcW w:w="20" w:type="dxa"/>
            <w:vAlign w:val="bottom"/>
          </w:tcPr>
          <w:p>
            <w:pPr>
              <w:spacing w:after="0"/>
              <w:rPr>
                <w:sz w:val="18"/>
                <w:szCs w:val="18"/>
                <w:color w:val="auto"/>
              </w:rPr>
            </w:pPr>
          </w:p>
        </w:tc>
      </w:tr>
      <w:tr>
        <w:trPr>
          <w:trHeight w:val="148"/>
        </w:trPr>
        <w:tc>
          <w:tcPr>
            <w:tcW w:w="980" w:type="dxa"/>
            <w:vAlign w:val="bottom"/>
          </w:tcPr>
          <w:p>
            <w:pPr>
              <w:ind w:left="60"/>
              <w:spacing w:after="0"/>
              <w:rPr>
                <w:sz w:val="20"/>
                <w:szCs w:val="20"/>
                <w:color w:val="auto"/>
              </w:rPr>
            </w:pPr>
            <w:r>
              <w:rPr>
                <w:rFonts w:ascii="Arial" w:cs="Arial" w:eastAsia="Arial" w:hAnsi="Arial"/>
                <w:sz w:val="13"/>
                <w:szCs w:val="13"/>
                <w:color w:val="3D3935"/>
              </w:rPr>
              <w:t>Value of Stock</w:t>
            </w: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980" w:type="dxa"/>
            <w:vAlign w:val="bottom"/>
          </w:tcPr>
          <w:p>
            <w:pPr>
              <w:ind w:left="60"/>
              <w:spacing w:after="0"/>
              <w:rPr>
                <w:sz w:val="20"/>
                <w:szCs w:val="20"/>
                <w:color w:val="auto"/>
              </w:rPr>
            </w:pPr>
            <w:r>
              <w:rPr>
                <w:rFonts w:ascii="Arial" w:cs="Arial" w:eastAsia="Arial" w:hAnsi="Arial"/>
                <w:sz w:val="13"/>
                <w:szCs w:val="13"/>
                <w:color w:val="3D3935"/>
              </w:rPr>
              <w:t>Awards that</w:t>
            </w: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6"/>
        </w:trPr>
        <w:tc>
          <w:tcPr>
            <w:tcW w:w="980" w:type="dxa"/>
            <w:vAlign w:val="bottom"/>
            <w:tcBorders>
              <w:bottom w:val="single" w:sz="8" w:color="D9D9D6"/>
            </w:tcBorders>
          </w:tcPr>
          <w:p>
            <w:pPr>
              <w:ind w:left="60"/>
              <w:spacing w:after="0"/>
              <w:rPr>
                <w:sz w:val="20"/>
                <w:szCs w:val="20"/>
                <w:color w:val="auto"/>
              </w:rPr>
            </w:pPr>
            <w:r>
              <w:rPr>
                <w:rFonts w:ascii="Arial" w:cs="Arial" w:eastAsia="Arial" w:hAnsi="Arial"/>
                <w:sz w:val="13"/>
                <w:szCs w:val="13"/>
                <w:color w:val="3D3935"/>
              </w:rPr>
              <w:t>Vested in the</w:t>
            </w:r>
          </w:p>
        </w:tc>
        <w:tc>
          <w:tcPr>
            <w:tcW w:w="860" w:type="dxa"/>
            <w:vAlign w:val="bottom"/>
            <w:tcBorders>
              <w:bottom w:val="single" w:sz="8" w:color="D9D9D6"/>
            </w:tcBorders>
          </w:tcPr>
          <w:p>
            <w:pPr>
              <w:spacing w:after="0"/>
              <w:rPr>
                <w:sz w:val="14"/>
                <w:szCs w:val="14"/>
                <w:color w:val="auto"/>
              </w:rPr>
            </w:pPr>
          </w:p>
        </w:tc>
        <w:tc>
          <w:tcPr>
            <w:tcW w:w="740" w:type="dxa"/>
            <w:vAlign w:val="bottom"/>
            <w:tcBorders>
              <w:bottom w:val="single" w:sz="8" w:color="D9D9D6"/>
            </w:tcBorders>
          </w:tcPr>
          <w:p>
            <w:pPr>
              <w:spacing w:after="0"/>
              <w:rPr>
                <w:sz w:val="14"/>
                <w:szCs w:val="14"/>
                <w:color w:val="auto"/>
              </w:rPr>
            </w:pPr>
          </w:p>
        </w:tc>
        <w:tc>
          <w:tcPr>
            <w:tcW w:w="60" w:type="dxa"/>
            <w:vAlign w:val="bottom"/>
            <w:tcBorders>
              <w:bottom w:val="single" w:sz="8" w:color="D9D9D6"/>
            </w:tcBorders>
          </w:tcPr>
          <w:p>
            <w:pPr>
              <w:spacing w:after="0"/>
              <w:rPr>
                <w:sz w:val="14"/>
                <w:szCs w:val="14"/>
                <w:color w:val="auto"/>
              </w:rPr>
            </w:pPr>
          </w:p>
        </w:tc>
        <w:tc>
          <w:tcPr>
            <w:tcW w:w="840" w:type="dxa"/>
            <w:vAlign w:val="bottom"/>
            <w:tcBorders>
              <w:bottom w:val="single" w:sz="8" w:color="D9D9D6"/>
            </w:tcBorders>
          </w:tcPr>
          <w:p>
            <w:pPr>
              <w:spacing w:after="0"/>
              <w:rPr>
                <w:sz w:val="14"/>
                <w:szCs w:val="14"/>
                <w:color w:val="auto"/>
              </w:rPr>
            </w:pPr>
          </w:p>
        </w:tc>
        <w:tc>
          <w:tcPr>
            <w:tcW w:w="740" w:type="dxa"/>
            <w:vAlign w:val="bottom"/>
            <w:tcBorders>
              <w:bottom w:val="single" w:sz="8" w:color="D9D9D6"/>
            </w:tcBorders>
          </w:tcPr>
          <w:p>
            <w:pPr>
              <w:spacing w:after="0"/>
              <w:rPr>
                <w:sz w:val="14"/>
                <w:szCs w:val="14"/>
                <w:color w:val="auto"/>
              </w:rPr>
            </w:pPr>
          </w:p>
        </w:tc>
        <w:tc>
          <w:tcPr>
            <w:tcW w:w="60" w:type="dxa"/>
            <w:vAlign w:val="bottom"/>
            <w:tcBorders>
              <w:bottom w:val="single" w:sz="8" w:color="D9D9D6"/>
            </w:tcBorders>
          </w:tcPr>
          <w:p>
            <w:pPr>
              <w:spacing w:after="0"/>
              <w:rPr>
                <w:sz w:val="14"/>
                <w:szCs w:val="14"/>
                <w:color w:val="auto"/>
              </w:rPr>
            </w:pPr>
          </w:p>
        </w:tc>
        <w:tc>
          <w:tcPr>
            <w:tcW w:w="840" w:type="dxa"/>
            <w:vAlign w:val="bottom"/>
            <w:tcBorders>
              <w:bottom w:val="single" w:sz="8" w:color="D9D9D6"/>
            </w:tcBorders>
          </w:tcPr>
          <w:p>
            <w:pPr>
              <w:spacing w:after="0"/>
              <w:rPr>
                <w:sz w:val="14"/>
                <w:szCs w:val="14"/>
                <w:color w:val="auto"/>
              </w:rPr>
            </w:pPr>
          </w:p>
        </w:tc>
        <w:tc>
          <w:tcPr>
            <w:tcW w:w="720" w:type="dxa"/>
            <w:vAlign w:val="bottom"/>
            <w:tcBorders>
              <w:bottom w:val="single" w:sz="8" w:color="D9D9D6"/>
            </w:tcBorders>
          </w:tcPr>
          <w:p>
            <w:pPr>
              <w:spacing w:after="0"/>
              <w:rPr>
                <w:sz w:val="14"/>
                <w:szCs w:val="14"/>
                <w:color w:val="auto"/>
              </w:rPr>
            </w:pPr>
          </w:p>
        </w:tc>
        <w:tc>
          <w:tcPr>
            <w:tcW w:w="60" w:type="dxa"/>
            <w:vAlign w:val="bottom"/>
            <w:tcBorders>
              <w:bottom w:val="single" w:sz="8" w:color="D9D9D6"/>
            </w:tcBorders>
          </w:tcPr>
          <w:p>
            <w:pPr>
              <w:spacing w:after="0"/>
              <w:rPr>
                <w:sz w:val="14"/>
                <w:szCs w:val="14"/>
                <w:color w:val="auto"/>
              </w:rPr>
            </w:pPr>
          </w:p>
        </w:tc>
        <w:tc>
          <w:tcPr>
            <w:tcW w:w="840" w:type="dxa"/>
            <w:vAlign w:val="bottom"/>
            <w:tcBorders>
              <w:bottom w:val="single" w:sz="8" w:color="D9D9D6"/>
            </w:tcBorders>
          </w:tcPr>
          <w:p>
            <w:pPr>
              <w:spacing w:after="0"/>
              <w:rPr>
                <w:sz w:val="14"/>
                <w:szCs w:val="14"/>
                <w:color w:val="auto"/>
              </w:rPr>
            </w:pPr>
          </w:p>
        </w:tc>
        <w:tc>
          <w:tcPr>
            <w:tcW w:w="740" w:type="dxa"/>
            <w:vAlign w:val="bottom"/>
            <w:tcBorders>
              <w:bottom w:val="single" w:sz="8" w:color="D9D9D6"/>
            </w:tcBorders>
          </w:tcPr>
          <w:p>
            <w:pPr>
              <w:spacing w:after="0"/>
              <w:rPr>
                <w:sz w:val="14"/>
                <w:szCs w:val="14"/>
                <w:color w:val="auto"/>
              </w:rPr>
            </w:pPr>
          </w:p>
        </w:tc>
        <w:tc>
          <w:tcPr>
            <w:tcW w:w="60" w:type="dxa"/>
            <w:vAlign w:val="bottom"/>
            <w:tcBorders>
              <w:bottom w:val="single" w:sz="8" w:color="D9D9D6"/>
            </w:tcBorders>
          </w:tcPr>
          <w:p>
            <w:pPr>
              <w:spacing w:after="0"/>
              <w:rPr>
                <w:sz w:val="14"/>
                <w:szCs w:val="14"/>
                <w:color w:val="auto"/>
              </w:rPr>
            </w:pPr>
          </w:p>
        </w:tc>
        <w:tc>
          <w:tcPr>
            <w:tcW w:w="860" w:type="dxa"/>
            <w:vAlign w:val="bottom"/>
            <w:tcBorders>
              <w:bottom w:val="single" w:sz="8" w:color="D9D9D6"/>
            </w:tcBorders>
          </w:tcPr>
          <w:p>
            <w:pPr>
              <w:spacing w:after="0"/>
              <w:rPr>
                <w:sz w:val="14"/>
                <w:szCs w:val="14"/>
                <w:color w:val="auto"/>
              </w:rPr>
            </w:pPr>
          </w:p>
        </w:tc>
        <w:tc>
          <w:tcPr>
            <w:tcW w:w="680" w:type="dxa"/>
            <w:vAlign w:val="bottom"/>
            <w:tcBorders>
              <w:bottom w:val="single" w:sz="8" w:color="D9D9D6"/>
            </w:tcBorders>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980" w:type="dxa"/>
            <w:vAlign w:val="bottom"/>
          </w:tcPr>
          <w:p>
            <w:pPr>
              <w:ind w:left="60"/>
              <w:spacing w:after="0"/>
              <w:rPr>
                <w:sz w:val="20"/>
                <w:szCs w:val="20"/>
                <w:color w:val="auto"/>
              </w:rPr>
            </w:pPr>
            <w:r>
              <w:rPr>
                <w:rFonts w:ascii="Arial" w:cs="Arial" w:eastAsia="Arial" w:hAnsi="Arial"/>
                <w:sz w:val="13"/>
                <w:szCs w:val="13"/>
                <w:color w:val="3D3935"/>
              </w:rPr>
              <w:t>Covered Year</w:t>
            </w: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4"/>
        </w:trPr>
        <w:tc>
          <w:tcPr>
            <w:tcW w:w="980" w:type="dxa"/>
            <w:vAlign w:val="bottom"/>
          </w:tcPr>
          <w:p>
            <w:pPr>
              <w:ind w:left="60"/>
              <w:spacing w:after="0"/>
              <w:rPr>
                <w:sz w:val="20"/>
                <w:szCs w:val="20"/>
                <w:color w:val="auto"/>
              </w:rPr>
            </w:pPr>
            <w:r>
              <w:rPr>
                <w:rFonts w:ascii="Arial" w:cs="Arial" w:eastAsia="Arial" w:hAnsi="Arial"/>
                <w:sz w:val="13"/>
                <w:szCs w:val="13"/>
                <w:color w:val="3D3935"/>
              </w:rPr>
              <w:t>Less: Fair</w:t>
            </w:r>
          </w:p>
        </w:tc>
        <w:tc>
          <w:tcPr>
            <w:tcW w:w="860" w:type="dxa"/>
            <w:vAlign w:val="bottom"/>
          </w:tcPr>
          <w:p>
            <w:pPr>
              <w:jc w:val="right"/>
              <w:spacing w:after="0"/>
              <w:rPr>
                <w:sz w:val="20"/>
                <w:szCs w:val="20"/>
                <w:color w:val="auto"/>
              </w:rPr>
            </w:pPr>
            <w:r>
              <w:rPr>
                <w:rFonts w:ascii="Arial" w:cs="Arial" w:eastAsia="Arial" w:hAnsi="Arial"/>
                <w:sz w:val="13"/>
                <w:szCs w:val="13"/>
                <w:color w:val="3D3935"/>
              </w:rPr>
              <w:t>—</w:t>
            </w: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3D3935"/>
              </w:rPr>
              <w:t>(3,150,411)</w:t>
            </w:r>
          </w:p>
        </w:tc>
        <w:tc>
          <w:tcPr>
            <w:tcW w:w="840" w:type="dxa"/>
            <w:vAlign w:val="bottom"/>
          </w:tcPr>
          <w:p>
            <w:pPr>
              <w:jc w:val="right"/>
              <w:spacing w:after="0"/>
              <w:rPr>
                <w:sz w:val="20"/>
                <w:szCs w:val="20"/>
                <w:color w:val="auto"/>
              </w:rPr>
            </w:pPr>
            <w:r>
              <w:rPr>
                <w:rFonts w:ascii="Arial" w:cs="Arial" w:eastAsia="Arial" w:hAnsi="Arial"/>
                <w:sz w:val="13"/>
                <w:szCs w:val="13"/>
                <w:color w:val="3D3935"/>
              </w:rPr>
              <w:t>—</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3D3935"/>
              </w:rPr>
              <w:t>—</w:t>
            </w:r>
          </w:p>
        </w:tc>
        <w:tc>
          <w:tcPr>
            <w:tcW w:w="840" w:type="dxa"/>
            <w:vAlign w:val="bottom"/>
          </w:tcPr>
          <w:p>
            <w:pPr>
              <w:jc w:val="right"/>
              <w:spacing w:after="0"/>
              <w:rPr>
                <w:sz w:val="20"/>
                <w:szCs w:val="20"/>
                <w:color w:val="auto"/>
              </w:rPr>
            </w:pPr>
            <w:r>
              <w:rPr>
                <w:rFonts w:ascii="Arial" w:cs="Arial" w:eastAsia="Arial" w:hAnsi="Arial"/>
                <w:sz w:val="13"/>
                <w:szCs w:val="13"/>
                <w:color w:val="3D3935"/>
              </w:rPr>
              <w:t>—</w:t>
            </w:r>
          </w:p>
        </w:tc>
        <w:tc>
          <w:tcPr>
            <w:tcW w:w="780" w:type="dxa"/>
            <w:vAlign w:val="bottom"/>
            <w:gridSpan w:val="2"/>
          </w:tcPr>
          <w:p>
            <w:pPr>
              <w:ind w:left="600"/>
              <w:spacing w:after="0"/>
              <w:rPr>
                <w:sz w:val="20"/>
                <w:szCs w:val="20"/>
                <w:color w:val="auto"/>
              </w:rPr>
            </w:pPr>
            <w:r>
              <w:rPr>
                <w:rFonts w:ascii="Arial" w:cs="Arial" w:eastAsia="Arial" w:hAnsi="Arial"/>
                <w:sz w:val="13"/>
                <w:szCs w:val="13"/>
                <w:color w:val="3D3935"/>
              </w:rPr>
              <w:t>—</w:t>
            </w:r>
          </w:p>
        </w:tc>
        <w:tc>
          <w:tcPr>
            <w:tcW w:w="840" w:type="dxa"/>
            <w:vAlign w:val="bottom"/>
          </w:tcPr>
          <w:p>
            <w:pPr>
              <w:jc w:val="right"/>
              <w:spacing w:after="0"/>
              <w:rPr>
                <w:sz w:val="20"/>
                <w:szCs w:val="20"/>
                <w:color w:val="auto"/>
              </w:rPr>
            </w:pPr>
            <w:r>
              <w:rPr>
                <w:rFonts w:ascii="Arial" w:cs="Arial" w:eastAsia="Arial" w:hAnsi="Arial"/>
                <w:sz w:val="13"/>
                <w:szCs w:val="13"/>
                <w:color w:val="3D3935"/>
              </w:rPr>
              <w:t>—</w:t>
            </w:r>
          </w:p>
        </w:tc>
        <w:tc>
          <w:tcPr>
            <w:tcW w:w="800" w:type="dxa"/>
            <w:vAlign w:val="bottom"/>
            <w:gridSpan w:val="2"/>
          </w:tcPr>
          <w:p>
            <w:pPr>
              <w:ind w:left="620"/>
              <w:spacing w:after="0"/>
              <w:rPr>
                <w:sz w:val="20"/>
                <w:szCs w:val="20"/>
                <w:color w:val="auto"/>
              </w:rPr>
            </w:pPr>
            <w:r>
              <w:rPr>
                <w:rFonts w:ascii="Arial" w:cs="Arial" w:eastAsia="Arial" w:hAnsi="Arial"/>
                <w:sz w:val="13"/>
                <w:szCs w:val="13"/>
                <w:color w:val="3D3935"/>
              </w:rPr>
              <w:t>—</w:t>
            </w:r>
          </w:p>
        </w:tc>
        <w:tc>
          <w:tcPr>
            <w:tcW w:w="860" w:type="dxa"/>
            <w:vAlign w:val="bottom"/>
          </w:tcPr>
          <w:p>
            <w:pPr>
              <w:jc w:val="right"/>
              <w:spacing w:after="0"/>
              <w:rPr>
                <w:sz w:val="20"/>
                <w:szCs w:val="20"/>
                <w:color w:val="auto"/>
              </w:rPr>
            </w:pPr>
            <w:r>
              <w:rPr>
                <w:rFonts w:ascii="Arial" w:cs="Arial" w:eastAsia="Arial" w:hAnsi="Arial"/>
                <w:sz w:val="13"/>
                <w:szCs w:val="13"/>
                <w:color w:val="3D3935"/>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3D3935"/>
              </w:rPr>
              <w:t>(1,617,289)</w:t>
            </w:r>
          </w:p>
        </w:tc>
      </w:tr>
      <w:tr>
        <w:trPr>
          <w:trHeight w:val="148"/>
        </w:trPr>
        <w:tc>
          <w:tcPr>
            <w:tcW w:w="980" w:type="dxa"/>
            <w:vAlign w:val="bottom"/>
          </w:tcPr>
          <w:p>
            <w:pPr>
              <w:ind w:left="60"/>
              <w:spacing w:after="0"/>
              <w:rPr>
                <w:sz w:val="20"/>
                <w:szCs w:val="20"/>
                <w:color w:val="auto"/>
              </w:rPr>
            </w:pPr>
            <w:r>
              <w:rPr>
                <w:rFonts w:ascii="Arial" w:cs="Arial" w:eastAsia="Arial" w:hAnsi="Arial"/>
                <w:sz w:val="13"/>
                <w:szCs w:val="13"/>
                <w:color w:val="3D3935"/>
              </w:rPr>
              <w:t>Value of Stock</w:t>
            </w: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980" w:type="dxa"/>
            <w:vAlign w:val="bottom"/>
          </w:tcPr>
          <w:p>
            <w:pPr>
              <w:ind w:left="60"/>
              <w:spacing w:after="0"/>
              <w:rPr>
                <w:sz w:val="20"/>
                <w:szCs w:val="20"/>
                <w:color w:val="auto"/>
              </w:rPr>
            </w:pPr>
            <w:r>
              <w:rPr>
                <w:rFonts w:ascii="Arial" w:cs="Arial" w:eastAsia="Arial" w:hAnsi="Arial"/>
                <w:sz w:val="13"/>
                <w:szCs w:val="13"/>
                <w:color w:val="3D3935"/>
              </w:rPr>
              <w:t>Awards</w:t>
            </w: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8"/>
        </w:trPr>
        <w:tc>
          <w:tcPr>
            <w:tcW w:w="980" w:type="dxa"/>
            <w:vAlign w:val="bottom"/>
          </w:tcPr>
          <w:p>
            <w:pPr>
              <w:ind w:left="60"/>
              <w:spacing w:after="0"/>
              <w:rPr>
                <w:sz w:val="20"/>
                <w:szCs w:val="20"/>
                <w:color w:val="auto"/>
              </w:rPr>
            </w:pPr>
            <w:r>
              <w:rPr>
                <w:rFonts w:ascii="Arial" w:cs="Arial" w:eastAsia="Arial" w:hAnsi="Arial"/>
                <w:sz w:val="13"/>
                <w:szCs w:val="13"/>
                <w:color w:val="3D3935"/>
              </w:rPr>
              <w:t>Forfeited</w:t>
            </w: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980" w:type="dxa"/>
            <w:vAlign w:val="bottom"/>
          </w:tcPr>
          <w:p>
            <w:pPr>
              <w:ind w:left="60"/>
              <w:spacing w:after="0"/>
              <w:rPr>
                <w:sz w:val="20"/>
                <w:szCs w:val="20"/>
                <w:color w:val="auto"/>
              </w:rPr>
            </w:pPr>
            <w:r>
              <w:rPr>
                <w:rFonts w:ascii="Arial" w:cs="Arial" w:eastAsia="Arial" w:hAnsi="Arial"/>
                <w:sz w:val="13"/>
                <w:szCs w:val="13"/>
                <w:color w:val="3D3935"/>
              </w:rPr>
              <w:t>During the</w:t>
            </w: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980" w:type="dxa"/>
            <w:vAlign w:val="bottom"/>
            <w:tcBorders>
              <w:bottom w:val="single" w:sz="8" w:color="D9D9D6"/>
            </w:tcBorders>
          </w:tcPr>
          <w:p>
            <w:pPr>
              <w:ind w:left="60"/>
              <w:spacing w:after="0"/>
              <w:rPr>
                <w:sz w:val="20"/>
                <w:szCs w:val="20"/>
                <w:color w:val="auto"/>
              </w:rPr>
            </w:pPr>
            <w:r>
              <w:rPr>
                <w:rFonts w:ascii="Arial" w:cs="Arial" w:eastAsia="Arial" w:hAnsi="Arial"/>
                <w:sz w:val="13"/>
                <w:szCs w:val="13"/>
                <w:color w:val="3D3935"/>
              </w:rPr>
              <w:t>Covered Year</w:t>
            </w:r>
          </w:p>
        </w:tc>
        <w:tc>
          <w:tcPr>
            <w:tcW w:w="860" w:type="dxa"/>
            <w:vAlign w:val="bottom"/>
            <w:tcBorders>
              <w:bottom w:val="single" w:sz="8" w:color="D9D9D6"/>
            </w:tcBorders>
          </w:tcPr>
          <w:p>
            <w:pPr>
              <w:spacing w:after="0"/>
              <w:rPr>
                <w:sz w:val="13"/>
                <w:szCs w:val="13"/>
                <w:color w:val="auto"/>
              </w:rPr>
            </w:pPr>
          </w:p>
        </w:tc>
        <w:tc>
          <w:tcPr>
            <w:tcW w:w="740" w:type="dxa"/>
            <w:vAlign w:val="bottom"/>
            <w:tcBorders>
              <w:bottom w:val="single" w:sz="8" w:color="D9D9D6"/>
            </w:tcBorders>
          </w:tcPr>
          <w:p>
            <w:pPr>
              <w:spacing w:after="0"/>
              <w:rPr>
                <w:sz w:val="13"/>
                <w:szCs w:val="13"/>
                <w:color w:val="auto"/>
              </w:rPr>
            </w:pPr>
          </w:p>
        </w:tc>
        <w:tc>
          <w:tcPr>
            <w:tcW w:w="60" w:type="dxa"/>
            <w:vAlign w:val="bottom"/>
            <w:tcBorders>
              <w:bottom w:val="single" w:sz="8" w:color="D9D9D6"/>
            </w:tcBorders>
          </w:tcPr>
          <w:p>
            <w:pPr>
              <w:spacing w:after="0"/>
              <w:rPr>
                <w:sz w:val="13"/>
                <w:szCs w:val="13"/>
                <w:color w:val="auto"/>
              </w:rPr>
            </w:pPr>
          </w:p>
        </w:tc>
        <w:tc>
          <w:tcPr>
            <w:tcW w:w="840" w:type="dxa"/>
            <w:vAlign w:val="bottom"/>
            <w:tcBorders>
              <w:bottom w:val="single" w:sz="8" w:color="D9D9D6"/>
            </w:tcBorders>
          </w:tcPr>
          <w:p>
            <w:pPr>
              <w:spacing w:after="0"/>
              <w:rPr>
                <w:sz w:val="13"/>
                <w:szCs w:val="13"/>
                <w:color w:val="auto"/>
              </w:rPr>
            </w:pPr>
          </w:p>
        </w:tc>
        <w:tc>
          <w:tcPr>
            <w:tcW w:w="740" w:type="dxa"/>
            <w:vAlign w:val="bottom"/>
            <w:tcBorders>
              <w:bottom w:val="single" w:sz="8" w:color="D9D9D6"/>
            </w:tcBorders>
          </w:tcPr>
          <w:p>
            <w:pPr>
              <w:spacing w:after="0"/>
              <w:rPr>
                <w:sz w:val="13"/>
                <w:szCs w:val="13"/>
                <w:color w:val="auto"/>
              </w:rPr>
            </w:pPr>
          </w:p>
        </w:tc>
        <w:tc>
          <w:tcPr>
            <w:tcW w:w="60" w:type="dxa"/>
            <w:vAlign w:val="bottom"/>
            <w:tcBorders>
              <w:bottom w:val="single" w:sz="8" w:color="D9D9D6"/>
            </w:tcBorders>
          </w:tcPr>
          <w:p>
            <w:pPr>
              <w:spacing w:after="0"/>
              <w:rPr>
                <w:sz w:val="13"/>
                <w:szCs w:val="13"/>
                <w:color w:val="auto"/>
              </w:rPr>
            </w:pPr>
          </w:p>
        </w:tc>
        <w:tc>
          <w:tcPr>
            <w:tcW w:w="840" w:type="dxa"/>
            <w:vAlign w:val="bottom"/>
            <w:tcBorders>
              <w:bottom w:val="single" w:sz="8" w:color="D9D9D6"/>
            </w:tcBorders>
          </w:tcPr>
          <w:p>
            <w:pPr>
              <w:spacing w:after="0"/>
              <w:rPr>
                <w:sz w:val="13"/>
                <w:szCs w:val="13"/>
                <w:color w:val="auto"/>
              </w:rPr>
            </w:pPr>
          </w:p>
        </w:tc>
        <w:tc>
          <w:tcPr>
            <w:tcW w:w="720" w:type="dxa"/>
            <w:vAlign w:val="bottom"/>
            <w:tcBorders>
              <w:bottom w:val="single" w:sz="8" w:color="D9D9D6"/>
            </w:tcBorders>
          </w:tcPr>
          <w:p>
            <w:pPr>
              <w:spacing w:after="0"/>
              <w:rPr>
                <w:sz w:val="13"/>
                <w:szCs w:val="13"/>
                <w:color w:val="auto"/>
              </w:rPr>
            </w:pPr>
          </w:p>
        </w:tc>
        <w:tc>
          <w:tcPr>
            <w:tcW w:w="60" w:type="dxa"/>
            <w:vAlign w:val="bottom"/>
            <w:tcBorders>
              <w:bottom w:val="single" w:sz="8" w:color="D9D9D6"/>
            </w:tcBorders>
          </w:tcPr>
          <w:p>
            <w:pPr>
              <w:spacing w:after="0"/>
              <w:rPr>
                <w:sz w:val="13"/>
                <w:szCs w:val="13"/>
                <w:color w:val="auto"/>
              </w:rPr>
            </w:pPr>
          </w:p>
        </w:tc>
        <w:tc>
          <w:tcPr>
            <w:tcW w:w="840" w:type="dxa"/>
            <w:vAlign w:val="bottom"/>
            <w:tcBorders>
              <w:bottom w:val="single" w:sz="8" w:color="D9D9D6"/>
            </w:tcBorders>
          </w:tcPr>
          <w:p>
            <w:pPr>
              <w:spacing w:after="0"/>
              <w:rPr>
                <w:sz w:val="13"/>
                <w:szCs w:val="13"/>
                <w:color w:val="auto"/>
              </w:rPr>
            </w:pPr>
          </w:p>
        </w:tc>
        <w:tc>
          <w:tcPr>
            <w:tcW w:w="740" w:type="dxa"/>
            <w:vAlign w:val="bottom"/>
            <w:tcBorders>
              <w:bottom w:val="single" w:sz="8" w:color="D9D9D6"/>
            </w:tcBorders>
          </w:tcPr>
          <w:p>
            <w:pPr>
              <w:spacing w:after="0"/>
              <w:rPr>
                <w:sz w:val="13"/>
                <w:szCs w:val="13"/>
                <w:color w:val="auto"/>
              </w:rPr>
            </w:pPr>
          </w:p>
        </w:tc>
        <w:tc>
          <w:tcPr>
            <w:tcW w:w="60" w:type="dxa"/>
            <w:vAlign w:val="bottom"/>
            <w:tcBorders>
              <w:bottom w:val="single" w:sz="8" w:color="D9D9D6"/>
            </w:tcBorders>
          </w:tcPr>
          <w:p>
            <w:pPr>
              <w:spacing w:after="0"/>
              <w:rPr>
                <w:sz w:val="13"/>
                <w:szCs w:val="13"/>
                <w:color w:val="auto"/>
              </w:rPr>
            </w:pPr>
          </w:p>
        </w:tc>
        <w:tc>
          <w:tcPr>
            <w:tcW w:w="860" w:type="dxa"/>
            <w:vAlign w:val="bottom"/>
            <w:tcBorders>
              <w:bottom w:val="single" w:sz="8" w:color="D9D9D6"/>
            </w:tcBorders>
          </w:tcPr>
          <w:p>
            <w:pPr>
              <w:spacing w:after="0"/>
              <w:rPr>
                <w:sz w:val="13"/>
                <w:szCs w:val="13"/>
                <w:color w:val="auto"/>
              </w:rPr>
            </w:pPr>
          </w:p>
        </w:tc>
        <w:tc>
          <w:tcPr>
            <w:tcW w:w="680" w:type="dxa"/>
            <w:vAlign w:val="bottom"/>
            <w:tcBorders>
              <w:bottom w:val="single" w:sz="8" w:color="D9D9D6"/>
            </w:tcBorders>
          </w:tcPr>
          <w:p>
            <w:pPr>
              <w:spacing w:after="0"/>
              <w:rPr>
                <w:sz w:val="13"/>
                <w:szCs w:val="13"/>
                <w:color w:val="auto"/>
              </w:rPr>
            </w:pPr>
          </w:p>
        </w:tc>
        <w:tc>
          <w:tcPr>
            <w:tcW w:w="20" w:type="dxa"/>
            <w:vAlign w:val="bottom"/>
          </w:tcPr>
          <w:p>
            <w:pPr>
              <w:spacing w:after="0"/>
              <w:rPr>
                <w:sz w:val="13"/>
                <w:szCs w:val="13"/>
                <w:color w:val="auto"/>
              </w:rPr>
            </w:pPr>
          </w:p>
        </w:tc>
      </w:tr>
      <w:tr>
        <w:trPr>
          <w:trHeight w:val="205"/>
        </w:trPr>
        <w:tc>
          <w:tcPr>
            <w:tcW w:w="980" w:type="dxa"/>
            <w:vAlign w:val="bottom"/>
          </w:tcPr>
          <w:p>
            <w:pPr>
              <w:ind w:left="60"/>
              <w:spacing w:after="0"/>
              <w:rPr>
                <w:sz w:val="20"/>
                <w:szCs w:val="20"/>
                <w:color w:val="auto"/>
              </w:rPr>
            </w:pPr>
            <w:r>
              <w:rPr>
                <w:rFonts w:ascii="Arial" w:cs="Arial" w:eastAsia="Arial" w:hAnsi="Arial"/>
                <w:sz w:val="13"/>
                <w:szCs w:val="13"/>
                <w:color w:val="3D3935"/>
              </w:rPr>
              <w:t>Less: Amount</w:t>
            </w:r>
          </w:p>
        </w:tc>
        <w:tc>
          <w:tcPr>
            <w:tcW w:w="860" w:type="dxa"/>
            <w:vAlign w:val="bottom"/>
          </w:tcPr>
          <w:p>
            <w:pPr>
              <w:jc w:val="right"/>
              <w:spacing w:after="0"/>
              <w:rPr>
                <w:sz w:val="20"/>
                <w:szCs w:val="20"/>
                <w:color w:val="auto"/>
              </w:rPr>
            </w:pPr>
            <w:r>
              <w:rPr>
                <w:rFonts w:ascii="Arial" w:cs="Arial" w:eastAsia="Arial" w:hAnsi="Arial"/>
                <w:sz w:val="13"/>
                <w:szCs w:val="13"/>
                <w:color w:val="3D3935"/>
              </w:rPr>
              <w:t>—</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3D3935"/>
              </w:rPr>
              <w:t>—</w:t>
            </w:r>
          </w:p>
        </w:tc>
        <w:tc>
          <w:tcPr>
            <w:tcW w:w="840" w:type="dxa"/>
            <w:vAlign w:val="bottom"/>
          </w:tcPr>
          <w:p>
            <w:pPr>
              <w:jc w:val="right"/>
              <w:spacing w:after="0"/>
              <w:rPr>
                <w:sz w:val="20"/>
                <w:szCs w:val="20"/>
                <w:color w:val="auto"/>
              </w:rPr>
            </w:pPr>
            <w:r>
              <w:rPr>
                <w:rFonts w:ascii="Arial" w:cs="Arial" w:eastAsia="Arial" w:hAnsi="Arial"/>
                <w:sz w:val="13"/>
                <w:szCs w:val="13"/>
                <w:color w:val="3D3935"/>
              </w:rPr>
              <w:t>(4,875,013)</w:t>
            </w:r>
          </w:p>
        </w:tc>
        <w:tc>
          <w:tcPr>
            <w:tcW w:w="740" w:type="dxa"/>
            <w:vAlign w:val="bottom"/>
          </w:tcPr>
          <w:p>
            <w:pPr>
              <w:jc w:val="right"/>
              <w:spacing w:after="0"/>
              <w:rPr>
                <w:sz w:val="20"/>
                <w:szCs w:val="20"/>
                <w:color w:val="auto"/>
              </w:rPr>
            </w:pPr>
            <w:r>
              <w:rPr>
                <w:rFonts w:ascii="Arial" w:cs="Arial" w:eastAsia="Arial" w:hAnsi="Arial"/>
                <w:sz w:val="13"/>
                <w:szCs w:val="13"/>
                <w:color w:val="3D3935"/>
              </w:rPr>
              <w:t>(1,796,486)</w:t>
            </w:r>
          </w:p>
        </w:tc>
        <w:tc>
          <w:tcPr>
            <w:tcW w:w="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3D3935"/>
              </w:rPr>
              <w:t>(4,875,010)</w:t>
            </w:r>
          </w:p>
        </w:tc>
        <w:tc>
          <w:tcPr>
            <w:tcW w:w="720" w:type="dxa"/>
            <w:vAlign w:val="bottom"/>
          </w:tcPr>
          <w:p>
            <w:pPr>
              <w:jc w:val="right"/>
              <w:spacing w:after="0"/>
              <w:rPr>
                <w:sz w:val="20"/>
                <w:szCs w:val="20"/>
                <w:color w:val="auto"/>
              </w:rPr>
            </w:pPr>
            <w:r>
              <w:rPr>
                <w:rFonts w:ascii="Arial" w:cs="Arial" w:eastAsia="Arial" w:hAnsi="Arial"/>
                <w:sz w:val="13"/>
                <w:szCs w:val="13"/>
                <w:color w:val="3D3935"/>
              </w:rPr>
              <w:t>(1,823,438)</w:t>
            </w:r>
          </w:p>
        </w:tc>
        <w:tc>
          <w:tcPr>
            <w:tcW w:w="60" w:type="dxa"/>
            <w:vAlign w:val="bottom"/>
          </w:tcPr>
          <w:p>
            <w:pPr>
              <w:spacing w:after="0"/>
              <w:rPr>
                <w:sz w:val="17"/>
                <w:szCs w:val="17"/>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3D3935"/>
              </w:rPr>
              <w:t>(3,937,507)</w:t>
            </w:r>
          </w:p>
        </w:tc>
        <w:tc>
          <w:tcPr>
            <w:tcW w:w="740" w:type="dxa"/>
            <w:vAlign w:val="bottom"/>
          </w:tcPr>
          <w:p>
            <w:pPr>
              <w:jc w:val="right"/>
              <w:spacing w:after="0"/>
              <w:rPr>
                <w:sz w:val="20"/>
                <w:szCs w:val="20"/>
                <w:color w:val="auto"/>
              </w:rPr>
            </w:pPr>
            <w:r>
              <w:rPr>
                <w:rFonts w:ascii="Arial" w:cs="Arial" w:eastAsia="Arial" w:hAnsi="Arial"/>
                <w:sz w:val="13"/>
                <w:szCs w:val="13"/>
                <w:color w:val="3D3935"/>
              </w:rPr>
              <w:t>(1,368,752)</w:t>
            </w:r>
          </w:p>
        </w:tc>
        <w:tc>
          <w:tcPr>
            <w:tcW w:w="60" w:type="dxa"/>
            <w:vAlign w:val="bottom"/>
          </w:tcPr>
          <w:p>
            <w:pPr>
              <w:spacing w:after="0"/>
              <w:rPr>
                <w:sz w:val="17"/>
                <w:szCs w:val="17"/>
                <w:color w:val="auto"/>
              </w:rPr>
            </w:pPr>
          </w:p>
        </w:tc>
        <w:tc>
          <w:tcPr>
            <w:tcW w:w="860" w:type="dxa"/>
            <w:vAlign w:val="bottom"/>
          </w:tcPr>
          <w:p>
            <w:pPr>
              <w:ind w:left="100"/>
              <w:spacing w:after="0"/>
              <w:rPr>
                <w:sz w:val="20"/>
                <w:szCs w:val="20"/>
                <w:color w:val="auto"/>
              </w:rPr>
            </w:pPr>
            <w:r>
              <w:rPr>
                <w:rFonts w:ascii="Arial" w:cs="Arial" w:eastAsia="Arial" w:hAnsi="Arial"/>
                <w:sz w:val="13"/>
                <w:szCs w:val="13"/>
                <w:color w:val="3D3935"/>
              </w:rPr>
              <w:t>(3,750,002)</w:t>
            </w:r>
          </w:p>
        </w:tc>
        <w:tc>
          <w:tcPr>
            <w:tcW w:w="680" w:type="dxa"/>
            <w:vAlign w:val="bottom"/>
          </w:tcPr>
          <w:p>
            <w:pPr>
              <w:jc w:val="right"/>
              <w:spacing w:after="0"/>
              <w:rPr>
                <w:sz w:val="20"/>
                <w:szCs w:val="20"/>
                <w:color w:val="auto"/>
              </w:rPr>
            </w:pPr>
            <w:r>
              <w:rPr>
                <w:rFonts w:ascii="Arial" w:cs="Arial" w:eastAsia="Arial" w:hAnsi="Arial"/>
                <w:sz w:val="13"/>
                <w:szCs w:val="13"/>
                <w:color w:val="3D3935"/>
              </w:rPr>
              <w:t>(974,378)</w:t>
            </w:r>
          </w:p>
        </w:tc>
        <w:tc>
          <w:tcPr>
            <w:tcW w:w="20" w:type="dxa"/>
            <w:vAlign w:val="bottom"/>
          </w:tcPr>
          <w:p>
            <w:pPr>
              <w:spacing w:after="0"/>
              <w:rPr>
                <w:sz w:val="17"/>
                <w:szCs w:val="17"/>
                <w:color w:val="auto"/>
              </w:rPr>
            </w:pPr>
          </w:p>
        </w:tc>
      </w:tr>
      <w:tr>
        <w:trPr>
          <w:trHeight w:val="148"/>
        </w:trPr>
        <w:tc>
          <w:tcPr>
            <w:tcW w:w="980" w:type="dxa"/>
            <w:vAlign w:val="bottom"/>
          </w:tcPr>
          <w:p>
            <w:pPr>
              <w:ind w:left="60"/>
              <w:spacing w:after="0"/>
              <w:rPr>
                <w:sz w:val="20"/>
                <w:szCs w:val="20"/>
                <w:color w:val="auto"/>
              </w:rPr>
            </w:pPr>
            <w:r>
              <w:rPr>
                <w:rFonts w:ascii="Arial" w:cs="Arial" w:eastAsia="Arial" w:hAnsi="Arial"/>
                <w:sz w:val="13"/>
                <w:szCs w:val="13"/>
                <w:color w:val="3D3935"/>
              </w:rPr>
              <w:t>Reported in</w:t>
            </w: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980" w:type="dxa"/>
            <w:vAlign w:val="bottom"/>
          </w:tcPr>
          <w:p>
            <w:pPr>
              <w:ind w:left="60"/>
              <w:spacing w:after="0"/>
              <w:rPr>
                <w:sz w:val="20"/>
                <w:szCs w:val="20"/>
                <w:color w:val="auto"/>
              </w:rPr>
            </w:pPr>
            <w:r>
              <w:rPr>
                <w:rFonts w:ascii="Arial" w:cs="Arial" w:eastAsia="Arial" w:hAnsi="Arial"/>
                <w:sz w:val="13"/>
                <w:szCs w:val="13"/>
                <w:color w:val="3D3935"/>
              </w:rPr>
              <w:t>the “Option</w:t>
            </w: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8"/>
        </w:trPr>
        <w:tc>
          <w:tcPr>
            <w:tcW w:w="980" w:type="dxa"/>
            <w:vAlign w:val="bottom"/>
          </w:tcPr>
          <w:p>
            <w:pPr>
              <w:ind w:left="60"/>
              <w:spacing w:after="0"/>
              <w:rPr>
                <w:sz w:val="20"/>
                <w:szCs w:val="20"/>
                <w:color w:val="auto"/>
              </w:rPr>
            </w:pPr>
            <w:r>
              <w:rPr>
                <w:rFonts w:ascii="Arial" w:cs="Arial" w:eastAsia="Arial" w:hAnsi="Arial"/>
                <w:sz w:val="13"/>
                <w:szCs w:val="13"/>
                <w:color w:val="3D3935"/>
              </w:rPr>
              <w:t>Awards”</w:t>
            </w: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980" w:type="dxa"/>
            <w:vAlign w:val="bottom"/>
            <w:tcBorders>
              <w:bottom w:val="single" w:sz="8" w:color="D9D9D6"/>
            </w:tcBorders>
          </w:tcPr>
          <w:p>
            <w:pPr>
              <w:ind w:left="60"/>
              <w:spacing w:after="0"/>
              <w:rPr>
                <w:sz w:val="20"/>
                <w:szCs w:val="20"/>
                <w:color w:val="auto"/>
              </w:rPr>
            </w:pPr>
            <w:r>
              <w:rPr>
                <w:rFonts w:ascii="Arial" w:cs="Arial" w:eastAsia="Arial" w:hAnsi="Arial"/>
                <w:sz w:val="13"/>
                <w:szCs w:val="13"/>
                <w:color w:val="3D3935"/>
              </w:rPr>
              <w:t>Column of the</w:t>
            </w:r>
          </w:p>
        </w:tc>
        <w:tc>
          <w:tcPr>
            <w:tcW w:w="860" w:type="dxa"/>
            <w:vAlign w:val="bottom"/>
            <w:tcBorders>
              <w:bottom w:val="single" w:sz="8" w:color="D9D9D6"/>
            </w:tcBorders>
          </w:tcPr>
          <w:p>
            <w:pPr>
              <w:spacing w:after="0"/>
              <w:rPr>
                <w:sz w:val="14"/>
                <w:szCs w:val="14"/>
                <w:color w:val="auto"/>
              </w:rPr>
            </w:pPr>
          </w:p>
        </w:tc>
        <w:tc>
          <w:tcPr>
            <w:tcW w:w="740" w:type="dxa"/>
            <w:vAlign w:val="bottom"/>
            <w:tcBorders>
              <w:bottom w:val="single" w:sz="8" w:color="D9D9D6"/>
            </w:tcBorders>
          </w:tcPr>
          <w:p>
            <w:pPr>
              <w:spacing w:after="0"/>
              <w:rPr>
                <w:sz w:val="14"/>
                <w:szCs w:val="14"/>
                <w:color w:val="auto"/>
              </w:rPr>
            </w:pPr>
          </w:p>
        </w:tc>
        <w:tc>
          <w:tcPr>
            <w:tcW w:w="60" w:type="dxa"/>
            <w:vAlign w:val="bottom"/>
            <w:tcBorders>
              <w:bottom w:val="single" w:sz="8" w:color="D9D9D6"/>
            </w:tcBorders>
          </w:tcPr>
          <w:p>
            <w:pPr>
              <w:spacing w:after="0"/>
              <w:rPr>
                <w:sz w:val="14"/>
                <w:szCs w:val="14"/>
                <w:color w:val="auto"/>
              </w:rPr>
            </w:pPr>
          </w:p>
        </w:tc>
        <w:tc>
          <w:tcPr>
            <w:tcW w:w="840" w:type="dxa"/>
            <w:vAlign w:val="bottom"/>
            <w:tcBorders>
              <w:bottom w:val="single" w:sz="8" w:color="D9D9D6"/>
            </w:tcBorders>
          </w:tcPr>
          <w:p>
            <w:pPr>
              <w:spacing w:after="0"/>
              <w:rPr>
                <w:sz w:val="14"/>
                <w:szCs w:val="14"/>
                <w:color w:val="auto"/>
              </w:rPr>
            </w:pPr>
          </w:p>
        </w:tc>
        <w:tc>
          <w:tcPr>
            <w:tcW w:w="740" w:type="dxa"/>
            <w:vAlign w:val="bottom"/>
            <w:tcBorders>
              <w:bottom w:val="single" w:sz="8" w:color="D9D9D6"/>
            </w:tcBorders>
          </w:tcPr>
          <w:p>
            <w:pPr>
              <w:spacing w:after="0"/>
              <w:rPr>
                <w:sz w:val="14"/>
                <w:szCs w:val="14"/>
                <w:color w:val="auto"/>
              </w:rPr>
            </w:pPr>
          </w:p>
        </w:tc>
        <w:tc>
          <w:tcPr>
            <w:tcW w:w="60" w:type="dxa"/>
            <w:vAlign w:val="bottom"/>
            <w:tcBorders>
              <w:bottom w:val="single" w:sz="8" w:color="D9D9D6"/>
            </w:tcBorders>
          </w:tcPr>
          <w:p>
            <w:pPr>
              <w:spacing w:after="0"/>
              <w:rPr>
                <w:sz w:val="14"/>
                <w:szCs w:val="14"/>
                <w:color w:val="auto"/>
              </w:rPr>
            </w:pPr>
          </w:p>
        </w:tc>
        <w:tc>
          <w:tcPr>
            <w:tcW w:w="840" w:type="dxa"/>
            <w:vAlign w:val="bottom"/>
            <w:tcBorders>
              <w:bottom w:val="single" w:sz="8" w:color="D9D9D6"/>
            </w:tcBorders>
          </w:tcPr>
          <w:p>
            <w:pPr>
              <w:spacing w:after="0"/>
              <w:rPr>
                <w:sz w:val="14"/>
                <w:szCs w:val="14"/>
                <w:color w:val="auto"/>
              </w:rPr>
            </w:pPr>
          </w:p>
        </w:tc>
        <w:tc>
          <w:tcPr>
            <w:tcW w:w="720" w:type="dxa"/>
            <w:vAlign w:val="bottom"/>
            <w:tcBorders>
              <w:bottom w:val="single" w:sz="8" w:color="D9D9D6"/>
            </w:tcBorders>
          </w:tcPr>
          <w:p>
            <w:pPr>
              <w:spacing w:after="0"/>
              <w:rPr>
                <w:sz w:val="14"/>
                <w:szCs w:val="14"/>
                <w:color w:val="auto"/>
              </w:rPr>
            </w:pPr>
          </w:p>
        </w:tc>
        <w:tc>
          <w:tcPr>
            <w:tcW w:w="60" w:type="dxa"/>
            <w:vAlign w:val="bottom"/>
            <w:tcBorders>
              <w:bottom w:val="single" w:sz="8" w:color="D9D9D6"/>
            </w:tcBorders>
          </w:tcPr>
          <w:p>
            <w:pPr>
              <w:spacing w:after="0"/>
              <w:rPr>
                <w:sz w:val="14"/>
                <w:szCs w:val="14"/>
                <w:color w:val="auto"/>
              </w:rPr>
            </w:pPr>
          </w:p>
        </w:tc>
        <w:tc>
          <w:tcPr>
            <w:tcW w:w="840" w:type="dxa"/>
            <w:vAlign w:val="bottom"/>
            <w:tcBorders>
              <w:bottom w:val="single" w:sz="8" w:color="D9D9D6"/>
            </w:tcBorders>
          </w:tcPr>
          <w:p>
            <w:pPr>
              <w:spacing w:after="0"/>
              <w:rPr>
                <w:sz w:val="14"/>
                <w:szCs w:val="14"/>
                <w:color w:val="auto"/>
              </w:rPr>
            </w:pPr>
          </w:p>
        </w:tc>
        <w:tc>
          <w:tcPr>
            <w:tcW w:w="740" w:type="dxa"/>
            <w:vAlign w:val="bottom"/>
            <w:tcBorders>
              <w:bottom w:val="single" w:sz="8" w:color="D9D9D6"/>
            </w:tcBorders>
          </w:tcPr>
          <w:p>
            <w:pPr>
              <w:spacing w:after="0"/>
              <w:rPr>
                <w:sz w:val="14"/>
                <w:szCs w:val="14"/>
                <w:color w:val="auto"/>
              </w:rPr>
            </w:pPr>
          </w:p>
        </w:tc>
        <w:tc>
          <w:tcPr>
            <w:tcW w:w="60" w:type="dxa"/>
            <w:vAlign w:val="bottom"/>
            <w:tcBorders>
              <w:bottom w:val="single" w:sz="8" w:color="D9D9D6"/>
            </w:tcBorders>
          </w:tcPr>
          <w:p>
            <w:pPr>
              <w:spacing w:after="0"/>
              <w:rPr>
                <w:sz w:val="14"/>
                <w:szCs w:val="14"/>
                <w:color w:val="auto"/>
              </w:rPr>
            </w:pPr>
          </w:p>
        </w:tc>
        <w:tc>
          <w:tcPr>
            <w:tcW w:w="860" w:type="dxa"/>
            <w:vAlign w:val="bottom"/>
            <w:tcBorders>
              <w:bottom w:val="single" w:sz="8" w:color="D9D9D6"/>
            </w:tcBorders>
          </w:tcPr>
          <w:p>
            <w:pPr>
              <w:spacing w:after="0"/>
              <w:rPr>
                <w:sz w:val="14"/>
                <w:szCs w:val="14"/>
                <w:color w:val="auto"/>
              </w:rPr>
            </w:pPr>
          </w:p>
        </w:tc>
        <w:tc>
          <w:tcPr>
            <w:tcW w:w="680" w:type="dxa"/>
            <w:vAlign w:val="bottom"/>
            <w:tcBorders>
              <w:bottom w:val="single" w:sz="8" w:color="D9D9D6"/>
            </w:tcBorders>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980" w:type="dxa"/>
            <w:vAlign w:val="bottom"/>
          </w:tcPr>
          <w:p>
            <w:pPr>
              <w:ind w:left="60"/>
              <w:spacing w:after="0"/>
              <w:rPr>
                <w:sz w:val="20"/>
                <w:szCs w:val="20"/>
                <w:color w:val="auto"/>
              </w:rPr>
            </w:pPr>
            <w:r>
              <w:rPr>
                <w:rFonts w:ascii="Arial" w:cs="Arial" w:eastAsia="Arial" w:hAnsi="Arial"/>
                <w:sz w:val="13"/>
                <w:szCs w:val="13"/>
                <w:color w:val="3D3935"/>
              </w:rPr>
              <w:t>SCT</w:t>
            </w: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1"/>
        </w:trPr>
        <w:tc>
          <w:tcPr>
            <w:tcW w:w="980" w:type="dxa"/>
            <w:vAlign w:val="bottom"/>
          </w:tcPr>
          <w:p>
            <w:pPr>
              <w:ind w:left="60"/>
              <w:spacing w:after="0"/>
              <w:rPr>
                <w:sz w:val="20"/>
                <w:szCs w:val="20"/>
                <w:color w:val="auto"/>
              </w:rPr>
            </w:pPr>
            <w:r>
              <w:rPr>
                <w:rFonts w:ascii="Arial" w:cs="Arial" w:eastAsia="Arial" w:hAnsi="Arial"/>
                <w:sz w:val="13"/>
                <w:szCs w:val="13"/>
                <w:color w:val="3D3935"/>
              </w:rPr>
              <w:t>Plus: Year-end</w:t>
            </w:r>
          </w:p>
        </w:tc>
        <w:tc>
          <w:tcPr>
            <w:tcW w:w="860" w:type="dxa"/>
            <w:vAlign w:val="bottom"/>
          </w:tcPr>
          <w:p>
            <w:pPr>
              <w:jc w:val="right"/>
              <w:spacing w:after="0"/>
              <w:rPr>
                <w:sz w:val="20"/>
                <w:szCs w:val="20"/>
                <w:color w:val="auto"/>
              </w:rPr>
            </w:pPr>
            <w:r>
              <w:rPr>
                <w:rFonts w:ascii="Arial" w:cs="Arial" w:eastAsia="Arial" w:hAnsi="Arial"/>
                <w:sz w:val="13"/>
                <w:szCs w:val="13"/>
                <w:color w:val="3D3935"/>
              </w:rPr>
              <w:t>—</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3D3935"/>
              </w:rPr>
              <w:t>—</w:t>
            </w:r>
          </w:p>
        </w:tc>
        <w:tc>
          <w:tcPr>
            <w:tcW w:w="840" w:type="dxa"/>
            <w:vAlign w:val="bottom"/>
          </w:tcPr>
          <w:p>
            <w:pPr>
              <w:jc w:val="right"/>
              <w:spacing w:after="0"/>
              <w:rPr>
                <w:sz w:val="20"/>
                <w:szCs w:val="20"/>
                <w:color w:val="auto"/>
              </w:rPr>
            </w:pPr>
            <w:r>
              <w:rPr>
                <w:rFonts w:ascii="Arial" w:cs="Arial" w:eastAsia="Arial" w:hAnsi="Arial"/>
                <w:sz w:val="13"/>
                <w:szCs w:val="13"/>
                <w:color w:val="3D3935"/>
              </w:rPr>
              <w:t>3,155,717</w:t>
            </w:r>
          </w:p>
        </w:tc>
        <w:tc>
          <w:tcPr>
            <w:tcW w:w="740" w:type="dxa"/>
            <w:vAlign w:val="bottom"/>
          </w:tcPr>
          <w:p>
            <w:pPr>
              <w:jc w:val="right"/>
              <w:spacing w:after="0"/>
              <w:rPr>
                <w:sz w:val="20"/>
                <w:szCs w:val="20"/>
                <w:color w:val="auto"/>
              </w:rPr>
            </w:pPr>
            <w:r>
              <w:rPr>
                <w:rFonts w:ascii="Arial" w:cs="Arial" w:eastAsia="Arial" w:hAnsi="Arial"/>
                <w:sz w:val="13"/>
                <w:szCs w:val="13"/>
                <w:color w:val="3D3935"/>
              </w:rPr>
              <w:t>1,162,910</w:t>
            </w:r>
          </w:p>
        </w:tc>
        <w:tc>
          <w:tcPr>
            <w:tcW w:w="60" w:type="dxa"/>
            <w:vAlign w:val="bottom"/>
          </w:tcPr>
          <w:p>
            <w:pPr>
              <w:spacing w:after="0"/>
              <w:rPr>
                <w:sz w:val="15"/>
                <w:szCs w:val="15"/>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3D3935"/>
              </w:rPr>
              <w:t>2,584,980</w:t>
            </w:r>
          </w:p>
        </w:tc>
        <w:tc>
          <w:tcPr>
            <w:tcW w:w="720" w:type="dxa"/>
            <w:vAlign w:val="bottom"/>
          </w:tcPr>
          <w:p>
            <w:pPr>
              <w:jc w:val="right"/>
              <w:ind w:right="37"/>
              <w:spacing w:after="0"/>
              <w:rPr>
                <w:sz w:val="20"/>
                <w:szCs w:val="20"/>
                <w:color w:val="auto"/>
              </w:rPr>
            </w:pPr>
            <w:r>
              <w:rPr>
                <w:rFonts w:ascii="Arial" w:cs="Arial" w:eastAsia="Arial" w:hAnsi="Arial"/>
                <w:sz w:val="13"/>
                <w:szCs w:val="13"/>
                <w:color w:val="3D3935"/>
              </w:rPr>
              <w:t>966,880</w:t>
            </w:r>
          </w:p>
        </w:tc>
        <w:tc>
          <w:tcPr>
            <w:tcW w:w="60" w:type="dxa"/>
            <w:vAlign w:val="bottom"/>
          </w:tcPr>
          <w:p>
            <w:pPr>
              <w:spacing w:after="0"/>
              <w:rPr>
                <w:sz w:val="15"/>
                <w:szCs w:val="15"/>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3D3935"/>
              </w:rPr>
              <w:t>3,694,210</w:t>
            </w:r>
          </w:p>
        </w:tc>
        <w:tc>
          <w:tcPr>
            <w:tcW w:w="740" w:type="dxa"/>
            <w:vAlign w:val="bottom"/>
          </w:tcPr>
          <w:p>
            <w:pPr>
              <w:jc w:val="right"/>
              <w:spacing w:after="0"/>
              <w:rPr>
                <w:sz w:val="20"/>
                <w:szCs w:val="20"/>
                <w:color w:val="auto"/>
              </w:rPr>
            </w:pPr>
            <w:r>
              <w:rPr>
                <w:rFonts w:ascii="Arial" w:cs="Arial" w:eastAsia="Arial" w:hAnsi="Arial"/>
                <w:sz w:val="13"/>
                <w:szCs w:val="13"/>
                <w:color w:val="3D3935"/>
              </w:rPr>
              <w:t>1,284,177</w:t>
            </w:r>
          </w:p>
        </w:tc>
        <w:tc>
          <w:tcPr>
            <w:tcW w:w="60" w:type="dxa"/>
            <w:vAlign w:val="bottom"/>
          </w:tcPr>
          <w:p>
            <w:pPr>
              <w:spacing w:after="0"/>
              <w:rPr>
                <w:sz w:val="15"/>
                <w:szCs w:val="15"/>
                <w:color w:val="auto"/>
              </w:rPr>
            </w:pPr>
          </w:p>
        </w:tc>
        <w:tc>
          <w:tcPr>
            <w:tcW w:w="860" w:type="dxa"/>
            <w:vAlign w:val="bottom"/>
          </w:tcPr>
          <w:p>
            <w:pPr>
              <w:ind w:left="100"/>
              <w:spacing w:after="0"/>
              <w:rPr>
                <w:sz w:val="20"/>
                <w:szCs w:val="20"/>
                <w:color w:val="auto"/>
              </w:rPr>
            </w:pPr>
            <w:r>
              <w:rPr>
                <w:rFonts w:ascii="Arial" w:cs="Arial" w:eastAsia="Arial" w:hAnsi="Arial"/>
                <w:sz w:val="13"/>
                <w:szCs w:val="13"/>
                <w:color w:val="3D3935"/>
              </w:rPr>
              <w:t>10,379,470</w:t>
            </w:r>
          </w:p>
        </w:tc>
        <w:tc>
          <w:tcPr>
            <w:tcW w:w="680" w:type="dxa"/>
            <w:vAlign w:val="bottom"/>
          </w:tcPr>
          <w:p>
            <w:pPr>
              <w:jc w:val="right"/>
              <w:ind w:right="17"/>
              <w:spacing w:after="0"/>
              <w:rPr>
                <w:sz w:val="20"/>
                <w:szCs w:val="20"/>
                <w:color w:val="auto"/>
              </w:rPr>
            </w:pPr>
            <w:r>
              <w:rPr>
                <w:rFonts w:ascii="Arial" w:cs="Arial" w:eastAsia="Arial" w:hAnsi="Arial"/>
                <w:sz w:val="13"/>
                <w:szCs w:val="13"/>
                <w:color w:val="3D3935"/>
              </w:rPr>
              <w:t>1,434,466</w:t>
            </w:r>
          </w:p>
        </w:tc>
        <w:tc>
          <w:tcPr>
            <w:tcW w:w="20" w:type="dxa"/>
            <w:vAlign w:val="bottom"/>
          </w:tcPr>
          <w:p>
            <w:pPr>
              <w:spacing w:after="0"/>
              <w:rPr>
                <w:sz w:val="15"/>
                <w:szCs w:val="15"/>
                <w:color w:val="auto"/>
              </w:rPr>
            </w:pPr>
          </w:p>
        </w:tc>
      </w:tr>
      <w:tr>
        <w:trPr>
          <w:trHeight w:val="148"/>
        </w:trPr>
        <w:tc>
          <w:tcPr>
            <w:tcW w:w="980" w:type="dxa"/>
            <w:vAlign w:val="bottom"/>
          </w:tcPr>
          <w:p>
            <w:pPr>
              <w:ind w:left="60"/>
              <w:spacing w:after="0"/>
              <w:rPr>
                <w:sz w:val="20"/>
                <w:szCs w:val="20"/>
                <w:color w:val="auto"/>
              </w:rPr>
            </w:pPr>
            <w:r>
              <w:rPr>
                <w:rFonts w:ascii="Arial" w:cs="Arial" w:eastAsia="Arial" w:hAnsi="Arial"/>
                <w:sz w:val="13"/>
                <w:szCs w:val="13"/>
                <w:color w:val="3D3935"/>
              </w:rPr>
              <w:t>Fair Value of</w:t>
            </w: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980" w:type="dxa"/>
            <w:vAlign w:val="bottom"/>
          </w:tcPr>
          <w:p>
            <w:pPr>
              <w:ind w:left="60"/>
              <w:spacing w:after="0"/>
              <w:rPr>
                <w:sz w:val="20"/>
                <w:szCs w:val="20"/>
                <w:color w:val="auto"/>
              </w:rPr>
            </w:pPr>
            <w:r>
              <w:rPr>
                <w:rFonts w:ascii="Arial" w:cs="Arial" w:eastAsia="Arial" w:hAnsi="Arial"/>
                <w:sz w:val="13"/>
                <w:szCs w:val="13"/>
                <w:color w:val="3D3935"/>
              </w:rPr>
              <w:t>Outstanding</w:t>
            </w: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8"/>
        </w:trPr>
        <w:tc>
          <w:tcPr>
            <w:tcW w:w="980" w:type="dxa"/>
            <w:vAlign w:val="bottom"/>
          </w:tcPr>
          <w:p>
            <w:pPr>
              <w:ind w:left="60"/>
              <w:spacing w:after="0"/>
              <w:rPr>
                <w:sz w:val="20"/>
                <w:szCs w:val="20"/>
                <w:color w:val="auto"/>
              </w:rPr>
            </w:pPr>
            <w:r>
              <w:rPr>
                <w:rFonts w:ascii="Arial" w:cs="Arial" w:eastAsia="Arial" w:hAnsi="Arial"/>
                <w:sz w:val="13"/>
                <w:szCs w:val="13"/>
                <w:color w:val="3D3935"/>
              </w:rPr>
              <w:t>and Unvested</w:t>
            </w: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980" w:type="dxa"/>
            <w:vAlign w:val="bottom"/>
            <w:tcBorders>
              <w:bottom w:val="single" w:sz="8" w:color="D9D9D6"/>
            </w:tcBorders>
          </w:tcPr>
          <w:p>
            <w:pPr>
              <w:ind w:left="60"/>
              <w:spacing w:after="0"/>
              <w:rPr>
                <w:sz w:val="20"/>
                <w:szCs w:val="20"/>
                <w:color w:val="auto"/>
              </w:rPr>
            </w:pPr>
            <w:r>
              <w:rPr>
                <w:rFonts w:ascii="Arial" w:cs="Arial" w:eastAsia="Arial" w:hAnsi="Arial"/>
                <w:sz w:val="13"/>
                <w:szCs w:val="13"/>
                <w:color w:val="3D3935"/>
              </w:rPr>
              <w:t>Option Awards</w:t>
            </w:r>
          </w:p>
        </w:tc>
        <w:tc>
          <w:tcPr>
            <w:tcW w:w="860" w:type="dxa"/>
            <w:vAlign w:val="bottom"/>
            <w:tcBorders>
              <w:bottom w:val="single" w:sz="8" w:color="D9D9D6"/>
            </w:tcBorders>
          </w:tcPr>
          <w:p>
            <w:pPr>
              <w:spacing w:after="0"/>
              <w:rPr>
                <w:sz w:val="14"/>
                <w:szCs w:val="14"/>
                <w:color w:val="auto"/>
              </w:rPr>
            </w:pPr>
          </w:p>
        </w:tc>
        <w:tc>
          <w:tcPr>
            <w:tcW w:w="740" w:type="dxa"/>
            <w:vAlign w:val="bottom"/>
            <w:tcBorders>
              <w:bottom w:val="single" w:sz="8" w:color="D9D9D6"/>
            </w:tcBorders>
          </w:tcPr>
          <w:p>
            <w:pPr>
              <w:spacing w:after="0"/>
              <w:rPr>
                <w:sz w:val="14"/>
                <w:szCs w:val="14"/>
                <w:color w:val="auto"/>
              </w:rPr>
            </w:pPr>
          </w:p>
        </w:tc>
        <w:tc>
          <w:tcPr>
            <w:tcW w:w="60" w:type="dxa"/>
            <w:vAlign w:val="bottom"/>
            <w:tcBorders>
              <w:bottom w:val="single" w:sz="8" w:color="D9D9D6"/>
            </w:tcBorders>
          </w:tcPr>
          <w:p>
            <w:pPr>
              <w:spacing w:after="0"/>
              <w:rPr>
                <w:sz w:val="14"/>
                <w:szCs w:val="14"/>
                <w:color w:val="auto"/>
              </w:rPr>
            </w:pPr>
          </w:p>
        </w:tc>
        <w:tc>
          <w:tcPr>
            <w:tcW w:w="840" w:type="dxa"/>
            <w:vAlign w:val="bottom"/>
            <w:tcBorders>
              <w:bottom w:val="single" w:sz="8" w:color="D9D9D6"/>
            </w:tcBorders>
          </w:tcPr>
          <w:p>
            <w:pPr>
              <w:spacing w:after="0"/>
              <w:rPr>
                <w:sz w:val="14"/>
                <w:szCs w:val="14"/>
                <w:color w:val="auto"/>
              </w:rPr>
            </w:pPr>
          </w:p>
        </w:tc>
        <w:tc>
          <w:tcPr>
            <w:tcW w:w="740" w:type="dxa"/>
            <w:vAlign w:val="bottom"/>
            <w:tcBorders>
              <w:bottom w:val="single" w:sz="8" w:color="D9D9D6"/>
            </w:tcBorders>
          </w:tcPr>
          <w:p>
            <w:pPr>
              <w:spacing w:after="0"/>
              <w:rPr>
                <w:sz w:val="14"/>
                <w:szCs w:val="14"/>
                <w:color w:val="auto"/>
              </w:rPr>
            </w:pPr>
          </w:p>
        </w:tc>
        <w:tc>
          <w:tcPr>
            <w:tcW w:w="60" w:type="dxa"/>
            <w:vAlign w:val="bottom"/>
            <w:tcBorders>
              <w:bottom w:val="single" w:sz="8" w:color="D9D9D6"/>
            </w:tcBorders>
          </w:tcPr>
          <w:p>
            <w:pPr>
              <w:spacing w:after="0"/>
              <w:rPr>
                <w:sz w:val="14"/>
                <w:szCs w:val="14"/>
                <w:color w:val="auto"/>
              </w:rPr>
            </w:pPr>
          </w:p>
        </w:tc>
        <w:tc>
          <w:tcPr>
            <w:tcW w:w="840" w:type="dxa"/>
            <w:vAlign w:val="bottom"/>
            <w:tcBorders>
              <w:bottom w:val="single" w:sz="8" w:color="D9D9D6"/>
            </w:tcBorders>
          </w:tcPr>
          <w:p>
            <w:pPr>
              <w:spacing w:after="0"/>
              <w:rPr>
                <w:sz w:val="14"/>
                <w:szCs w:val="14"/>
                <w:color w:val="auto"/>
              </w:rPr>
            </w:pPr>
          </w:p>
        </w:tc>
        <w:tc>
          <w:tcPr>
            <w:tcW w:w="720" w:type="dxa"/>
            <w:vAlign w:val="bottom"/>
            <w:tcBorders>
              <w:bottom w:val="single" w:sz="8" w:color="D9D9D6"/>
            </w:tcBorders>
          </w:tcPr>
          <w:p>
            <w:pPr>
              <w:spacing w:after="0"/>
              <w:rPr>
                <w:sz w:val="14"/>
                <w:szCs w:val="14"/>
                <w:color w:val="auto"/>
              </w:rPr>
            </w:pPr>
          </w:p>
        </w:tc>
        <w:tc>
          <w:tcPr>
            <w:tcW w:w="60" w:type="dxa"/>
            <w:vAlign w:val="bottom"/>
            <w:tcBorders>
              <w:bottom w:val="single" w:sz="8" w:color="D9D9D6"/>
            </w:tcBorders>
          </w:tcPr>
          <w:p>
            <w:pPr>
              <w:spacing w:after="0"/>
              <w:rPr>
                <w:sz w:val="14"/>
                <w:szCs w:val="14"/>
                <w:color w:val="auto"/>
              </w:rPr>
            </w:pPr>
          </w:p>
        </w:tc>
        <w:tc>
          <w:tcPr>
            <w:tcW w:w="840" w:type="dxa"/>
            <w:vAlign w:val="bottom"/>
            <w:tcBorders>
              <w:bottom w:val="single" w:sz="8" w:color="D9D9D6"/>
            </w:tcBorders>
          </w:tcPr>
          <w:p>
            <w:pPr>
              <w:spacing w:after="0"/>
              <w:rPr>
                <w:sz w:val="14"/>
                <w:szCs w:val="14"/>
                <w:color w:val="auto"/>
              </w:rPr>
            </w:pPr>
          </w:p>
        </w:tc>
        <w:tc>
          <w:tcPr>
            <w:tcW w:w="740" w:type="dxa"/>
            <w:vAlign w:val="bottom"/>
            <w:tcBorders>
              <w:bottom w:val="single" w:sz="8" w:color="D9D9D6"/>
            </w:tcBorders>
          </w:tcPr>
          <w:p>
            <w:pPr>
              <w:spacing w:after="0"/>
              <w:rPr>
                <w:sz w:val="14"/>
                <w:szCs w:val="14"/>
                <w:color w:val="auto"/>
              </w:rPr>
            </w:pPr>
          </w:p>
        </w:tc>
        <w:tc>
          <w:tcPr>
            <w:tcW w:w="60" w:type="dxa"/>
            <w:vAlign w:val="bottom"/>
            <w:tcBorders>
              <w:bottom w:val="single" w:sz="8" w:color="D9D9D6"/>
            </w:tcBorders>
          </w:tcPr>
          <w:p>
            <w:pPr>
              <w:spacing w:after="0"/>
              <w:rPr>
                <w:sz w:val="14"/>
                <w:szCs w:val="14"/>
                <w:color w:val="auto"/>
              </w:rPr>
            </w:pPr>
          </w:p>
        </w:tc>
        <w:tc>
          <w:tcPr>
            <w:tcW w:w="860" w:type="dxa"/>
            <w:vAlign w:val="bottom"/>
            <w:tcBorders>
              <w:bottom w:val="single" w:sz="8" w:color="D9D9D6"/>
            </w:tcBorders>
          </w:tcPr>
          <w:p>
            <w:pPr>
              <w:spacing w:after="0"/>
              <w:rPr>
                <w:sz w:val="14"/>
                <w:szCs w:val="14"/>
                <w:color w:val="auto"/>
              </w:rPr>
            </w:pPr>
          </w:p>
        </w:tc>
        <w:tc>
          <w:tcPr>
            <w:tcW w:w="680" w:type="dxa"/>
            <w:vAlign w:val="bottom"/>
            <w:tcBorders>
              <w:bottom w:val="single" w:sz="8" w:color="D9D9D6"/>
            </w:tcBorders>
          </w:tcPr>
          <w:p>
            <w:pPr>
              <w:spacing w:after="0"/>
              <w:rPr>
                <w:sz w:val="14"/>
                <w:szCs w:val="14"/>
                <w:color w:val="auto"/>
              </w:rPr>
            </w:pPr>
          </w:p>
        </w:tc>
        <w:tc>
          <w:tcPr>
            <w:tcW w:w="20" w:type="dxa"/>
            <w:vAlign w:val="bottom"/>
          </w:tcPr>
          <w:p>
            <w:pPr>
              <w:spacing w:after="0"/>
              <w:rPr>
                <w:sz w:val="14"/>
                <w:szCs w:val="14"/>
                <w:color w:val="auto"/>
              </w:rPr>
            </w:pPr>
          </w:p>
        </w:tc>
      </w:tr>
      <w:tr>
        <w:trPr>
          <w:trHeight w:val="111"/>
        </w:trPr>
        <w:tc>
          <w:tcPr>
            <w:tcW w:w="980" w:type="dxa"/>
            <w:vAlign w:val="bottom"/>
          </w:tcPr>
          <w:p>
            <w:pPr>
              <w:ind w:left="60"/>
              <w:spacing w:after="0" w:line="111" w:lineRule="exact"/>
              <w:rPr>
                <w:sz w:val="20"/>
                <w:szCs w:val="20"/>
                <w:color w:val="auto"/>
              </w:rPr>
            </w:pPr>
            <w:r>
              <w:rPr>
                <w:rFonts w:ascii="Arial" w:cs="Arial" w:eastAsia="Arial" w:hAnsi="Arial"/>
                <w:sz w:val="12"/>
                <w:szCs w:val="12"/>
                <w:color w:val="3D3935"/>
              </w:rPr>
              <w:t>Granted in the</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66"/>
        </w:trPr>
        <w:tc>
          <w:tcPr>
            <w:tcW w:w="980" w:type="dxa"/>
            <w:vAlign w:val="bottom"/>
          </w:tcPr>
          <w:p>
            <w:pPr>
              <w:ind w:left="60"/>
              <w:spacing w:after="0"/>
              <w:rPr>
                <w:sz w:val="20"/>
                <w:szCs w:val="20"/>
                <w:color w:val="auto"/>
              </w:rPr>
            </w:pPr>
            <w:r>
              <w:rPr>
                <w:rFonts w:ascii="Arial" w:cs="Arial" w:eastAsia="Arial" w:hAnsi="Arial"/>
                <w:sz w:val="13"/>
                <w:szCs w:val="13"/>
                <w:color w:val="3D3935"/>
              </w:rPr>
              <w:t>Covered Year</w:t>
            </w: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980" w:type="dxa"/>
            <w:vAlign w:val="bottom"/>
          </w:tcPr>
          <w:p>
            <w:pPr>
              <w:ind w:left="60"/>
              <w:spacing w:after="0"/>
              <w:rPr>
                <w:sz w:val="20"/>
                <w:szCs w:val="20"/>
                <w:color w:val="auto"/>
              </w:rPr>
            </w:pPr>
            <w:r>
              <w:rPr>
                <w:rFonts w:ascii="Arial" w:cs="Arial" w:eastAsia="Arial" w:hAnsi="Arial"/>
                <w:sz w:val="13"/>
                <w:szCs w:val="13"/>
                <w:color w:val="3D3935"/>
              </w:rPr>
              <w:t>Change in Fair</w:t>
            </w:r>
          </w:p>
        </w:tc>
        <w:tc>
          <w:tcPr>
            <w:tcW w:w="860" w:type="dxa"/>
            <w:vAlign w:val="bottom"/>
          </w:tcPr>
          <w:p>
            <w:pPr>
              <w:jc w:val="right"/>
              <w:ind w:right="77"/>
              <w:spacing w:after="0"/>
              <w:rPr>
                <w:sz w:val="20"/>
                <w:szCs w:val="20"/>
                <w:color w:val="auto"/>
              </w:rPr>
            </w:pPr>
            <w:r>
              <w:rPr>
                <w:rFonts w:ascii="Arial" w:cs="Arial" w:eastAsia="Arial" w:hAnsi="Arial"/>
                <w:sz w:val="13"/>
                <w:szCs w:val="13"/>
                <w:color w:val="3D3935"/>
              </w:rPr>
              <w:t>3,374,009</w:t>
            </w:r>
          </w:p>
        </w:tc>
        <w:tc>
          <w:tcPr>
            <w:tcW w:w="740" w:type="dxa"/>
            <w:vAlign w:val="bottom"/>
          </w:tcPr>
          <w:p>
            <w:pPr>
              <w:jc w:val="right"/>
              <w:spacing w:after="0"/>
              <w:rPr>
                <w:sz w:val="20"/>
                <w:szCs w:val="20"/>
                <w:color w:val="auto"/>
              </w:rPr>
            </w:pPr>
            <w:r>
              <w:rPr>
                <w:rFonts w:ascii="Arial" w:cs="Arial" w:eastAsia="Arial" w:hAnsi="Arial"/>
                <w:sz w:val="13"/>
                <w:szCs w:val="13"/>
                <w:color w:val="3D3935"/>
              </w:rPr>
              <w:t>973,138</w:t>
            </w: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3D3935"/>
              </w:rPr>
              <w:t>(774,417)</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3D3935"/>
              </w:rPr>
              <w:t>(213,916)</w:t>
            </w:r>
          </w:p>
        </w:tc>
        <w:tc>
          <w:tcPr>
            <w:tcW w:w="840" w:type="dxa"/>
            <w:vAlign w:val="bottom"/>
          </w:tcPr>
          <w:p>
            <w:pPr>
              <w:jc w:val="right"/>
              <w:ind w:right="17"/>
              <w:spacing w:after="0"/>
              <w:rPr>
                <w:sz w:val="20"/>
                <w:szCs w:val="20"/>
                <w:color w:val="auto"/>
              </w:rPr>
            </w:pPr>
            <w:r>
              <w:rPr>
                <w:rFonts w:ascii="Arial" w:cs="Arial" w:eastAsia="Arial" w:hAnsi="Arial"/>
                <w:sz w:val="13"/>
                <w:szCs w:val="13"/>
                <w:color w:val="3D3935"/>
              </w:rPr>
              <w:t>(5,055,582)</w:t>
            </w:r>
          </w:p>
        </w:tc>
        <w:tc>
          <w:tcPr>
            <w:tcW w:w="720" w:type="dxa"/>
            <w:vAlign w:val="bottom"/>
          </w:tcPr>
          <w:p>
            <w:pPr>
              <w:jc w:val="right"/>
              <w:spacing w:after="0"/>
              <w:rPr>
                <w:sz w:val="20"/>
                <w:szCs w:val="20"/>
                <w:color w:val="auto"/>
              </w:rPr>
            </w:pPr>
            <w:r>
              <w:rPr>
                <w:rFonts w:ascii="Arial" w:cs="Arial" w:eastAsia="Arial" w:hAnsi="Arial"/>
                <w:sz w:val="13"/>
                <w:szCs w:val="13"/>
                <w:color w:val="3D3935"/>
              </w:rPr>
              <w:t>(1,267,702)</w:t>
            </w:r>
          </w:p>
        </w:tc>
        <w:tc>
          <w:tcPr>
            <w:tcW w:w="60" w:type="dxa"/>
            <w:vAlign w:val="bottom"/>
          </w:tcPr>
          <w:p>
            <w:pPr>
              <w:spacing w:after="0"/>
              <w:rPr>
                <w:sz w:val="18"/>
                <w:szCs w:val="18"/>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3D3935"/>
              </w:rPr>
              <w:t>6,628,520</w:t>
            </w:r>
          </w:p>
        </w:tc>
        <w:tc>
          <w:tcPr>
            <w:tcW w:w="740" w:type="dxa"/>
            <w:vAlign w:val="bottom"/>
          </w:tcPr>
          <w:p>
            <w:pPr>
              <w:jc w:val="right"/>
              <w:spacing w:after="0"/>
              <w:rPr>
                <w:sz w:val="20"/>
                <w:szCs w:val="20"/>
                <w:color w:val="auto"/>
              </w:rPr>
            </w:pPr>
            <w:r>
              <w:rPr>
                <w:rFonts w:ascii="Arial" w:cs="Arial" w:eastAsia="Arial" w:hAnsi="Arial"/>
                <w:sz w:val="13"/>
                <w:szCs w:val="13"/>
                <w:color w:val="3D3935"/>
              </w:rPr>
              <w:t>1,281,139</w:t>
            </w:r>
          </w:p>
        </w:tc>
        <w:tc>
          <w:tcPr>
            <w:tcW w:w="60" w:type="dxa"/>
            <w:vAlign w:val="bottom"/>
          </w:tcPr>
          <w:p>
            <w:pPr>
              <w:spacing w:after="0"/>
              <w:rPr>
                <w:sz w:val="18"/>
                <w:szCs w:val="18"/>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3D3935"/>
              </w:rPr>
              <w:t>2,881,004</w:t>
            </w:r>
          </w:p>
        </w:tc>
        <w:tc>
          <w:tcPr>
            <w:tcW w:w="680" w:type="dxa"/>
            <w:vAlign w:val="bottom"/>
          </w:tcPr>
          <w:p>
            <w:pPr>
              <w:jc w:val="right"/>
              <w:spacing w:after="0"/>
              <w:rPr>
                <w:sz w:val="20"/>
                <w:szCs w:val="20"/>
                <w:color w:val="auto"/>
              </w:rPr>
            </w:pPr>
            <w:r>
              <w:rPr>
                <w:rFonts w:ascii="Arial" w:cs="Arial" w:eastAsia="Arial" w:hAnsi="Arial"/>
                <w:sz w:val="13"/>
                <w:szCs w:val="13"/>
                <w:color w:val="3D3935"/>
              </w:rPr>
              <w:t>231,707</w:t>
            </w:r>
          </w:p>
        </w:tc>
        <w:tc>
          <w:tcPr>
            <w:tcW w:w="20" w:type="dxa"/>
            <w:vAlign w:val="bottom"/>
          </w:tcPr>
          <w:p>
            <w:pPr>
              <w:spacing w:after="0"/>
              <w:rPr>
                <w:sz w:val="18"/>
                <w:szCs w:val="18"/>
                <w:color w:val="auto"/>
              </w:rPr>
            </w:pPr>
          </w:p>
        </w:tc>
      </w:tr>
      <w:tr>
        <w:trPr>
          <w:trHeight w:val="148"/>
        </w:trPr>
        <w:tc>
          <w:tcPr>
            <w:tcW w:w="980" w:type="dxa"/>
            <w:vAlign w:val="bottom"/>
          </w:tcPr>
          <w:p>
            <w:pPr>
              <w:ind w:left="60"/>
              <w:spacing w:after="0"/>
              <w:rPr>
                <w:sz w:val="20"/>
                <w:szCs w:val="20"/>
                <w:color w:val="auto"/>
              </w:rPr>
            </w:pPr>
            <w:r>
              <w:rPr>
                <w:rFonts w:ascii="Arial" w:cs="Arial" w:eastAsia="Arial" w:hAnsi="Arial"/>
                <w:sz w:val="13"/>
                <w:szCs w:val="13"/>
                <w:color w:val="3D3935"/>
              </w:rPr>
              <w:t>Value of</w:t>
            </w: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980" w:type="dxa"/>
            <w:vAlign w:val="bottom"/>
          </w:tcPr>
          <w:p>
            <w:pPr>
              <w:ind w:left="60"/>
              <w:spacing w:after="0"/>
              <w:rPr>
                <w:sz w:val="20"/>
                <w:szCs w:val="20"/>
                <w:color w:val="auto"/>
              </w:rPr>
            </w:pPr>
            <w:r>
              <w:rPr>
                <w:rFonts w:ascii="Arial" w:cs="Arial" w:eastAsia="Arial" w:hAnsi="Arial"/>
                <w:sz w:val="13"/>
                <w:szCs w:val="13"/>
                <w:color w:val="3D3935"/>
              </w:rPr>
              <w:t>Outstanding</w:t>
            </w: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6"/>
        </w:trPr>
        <w:tc>
          <w:tcPr>
            <w:tcW w:w="980" w:type="dxa"/>
            <w:vAlign w:val="bottom"/>
            <w:tcBorders>
              <w:bottom w:val="single" w:sz="8" w:color="D9D9D6"/>
            </w:tcBorders>
          </w:tcPr>
          <w:p>
            <w:pPr>
              <w:ind w:left="60"/>
              <w:spacing w:after="0"/>
              <w:rPr>
                <w:sz w:val="20"/>
                <w:szCs w:val="20"/>
                <w:color w:val="auto"/>
              </w:rPr>
            </w:pPr>
            <w:r>
              <w:rPr>
                <w:rFonts w:ascii="Arial" w:cs="Arial" w:eastAsia="Arial" w:hAnsi="Arial"/>
                <w:sz w:val="13"/>
                <w:szCs w:val="13"/>
                <w:color w:val="3D3935"/>
              </w:rPr>
              <w:t>and Unvested</w:t>
            </w:r>
          </w:p>
        </w:tc>
        <w:tc>
          <w:tcPr>
            <w:tcW w:w="860" w:type="dxa"/>
            <w:vAlign w:val="bottom"/>
            <w:tcBorders>
              <w:bottom w:val="single" w:sz="8" w:color="D9D9D6"/>
            </w:tcBorders>
          </w:tcPr>
          <w:p>
            <w:pPr>
              <w:spacing w:after="0"/>
              <w:rPr>
                <w:sz w:val="14"/>
                <w:szCs w:val="14"/>
                <w:color w:val="auto"/>
              </w:rPr>
            </w:pPr>
          </w:p>
        </w:tc>
        <w:tc>
          <w:tcPr>
            <w:tcW w:w="740" w:type="dxa"/>
            <w:vAlign w:val="bottom"/>
            <w:tcBorders>
              <w:bottom w:val="single" w:sz="8" w:color="D9D9D6"/>
            </w:tcBorders>
          </w:tcPr>
          <w:p>
            <w:pPr>
              <w:spacing w:after="0"/>
              <w:rPr>
                <w:sz w:val="14"/>
                <w:szCs w:val="14"/>
                <w:color w:val="auto"/>
              </w:rPr>
            </w:pPr>
          </w:p>
        </w:tc>
        <w:tc>
          <w:tcPr>
            <w:tcW w:w="60" w:type="dxa"/>
            <w:vAlign w:val="bottom"/>
            <w:tcBorders>
              <w:bottom w:val="single" w:sz="8" w:color="D9D9D6"/>
            </w:tcBorders>
          </w:tcPr>
          <w:p>
            <w:pPr>
              <w:spacing w:after="0"/>
              <w:rPr>
                <w:sz w:val="14"/>
                <w:szCs w:val="14"/>
                <w:color w:val="auto"/>
              </w:rPr>
            </w:pPr>
          </w:p>
        </w:tc>
        <w:tc>
          <w:tcPr>
            <w:tcW w:w="840" w:type="dxa"/>
            <w:vAlign w:val="bottom"/>
            <w:tcBorders>
              <w:bottom w:val="single" w:sz="8" w:color="D9D9D6"/>
            </w:tcBorders>
          </w:tcPr>
          <w:p>
            <w:pPr>
              <w:spacing w:after="0"/>
              <w:rPr>
                <w:sz w:val="14"/>
                <w:szCs w:val="14"/>
                <w:color w:val="auto"/>
              </w:rPr>
            </w:pPr>
          </w:p>
        </w:tc>
        <w:tc>
          <w:tcPr>
            <w:tcW w:w="740" w:type="dxa"/>
            <w:vAlign w:val="bottom"/>
            <w:tcBorders>
              <w:bottom w:val="single" w:sz="8" w:color="D9D9D6"/>
            </w:tcBorders>
          </w:tcPr>
          <w:p>
            <w:pPr>
              <w:spacing w:after="0"/>
              <w:rPr>
                <w:sz w:val="14"/>
                <w:szCs w:val="14"/>
                <w:color w:val="auto"/>
              </w:rPr>
            </w:pPr>
          </w:p>
        </w:tc>
        <w:tc>
          <w:tcPr>
            <w:tcW w:w="60" w:type="dxa"/>
            <w:vAlign w:val="bottom"/>
            <w:tcBorders>
              <w:bottom w:val="single" w:sz="8" w:color="D9D9D6"/>
            </w:tcBorders>
          </w:tcPr>
          <w:p>
            <w:pPr>
              <w:spacing w:after="0"/>
              <w:rPr>
                <w:sz w:val="14"/>
                <w:szCs w:val="14"/>
                <w:color w:val="auto"/>
              </w:rPr>
            </w:pPr>
          </w:p>
        </w:tc>
        <w:tc>
          <w:tcPr>
            <w:tcW w:w="840" w:type="dxa"/>
            <w:vAlign w:val="bottom"/>
            <w:tcBorders>
              <w:bottom w:val="single" w:sz="8" w:color="D9D9D6"/>
            </w:tcBorders>
          </w:tcPr>
          <w:p>
            <w:pPr>
              <w:spacing w:after="0"/>
              <w:rPr>
                <w:sz w:val="14"/>
                <w:szCs w:val="14"/>
                <w:color w:val="auto"/>
              </w:rPr>
            </w:pPr>
          </w:p>
        </w:tc>
        <w:tc>
          <w:tcPr>
            <w:tcW w:w="720" w:type="dxa"/>
            <w:vAlign w:val="bottom"/>
            <w:tcBorders>
              <w:bottom w:val="single" w:sz="8" w:color="D9D9D6"/>
            </w:tcBorders>
          </w:tcPr>
          <w:p>
            <w:pPr>
              <w:spacing w:after="0"/>
              <w:rPr>
                <w:sz w:val="14"/>
                <w:szCs w:val="14"/>
                <w:color w:val="auto"/>
              </w:rPr>
            </w:pPr>
          </w:p>
        </w:tc>
        <w:tc>
          <w:tcPr>
            <w:tcW w:w="60" w:type="dxa"/>
            <w:vAlign w:val="bottom"/>
            <w:tcBorders>
              <w:bottom w:val="single" w:sz="8" w:color="D9D9D6"/>
            </w:tcBorders>
          </w:tcPr>
          <w:p>
            <w:pPr>
              <w:spacing w:after="0"/>
              <w:rPr>
                <w:sz w:val="14"/>
                <w:szCs w:val="14"/>
                <w:color w:val="auto"/>
              </w:rPr>
            </w:pPr>
          </w:p>
        </w:tc>
        <w:tc>
          <w:tcPr>
            <w:tcW w:w="840" w:type="dxa"/>
            <w:vAlign w:val="bottom"/>
            <w:tcBorders>
              <w:bottom w:val="single" w:sz="8" w:color="D9D9D6"/>
            </w:tcBorders>
          </w:tcPr>
          <w:p>
            <w:pPr>
              <w:spacing w:after="0"/>
              <w:rPr>
                <w:sz w:val="14"/>
                <w:szCs w:val="14"/>
                <w:color w:val="auto"/>
              </w:rPr>
            </w:pPr>
          </w:p>
        </w:tc>
        <w:tc>
          <w:tcPr>
            <w:tcW w:w="740" w:type="dxa"/>
            <w:vAlign w:val="bottom"/>
            <w:tcBorders>
              <w:bottom w:val="single" w:sz="8" w:color="D9D9D6"/>
            </w:tcBorders>
          </w:tcPr>
          <w:p>
            <w:pPr>
              <w:spacing w:after="0"/>
              <w:rPr>
                <w:sz w:val="14"/>
                <w:szCs w:val="14"/>
                <w:color w:val="auto"/>
              </w:rPr>
            </w:pPr>
          </w:p>
        </w:tc>
        <w:tc>
          <w:tcPr>
            <w:tcW w:w="60" w:type="dxa"/>
            <w:vAlign w:val="bottom"/>
            <w:tcBorders>
              <w:bottom w:val="single" w:sz="8" w:color="D9D9D6"/>
            </w:tcBorders>
          </w:tcPr>
          <w:p>
            <w:pPr>
              <w:spacing w:after="0"/>
              <w:rPr>
                <w:sz w:val="14"/>
                <w:szCs w:val="14"/>
                <w:color w:val="auto"/>
              </w:rPr>
            </w:pPr>
          </w:p>
        </w:tc>
        <w:tc>
          <w:tcPr>
            <w:tcW w:w="860" w:type="dxa"/>
            <w:vAlign w:val="bottom"/>
            <w:tcBorders>
              <w:bottom w:val="single" w:sz="8" w:color="D9D9D6"/>
            </w:tcBorders>
          </w:tcPr>
          <w:p>
            <w:pPr>
              <w:spacing w:after="0"/>
              <w:rPr>
                <w:sz w:val="14"/>
                <w:szCs w:val="14"/>
                <w:color w:val="auto"/>
              </w:rPr>
            </w:pPr>
          </w:p>
        </w:tc>
        <w:tc>
          <w:tcPr>
            <w:tcW w:w="680" w:type="dxa"/>
            <w:vAlign w:val="bottom"/>
            <w:tcBorders>
              <w:bottom w:val="single" w:sz="8" w:color="D9D9D6"/>
            </w:tcBorders>
          </w:tcPr>
          <w:p>
            <w:pPr>
              <w:spacing w:after="0"/>
              <w:rPr>
                <w:sz w:val="14"/>
                <w:szCs w:val="14"/>
                <w:color w:val="auto"/>
              </w:rPr>
            </w:pPr>
          </w:p>
        </w:tc>
        <w:tc>
          <w:tcPr>
            <w:tcW w:w="20" w:type="dxa"/>
            <w:vAlign w:val="bottom"/>
          </w:tcPr>
          <w:p>
            <w:pPr>
              <w:spacing w:after="0"/>
              <w:rPr>
                <w:sz w:val="14"/>
                <w:szCs w:val="14"/>
                <w:color w:val="auto"/>
              </w:rPr>
            </w:pPr>
          </w:p>
        </w:tc>
      </w:tr>
      <w:tr>
        <w:trPr>
          <w:trHeight w:val="111"/>
        </w:trPr>
        <w:tc>
          <w:tcPr>
            <w:tcW w:w="980" w:type="dxa"/>
            <w:vAlign w:val="bottom"/>
          </w:tcPr>
          <w:p>
            <w:pPr>
              <w:ind w:left="60"/>
              <w:spacing w:after="0" w:line="111" w:lineRule="exact"/>
              <w:rPr>
                <w:sz w:val="20"/>
                <w:szCs w:val="20"/>
                <w:color w:val="auto"/>
              </w:rPr>
            </w:pPr>
            <w:r>
              <w:rPr>
                <w:rFonts w:ascii="Arial" w:cs="Arial" w:eastAsia="Arial" w:hAnsi="Arial"/>
                <w:sz w:val="12"/>
                <w:szCs w:val="12"/>
                <w:color w:val="3D3935"/>
              </w:rPr>
              <w:t>Option Awards</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48"/>
        </w:trPr>
        <w:tc>
          <w:tcPr>
            <w:tcW w:w="980" w:type="dxa"/>
            <w:vAlign w:val="bottom"/>
          </w:tcPr>
          <w:p>
            <w:pPr>
              <w:ind w:left="60"/>
              <w:spacing w:after="0"/>
              <w:rPr>
                <w:sz w:val="20"/>
                <w:szCs w:val="20"/>
                <w:color w:val="auto"/>
              </w:rPr>
            </w:pPr>
            <w:r>
              <w:rPr>
                <w:rFonts w:ascii="Arial" w:cs="Arial" w:eastAsia="Arial" w:hAnsi="Arial"/>
                <w:sz w:val="13"/>
                <w:szCs w:val="13"/>
                <w:color w:val="3D3935"/>
              </w:rPr>
              <w:t>Granted in</w:t>
            </w: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980" w:type="dxa"/>
            <w:vAlign w:val="bottom"/>
          </w:tcPr>
          <w:p>
            <w:pPr>
              <w:ind w:left="60"/>
              <w:spacing w:after="0"/>
              <w:rPr>
                <w:sz w:val="20"/>
                <w:szCs w:val="20"/>
                <w:color w:val="auto"/>
              </w:rPr>
            </w:pPr>
            <w:r>
              <w:rPr>
                <w:rFonts w:ascii="Arial" w:cs="Arial" w:eastAsia="Arial" w:hAnsi="Arial"/>
                <w:sz w:val="13"/>
                <w:szCs w:val="13"/>
                <w:color w:val="3D3935"/>
              </w:rPr>
              <w:t>Prior Years</w:t>
            </w: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980" w:type="dxa"/>
            <w:vAlign w:val="bottom"/>
          </w:tcPr>
          <w:p>
            <w:pPr>
              <w:ind w:left="60"/>
              <w:spacing w:after="0"/>
              <w:rPr>
                <w:sz w:val="20"/>
                <w:szCs w:val="20"/>
                <w:color w:val="auto"/>
              </w:rPr>
            </w:pPr>
            <w:r>
              <w:rPr>
                <w:rFonts w:ascii="Arial" w:cs="Arial" w:eastAsia="Arial" w:hAnsi="Arial"/>
                <w:sz w:val="13"/>
                <w:szCs w:val="13"/>
                <w:color w:val="3D3935"/>
              </w:rPr>
              <w:t>Change in Fair</w:t>
            </w:r>
          </w:p>
        </w:tc>
        <w:tc>
          <w:tcPr>
            <w:tcW w:w="860" w:type="dxa"/>
            <w:vAlign w:val="bottom"/>
          </w:tcPr>
          <w:p>
            <w:pPr>
              <w:jc w:val="right"/>
              <w:ind w:right="17"/>
              <w:spacing w:after="0"/>
              <w:rPr>
                <w:sz w:val="20"/>
                <w:szCs w:val="20"/>
                <w:color w:val="auto"/>
              </w:rPr>
            </w:pPr>
            <w:r>
              <w:rPr>
                <w:rFonts w:ascii="Arial" w:cs="Arial" w:eastAsia="Arial" w:hAnsi="Arial"/>
                <w:sz w:val="13"/>
                <w:szCs w:val="13"/>
                <w:color w:val="3D3935"/>
              </w:rPr>
              <w:t>353,131</w:t>
            </w:r>
          </w:p>
        </w:tc>
        <w:tc>
          <w:tcPr>
            <w:tcW w:w="740" w:type="dxa"/>
            <w:vAlign w:val="bottom"/>
          </w:tcPr>
          <w:p>
            <w:pPr>
              <w:jc w:val="right"/>
              <w:spacing w:after="0"/>
              <w:rPr>
                <w:sz w:val="20"/>
                <w:szCs w:val="20"/>
                <w:color w:val="auto"/>
              </w:rPr>
            </w:pPr>
            <w:r>
              <w:rPr>
                <w:rFonts w:ascii="Arial" w:cs="Arial" w:eastAsia="Arial" w:hAnsi="Arial"/>
                <w:sz w:val="13"/>
                <w:szCs w:val="13"/>
                <w:color w:val="3D3935"/>
              </w:rPr>
              <w:t>93,851</w:t>
            </w:r>
          </w:p>
        </w:tc>
        <w:tc>
          <w:tcPr>
            <w:tcW w:w="60" w:type="dxa"/>
            <w:vAlign w:val="bottom"/>
          </w:tcPr>
          <w:p>
            <w:pPr>
              <w:spacing w:after="0"/>
              <w:rPr>
                <w:sz w:val="18"/>
                <w:szCs w:val="18"/>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3D3935"/>
              </w:rPr>
              <w:t>1,065,305</w:t>
            </w:r>
          </w:p>
        </w:tc>
        <w:tc>
          <w:tcPr>
            <w:tcW w:w="740" w:type="dxa"/>
            <w:vAlign w:val="bottom"/>
          </w:tcPr>
          <w:p>
            <w:pPr>
              <w:jc w:val="right"/>
              <w:spacing w:after="0"/>
              <w:rPr>
                <w:sz w:val="20"/>
                <w:szCs w:val="20"/>
                <w:color w:val="auto"/>
              </w:rPr>
            </w:pPr>
            <w:r>
              <w:rPr>
                <w:rFonts w:ascii="Arial" w:cs="Arial" w:eastAsia="Arial" w:hAnsi="Arial"/>
                <w:sz w:val="13"/>
                <w:szCs w:val="13"/>
                <w:color w:val="3D3935"/>
              </w:rPr>
              <w:t>199,384</w:t>
            </w:r>
          </w:p>
        </w:tc>
        <w:tc>
          <w:tcPr>
            <w:tcW w:w="60" w:type="dxa"/>
            <w:vAlign w:val="bottom"/>
          </w:tcPr>
          <w:p>
            <w:pPr>
              <w:spacing w:after="0"/>
              <w:rPr>
                <w:sz w:val="18"/>
                <w:szCs w:val="18"/>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3D3935"/>
              </w:rPr>
              <w:t>(2,429,243)</w:t>
            </w:r>
          </w:p>
        </w:tc>
        <w:tc>
          <w:tcPr>
            <w:tcW w:w="720" w:type="dxa"/>
            <w:vAlign w:val="bottom"/>
          </w:tcPr>
          <w:p>
            <w:pPr>
              <w:jc w:val="right"/>
              <w:spacing w:after="0"/>
              <w:rPr>
                <w:sz w:val="20"/>
                <w:szCs w:val="20"/>
                <w:color w:val="auto"/>
              </w:rPr>
            </w:pPr>
            <w:r>
              <w:rPr>
                <w:rFonts w:ascii="Arial" w:cs="Arial" w:eastAsia="Arial" w:hAnsi="Arial"/>
                <w:sz w:val="13"/>
                <w:szCs w:val="13"/>
                <w:color w:val="3D3935"/>
              </w:rPr>
              <w:t>(481,646)</w:t>
            </w:r>
          </w:p>
        </w:tc>
        <w:tc>
          <w:tcPr>
            <w:tcW w:w="60" w:type="dxa"/>
            <w:vAlign w:val="bottom"/>
          </w:tcPr>
          <w:p>
            <w:pPr>
              <w:spacing w:after="0"/>
              <w:rPr>
                <w:sz w:val="18"/>
                <w:szCs w:val="18"/>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3D3935"/>
              </w:rPr>
              <w:t>4,969,494</w:t>
            </w:r>
          </w:p>
        </w:tc>
        <w:tc>
          <w:tcPr>
            <w:tcW w:w="740" w:type="dxa"/>
            <w:vAlign w:val="bottom"/>
          </w:tcPr>
          <w:p>
            <w:pPr>
              <w:jc w:val="right"/>
              <w:ind w:right="37"/>
              <w:spacing w:after="0"/>
              <w:rPr>
                <w:sz w:val="20"/>
                <w:szCs w:val="20"/>
                <w:color w:val="auto"/>
              </w:rPr>
            </w:pPr>
            <w:r>
              <w:rPr>
                <w:rFonts w:ascii="Arial" w:cs="Arial" w:eastAsia="Arial" w:hAnsi="Arial"/>
                <w:sz w:val="13"/>
                <w:szCs w:val="13"/>
                <w:color w:val="3D3935"/>
              </w:rPr>
              <w:t>804,660</w:t>
            </w: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3D3935"/>
              </w:rPr>
              <w:t>(1,755,912)</w:t>
            </w:r>
          </w:p>
        </w:tc>
        <w:tc>
          <w:tcPr>
            <w:tcW w:w="700" w:type="dxa"/>
            <w:vAlign w:val="bottom"/>
            <w:gridSpan w:val="2"/>
          </w:tcPr>
          <w:p>
            <w:pPr>
              <w:jc w:val="right"/>
              <w:spacing w:after="0"/>
              <w:rPr>
                <w:sz w:val="20"/>
                <w:szCs w:val="20"/>
                <w:color w:val="auto"/>
              </w:rPr>
            </w:pPr>
            <w:r>
              <w:rPr>
                <w:rFonts w:ascii="Arial" w:cs="Arial" w:eastAsia="Arial" w:hAnsi="Arial"/>
                <w:sz w:val="13"/>
                <w:szCs w:val="13"/>
                <w:color w:val="3D3935"/>
              </w:rPr>
              <w:t>(177,797)</w:t>
            </w:r>
          </w:p>
        </w:tc>
      </w:tr>
      <w:tr>
        <w:trPr>
          <w:trHeight w:val="148"/>
        </w:trPr>
        <w:tc>
          <w:tcPr>
            <w:tcW w:w="980" w:type="dxa"/>
            <w:vAlign w:val="bottom"/>
          </w:tcPr>
          <w:p>
            <w:pPr>
              <w:ind w:left="60"/>
              <w:spacing w:after="0"/>
              <w:rPr>
                <w:sz w:val="20"/>
                <w:szCs w:val="20"/>
                <w:color w:val="auto"/>
              </w:rPr>
            </w:pPr>
            <w:r>
              <w:rPr>
                <w:rFonts w:ascii="Arial" w:cs="Arial" w:eastAsia="Arial" w:hAnsi="Arial"/>
                <w:sz w:val="13"/>
                <w:szCs w:val="13"/>
                <w:color w:val="3D3935"/>
              </w:rPr>
              <w:t>Value of</w:t>
            </w: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980" w:type="dxa"/>
            <w:vAlign w:val="bottom"/>
          </w:tcPr>
          <w:p>
            <w:pPr>
              <w:ind w:left="60"/>
              <w:spacing w:after="0"/>
              <w:rPr>
                <w:sz w:val="20"/>
                <w:szCs w:val="20"/>
                <w:color w:val="auto"/>
              </w:rPr>
            </w:pPr>
            <w:r>
              <w:rPr>
                <w:rFonts w:ascii="Arial" w:cs="Arial" w:eastAsia="Arial" w:hAnsi="Arial"/>
                <w:sz w:val="13"/>
                <w:szCs w:val="13"/>
                <w:color w:val="3D3935"/>
              </w:rPr>
              <w:t>Option Awards</w:t>
            </w: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6"/>
        </w:trPr>
        <w:tc>
          <w:tcPr>
            <w:tcW w:w="980" w:type="dxa"/>
            <w:vAlign w:val="bottom"/>
            <w:tcBorders>
              <w:bottom w:val="single" w:sz="8" w:color="D9D9D6"/>
            </w:tcBorders>
          </w:tcPr>
          <w:p>
            <w:pPr>
              <w:ind w:left="60"/>
              <w:spacing w:after="0"/>
              <w:rPr>
                <w:sz w:val="20"/>
                <w:szCs w:val="20"/>
                <w:color w:val="auto"/>
              </w:rPr>
            </w:pPr>
            <w:r>
              <w:rPr>
                <w:rFonts w:ascii="Arial" w:cs="Arial" w:eastAsia="Arial" w:hAnsi="Arial"/>
                <w:sz w:val="13"/>
                <w:szCs w:val="13"/>
                <w:color w:val="3D3935"/>
              </w:rPr>
              <w:t>that Vested in</w:t>
            </w:r>
          </w:p>
        </w:tc>
        <w:tc>
          <w:tcPr>
            <w:tcW w:w="860" w:type="dxa"/>
            <w:vAlign w:val="bottom"/>
            <w:tcBorders>
              <w:bottom w:val="single" w:sz="8" w:color="D9D9D6"/>
            </w:tcBorders>
          </w:tcPr>
          <w:p>
            <w:pPr>
              <w:spacing w:after="0"/>
              <w:rPr>
                <w:sz w:val="14"/>
                <w:szCs w:val="14"/>
                <w:color w:val="auto"/>
              </w:rPr>
            </w:pPr>
          </w:p>
        </w:tc>
        <w:tc>
          <w:tcPr>
            <w:tcW w:w="740" w:type="dxa"/>
            <w:vAlign w:val="bottom"/>
            <w:tcBorders>
              <w:bottom w:val="single" w:sz="8" w:color="D9D9D6"/>
            </w:tcBorders>
          </w:tcPr>
          <w:p>
            <w:pPr>
              <w:spacing w:after="0"/>
              <w:rPr>
                <w:sz w:val="14"/>
                <w:szCs w:val="14"/>
                <w:color w:val="auto"/>
              </w:rPr>
            </w:pPr>
          </w:p>
        </w:tc>
        <w:tc>
          <w:tcPr>
            <w:tcW w:w="60" w:type="dxa"/>
            <w:vAlign w:val="bottom"/>
            <w:tcBorders>
              <w:bottom w:val="single" w:sz="8" w:color="D9D9D6"/>
            </w:tcBorders>
          </w:tcPr>
          <w:p>
            <w:pPr>
              <w:spacing w:after="0"/>
              <w:rPr>
                <w:sz w:val="14"/>
                <w:szCs w:val="14"/>
                <w:color w:val="auto"/>
              </w:rPr>
            </w:pPr>
          </w:p>
        </w:tc>
        <w:tc>
          <w:tcPr>
            <w:tcW w:w="840" w:type="dxa"/>
            <w:vAlign w:val="bottom"/>
            <w:tcBorders>
              <w:bottom w:val="single" w:sz="8" w:color="D9D9D6"/>
            </w:tcBorders>
          </w:tcPr>
          <w:p>
            <w:pPr>
              <w:spacing w:after="0"/>
              <w:rPr>
                <w:sz w:val="14"/>
                <w:szCs w:val="14"/>
                <w:color w:val="auto"/>
              </w:rPr>
            </w:pPr>
          </w:p>
        </w:tc>
        <w:tc>
          <w:tcPr>
            <w:tcW w:w="740" w:type="dxa"/>
            <w:vAlign w:val="bottom"/>
            <w:tcBorders>
              <w:bottom w:val="single" w:sz="8" w:color="D9D9D6"/>
            </w:tcBorders>
          </w:tcPr>
          <w:p>
            <w:pPr>
              <w:spacing w:after="0"/>
              <w:rPr>
                <w:sz w:val="14"/>
                <w:szCs w:val="14"/>
                <w:color w:val="auto"/>
              </w:rPr>
            </w:pPr>
          </w:p>
        </w:tc>
        <w:tc>
          <w:tcPr>
            <w:tcW w:w="60" w:type="dxa"/>
            <w:vAlign w:val="bottom"/>
            <w:tcBorders>
              <w:bottom w:val="single" w:sz="8" w:color="D9D9D6"/>
            </w:tcBorders>
          </w:tcPr>
          <w:p>
            <w:pPr>
              <w:spacing w:after="0"/>
              <w:rPr>
                <w:sz w:val="14"/>
                <w:szCs w:val="14"/>
                <w:color w:val="auto"/>
              </w:rPr>
            </w:pPr>
          </w:p>
        </w:tc>
        <w:tc>
          <w:tcPr>
            <w:tcW w:w="840" w:type="dxa"/>
            <w:vAlign w:val="bottom"/>
            <w:tcBorders>
              <w:bottom w:val="single" w:sz="8" w:color="D9D9D6"/>
            </w:tcBorders>
          </w:tcPr>
          <w:p>
            <w:pPr>
              <w:spacing w:after="0"/>
              <w:rPr>
                <w:sz w:val="14"/>
                <w:szCs w:val="14"/>
                <w:color w:val="auto"/>
              </w:rPr>
            </w:pPr>
          </w:p>
        </w:tc>
        <w:tc>
          <w:tcPr>
            <w:tcW w:w="720" w:type="dxa"/>
            <w:vAlign w:val="bottom"/>
            <w:tcBorders>
              <w:bottom w:val="single" w:sz="8" w:color="D9D9D6"/>
            </w:tcBorders>
          </w:tcPr>
          <w:p>
            <w:pPr>
              <w:spacing w:after="0"/>
              <w:rPr>
                <w:sz w:val="14"/>
                <w:szCs w:val="14"/>
                <w:color w:val="auto"/>
              </w:rPr>
            </w:pPr>
          </w:p>
        </w:tc>
        <w:tc>
          <w:tcPr>
            <w:tcW w:w="60" w:type="dxa"/>
            <w:vAlign w:val="bottom"/>
            <w:tcBorders>
              <w:bottom w:val="single" w:sz="8" w:color="D9D9D6"/>
            </w:tcBorders>
          </w:tcPr>
          <w:p>
            <w:pPr>
              <w:spacing w:after="0"/>
              <w:rPr>
                <w:sz w:val="14"/>
                <w:szCs w:val="14"/>
                <w:color w:val="auto"/>
              </w:rPr>
            </w:pPr>
          </w:p>
        </w:tc>
        <w:tc>
          <w:tcPr>
            <w:tcW w:w="840" w:type="dxa"/>
            <w:vAlign w:val="bottom"/>
            <w:tcBorders>
              <w:bottom w:val="single" w:sz="8" w:color="D9D9D6"/>
            </w:tcBorders>
          </w:tcPr>
          <w:p>
            <w:pPr>
              <w:spacing w:after="0"/>
              <w:rPr>
                <w:sz w:val="14"/>
                <w:szCs w:val="14"/>
                <w:color w:val="auto"/>
              </w:rPr>
            </w:pPr>
          </w:p>
        </w:tc>
        <w:tc>
          <w:tcPr>
            <w:tcW w:w="740" w:type="dxa"/>
            <w:vAlign w:val="bottom"/>
            <w:tcBorders>
              <w:bottom w:val="single" w:sz="8" w:color="D9D9D6"/>
            </w:tcBorders>
          </w:tcPr>
          <w:p>
            <w:pPr>
              <w:spacing w:after="0"/>
              <w:rPr>
                <w:sz w:val="14"/>
                <w:szCs w:val="14"/>
                <w:color w:val="auto"/>
              </w:rPr>
            </w:pPr>
          </w:p>
        </w:tc>
        <w:tc>
          <w:tcPr>
            <w:tcW w:w="60" w:type="dxa"/>
            <w:vAlign w:val="bottom"/>
            <w:tcBorders>
              <w:bottom w:val="single" w:sz="8" w:color="D9D9D6"/>
            </w:tcBorders>
          </w:tcPr>
          <w:p>
            <w:pPr>
              <w:spacing w:after="0"/>
              <w:rPr>
                <w:sz w:val="14"/>
                <w:szCs w:val="14"/>
                <w:color w:val="auto"/>
              </w:rPr>
            </w:pPr>
          </w:p>
        </w:tc>
        <w:tc>
          <w:tcPr>
            <w:tcW w:w="860" w:type="dxa"/>
            <w:vAlign w:val="bottom"/>
            <w:tcBorders>
              <w:bottom w:val="single" w:sz="8" w:color="D9D9D6"/>
            </w:tcBorders>
          </w:tcPr>
          <w:p>
            <w:pPr>
              <w:spacing w:after="0"/>
              <w:rPr>
                <w:sz w:val="14"/>
                <w:szCs w:val="14"/>
                <w:color w:val="auto"/>
              </w:rPr>
            </w:pPr>
          </w:p>
        </w:tc>
        <w:tc>
          <w:tcPr>
            <w:tcW w:w="680" w:type="dxa"/>
            <w:vAlign w:val="bottom"/>
            <w:tcBorders>
              <w:bottom w:val="single" w:sz="8" w:color="D9D9D6"/>
            </w:tcBorders>
          </w:tcPr>
          <w:p>
            <w:pPr>
              <w:spacing w:after="0"/>
              <w:rPr>
                <w:sz w:val="14"/>
                <w:szCs w:val="14"/>
                <w:color w:val="auto"/>
              </w:rPr>
            </w:pPr>
          </w:p>
        </w:tc>
        <w:tc>
          <w:tcPr>
            <w:tcW w:w="20" w:type="dxa"/>
            <w:vAlign w:val="bottom"/>
          </w:tcPr>
          <w:p>
            <w:pPr>
              <w:spacing w:after="0"/>
              <w:rPr>
                <w:sz w:val="14"/>
                <w:szCs w:val="14"/>
                <w:color w:val="auto"/>
              </w:rPr>
            </w:pPr>
          </w:p>
        </w:tc>
      </w:tr>
      <w:tr>
        <w:trPr>
          <w:trHeight w:val="111"/>
        </w:trPr>
        <w:tc>
          <w:tcPr>
            <w:tcW w:w="980" w:type="dxa"/>
            <w:vAlign w:val="bottom"/>
          </w:tcPr>
          <w:p>
            <w:pPr>
              <w:ind w:left="60"/>
              <w:spacing w:after="0" w:line="111" w:lineRule="exact"/>
              <w:rPr>
                <w:sz w:val="20"/>
                <w:szCs w:val="20"/>
                <w:color w:val="auto"/>
              </w:rPr>
            </w:pPr>
            <w:r>
              <w:rPr>
                <w:rFonts w:ascii="Arial" w:cs="Arial" w:eastAsia="Arial" w:hAnsi="Arial"/>
                <w:sz w:val="12"/>
                <w:szCs w:val="12"/>
                <w:color w:val="3D3935"/>
              </w:rPr>
              <w:t>the Covered</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66"/>
        </w:trPr>
        <w:tc>
          <w:tcPr>
            <w:tcW w:w="980" w:type="dxa"/>
            <w:vAlign w:val="bottom"/>
          </w:tcPr>
          <w:p>
            <w:pPr>
              <w:ind w:left="60"/>
              <w:spacing w:after="0"/>
              <w:rPr>
                <w:sz w:val="20"/>
                <w:szCs w:val="20"/>
                <w:color w:val="auto"/>
              </w:rPr>
            </w:pPr>
            <w:r>
              <w:rPr>
                <w:rFonts w:ascii="Arial" w:cs="Arial" w:eastAsia="Arial" w:hAnsi="Arial"/>
                <w:sz w:val="13"/>
                <w:szCs w:val="13"/>
                <w:color w:val="3D3935"/>
              </w:rPr>
              <w:t>Year</w:t>
            </w: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980" w:type="dxa"/>
            <w:vAlign w:val="bottom"/>
          </w:tcPr>
          <w:p>
            <w:pPr>
              <w:ind w:left="60"/>
              <w:spacing w:after="0"/>
              <w:rPr>
                <w:sz w:val="20"/>
                <w:szCs w:val="20"/>
                <w:color w:val="auto"/>
              </w:rPr>
            </w:pPr>
            <w:r>
              <w:rPr>
                <w:rFonts w:ascii="Arial" w:cs="Arial" w:eastAsia="Arial" w:hAnsi="Arial"/>
                <w:sz w:val="13"/>
                <w:szCs w:val="13"/>
                <w:color w:val="3D3935"/>
              </w:rPr>
              <w:t>Less: Fair</w:t>
            </w:r>
          </w:p>
        </w:tc>
        <w:tc>
          <w:tcPr>
            <w:tcW w:w="860" w:type="dxa"/>
            <w:vAlign w:val="bottom"/>
          </w:tcPr>
          <w:p>
            <w:pPr>
              <w:jc w:val="right"/>
              <w:spacing w:after="0"/>
              <w:rPr>
                <w:sz w:val="20"/>
                <w:szCs w:val="20"/>
                <w:color w:val="auto"/>
              </w:rPr>
            </w:pPr>
            <w:r>
              <w:rPr>
                <w:rFonts w:ascii="Arial" w:cs="Arial" w:eastAsia="Arial" w:hAnsi="Arial"/>
                <w:sz w:val="13"/>
                <w:szCs w:val="13"/>
                <w:color w:val="3D3935"/>
              </w:rPr>
              <w:t>—</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3D3935"/>
              </w:rPr>
              <w:t>—</w:t>
            </w:r>
          </w:p>
        </w:tc>
        <w:tc>
          <w:tcPr>
            <w:tcW w:w="840" w:type="dxa"/>
            <w:vAlign w:val="bottom"/>
          </w:tcPr>
          <w:p>
            <w:pPr>
              <w:jc w:val="right"/>
              <w:spacing w:after="0"/>
              <w:rPr>
                <w:sz w:val="20"/>
                <w:szCs w:val="20"/>
                <w:color w:val="auto"/>
              </w:rPr>
            </w:pPr>
            <w:r>
              <w:rPr>
                <w:rFonts w:ascii="Arial" w:cs="Arial" w:eastAsia="Arial" w:hAnsi="Arial"/>
                <w:sz w:val="13"/>
                <w:szCs w:val="13"/>
                <w:color w:val="3D3935"/>
              </w:rPr>
              <w:t>—</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3D3935"/>
              </w:rPr>
              <w:t>—</w:t>
            </w:r>
          </w:p>
        </w:tc>
        <w:tc>
          <w:tcPr>
            <w:tcW w:w="840" w:type="dxa"/>
            <w:vAlign w:val="bottom"/>
          </w:tcPr>
          <w:p>
            <w:pPr>
              <w:jc w:val="right"/>
              <w:spacing w:after="0"/>
              <w:rPr>
                <w:sz w:val="20"/>
                <w:szCs w:val="20"/>
                <w:color w:val="auto"/>
              </w:rPr>
            </w:pPr>
            <w:r>
              <w:rPr>
                <w:rFonts w:ascii="Arial" w:cs="Arial" w:eastAsia="Arial" w:hAnsi="Arial"/>
                <w:sz w:val="13"/>
                <w:szCs w:val="13"/>
                <w:color w:val="3D3935"/>
              </w:rPr>
              <w:t>—</w:t>
            </w:r>
          </w:p>
        </w:tc>
        <w:tc>
          <w:tcPr>
            <w:tcW w:w="780" w:type="dxa"/>
            <w:vAlign w:val="bottom"/>
            <w:gridSpan w:val="2"/>
          </w:tcPr>
          <w:p>
            <w:pPr>
              <w:ind w:left="600"/>
              <w:spacing w:after="0"/>
              <w:rPr>
                <w:sz w:val="20"/>
                <w:szCs w:val="20"/>
                <w:color w:val="auto"/>
              </w:rPr>
            </w:pPr>
            <w:r>
              <w:rPr>
                <w:rFonts w:ascii="Arial" w:cs="Arial" w:eastAsia="Arial" w:hAnsi="Arial"/>
                <w:sz w:val="13"/>
                <w:szCs w:val="13"/>
                <w:color w:val="3D3935"/>
              </w:rPr>
              <w:t>—</w:t>
            </w:r>
          </w:p>
        </w:tc>
        <w:tc>
          <w:tcPr>
            <w:tcW w:w="840" w:type="dxa"/>
            <w:vAlign w:val="bottom"/>
          </w:tcPr>
          <w:p>
            <w:pPr>
              <w:jc w:val="right"/>
              <w:spacing w:after="0"/>
              <w:rPr>
                <w:sz w:val="20"/>
                <w:szCs w:val="20"/>
                <w:color w:val="auto"/>
              </w:rPr>
            </w:pPr>
            <w:r>
              <w:rPr>
                <w:rFonts w:ascii="Arial" w:cs="Arial" w:eastAsia="Arial" w:hAnsi="Arial"/>
                <w:sz w:val="13"/>
                <w:szCs w:val="13"/>
                <w:color w:val="3D3935"/>
              </w:rPr>
              <w:t>—</w:t>
            </w:r>
          </w:p>
        </w:tc>
        <w:tc>
          <w:tcPr>
            <w:tcW w:w="800" w:type="dxa"/>
            <w:vAlign w:val="bottom"/>
            <w:gridSpan w:val="2"/>
          </w:tcPr>
          <w:p>
            <w:pPr>
              <w:ind w:left="620"/>
              <w:spacing w:after="0"/>
              <w:rPr>
                <w:sz w:val="20"/>
                <w:szCs w:val="20"/>
                <w:color w:val="auto"/>
              </w:rPr>
            </w:pPr>
            <w:r>
              <w:rPr>
                <w:rFonts w:ascii="Arial" w:cs="Arial" w:eastAsia="Arial" w:hAnsi="Arial"/>
                <w:sz w:val="13"/>
                <w:szCs w:val="13"/>
                <w:color w:val="3D3935"/>
              </w:rPr>
              <w:t>—</w:t>
            </w:r>
          </w:p>
        </w:tc>
        <w:tc>
          <w:tcPr>
            <w:tcW w:w="860" w:type="dxa"/>
            <w:vAlign w:val="bottom"/>
          </w:tcPr>
          <w:p>
            <w:pPr>
              <w:jc w:val="right"/>
              <w:spacing w:after="0"/>
              <w:rPr>
                <w:sz w:val="20"/>
                <w:szCs w:val="20"/>
                <w:color w:val="auto"/>
              </w:rPr>
            </w:pPr>
            <w:r>
              <w:rPr>
                <w:rFonts w:ascii="Arial" w:cs="Arial" w:eastAsia="Arial" w:hAnsi="Arial"/>
                <w:sz w:val="13"/>
                <w:szCs w:val="13"/>
                <w:color w:val="3D3935"/>
              </w:rPr>
              <w:t>—</w:t>
            </w:r>
          </w:p>
        </w:tc>
        <w:tc>
          <w:tcPr>
            <w:tcW w:w="680" w:type="dxa"/>
            <w:vAlign w:val="bottom"/>
          </w:tcPr>
          <w:p>
            <w:pPr>
              <w:jc w:val="right"/>
              <w:spacing w:after="0"/>
              <w:rPr>
                <w:sz w:val="20"/>
                <w:szCs w:val="20"/>
                <w:color w:val="auto"/>
              </w:rPr>
            </w:pPr>
            <w:r>
              <w:rPr>
                <w:rFonts w:ascii="Arial" w:cs="Arial" w:eastAsia="Arial" w:hAnsi="Arial"/>
                <w:sz w:val="13"/>
                <w:szCs w:val="13"/>
                <w:color w:val="3D3935"/>
              </w:rPr>
              <w:t>(89,780)</w:t>
            </w:r>
          </w:p>
        </w:tc>
        <w:tc>
          <w:tcPr>
            <w:tcW w:w="20" w:type="dxa"/>
            <w:vAlign w:val="bottom"/>
          </w:tcPr>
          <w:p>
            <w:pPr>
              <w:spacing w:after="0"/>
              <w:rPr>
                <w:sz w:val="18"/>
                <w:szCs w:val="18"/>
                <w:color w:val="auto"/>
              </w:rPr>
            </w:pPr>
          </w:p>
        </w:tc>
      </w:tr>
      <w:tr>
        <w:trPr>
          <w:trHeight w:val="148"/>
        </w:trPr>
        <w:tc>
          <w:tcPr>
            <w:tcW w:w="980" w:type="dxa"/>
            <w:vAlign w:val="bottom"/>
          </w:tcPr>
          <w:p>
            <w:pPr>
              <w:ind w:left="60"/>
              <w:spacing w:after="0"/>
              <w:rPr>
                <w:sz w:val="20"/>
                <w:szCs w:val="20"/>
                <w:color w:val="auto"/>
              </w:rPr>
            </w:pPr>
            <w:r>
              <w:rPr>
                <w:rFonts w:ascii="Arial" w:cs="Arial" w:eastAsia="Arial" w:hAnsi="Arial"/>
                <w:sz w:val="13"/>
                <w:szCs w:val="13"/>
                <w:color w:val="3D3935"/>
              </w:rPr>
              <w:t>Value of</w:t>
            </w: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980" w:type="dxa"/>
            <w:vAlign w:val="bottom"/>
          </w:tcPr>
          <w:p>
            <w:pPr>
              <w:ind w:left="60"/>
              <w:spacing w:after="0"/>
              <w:rPr>
                <w:sz w:val="20"/>
                <w:szCs w:val="20"/>
                <w:color w:val="auto"/>
              </w:rPr>
            </w:pPr>
            <w:r>
              <w:rPr>
                <w:rFonts w:ascii="Arial" w:cs="Arial" w:eastAsia="Arial" w:hAnsi="Arial"/>
                <w:sz w:val="13"/>
                <w:szCs w:val="13"/>
                <w:color w:val="3D3935"/>
              </w:rPr>
              <w:t>Option Awards</w:t>
            </w: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8"/>
        </w:trPr>
        <w:tc>
          <w:tcPr>
            <w:tcW w:w="980" w:type="dxa"/>
            <w:vAlign w:val="bottom"/>
          </w:tcPr>
          <w:p>
            <w:pPr>
              <w:ind w:left="60"/>
              <w:spacing w:after="0"/>
              <w:rPr>
                <w:sz w:val="20"/>
                <w:szCs w:val="20"/>
                <w:color w:val="auto"/>
              </w:rPr>
            </w:pPr>
            <w:r>
              <w:rPr>
                <w:rFonts w:ascii="Arial" w:cs="Arial" w:eastAsia="Arial" w:hAnsi="Arial"/>
                <w:sz w:val="13"/>
                <w:szCs w:val="13"/>
                <w:color w:val="3D3935"/>
              </w:rPr>
              <w:t>Forfeited</w:t>
            </w: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980" w:type="dxa"/>
            <w:vAlign w:val="bottom"/>
            <w:tcBorders>
              <w:bottom w:val="single" w:sz="8" w:color="D9D9D6"/>
            </w:tcBorders>
          </w:tcPr>
          <w:p>
            <w:pPr>
              <w:ind w:left="60"/>
              <w:spacing w:after="0"/>
              <w:rPr>
                <w:sz w:val="20"/>
                <w:szCs w:val="20"/>
                <w:color w:val="auto"/>
              </w:rPr>
            </w:pPr>
            <w:r>
              <w:rPr>
                <w:rFonts w:ascii="Arial" w:cs="Arial" w:eastAsia="Arial" w:hAnsi="Arial"/>
                <w:sz w:val="13"/>
                <w:szCs w:val="13"/>
                <w:color w:val="3D3935"/>
              </w:rPr>
              <w:t>During the</w:t>
            </w:r>
          </w:p>
        </w:tc>
        <w:tc>
          <w:tcPr>
            <w:tcW w:w="860" w:type="dxa"/>
            <w:vAlign w:val="bottom"/>
            <w:tcBorders>
              <w:bottom w:val="single" w:sz="8" w:color="D9D9D6"/>
            </w:tcBorders>
          </w:tcPr>
          <w:p>
            <w:pPr>
              <w:spacing w:after="0"/>
              <w:rPr>
                <w:sz w:val="14"/>
                <w:szCs w:val="14"/>
                <w:color w:val="auto"/>
              </w:rPr>
            </w:pPr>
          </w:p>
        </w:tc>
        <w:tc>
          <w:tcPr>
            <w:tcW w:w="740" w:type="dxa"/>
            <w:vAlign w:val="bottom"/>
            <w:tcBorders>
              <w:bottom w:val="single" w:sz="8" w:color="D9D9D6"/>
            </w:tcBorders>
          </w:tcPr>
          <w:p>
            <w:pPr>
              <w:spacing w:after="0"/>
              <w:rPr>
                <w:sz w:val="14"/>
                <w:szCs w:val="14"/>
                <w:color w:val="auto"/>
              </w:rPr>
            </w:pPr>
          </w:p>
        </w:tc>
        <w:tc>
          <w:tcPr>
            <w:tcW w:w="60" w:type="dxa"/>
            <w:vAlign w:val="bottom"/>
            <w:tcBorders>
              <w:bottom w:val="single" w:sz="8" w:color="D9D9D6"/>
            </w:tcBorders>
          </w:tcPr>
          <w:p>
            <w:pPr>
              <w:spacing w:after="0"/>
              <w:rPr>
                <w:sz w:val="14"/>
                <w:szCs w:val="14"/>
                <w:color w:val="auto"/>
              </w:rPr>
            </w:pPr>
          </w:p>
        </w:tc>
        <w:tc>
          <w:tcPr>
            <w:tcW w:w="840" w:type="dxa"/>
            <w:vAlign w:val="bottom"/>
            <w:tcBorders>
              <w:bottom w:val="single" w:sz="8" w:color="D9D9D6"/>
            </w:tcBorders>
          </w:tcPr>
          <w:p>
            <w:pPr>
              <w:spacing w:after="0"/>
              <w:rPr>
                <w:sz w:val="14"/>
                <w:szCs w:val="14"/>
                <w:color w:val="auto"/>
              </w:rPr>
            </w:pPr>
          </w:p>
        </w:tc>
        <w:tc>
          <w:tcPr>
            <w:tcW w:w="740" w:type="dxa"/>
            <w:vAlign w:val="bottom"/>
            <w:tcBorders>
              <w:bottom w:val="single" w:sz="8" w:color="D9D9D6"/>
            </w:tcBorders>
          </w:tcPr>
          <w:p>
            <w:pPr>
              <w:spacing w:after="0"/>
              <w:rPr>
                <w:sz w:val="14"/>
                <w:szCs w:val="14"/>
                <w:color w:val="auto"/>
              </w:rPr>
            </w:pPr>
          </w:p>
        </w:tc>
        <w:tc>
          <w:tcPr>
            <w:tcW w:w="60" w:type="dxa"/>
            <w:vAlign w:val="bottom"/>
            <w:tcBorders>
              <w:bottom w:val="single" w:sz="8" w:color="D9D9D6"/>
            </w:tcBorders>
          </w:tcPr>
          <w:p>
            <w:pPr>
              <w:spacing w:after="0"/>
              <w:rPr>
                <w:sz w:val="14"/>
                <w:szCs w:val="14"/>
                <w:color w:val="auto"/>
              </w:rPr>
            </w:pPr>
          </w:p>
        </w:tc>
        <w:tc>
          <w:tcPr>
            <w:tcW w:w="840" w:type="dxa"/>
            <w:vAlign w:val="bottom"/>
            <w:tcBorders>
              <w:bottom w:val="single" w:sz="8" w:color="D9D9D6"/>
            </w:tcBorders>
          </w:tcPr>
          <w:p>
            <w:pPr>
              <w:spacing w:after="0"/>
              <w:rPr>
                <w:sz w:val="14"/>
                <w:szCs w:val="14"/>
                <w:color w:val="auto"/>
              </w:rPr>
            </w:pPr>
          </w:p>
        </w:tc>
        <w:tc>
          <w:tcPr>
            <w:tcW w:w="720" w:type="dxa"/>
            <w:vAlign w:val="bottom"/>
            <w:tcBorders>
              <w:bottom w:val="single" w:sz="8" w:color="D9D9D6"/>
            </w:tcBorders>
          </w:tcPr>
          <w:p>
            <w:pPr>
              <w:spacing w:after="0"/>
              <w:rPr>
                <w:sz w:val="14"/>
                <w:szCs w:val="14"/>
                <w:color w:val="auto"/>
              </w:rPr>
            </w:pPr>
          </w:p>
        </w:tc>
        <w:tc>
          <w:tcPr>
            <w:tcW w:w="60" w:type="dxa"/>
            <w:vAlign w:val="bottom"/>
            <w:tcBorders>
              <w:bottom w:val="single" w:sz="8" w:color="D9D9D6"/>
            </w:tcBorders>
          </w:tcPr>
          <w:p>
            <w:pPr>
              <w:spacing w:after="0"/>
              <w:rPr>
                <w:sz w:val="14"/>
                <w:szCs w:val="14"/>
                <w:color w:val="auto"/>
              </w:rPr>
            </w:pPr>
          </w:p>
        </w:tc>
        <w:tc>
          <w:tcPr>
            <w:tcW w:w="840" w:type="dxa"/>
            <w:vAlign w:val="bottom"/>
            <w:tcBorders>
              <w:bottom w:val="single" w:sz="8" w:color="D9D9D6"/>
            </w:tcBorders>
          </w:tcPr>
          <w:p>
            <w:pPr>
              <w:spacing w:after="0"/>
              <w:rPr>
                <w:sz w:val="14"/>
                <w:szCs w:val="14"/>
                <w:color w:val="auto"/>
              </w:rPr>
            </w:pPr>
          </w:p>
        </w:tc>
        <w:tc>
          <w:tcPr>
            <w:tcW w:w="740" w:type="dxa"/>
            <w:vAlign w:val="bottom"/>
            <w:tcBorders>
              <w:bottom w:val="single" w:sz="8" w:color="D9D9D6"/>
            </w:tcBorders>
          </w:tcPr>
          <w:p>
            <w:pPr>
              <w:spacing w:after="0"/>
              <w:rPr>
                <w:sz w:val="14"/>
                <w:szCs w:val="14"/>
                <w:color w:val="auto"/>
              </w:rPr>
            </w:pPr>
          </w:p>
        </w:tc>
        <w:tc>
          <w:tcPr>
            <w:tcW w:w="60" w:type="dxa"/>
            <w:vAlign w:val="bottom"/>
            <w:tcBorders>
              <w:bottom w:val="single" w:sz="8" w:color="D9D9D6"/>
            </w:tcBorders>
          </w:tcPr>
          <w:p>
            <w:pPr>
              <w:spacing w:after="0"/>
              <w:rPr>
                <w:sz w:val="14"/>
                <w:szCs w:val="14"/>
                <w:color w:val="auto"/>
              </w:rPr>
            </w:pPr>
          </w:p>
        </w:tc>
        <w:tc>
          <w:tcPr>
            <w:tcW w:w="860" w:type="dxa"/>
            <w:vAlign w:val="bottom"/>
            <w:tcBorders>
              <w:bottom w:val="single" w:sz="8" w:color="D9D9D6"/>
            </w:tcBorders>
          </w:tcPr>
          <w:p>
            <w:pPr>
              <w:spacing w:after="0"/>
              <w:rPr>
                <w:sz w:val="14"/>
                <w:szCs w:val="14"/>
                <w:color w:val="auto"/>
              </w:rPr>
            </w:pPr>
          </w:p>
        </w:tc>
        <w:tc>
          <w:tcPr>
            <w:tcW w:w="680" w:type="dxa"/>
            <w:vAlign w:val="bottom"/>
            <w:tcBorders>
              <w:bottom w:val="single" w:sz="8" w:color="D9D9D6"/>
            </w:tcBorders>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980" w:type="dxa"/>
            <w:vAlign w:val="bottom"/>
          </w:tcPr>
          <w:p>
            <w:pPr>
              <w:ind w:left="60"/>
              <w:spacing w:after="0"/>
              <w:rPr>
                <w:sz w:val="20"/>
                <w:szCs w:val="20"/>
                <w:color w:val="auto"/>
              </w:rPr>
            </w:pPr>
            <w:r>
              <w:rPr>
                <w:rFonts w:ascii="Arial" w:cs="Arial" w:eastAsia="Arial" w:hAnsi="Arial"/>
                <w:sz w:val="13"/>
                <w:szCs w:val="13"/>
                <w:color w:val="3D3935"/>
              </w:rPr>
              <w:t>Covered Year</w:t>
            </w: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4"/>
        </w:trPr>
        <w:tc>
          <w:tcPr>
            <w:tcW w:w="980" w:type="dxa"/>
            <w:vAlign w:val="bottom"/>
          </w:tcPr>
          <w:p>
            <w:pPr>
              <w:ind w:left="60"/>
              <w:spacing w:after="0"/>
              <w:rPr>
                <w:sz w:val="20"/>
                <w:szCs w:val="20"/>
                <w:color w:val="auto"/>
              </w:rPr>
            </w:pPr>
            <w:r>
              <w:rPr>
                <w:rFonts w:ascii="Arial" w:cs="Arial" w:eastAsia="Arial" w:hAnsi="Arial"/>
                <w:sz w:val="13"/>
                <w:szCs w:val="13"/>
                <w:b w:val="1"/>
                <w:bCs w:val="1"/>
                <w:color w:val="3D3935"/>
              </w:rPr>
              <w:t>CAP Total</w:t>
            </w:r>
          </w:p>
        </w:tc>
        <w:tc>
          <w:tcPr>
            <w:tcW w:w="860" w:type="dxa"/>
            <w:vAlign w:val="bottom"/>
          </w:tcPr>
          <w:p>
            <w:pPr>
              <w:jc w:val="right"/>
              <w:ind w:right="57"/>
              <w:spacing w:after="0"/>
              <w:rPr>
                <w:sz w:val="20"/>
                <w:szCs w:val="20"/>
                <w:color w:val="auto"/>
              </w:rPr>
            </w:pPr>
            <w:r>
              <w:rPr>
                <w:rFonts w:ascii="Arial" w:cs="Arial" w:eastAsia="Arial" w:hAnsi="Arial"/>
                <w:sz w:val="13"/>
                <w:szCs w:val="13"/>
                <w:color w:val="3D3935"/>
              </w:rPr>
              <w:t>65,519,064</w:t>
            </w:r>
          </w:p>
        </w:tc>
        <w:tc>
          <w:tcPr>
            <w:tcW w:w="740" w:type="dxa"/>
            <w:vAlign w:val="bottom"/>
          </w:tcPr>
          <w:p>
            <w:pPr>
              <w:jc w:val="right"/>
              <w:ind w:right="17"/>
              <w:spacing w:after="0"/>
              <w:rPr>
                <w:sz w:val="20"/>
                <w:szCs w:val="20"/>
                <w:color w:val="auto"/>
              </w:rPr>
            </w:pPr>
            <w:r>
              <w:rPr>
                <w:rFonts w:ascii="Arial" w:cs="Arial" w:eastAsia="Arial" w:hAnsi="Arial"/>
                <w:sz w:val="13"/>
                <w:szCs w:val="13"/>
                <w:color w:val="3D3935"/>
                <w:w w:val="98"/>
              </w:rPr>
              <w:t>20,502,315</w:t>
            </w:r>
          </w:p>
        </w:tc>
        <w:tc>
          <w:tcPr>
            <w:tcW w:w="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3D3935"/>
              </w:rPr>
              <w:t>21,715,743</w:t>
            </w:r>
          </w:p>
        </w:tc>
        <w:tc>
          <w:tcPr>
            <w:tcW w:w="740" w:type="dxa"/>
            <w:vAlign w:val="bottom"/>
          </w:tcPr>
          <w:p>
            <w:pPr>
              <w:jc w:val="right"/>
              <w:ind w:right="17"/>
              <w:spacing w:after="0"/>
              <w:rPr>
                <w:sz w:val="20"/>
                <w:szCs w:val="20"/>
                <w:color w:val="auto"/>
              </w:rPr>
            </w:pPr>
            <w:r>
              <w:rPr>
                <w:rFonts w:ascii="Arial" w:cs="Arial" w:eastAsia="Arial" w:hAnsi="Arial"/>
                <w:sz w:val="13"/>
                <w:szCs w:val="13"/>
                <w:color w:val="3D3935"/>
                <w:w w:val="98"/>
              </w:rPr>
              <w:t>12,490,596</w:t>
            </w:r>
          </w:p>
        </w:tc>
        <w:tc>
          <w:tcPr>
            <w:tcW w:w="6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3"/>
                <w:szCs w:val="13"/>
                <w:color w:val="3D3935"/>
              </w:rPr>
              <w:t>(16,991,516) (2,724,335)</w:t>
            </w:r>
          </w:p>
        </w:tc>
        <w:tc>
          <w:tcPr>
            <w:tcW w:w="60" w:type="dxa"/>
            <w:vAlign w:val="bottom"/>
          </w:tcPr>
          <w:p>
            <w:pPr>
              <w:spacing w:after="0"/>
              <w:rPr>
                <w:sz w:val="17"/>
                <w:szCs w:val="17"/>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3D3935"/>
              </w:rPr>
              <w:t>76,096,506</w:t>
            </w:r>
          </w:p>
        </w:tc>
        <w:tc>
          <w:tcPr>
            <w:tcW w:w="740" w:type="dxa"/>
            <w:vAlign w:val="bottom"/>
          </w:tcPr>
          <w:p>
            <w:pPr>
              <w:jc w:val="right"/>
              <w:ind w:right="17"/>
              <w:spacing w:after="0"/>
              <w:rPr>
                <w:sz w:val="20"/>
                <w:szCs w:val="20"/>
                <w:color w:val="auto"/>
              </w:rPr>
            </w:pPr>
            <w:r>
              <w:rPr>
                <w:rFonts w:ascii="Arial" w:cs="Arial" w:eastAsia="Arial" w:hAnsi="Arial"/>
                <w:sz w:val="13"/>
                <w:szCs w:val="13"/>
                <w:color w:val="3D3935"/>
                <w:w w:val="98"/>
              </w:rPr>
              <w:t>19,443,928</w:t>
            </w:r>
          </w:p>
        </w:tc>
        <w:tc>
          <w:tcPr>
            <w:tcW w:w="60" w:type="dxa"/>
            <w:vAlign w:val="bottom"/>
          </w:tcPr>
          <w:p>
            <w:pPr>
              <w:spacing w:after="0"/>
              <w:rPr>
                <w:sz w:val="17"/>
                <w:szCs w:val="17"/>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3D3935"/>
              </w:rPr>
              <w:t>45,185,399</w:t>
            </w:r>
          </w:p>
        </w:tc>
        <w:tc>
          <w:tcPr>
            <w:tcW w:w="680" w:type="dxa"/>
            <w:vAlign w:val="bottom"/>
          </w:tcPr>
          <w:p>
            <w:pPr>
              <w:jc w:val="right"/>
              <w:spacing w:after="0"/>
              <w:rPr>
                <w:sz w:val="20"/>
                <w:szCs w:val="20"/>
                <w:color w:val="auto"/>
              </w:rPr>
            </w:pPr>
            <w:r>
              <w:rPr>
                <w:rFonts w:ascii="Arial" w:cs="Arial" w:eastAsia="Arial" w:hAnsi="Arial"/>
                <w:sz w:val="13"/>
                <w:szCs w:val="13"/>
                <w:color w:val="3D3935"/>
              </w:rPr>
              <w:t>5,817,820</w:t>
            </w:r>
          </w:p>
        </w:tc>
        <w:tc>
          <w:tcPr>
            <w:tcW w:w="20" w:type="dxa"/>
            <w:vAlign w:val="bottom"/>
          </w:tcPr>
          <w:p>
            <w:pPr>
              <w:spacing w:after="0"/>
              <w:rPr>
                <w:sz w:val="17"/>
                <w:szCs w:val="17"/>
                <w:color w:val="auto"/>
              </w:rPr>
            </w:pPr>
          </w:p>
        </w:tc>
      </w:tr>
    </w:tbl>
    <w:p>
      <w:pPr>
        <w:spacing w:after="0" w:line="1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69970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10375" cy="6997065"/>
                    </a:xfrm>
                    <a:prstGeom prst="rect">
                      <a:avLst/>
                    </a:prstGeom>
                    <a:noFill/>
                  </pic:spPr>
                </pic:pic>
              </a:graphicData>
            </a:graphic>
          </wp:anchor>
        </w:drawing>
      </w:r>
    </w:p>
    <w:p>
      <w:pPr>
        <w:ind w:left="200" w:hanging="192"/>
        <w:spacing w:after="0"/>
        <w:tabs>
          <w:tab w:leader="none" w:pos="200" w:val="left"/>
        </w:tabs>
        <w:numPr>
          <w:ilvl w:val="0"/>
          <w:numId w:val="111"/>
        </w:numPr>
        <w:rPr>
          <w:rFonts w:ascii="Arial" w:cs="Arial" w:eastAsia="Arial" w:hAnsi="Arial"/>
          <w:sz w:val="19"/>
          <w:szCs w:val="19"/>
          <w:color w:val="3D3935"/>
          <w:vertAlign w:val="superscript"/>
        </w:rPr>
      </w:pPr>
      <w:r>
        <w:rPr>
          <w:rFonts w:ascii="Arial" w:cs="Arial" w:eastAsia="Arial" w:hAnsi="Arial"/>
          <w:sz w:val="14"/>
          <w:szCs w:val="14"/>
          <w:color w:val="3D3935"/>
        </w:rPr>
        <w:t>Represents the cumulative TSR of the Company of an initial investment of $100 for the measurement period beginning</w:t>
      </w:r>
    </w:p>
    <w:p>
      <w:pPr>
        <w:spacing w:after="0" w:line="12" w:lineRule="exact"/>
        <w:rPr>
          <w:rFonts w:ascii="Arial" w:cs="Arial" w:eastAsia="Arial" w:hAnsi="Arial"/>
          <w:sz w:val="19"/>
          <w:szCs w:val="19"/>
          <w:color w:val="3D3935"/>
          <w:vertAlign w:val="superscript"/>
        </w:rPr>
      </w:pPr>
    </w:p>
    <w:p>
      <w:pPr>
        <w:ind w:left="200" w:right="340"/>
        <w:spacing w:after="0" w:line="299" w:lineRule="auto"/>
        <w:rPr>
          <w:rFonts w:ascii="Arial" w:cs="Arial" w:eastAsia="Arial" w:hAnsi="Arial"/>
          <w:sz w:val="19"/>
          <w:szCs w:val="19"/>
          <w:color w:val="3D3935"/>
          <w:vertAlign w:val="superscript"/>
        </w:rPr>
      </w:pPr>
      <w:r>
        <w:rPr>
          <w:rFonts w:ascii="Arial" w:cs="Arial" w:eastAsia="Arial" w:hAnsi="Arial"/>
          <w:sz w:val="14"/>
          <w:szCs w:val="14"/>
          <w:color w:val="3D3935"/>
        </w:rPr>
        <w:t>December 31, 2019, and ending December 31, 2024, 2023, 2022, 2021, or 2020, respectively, calculated in accordance with Item 201(e) of Regulation S-K as required under Item 402(v) of Regulation S-K.</w:t>
      </w:r>
    </w:p>
    <w:p>
      <w:pPr>
        <w:spacing w:after="0" w:line="16" w:lineRule="exact"/>
        <w:rPr>
          <w:rFonts w:ascii="Arial" w:cs="Arial" w:eastAsia="Arial" w:hAnsi="Arial"/>
          <w:sz w:val="19"/>
          <w:szCs w:val="19"/>
          <w:color w:val="3D3935"/>
          <w:vertAlign w:val="superscript"/>
        </w:rPr>
      </w:pPr>
    </w:p>
    <w:p>
      <w:pPr>
        <w:ind w:left="200" w:right="320" w:hanging="192"/>
        <w:spacing w:after="0" w:line="266" w:lineRule="auto"/>
        <w:tabs>
          <w:tab w:leader="none" w:pos="200" w:val="left"/>
        </w:tabs>
        <w:numPr>
          <w:ilvl w:val="0"/>
          <w:numId w:val="111"/>
        </w:numPr>
        <w:rPr>
          <w:rFonts w:ascii="Arial" w:cs="Arial" w:eastAsia="Arial" w:hAnsi="Arial"/>
          <w:sz w:val="19"/>
          <w:szCs w:val="19"/>
          <w:color w:val="3D3935"/>
          <w:vertAlign w:val="superscript"/>
        </w:rPr>
      </w:pPr>
      <w:r>
        <w:rPr>
          <w:rFonts w:ascii="Arial" w:cs="Arial" w:eastAsia="Arial" w:hAnsi="Arial"/>
          <w:sz w:val="14"/>
          <w:szCs w:val="14"/>
          <w:color w:val="3D3935"/>
        </w:rPr>
        <w:t>Represents the cumulative TSR of the Dow Jones Automobiles &amp; Parts Titans 30 Index (the “Peer Group TSR”) of an initial investment of $100 for the measurement period beginning December 31, 2019, and ending December 31, 2024, 2023, 2022, 2021, or 2020, respectively, calculated in accordance with Item 201(e) of Regulation S-K as required under Item 402(v) of Regulation S-K.</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3436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10375" cy="3436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ITEM 3 Proposal to Approve, on an Advisory Basis, Named Executive Officer Compensation</w:t>
      </w:r>
    </w:p>
    <w:p>
      <w:pPr>
        <w:spacing w:after="0" w:line="200" w:lineRule="exact"/>
        <w:rPr>
          <w:sz w:val="20"/>
          <w:szCs w:val="20"/>
          <w:color w:val="auto"/>
        </w:rPr>
      </w:pPr>
    </w:p>
    <w:p>
      <w:pPr>
        <w:spacing w:after="0" w:line="382" w:lineRule="exact"/>
        <w:rPr>
          <w:sz w:val="20"/>
          <w:szCs w:val="20"/>
          <w:color w:val="auto"/>
        </w:rPr>
      </w:pPr>
    </w:p>
    <w:p>
      <w:pPr>
        <w:ind w:left="200" w:right="280" w:hanging="192"/>
        <w:spacing w:after="0" w:line="239" w:lineRule="auto"/>
        <w:tabs>
          <w:tab w:leader="none" w:pos="200" w:val="left"/>
        </w:tabs>
        <w:numPr>
          <w:ilvl w:val="0"/>
          <w:numId w:val="112"/>
        </w:numPr>
        <w:rPr>
          <w:rFonts w:ascii="Arial" w:cs="Arial" w:eastAsia="Arial" w:hAnsi="Arial"/>
          <w:sz w:val="19"/>
          <w:szCs w:val="19"/>
          <w:color w:val="3D3935"/>
          <w:vertAlign w:val="superscript"/>
        </w:rPr>
      </w:pPr>
      <w:r>
        <w:rPr>
          <w:rFonts w:ascii="Arial" w:cs="Arial" w:eastAsia="Arial" w:hAnsi="Arial"/>
          <w:sz w:val="14"/>
          <w:szCs w:val="14"/>
          <w:color w:val="3D3935"/>
        </w:rPr>
        <w:t>Reflects net income as shown in the Company’s Annual Report on Form 10-K for the years ended December 31, 2024, 2023, 2022, 2021, and 2020.</w:t>
      </w:r>
    </w:p>
    <w:p>
      <w:pPr>
        <w:spacing w:after="0" w:line="54" w:lineRule="exact"/>
        <w:rPr>
          <w:rFonts w:ascii="Arial" w:cs="Arial" w:eastAsia="Arial" w:hAnsi="Arial"/>
          <w:sz w:val="19"/>
          <w:szCs w:val="19"/>
          <w:color w:val="3D3935"/>
          <w:vertAlign w:val="superscript"/>
        </w:rPr>
      </w:pPr>
    </w:p>
    <w:p>
      <w:pPr>
        <w:ind w:left="200" w:right="520" w:hanging="192"/>
        <w:spacing w:after="0" w:line="270" w:lineRule="auto"/>
        <w:tabs>
          <w:tab w:leader="none" w:pos="200" w:val="left"/>
        </w:tabs>
        <w:numPr>
          <w:ilvl w:val="0"/>
          <w:numId w:val="112"/>
        </w:numPr>
        <w:rPr>
          <w:rFonts w:ascii="Arial" w:cs="Arial" w:eastAsia="Arial" w:hAnsi="Arial"/>
          <w:sz w:val="19"/>
          <w:szCs w:val="19"/>
          <w:color w:val="3D3935"/>
          <w:vertAlign w:val="superscript"/>
        </w:rPr>
      </w:pPr>
      <w:r>
        <w:rPr>
          <w:rFonts w:ascii="Arial" w:cs="Arial" w:eastAsia="Arial" w:hAnsi="Arial"/>
          <w:sz w:val="14"/>
          <w:szCs w:val="14"/>
          <w:color w:val="3D3935"/>
        </w:rPr>
        <w:t>Reflects EBIT-adjusted , the company-selected measure for 2024, 2023, and 2022, as shown in the Company’s Annual Report on Form 10-K for the years ended December 31, 2024, 2023, 2022, 2021, and 2020. Refer to Appendix A for a reconciliation of EBIT-adjusted to its closest comparable GAAP measure. Please note EBIT-adjusted may not have been the company-selected measure for 2021 and 2020, and we may determine a different measure to be the company-selected measure in future years.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Tabular List of Most-Important Measures</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6"/>
          <w:szCs w:val="16"/>
          <w:color w:val="3D3935"/>
        </w:rPr>
        <w:t>EBIT-adjusted</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3D3935"/>
        </w:rPr>
        <w:t>EBIT-adjusted Margin</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3D3935"/>
        </w:rPr>
        <w:t>Relative TSR</w:t>
      </w:r>
    </w:p>
    <w:p>
      <w:pPr>
        <w:spacing w:after="0" w:line="215" w:lineRule="exact"/>
        <w:rPr>
          <w:sz w:val="20"/>
          <w:szCs w:val="20"/>
          <w:color w:val="auto"/>
        </w:rPr>
      </w:pPr>
    </w:p>
    <w:p>
      <w:pPr>
        <w:ind w:right="1640"/>
        <w:spacing w:after="0" w:line="296" w:lineRule="auto"/>
        <w:rPr>
          <w:sz w:val="20"/>
          <w:szCs w:val="20"/>
          <w:color w:val="auto"/>
        </w:rPr>
      </w:pPr>
      <w:r>
        <w:rPr>
          <w:rFonts w:ascii="Arial" w:cs="Arial" w:eastAsia="Arial" w:hAnsi="Arial"/>
          <w:sz w:val="29"/>
          <w:szCs w:val="29"/>
          <w:b w:val="1"/>
          <w:bCs w:val="1"/>
          <w:color w:val="3D3935"/>
          <w:highlight w:val="white"/>
        </w:rPr>
        <w:t>Relationship Between CAP Disclosed in the Pay Versus Performance Table and Other Table Elements</w:t>
      </w:r>
    </w:p>
    <w:p>
      <w:pPr>
        <w:sectPr>
          <w:pgSz w:w="11900" w:h="16838" w:orient="portrait"/>
          <w:cols w:equalWidth="0" w:num="1">
            <w:col w:w="9240"/>
          </w:cols>
          <w:pgMar w:left="1400" w:top="140" w:right="1259" w:bottom="230" w:gutter="0" w:footer="0" w:header="0"/>
        </w:sectPr>
      </w:pPr>
    </w:p>
    <w:p>
      <w:pPr>
        <w:spacing w:after="0" w:line="3" w:lineRule="exact"/>
        <w:rPr>
          <w:sz w:val="20"/>
          <w:szCs w:val="20"/>
          <w:color w:val="auto"/>
        </w:rPr>
      </w:pPr>
    </w:p>
    <w:p>
      <w:pPr>
        <w:spacing w:after="0"/>
        <w:rPr>
          <w:sz w:val="20"/>
          <w:szCs w:val="20"/>
          <w:color w:val="auto"/>
        </w:rPr>
      </w:pPr>
      <w:r>
        <w:rPr>
          <w:rFonts w:ascii="Arial" w:cs="Arial" w:eastAsia="Arial" w:hAnsi="Arial"/>
          <w:sz w:val="17"/>
          <w:szCs w:val="17"/>
          <w:b w:val="1"/>
          <w:bCs w:val="1"/>
          <w:color w:val="0072CE"/>
        </w:rPr>
        <w:t>CAP vs. TSR Performance</w:t>
      </w:r>
    </w:p>
    <w:p>
      <w:pPr>
        <w:sectPr>
          <w:pgSz w:w="11900" w:h="16838" w:orient="portrait"/>
          <w:cols w:equalWidth="0" w:num="1">
            <w:col w:w="9240"/>
          </w:cols>
          <w:pgMar w:left="1400" w:top="140" w:right="1259" w:bottom="230" w:gutter="0" w:footer="0" w:header="0"/>
          <w:type w:val="continuous"/>
        </w:sectPr>
      </w:pPr>
    </w:p>
    <w:bookmarkStart w:id="76" w:name="page77"/>
    <w:bookmarkEnd w:id="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54197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10375" cy="5419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40"/>
        <w:spacing w:after="0"/>
        <w:rPr>
          <w:sz w:val="20"/>
          <w:szCs w:val="20"/>
          <w:color w:val="auto"/>
        </w:rPr>
      </w:pPr>
      <w:r>
        <w:rPr>
          <w:rFonts w:ascii="Arial" w:cs="Arial" w:eastAsia="Arial" w:hAnsi="Arial"/>
          <w:sz w:val="13"/>
          <w:szCs w:val="13"/>
          <w:b w:val="1"/>
          <w:bCs w:val="1"/>
          <w:color w:val="0072CE"/>
        </w:rPr>
        <w:t xml:space="preserve">¢ </w:t>
      </w:r>
      <w:r>
        <w:rPr>
          <w:rFonts w:ascii="Arial" w:cs="Arial" w:eastAsia="Arial" w:hAnsi="Arial"/>
          <w:sz w:val="16"/>
          <w:szCs w:val="16"/>
          <w:color w:val="3D3935"/>
        </w:rPr>
        <w:t>CAP to CEO</w:t>
      </w:r>
      <w:r>
        <w:rPr>
          <w:rFonts w:ascii="Arial" w:cs="Arial" w:eastAsia="Arial" w:hAnsi="Arial"/>
          <w:sz w:val="13"/>
          <w:szCs w:val="13"/>
          <w:b w:val="1"/>
          <w:bCs w:val="1"/>
          <w:color w:val="0072CE"/>
        </w:rPr>
        <w:t xml:space="preserve">  </w:t>
      </w:r>
      <w:r>
        <w:rPr>
          <w:rFonts w:ascii="Arial" w:cs="Arial" w:eastAsia="Arial" w:hAnsi="Arial"/>
          <w:sz w:val="13"/>
          <w:szCs w:val="13"/>
          <w:b w:val="1"/>
          <w:bCs w:val="1"/>
          <w:color w:val="05C3DD"/>
        </w:rPr>
        <w:t>¢</w:t>
      </w:r>
      <w:r>
        <w:rPr>
          <w:rFonts w:ascii="Arial" w:cs="Arial" w:eastAsia="Arial" w:hAnsi="Arial"/>
          <w:sz w:val="13"/>
          <w:szCs w:val="13"/>
          <w:b w:val="1"/>
          <w:bCs w:val="1"/>
          <w:color w:val="0072CE"/>
        </w:rPr>
        <w:t xml:space="preserve"> </w:t>
      </w:r>
      <w:r>
        <w:rPr>
          <w:rFonts w:ascii="Arial" w:cs="Arial" w:eastAsia="Arial" w:hAnsi="Arial"/>
          <w:sz w:val="16"/>
          <w:szCs w:val="16"/>
          <w:color w:val="3D3935"/>
        </w:rPr>
        <w:t xml:space="preserve">Avg. CAP to Non-CEO NEOs  </w:t>
      </w:r>
      <w:r>
        <w:rPr>
          <w:sz w:val="1"/>
          <w:szCs w:val="1"/>
          <w:color w:val="auto"/>
        </w:rPr>
        <w:drawing>
          <wp:inline distT="0" distB="0" distL="0" distR="0">
            <wp:extent cx="145415" cy="8572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45415" cy="85725"/>
                    </a:xfrm>
                    <a:prstGeom prst="rect">
                      <a:avLst/>
                    </a:prstGeom>
                    <a:noFill/>
                    <a:ln>
                      <a:noFill/>
                    </a:ln>
                  </pic:spPr>
                </pic:pic>
              </a:graphicData>
            </a:graphic>
          </wp:inline>
        </w:drawing>
      </w:r>
      <w:r>
        <w:rPr>
          <w:rFonts w:ascii="Arial" w:cs="Arial" w:eastAsia="Arial" w:hAnsi="Arial"/>
          <w:sz w:val="16"/>
          <w:szCs w:val="16"/>
          <w:color w:val="3D3935"/>
        </w:rPr>
        <w:t xml:space="preserve"> Co. TSR  </w:t>
      </w:r>
      <w:r>
        <w:rPr>
          <w:sz w:val="1"/>
          <w:szCs w:val="1"/>
          <w:color w:val="auto"/>
        </w:rPr>
        <w:drawing>
          <wp:inline distT="0" distB="0" distL="0" distR="0">
            <wp:extent cx="146050" cy="85725"/>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46050" cy="85725"/>
                    </a:xfrm>
                    <a:prstGeom prst="rect">
                      <a:avLst/>
                    </a:prstGeom>
                    <a:noFill/>
                    <a:ln>
                      <a:noFill/>
                    </a:ln>
                  </pic:spPr>
                </pic:pic>
              </a:graphicData>
            </a:graphic>
          </wp:inline>
        </w:drawing>
      </w:r>
      <w:r>
        <w:rPr>
          <w:rFonts w:ascii="Arial" w:cs="Arial" w:eastAsia="Arial" w:hAnsi="Arial"/>
          <w:sz w:val="16"/>
          <w:szCs w:val="16"/>
          <w:color w:val="3D3935"/>
        </w:rPr>
        <w:t xml:space="preserve"> Peer Group TSR</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0072CE"/>
        </w:rPr>
        <w:t>CAP vs. Net Income and EBIT-adjusted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420"/>
        <w:spacing w:after="0"/>
        <w:rPr>
          <w:sz w:val="20"/>
          <w:szCs w:val="20"/>
          <w:color w:val="auto"/>
        </w:rPr>
      </w:pPr>
      <w:r>
        <w:rPr>
          <w:rFonts w:ascii="Arial" w:cs="Arial" w:eastAsia="Arial" w:hAnsi="Arial"/>
          <w:sz w:val="13"/>
          <w:szCs w:val="13"/>
          <w:b w:val="1"/>
          <w:bCs w:val="1"/>
          <w:color w:val="0072CE"/>
        </w:rPr>
        <w:t xml:space="preserve">¢ </w:t>
      </w:r>
      <w:r>
        <w:rPr>
          <w:rFonts w:ascii="Arial" w:cs="Arial" w:eastAsia="Arial" w:hAnsi="Arial"/>
          <w:sz w:val="16"/>
          <w:szCs w:val="16"/>
          <w:color w:val="3D3935"/>
        </w:rPr>
        <w:t>CAP to CEO</w:t>
      </w:r>
      <w:r>
        <w:rPr>
          <w:rFonts w:ascii="Arial" w:cs="Arial" w:eastAsia="Arial" w:hAnsi="Arial"/>
          <w:sz w:val="13"/>
          <w:szCs w:val="13"/>
          <w:b w:val="1"/>
          <w:bCs w:val="1"/>
          <w:color w:val="0072CE"/>
        </w:rPr>
        <w:t xml:space="preserve">  </w:t>
      </w:r>
      <w:r>
        <w:rPr>
          <w:rFonts w:ascii="Arial" w:cs="Arial" w:eastAsia="Arial" w:hAnsi="Arial"/>
          <w:sz w:val="13"/>
          <w:szCs w:val="13"/>
          <w:b w:val="1"/>
          <w:bCs w:val="1"/>
          <w:color w:val="05C3DD"/>
        </w:rPr>
        <w:t>¢</w:t>
      </w:r>
      <w:r>
        <w:rPr>
          <w:rFonts w:ascii="Arial" w:cs="Arial" w:eastAsia="Arial" w:hAnsi="Arial"/>
          <w:sz w:val="13"/>
          <w:szCs w:val="13"/>
          <w:b w:val="1"/>
          <w:bCs w:val="1"/>
          <w:color w:val="0072CE"/>
        </w:rPr>
        <w:t xml:space="preserve"> </w:t>
      </w:r>
      <w:r>
        <w:rPr>
          <w:rFonts w:ascii="Arial" w:cs="Arial" w:eastAsia="Arial" w:hAnsi="Arial"/>
          <w:sz w:val="16"/>
          <w:szCs w:val="16"/>
          <w:color w:val="3D3935"/>
        </w:rPr>
        <w:t xml:space="preserve">Avg. CAP to Non-CEO NEOs  </w:t>
      </w:r>
      <w:r>
        <w:rPr>
          <w:sz w:val="1"/>
          <w:szCs w:val="1"/>
          <w:color w:val="auto"/>
        </w:rPr>
        <w:drawing>
          <wp:inline distT="0" distB="0" distL="0" distR="0">
            <wp:extent cx="146050" cy="7747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46050" cy="77470"/>
                    </a:xfrm>
                    <a:prstGeom prst="rect">
                      <a:avLst/>
                    </a:prstGeom>
                    <a:noFill/>
                    <a:ln>
                      <a:noFill/>
                    </a:ln>
                  </pic:spPr>
                </pic:pic>
              </a:graphicData>
            </a:graphic>
          </wp:inline>
        </w:drawing>
      </w:r>
      <w:r>
        <w:rPr>
          <w:rFonts w:ascii="Arial" w:cs="Arial" w:eastAsia="Arial" w:hAnsi="Arial"/>
          <w:sz w:val="16"/>
          <w:szCs w:val="16"/>
          <w:color w:val="3D3935"/>
        </w:rPr>
        <w:t xml:space="preserve"> Net Income   </w:t>
      </w:r>
      <w:r>
        <w:rPr>
          <w:sz w:val="1"/>
          <w:szCs w:val="1"/>
          <w:color w:val="auto"/>
        </w:rPr>
        <w:drawing>
          <wp:inline distT="0" distB="0" distL="0" distR="0">
            <wp:extent cx="146050" cy="7747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46050" cy="77470"/>
                    </a:xfrm>
                    <a:prstGeom prst="rect">
                      <a:avLst/>
                    </a:prstGeom>
                    <a:noFill/>
                    <a:ln>
                      <a:noFill/>
                    </a:ln>
                  </pic:spPr>
                </pic:pic>
              </a:graphicData>
            </a:graphic>
          </wp:inline>
        </w:drawing>
      </w:r>
      <w:r>
        <w:rPr>
          <w:rFonts w:ascii="Arial" w:cs="Arial" w:eastAsia="Arial" w:hAnsi="Arial"/>
          <w:sz w:val="16"/>
          <w:szCs w:val="16"/>
          <w:color w:val="3D3935"/>
        </w:rPr>
        <w:t xml:space="preserve"> EBIT-adj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3D3935"/>
              </w:rPr>
              <w:t>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50139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10375" cy="5013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60"/>
        <w:spacing w:after="0"/>
        <w:rPr>
          <w:sz w:val="20"/>
          <w:szCs w:val="20"/>
          <w:color w:val="auto"/>
        </w:rPr>
      </w:pPr>
      <w:r>
        <w:rPr>
          <w:rFonts w:ascii="Arial" w:cs="Arial" w:eastAsia="Arial" w:hAnsi="Arial"/>
          <w:sz w:val="22"/>
          <w:szCs w:val="22"/>
          <w:color w:val="FFFFFF"/>
        </w:rPr>
        <w:t>ITEM 4</w:t>
      </w:r>
    </w:p>
    <w:p>
      <w:pPr>
        <w:spacing w:after="0" w:line="94" w:lineRule="exact"/>
        <w:rPr>
          <w:sz w:val="20"/>
          <w:szCs w:val="20"/>
          <w:color w:val="auto"/>
        </w:rPr>
      </w:pPr>
    </w:p>
    <w:p>
      <w:pPr>
        <w:ind w:left="240" w:right="819"/>
        <w:spacing w:after="0" w:line="270" w:lineRule="auto"/>
        <w:rPr>
          <w:sz w:val="20"/>
          <w:szCs w:val="20"/>
          <w:color w:val="auto"/>
        </w:rPr>
      </w:pPr>
      <w:r>
        <w:rPr>
          <w:rFonts w:ascii="Arial" w:cs="Arial" w:eastAsia="Arial" w:hAnsi="Arial"/>
          <w:sz w:val="49"/>
          <w:szCs w:val="49"/>
          <w:b w:val="1"/>
          <w:bCs w:val="1"/>
          <w:color w:val="3D3935"/>
        </w:rPr>
        <w:t>Proposal to Approve the Amended and Restated Certificate of Incorporation</w:t>
      </w:r>
    </w:p>
    <w:p>
      <w:pPr>
        <w:spacing w:after="0" w:line="289" w:lineRule="exact"/>
        <w:rPr>
          <w:sz w:val="20"/>
          <w:szCs w:val="20"/>
          <w:color w:val="auto"/>
        </w:rPr>
      </w:pPr>
    </w:p>
    <w:p>
      <w:pPr>
        <w:ind w:left="240" w:right="259"/>
        <w:spacing w:after="0" w:line="258" w:lineRule="auto"/>
        <w:rPr>
          <w:sz w:val="20"/>
          <w:szCs w:val="20"/>
          <w:color w:val="auto"/>
        </w:rPr>
      </w:pPr>
      <w:r>
        <w:rPr>
          <w:rFonts w:ascii="Arial" w:cs="Arial" w:eastAsia="Arial" w:hAnsi="Arial"/>
          <w:sz w:val="16"/>
          <w:szCs w:val="16"/>
          <w:color w:val="3D3935"/>
        </w:rPr>
        <w:t>The Board recommends, based upon the recommendation of the Governance Committee, that the Company’s shareholders vote FOR the approval of the amendment and restatement of our certificate of incorporation, as described below and as set forth in Appendix B (the “Amended and Restated Certificate of Incorporation”). The Restated Certificate of Incorporation (the “Current Charter”) has not been updated since 2010. The Board believes it is in the Company’s best interest to now take this opportunity to amend our Current Charter to include officer exculpation, remove provisions that are no longer relevant and make certain clarifying enhancements.</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3D3935"/>
        </w:rPr>
        <w:t>Summary of Amendment</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6"/>
          <w:szCs w:val="16"/>
          <w:color w:val="3D3935"/>
        </w:rPr>
        <w:t>The amended provisions included in the Amended and Restated Certificate of Incorporation include:</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6"/>
          <w:szCs w:val="16"/>
          <w:u w:val="single" w:color="auto"/>
          <w:color w:val="3D3935"/>
        </w:rPr>
        <w:t>Officer Exculpation</w:t>
      </w:r>
    </w:p>
    <w:p>
      <w:pPr>
        <w:spacing w:after="0" w:line="86" w:lineRule="exact"/>
        <w:rPr>
          <w:sz w:val="20"/>
          <w:szCs w:val="20"/>
          <w:color w:val="auto"/>
        </w:rPr>
      </w:pPr>
    </w:p>
    <w:p>
      <w:pPr>
        <w:ind w:left="200" w:right="239"/>
        <w:spacing w:after="0" w:line="269" w:lineRule="auto"/>
        <w:rPr>
          <w:sz w:val="20"/>
          <w:szCs w:val="20"/>
          <w:color w:val="auto"/>
        </w:rPr>
      </w:pPr>
      <w:r>
        <w:rPr>
          <w:rFonts w:ascii="Arial" w:cs="Arial" w:eastAsia="Arial" w:hAnsi="Arial"/>
          <w:sz w:val="16"/>
          <w:szCs w:val="16"/>
          <w:color w:val="3D3935"/>
        </w:rPr>
        <w:t>In August 2022, the Delaware General Assembly amended the Delaware General Corporation Law to allow corporations to adopt charter provisions, with shareholder support, exculpating officers from personal liability for monetary damages for breaches of the duty of care. If GM shareholders approve the Amended and Restated Certificate of Incorporation, it will allow the Company to eliminate or limit personal liability for monetary damages for breaches of the duty of care by officers of the corporation, except for breaches of the duty of loyalty, acts or omissions not in good faith or which involve intentional misconduct or knowing violations of law, transactions from which the officer derived an improper personal benefit, or claims brought in derivative claims. The Board believes it is in the best interest of the Company to indemnify our officers to the fullest extent permitted by Delaware law and put them on similar footing to directors, particularly as officers continue to become susceptible to personal liability.</w:t>
      </w:r>
    </w:p>
    <w:p>
      <w:pPr>
        <w:sectPr>
          <w:pgSz w:w="11900" w:h="16897" w:orient="portrait"/>
          <w:cols w:equalWidth="0" w:num="1">
            <w:col w:w="9059"/>
          </w:cols>
          <w:pgMar w:left="1400" w:top="1440" w:right="1440" w:bottom="0" w:gutter="0" w:footer="0" w:header="0"/>
        </w:sectPr>
      </w:pPr>
    </w:p>
    <w:bookmarkStart w:id="77" w:name="page78"/>
    <w:bookmarkEnd w:id="77"/>
    <w:p>
      <w:pPr>
        <w:ind w:left="200"/>
        <w:spacing w:after="0"/>
        <w:rPr>
          <w:sz w:val="20"/>
          <w:szCs w:val="20"/>
          <w:color w:val="auto"/>
        </w:rPr>
      </w:pPr>
      <w:r>
        <w:rPr>
          <w:rFonts w:ascii="Arial" w:cs="Arial" w:eastAsia="Arial" w:hAnsi="Arial"/>
          <w:sz w:val="16"/>
          <w:szCs w:val="16"/>
          <w:u w:val="single" w:color="auto"/>
          <w:color w:val="3D3935"/>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38423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10375" cy="3842385"/>
                    </a:xfrm>
                    <a:prstGeom prst="rect">
                      <a:avLst/>
                    </a:prstGeom>
                    <a:noFill/>
                  </pic:spPr>
                </pic:pic>
              </a:graphicData>
            </a:graphic>
          </wp:anchor>
        </w:drawing>
        <w:t>Inapplicable Provisions and Clarifying Language</w:t>
      </w:r>
    </w:p>
    <w:p>
      <w:pPr>
        <w:spacing w:after="0" w:line="86" w:lineRule="exact"/>
        <w:rPr>
          <w:sz w:val="20"/>
          <w:szCs w:val="20"/>
          <w:color w:val="auto"/>
        </w:rPr>
      </w:pPr>
    </w:p>
    <w:p>
      <w:pPr>
        <w:ind w:left="200" w:right="380"/>
        <w:spacing w:after="0" w:line="269" w:lineRule="auto"/>
        <w:rPr>
          <w:sz w:val="20"/>
          <w:szCs w:val="20"/>
          <w:color w:val="auto"/>
        </w:rPr>
      </w:pPr>
      <w:r>
        <w:rPr>
          <w:rFonts w:ascii="Arial" w:cs="Arial" w:eastAsia="Arial" w:hAnsi="Arial"/>
          <w:sz w:val="16"/>
          <w:szCs w:val="16"/>
          <w:color w:val="3D3935"/>
        </w:rPr>
        <w:t>In addition, certain provisions in our Current Charter are no longer applicable or require updates. These include references to preferred stock that has been retired, stock transfer restrictions that are no longer applicable, outdated registered office information and references to the Company’s initial public offering over a decade ago. Additionally, the Amended and Restated Certificate of Incorporation will provide clarification in certain provisions, including sections on Board vacancies and voting. In the voting provisions, changes have been made to clarify that holders of common stock cannot vote on amendments to the Amended and Restated Certificate of Incorporation that relate solely to preferred stock. The Board believes it is in the best interest of the Company to revise the charter to include clear language and remove irrelevant or unsuitable provisions.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3D3935"/>
        </w:rPr>
        <w:t>Effectiveness of Amendment</w:t>
      </w:r>
    </w:p>
    <w:p>
      <w:pPr>
        <w:spacing w:after="0" w:line="112" w:lineRule="exact"/>
        <w:rPr>
          <w:sz w:val="20"/>
          <w:szCs w:val="20"/>
          <w:color w:val="auto"/>
        </w:rPr>
      </w:pPr>
    </w:p>
    <w:p>
      <w:pPr>
        <w:ind w:left="200" w:right="200"/>
        <w:spacing w:after="0" w:line="277" w:lineRule="auto"/>
        <w:rPr>
          <w:sz w:val="20"/>
          <w:szCs w:val="20"/>
          <w:color w:val="auto"/>
        </w:rPr>
      </w:pPr>
      <w:r>
        <w:rPr>
          <w:rFonts w:ascii="Arial" w:cs="Arial" w:eastAsia="Arial" w:hAnsi="Arial"/>
          <w:sz w:val="16"/>
          <w:szCs w:val="16"/>
          <w:color w:val="3D3935"/>
        </w:rPr>
        <w:t>If this Item No. 4 is approved by the requisite vote of the shareholders at the Annual Meeting, the proposed amendments to the Current Charter described above will become effective upon the filing of the Amended and Restated Certificate of Incorporation with the Secretary of State of Delaware, which filing is expected to take place shortly after the Annual Meeting.</w:t>
      </w:r>
    </w:p>
    <w:p>
      <w:pPr>
        <w:spacing w:after="0" w:line="28" w:lineRule="exact"/>
        <w:rPr>
          <w:sz w:val="20"/>
          <w:szCs w:val="20"/>
          <w:color w:val="auto"/>
        </w:rPr>
      </w:pPr>
    </w:p>
    <w:p>
      <w:pPr>
        <w:ind w:left="200" w:right="240"/>
        <w:spacing w:after="0" w:line="277" w:lineRule="auto"/>
        <w:rPr>
          <w:sz w:val="20"/>
          <w:szCs w:val="20"/>
          <w:color w:val="auto"/>
        </w:rPr>
      </w:pPr>
      <w:r>
        <w:rPr>
          <w:rFonts w:ascii="Arial" w:cs="Arial" w:eastAsia="Arial" w:hAnsi="Arial"/>
          <w:sz w:val="16"/>
          <w:szCs w:val="16"/>
          <w:color w:val="3D3935"/>
        </w:rPr>
        <w:t>The approval of Item No. 4 requires the affirmative vote of the holders of the majority of the outstanding shares entitled to vote on the matter. Abstentions and broker non-votes will have the same effect as a vote against this Item No. 4. If this Proposal 4 is not approved by the requisite vote of the shareholders at the Annual Meeting, the Amended and Restated Certificate of Incorporation will not become effective. In that case, the Current Charter will remain the same.</w:t>
      </w:r>
    </w:p>
    <w:p>
      <w:pPr>
        <w:spacing w:after="0" w:line="253" w:lineRule="exact"/>
        <w:rPr>
          <w:sz w:val="20"/>
          <w:szCs w:val="20"/>
          <w:color w:val="auto"/>
        </w:rPr>
      </w:pPr>
    </w:p>
    <w:p>
      <w:pPr>
        <w:ind w:left="680" w:right="980"/>
        <w:spacing w:after="0" w:line="318" w:lineRule="auto"/>
        <w:rPr>
          <w:sz w:val="20"/>
          <w:szCs w:val="20"/>
          <w:color w:val="auto"/>
        </w:rPr>
      </w:pPr>
      <w:r>
        <w:rPr>
          <w:rFonts w:ascii="Arial" w:cs="Arial" w:eastAsia="Arial" w:hAnsi="Arial"/>
          <w:sz w:val="18"/>
          <w:szCs w:val="18"/>
          <w:color w:val="3D3935"/>
        </w:rPr>
        <w:t xml:space="preserve">The Board recommends a vote </w:t>
      </w:r>
      <w:r>
        <w:rPr>
          <w:rFonts w:ascii="Arial" w:cs="Arial" w:eastAsia="Arial" w:hAnsi="Arial"/>
          <w:sz w:val="18"/>
          <w:szCs w:val="18"/>
          <w:b w:val="1"/>
          <w:bCs w:val="1"/>
          <w:color w:val="3D3935"/>
        </w:rPr>
        <w:t>FOR</w:t>
      </w:r>
      <w:r>
        <w:rPr>
          <w:rFonts w:ascii="Arial" w:cs="Arial" w:eastAsia="Arial" w:hAnsi="Arial"/>
          <w:sz w:val="18"/>
          <w:szCs w:val="18"/>
          <w:color w:val="3D3935"/>
        </w:rPr>
        <w:t xml:space="preserve"> this proposal to approve the Amended and Restated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65913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10375" cy="6591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spacing w:after="0"/>
        <w:rPr>
          <w:sz w:val="20"/>
          <w:szCs w:val="20"/>
          <w:color w:val="auto"/>
        </w:rPr>
      </w:pPr>
      <w:r>
        <w:rPr>
          <w:rFonts w:ascii="Arial" w:cs="Arial" w:eastAsia="Arial" w:hAnsi="Arial"/>
          <w:sz w:val="49"/>
          <w:szCs w:val="49"/>
          <w:b w:val="1"/>
          <w:bCs w:val="1"/>
          <w:color w:val="3D3935"/>
        </w:rPr>
        <w:t>Shareholder 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3D3935"/>
        </w:rPr>
        <w:t>At General Motors, we believe business has the power to drive meaningful change and address critical global challenges. Across our teams, we strive to embed our core values into every aspect of our operations. Our commitment to transparency and accountability extends to how we engage with stakeholders, seek innovative solutions, and address pressing issues like supply chain sustainability, corporate governance, and ethical business practices. Below is a sample of the policies that help govern this commitment.</w:t>
      </w:r>
    </w:p>
    <w:p>
      <w:pPr>
        <w:spacing w:after="0" w:line="66" w:lineRule="exact"/>
        <w:rPr>
          <w:sz w:val="20"/>
          <w:szCs w:val="20"/>
          <w:color w:val="auto"/>
        </w:rPr>
      </w:pPr>
    </w:p>
    <w:p>
      <w:pPr>
        <w:spacing w:after="0"/>
        <w:rPr>
          <w:sz w:val="20"/>
          <w:szCs w:val="20"/>
          <w:color w:val="auto"/>
        </w:rPr>
      </w:pPr>
      <w:r>
        <w:rPr>
          <w:rFonts w:ascii="Arial" w:cs="Arial" w:eastAsia="Arial" w:hAnsi="Arial"/>
          <w:sz w:val="29"/>
          <w:szCs w:val="29"/>
          <w:b w:val="1"/>
          <w:bCs w:val="1"/>
          <w:color w:val="3D3935"/>
        </w:rPr>
        <w:t>Our Commitment to Transparency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Anti-Slavery and Human Trafficking Statement</w:t>
            </w:r>
          </w:p>
        </w:tc>
        <w:tc>
          <w:tcPr>
            <w:tcW w:w="4420" w:type="dxa"/>
            <w:vAlign w:val="bottom"/>
            <w:tcBorders>
              <w:bottom w:val="single" w:sz="8" w:color="D9D9D6"/>
            </w:tcBorders>
          </w:tcPr>
          <w:p>
            <w:pPr>
              <w:ind w:left="840"/>
              <w:spacing w:after="0"/>
              <w:rPr>
                <w:sz w:val="20"/>
                <w:szCs w:val="20"/>
                <w:color w:val="auto"/>
              </w:rPr>
            </w:pPr>
            <w:r>
              <w:rPr>
                <w:rFonts w:ascii="Arial" w:cs="Arial" w:eastAsia="Arial" w:hAnsi="Arial"/>
                <w:sz w:val="16"/>
                <w:szCs w:val="16"/>
                <w:color w:val="0072CE"/>
                <w:highlight w:val="white"/>
              </w:rPr>
              <w:t>gmsustainability.com</w:t>
            </w:r>
          </w:p>
        </w:tc>
      </w:tr>
      <w:tr>
        <w:trPr>
          <w:trHeight w:val="250"/>
        </w:trPr>
        <w:tc>
          <w:tcPr>
            <w:tcW w:w="466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Code of Conduct “Winning With Integrity”</w:t>
            </w:r>
          </w:p>
        </w:tc>
        <w:tc>
          <w:tcPr>
            <w:tcW w:w="4420" w:type="dxa"/>
            <w:vAlign w:val="bottom"/>
            <w:tcBorders>
              <w:bottom w:val="single" w:sz="8" w:color="D9D9D6"/>
            </w:tcBorders>
          </w:tcPr>
          <w:p>
            <w:pPr>
              <w:ind w:left="840"/>
              <w:spacing w:after="0"/>
              <w:rPr>
                <w:sz w:val="20"/>
                <w:szCs w:val="20"/>
                <w:color w:val="auto"/>
              </w:rPr>
            </w:pPr>
            <w:r>
              <w:rPr>
                <w:rFonts w:ascii="Arial" w:cs="Arial" w:eastAsia="Arial" w:hAnsi="Arial"/>
                <w:sz w:val="16"/>
                <w:szCs w:val="16"/>
                <w:color w:val="0072CE"/>
                <w:highlight w:val="white"/>
              </w:rPr>
              <w:t>gmsustainability.com</w:t>
            </w:r>
          </w:p>
        </w:tc>
      </w:tr>
      <w:tr>
        <w:trPr>
          <w:trHeight w:val="250"/>
        </w:trPr>
        <w:tc>
          <w:tcPr>
            <w:tcW w:w="466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Global Environmental Policy</w:t>
            </w:r>
          </w:p>
        </w:tc>
        <w:tc>
          <w:tcPr>
            <w:tcW w:w="4420" w:type="dxa"/>
            <w:vAlign w:val="bottom"/>
            <w:tcBorders>
              <w:bottom w:val="single" w:sz="8" w:color="D9D9D6"/>
            </w:tcBorders>
          </w:tcPr>
          <w:p>
            <w:pPr>
              <w:ind w:left="840"/>
              <w:spacing w:after="0"/>
              <w:rPr>
                <w:sz w:val="20"/>
                <w:szCs w:val="20"/>
                <w:color w:val="auto"/>
              </w:rPr>
            </w:pPr>
            <w:r>
              <w:rPr>
                <w:rFonts w:ascii="Arial" w:cs="Arial" w:eastAsia="Arial" w:hAnsi="Arial"/>
                <w:sz w:val="16"/>
                <w:szCs w:val="16"/>
                <w:color w:val="0072CE"/>
                <w:highlight w:val="white"/>
              </w:rPr>
              <w:t>investor.gm.com/governanceandsustainability</w:t>
            </w:r>
          </w:p>
        </w:tc>
      </w:tr>
      <w:tr>
        <w:trPr>
          <w:trHeight w:val="250"/>
        </w:trPr>
        <w:tc>
          <w:tcPr>
            <w:tcW w:w="466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Human Rights Policy</w:t>
            </w:r>
          </w:p>
        </w:tc>
        <w:tc>
          <w:tcPr>
            <w:tcW w:w="4420" w:type="dxa"/>
            <w:vAlign w:val="bottom"/>
            <w:tcBorders>
              <w:bottom w:val="single" w:sz="8" w:color="D9D9D6"/>
            </w:tcBorders>
          </w:tcPr>
          <w:p>
            <w:pPr>
              <w:ind w:left="840"/>
              <w:spacing w:after="0"/>
              <w:rPr>
                <w:sz w:val="20"/>
                <w:szCs w:val="20"/>
                <w:color w:val="auto"/>
              </w:rPr>
            </w:pPr>
            <w:r>
              <w:rPr>
                <w:rFonts w:ascii="Arial" w:cs="Arial" w:eastAsia="Arial" w:hAnsi="Arial"/>
                <w:sz w:val="16"/>
                <w:szCs w:val="16"/>
                <w:color w:val="0072CE"/>
                <w:highlight w:val="white"/>
              </w:rPr>
              <w:t>gmsustainability.com</w:t>
            </w:r>
          </w:p>
        </w:tc>
      </w:tr>
      <w:tr>
        <w:trPr>
          <w:trHeight w:val="250"/>
        </w:trPr>
        <w:tc>
          <w:tcPr>
            <w:tcW w:w="466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Political Engagement Overview Report</w:t>
            </w:r>
          </w:p>
        </w:tc>
        <w:tc>
          <w:tcPr>
            <w:tcW w:w="4420" w:type="dxa"/>
            <w:vAlign w:val="bottom"/>
            <w:tcBorders>
              <w:bottom w:val="single" w:sz="8" w:color="D9D9D6"/>
            </w:tcBorders>
          </w:tcPr>
          <w:p>
            <w:pPr>
              <w:ind w:left="840"/>
              <w:spacing w:after="0"/>
              <w:rPr>
                <w:sz w:val="20"/>
                <w:szCs w:val="20"/>
                <w:color w:val="auto"/>
              </w:rPr>
            </w:pPr>
            <w:r>
              <w:rPr>
                <w:rFonts w:ascii="Arial" w:cs="Arial" w:eastAsia="Arial" w:hAnsi="Arial"/>
                <w:sz w:val="16"/>
                <w:szCs w:val="16"/>
                <w:color w:val="0072CE"/>
                <w:highlight w:val="white"/>
              </w:rPr>
              <w:t>investor.gm.com/governanceandsustainability</w:t>
            </w:r>
          </w:p>
        </w:tc>
      </w:tr>
      <w:tr>
        <w:trPr>
          <w:trHeight w:val="250"/>
        </w:trPr>
        <w:tc>
          <w:tcPr>
            <w:tcW w:w="466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Supply Chain Sourcing and Environmental Practices</w:t>
            </w:r>
          </w:p>
        </w:tc>
        <w:tc>
          <w:tcPr>
            <w:tcW w:w="4420" w:type="dxa"/>
            <w:vAlign w:val="bottom"/>
            <w:tcBorders>
              <w:bottom w:val="single" w:sz="8" w:color="D9D9D6"/>
            </w:tcBorders>
          </w:tcPr>
          <w:p>
            <w:pPr>
              <w:ind w:left="840"/>
              <w:spacing w:after="0"/>
              <w:rPr>
                <w:sz w:val="20"/>
                <w:szCs w:val="20"/>
                <w:color w:val="auto"/>
              </w:rPr>
            </w:pPr>
            <w:r>
              <w:rPr>
                <w:rFonts w:ascii="Arial" w:cs="Arial" w:eastAsia="Arial" w:hAnsi="Arial"/>
                <w:sz w:val="16"/>
                <w:szCs w:val="16"/>
                <w:color w:val="0072CE"/>
                <w:highlight w:val="white"/>
              </w:rPr>
              <w:t>gmsustainability.com</w:t>
            </w:r>
          </w:p>
        </w:tc>
      </w:tr>
      <w:tr>
        <w:trPr>
          <w:trHeight w:val="250"/>
        </w:trPr>
        <w:tc>
          <w:tcPr>
            <w:tcW w:w="466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Supplier Code of Conduct</w:t>
            </w:r>
          </w:p>
        </w:tc>
        <w:tc>
          <w:tcPr>
            <w:tcW w:w="4420" w:type="dxa"/>
            <w:vAlign w:val="bottom"/>
            <w:tcBorders>
              <w:bottom w:val="single" w:sz="8" w:color="D9D9D6"/>
            </w:tcBorders>
          </w:tcPr>
          <w:p>
            <w:pPr>
              <w:ind w:left="840"/>
              <w:spacing w:after="0"/>
              <w:rPr>
                <w:sz w:val="20"/>
                <w:szCs w:val="20"/>
                <w:color w:val="auto"/>
              </w:rPr>
            </w:pPr>
            <w:r>
              <w:rPr>
                <w:rFonts w:ascii="Arial" w:cs="Arial" w:eastAsia="Arial" w:hAnsi="Arial"/>
                <w:sz w:val="16"/>
                <w:szCs w:val="16"/>
                <w:color w:val="0072CE"/>
                <w:highlight w:val="white"/>
              </w:rPr>
              <w:t>gmsustainability.com</w:t>
            </w:r>
          </w:p>
        </w:tc>
      </w:tr>
      <w:tr>
        <w:trPr>
          <w:trHeight w:val="250"/>
        </w:trPr>
        <w:tc>
          <w:tcPr>
            <w:tcW w:w="466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Sustainability Advocacy Report</w:t>
            </w:r>
          </w:p>
        </w:tc>
        <w:tc>
          <w:tcPr>
            <w:tcW w:w="4420" w:type="dxa"/>
            <w:vAlign w:val="bottom"/>
            <w:tcBorders>
              <w:bottom w:val="single" w:sz="8" w:color="D9D9D6"/>
            </w:tcBorders>
          </w:tcPr>
          <w:p>
            <w:pPr>
              <w:ind w:left="840"/>
              <w:spacing w:after="0"/>
              <w:rPr>
                <w:sz w:val="20"/>
                <w:szCs w:val="20"/>
                <w:color w:val="auto"/>
              </w:rPr>
            </w:pPr>
            <w:r>
              <w:rPr>
                <w:rFonts w:ascii="Arial" w:cs="Arial" w:eastAsia="Arial" w:hAnsi="Arial"/>
                <w:sz w:val="16"/>
                <w:szCs w:val="16"/>
                <w:color w:val="0072CE"/>
                <w:highlight w:val="white"/>
              </w:rPr>
              <w:t>investor.gm.com/governanceandsustainability</w:t>
            </w:r>
          </w:p>
        </w:tc>
      </w:tr>
      <w:tr>
        <w:trPr>
          <w:trHeight w:val="250"/>
        </w:trPr>
        <w:tc>
          <w:tcPr>
            <w:tcW w:w="4660" w:type="dxa"/>
            <w:vAlign w:val="bottom"/>
            <w:tcBorders>
              <w:bottom w:val="single" w:sz="8" w:color="0072CE"/>
            </w:tcBorders>
          </w:tcPr>
          <w:p>
            <w:pPr>
              <w:ind w:left="60"/>
              <w:spacing w:after="0"/>
              <w:rPr>
                <w:sz w:val="20"/>
                <w:szCs w:val="20"/>
                <w:color w:val="auto"/>
              </w:rPr>
            </w:pPr>
            <w:r>
              <w:rPr>
                <w:rFonts w:ascii="Arial" w:cs="Arial" w:eastAsia="Arial" w:hAnsi="Arial"/>
                <w:sz w:val="16"/>
                <w:szCs w:val="16"/>
                <w:color w:val="3D3935"/>
              </w:rPr>
              <w:t>Sustainability Report</w:t>
            </w:r>
          </w:p>
        </w:tc>
        <w:tc>
          <w:tcPr>
            <w:tcW w:w="4420" w:type="dxa"/>
            <w:vAlign w:val="bottom"/>
            <w:tcBorders>
              <w:bottom w:val="single" w:sz="8" w:color="0072CE"/>
            </w:tcBorders>
          </w:tcPr>
          <w:p>
            <w:pPr>
              <w:ind w:left="840"/>
              <w:spacing w:after="0"/>
              <w:rPr>
                <w:sz w:val="20"/>
                <w:szCs w:val="20"/>
                <w:color w:val="auto"/>
              </w:rPr>
            </w:pPr>
            <w:r>
              <w:rPr>
                <w:rFonts w:ascii="Arial" w:cs="Arial" w:eastAsia="Arial" w:hAnsi="Arial"/>
                <w:sz w:val="16"/>
                <w:szCs w:val="16"/>
                <w:color w:val="0072CE"/>
                <w:highlight w:val="white"/>
              </w:rPr>
              <w:t>investor.gm.com/governanceandsustainability</w:t>
            </w:r>
          </w:p>
        </w:tc>
      </w:tr>
    </w:tbl>
    <w:p>
      <w:pPr>
        <w:spacing w:after="0" w:line="188"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3D3935"/>
        </w:rPr>
        <w:t>In addition, we actively participate in dialogue with every shareholder proponent to ensure we are addressing their concerns while advancing the long-term strategic pillars discussed throughout this Proxy Statement.</w:t>
      </w:r>
    </w:p>
    <w:p>
      <w:pPr>
        <w:spacing w:after="0" w:line="88"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color w:val="3D3935"/>
        </w:rPr>
        <w:t>We are proud of the programs and initiatives we have built to tackle these challenges, supported by the Company’s transparent reporting that reflects our progress and potential areas for improvement. While we may not always implement the shareholder proposals, we carefully consider their merit and design our programs to meet the evolving needs of our business and stakeholders. For instance, we have actively assessed opportunities to enhance oversight of our supply chain sustainability and engage in lobbying efforts to support policies that align with our corporate values and strategy. These efforts are guided by a commitment to sound governance and a belief that collaboration and proactive engagement lead to the best outcomes.</w:t>
      </w:r>
    </w:p>
    <w:p>
      <w:pPr>
        <w:spacing w:after="0" w:line="118" w:lineRule="exact"/>
        <w:rPr>
          <w:sz w:val="20"/>
          <w:szCs w:val="20"/>
          <w:color w:val="auto"/>
        </w:rPr>
      </w:pPr>
    </w:p>
    <w:p>
      <w:pPr>
        <w:ind w:right="600"/>
        <w:spacing w:after="0" w:line="321" w:lineRule="auto"/>
        <w:rPr>
          <w:sz w:val="20"/>
          <w:szCs w:val="20"/>
          <w:color w:val="auto"/>
        </w:rPr>
      </w:pPr>
      <w:r>
        <w:rPr>
          <w:rFonts w:ascii="Arial" w:cs="Arial" w:eastAsia="Arial" w:hAnsi="Arial"/>
          <w:sz w:val="16"/>
          <w:szCs w:val="16"/>
          <w:color w:val="3D3935"/>
        </w:rPr>
        <w:t>On the following pages, you will find a shareholder proposal submitted under Rule 14a-8, along with the Board’s voting recommendation and response.</w:t>
      </w:r>
    </w:p>
    <w:p>
      <w:pPr>
        <w:sectPr>
          <w:pgSz w:w="11900" w:h="16838" w:orient="portrait"/>
          <w:cols w:equalWidth="0" w:num="1">
            <w:col w:w="9080"/>
          </w:cols>
          <w:pgMar w:left="1400" w:top="166" w:right="1419" w:bottom="279" w:gutter="0" w:footer="0" w:header="0"/>
        </w:sectPr>
      </w:pPr>
    </w:p>
    <w:bookmarkStart w:id="78" w:name="page79"/>
    <w:bookmarkEnd w:id="78"/>
    <w:p>
      <w:pPr>
        <w:spacing w:after="0" w:line="41" w:lineRule="exact"/>
        <w:rPr>
          <w:sz w:val="20"/>
          <w:szCs w:val="20"/>
          <w:color w:val="auto"/>
        </w:rPr>
      </w:pPr>
    </w:p>
    <w:tbl>
      <w:tblPr>
        <w:tblLayout w:type="fixed"/>
        <w:tblInd w:w="10" w:type="dxa"/>
        <w:tblCellMar>
          <w:top w:w="0" w:type="dxa"/>
          <w:left w:w="0" w:type="dxa"/>
          <w:bottom w:w="0" w:type="dxa"/>
          <w:right w:w="0" w:type="dxa"/>
        </w:tblCellMar>
      </w:tblPr>
      <w:tr>
        <w:trPr>
          <w:trHeight w:val="3211"/>
        </w:trPr>
        <w:tc>
          <w:tcPr>
            <w:tcW w:w="9500" w:type="dxa"/>
            <w:vAlign w:val="bottom"/>
            <w:tcBorders>
              <w:left w:val="single" w:sz="8" w:color="CCCCCC"/>
            </w:tcBorders>
          </w:tcPr>
          <w:p>
            <w:pPr>
              <w:ind w:left="7820"/>
              <w:spacing w:after="0"/>
              <w:rPr>
                <w:sz w:val="20"/>
                <w:szCs w:val="20"/>
                <w:color w:val="auto"/>
              </w:rPr>
            </w:pPr>
            <w:r>
              <w:rPr>
                <w:rFonts w:ascii="Arial" w:cs="Arial" w:eastAsia="Arial" w:hAnsi="Arial"/>
                <w:sz w:val="14"/>
                <w:szCs w:val="14"/>
                <w:b w:val="1"/>
                <w:bCs w:val="1"/>
                <w:color w:val="0072CE"/>
              </w:rPr>
              <w:t>2025 Proxy Statement</w:t>
            </w:r>
          </w:p>
        </w:tc>
        <w:tc>
          <w:tcPr>
            <w:tcW w:w="1220" w:type="dxa"/>
            <w:vAlign w:val="bottom"/>
            <w:tcBorders>
              <w:right w:val="single" w:sz="8" w:color="CCCCCC"/>
            </w:tcBorders>
          </w:tcPr>
          <w:p>
            <w:pPr>
              <w:jc w:val="right"/>
              <w:ind w:right="808"/>
              <w:spacing w:after="0"/>
              <w:rPr>
                <w:sz w:val="20"/>
                <w:szCs w:val="20"/>
                <w:color w:val="auto"/>
              </w:rPr>
            </w:pPr>
            <w:r>
              <w:rPr>
                <w:rFonts w:ascii="Arial" w:cs="Arial" w:eastAsia="Arial" w:hAnsi="Arial"/>
                <w:sz w:val="14"/>
                <w:szCs w:val="14"/>
                <w:b w:val="1"/>
                <w:bCs w:val="1"/>
                <w:color w:val="3D3935"/>
              </w:rPr>
              <w:t>85</w:t>
            </w:r>
          </w:p>
        </w:tc>
      </w:tr>
      <w:tr>
        <w:trPr>
          <w:trHeight w:val="336"/>
        </w:trPr>
        <w:tc>
          <w:tcPr>
            <w:tcW w:w="9500" w:type="dxa"/>
            <w:vAlign w:val="bottom"/>
            <w:tcBorders>
              <w:left w:val="single" w:sz="8" w:color="CCCCCC"/>
              <w:bottom w:val="single" w:sz="8" w:color="CCCCCC"/>
            </w:tcBorders>
          </w:tcPr>
          <w:p>
            <w:pPr>
              <w:spacing w:after="0"/>
              <w:rPr>
                <w:sz w:val="24"/>
                <w:szCs w:val="24"/>
                <w:color w:val="auto"/>
              </w:rPr>
            </w:pPr>
          </w:p>
        </w:tc>
        <w:tc>
          <w:tcPr>
            <w:tcW w:w="1220" w:type="dxa"/>
            <w:vAlign w:val="bottom"/>
            <w:tcBorders>
              <w:bottom w:val="single" w:sz="8" w:color="CCCCCC"/>
              <w:right w:val="single" w:sz="8" w:color="CCCCC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81915</wp:posOffset>
            </wp:positionV>
            <wp:extent cx="6810375" cy="81686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10375" cy="816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080"/>
        <w:spacing w:after="0"/>
        <w:rPr>
          <w:sz w:val="20"/>
          <w:szCs w:val="20"/>
          <w:color w:val="auto"/>
        </w:rPr>
      </w:pPr>
      <w:r>
        <w:rPr>
          <w:rFonts w:ascii="Arial" w:cs="Arial" w:eastAsia="Arial" w:hAnsi="Arial"/>
          <w:sz w:val="22"/>
          <w:szCs w:val="22"/>
          <w:color w:val="FFFFFF"/>
        </w:rPr>
        <w:t>ITEM 5</w:t>
      </w:r>
    </w:p>
    <w:p>
      <w:pPr>
        <w:spacing w:after="0" w:line="149" w:lineRule="exact"/>
        <w:rPr>
          <w:sz w:val="20"/>
          <w:szCs w:val="20"/>
          <w:color w:val="auto"/>
        </w:rPr>
      </w:pPr>
    </w:p>
    <w:p>
      <w:pPr>
        <w:ind w:left="1060" w:right="1000"/>
        <w:spacing w:after="0" w:line="277" w:lineRule="auto"/>
        <w:rPr>
          <w:sz w:val="20"/>
          <w:szCs w:val="20"/>
          <w:color w:val="auto"/>
        </w:rPr>
      </w:pPr>
      <w:r>
        <w:rPr>
          <w:rFonts w:ascii="Arial" w:cs="Arial" w:eastAsia="Arial" w:hAnsi="Arial"/>
          <w:sz w:val="43"/>
          <w:szCs w:val="43"/>
          <w:b w:val="1"/>
          <w:bCs w:val="1"/>
          <w:color w:val="3D3935"/>
        </w:rPr>
        <w:t>SHAREHOLDER PROPOSAL REGARDING REPORT ON SUPPLY CHAIN GHG EMISSIONS REDUCTION STRATEGIES</w:t>
      </w:r>
    </w:p>
    <w:p>
      <w:pPr>
        <w:spacing w:after="0" w:line="126" w:lineRule="exact"/>
        <w:rPr>
          <w:sz w:val="20"/>
          <w:szCs w:val="20"/>
          <w:color w:val="auto"/>
        </w:rPr>
      </w:pPr>
    </w:p>
    <w:p>
      <w:pPr>
        <w:jc w:val="both"/>
        <w:ind w:left="1060" w:right="1380"/>
        <w:spacing w:after="0" w:line="239" w:lineRule="auto"/>
        <w:rPr>
          <w:sz w:val="20"/>
          <w:szCs w:val="20"/>
          <w:color w:val="auto"/>
        </w:rPr>
      </w:pPr>
      <w:r>
        <w:rPr>
          <w:rFonts w:ascii="Arial" w:cs="Arial" w:eastAsia="Arial" w:hAnsi="Arial"/>
          <w:sz w:val="16"/>
          <w:szCs w:val="16"/>
          <w:color w:val="3D3935"/>
        </w:rPr>
        <w:t>Amy Floyd, owner of 150 shares of GM common stock, has given notice that she intends to present for action at the Annual Meeting the following shareholder proposal. The shareholder proponent is responsible for the content of the proposal for which we and our Board accept no responsibility. We will promptly provide Ms. Floyd’s address upon a shareholder’s request given to our Corporate Secretary at General Motors Company, Mail Code 482-C24-A68, 300 Renaissance Center, Detroit, Michigan 48265 or by e-mail to shareholder.relations@gm.com.</w:t>
      </w:r>
    </w:p>
    <w:p>
      <w:pPr>
        <w:spacing w:after="0" w:line="218" w:lineRule="exact"/>
        <w:rPr>
          <w:sz w:val="20"/>
          <w:szCs w:val="20"/>
          <w:color w:val="auto"/>
        </w:rPr>
      </w:pPr>
    </w:p>
    <w:p>
      <w:pPr>
        <w:jc w:val="both"/>
        <w:ind w:left="1020" w:right="880"/>
        <w:spacing w:after="0" w:line="228" w:lineRule="auto"/>
        <w:rPr>
          <w:sz w:val="20"/>
          <w:szCs w:val="20"/>
          <w:color w:val="auto"/>
        </w:rPr>
      </w:pPr>
      <w:r>
        <w:rPr>
          <w:rFonts w:ascii="Arial" w:cs="Arial" w:eastAsia="Arial" w:hAnsi="Arial"/>
          <w:sz w:val="16"/>
          <w:szCs w:val="16"/>
          <w:b w:val="1"/>
          <w:bCs w:val="1"/>
          <w:color w:val="3D3935"/>
        </w:rPr>
        <w:t xml:space="preserve">Whereas: </w:t>
      </w:r>
      <w:r>
        <w:rPr>
          <w:rFonts w:ascii="Arial" w:cs="Arial" w:eastAsia="Arial" w:hAnsi="Arial"/>
          <w:sz w:val="16"/>
          <w:szCs w:val="16"/>
          <w:color w:val="3D3935"/>
        </w:rPr>
        <w:t>The Intergovernmental Panel on Climate Change advises that greenhouse gas (GHG) emissions must be halved</w:t>
      </w:r>
      <w:r>
        <w:rPr>
          <w:rFonts w:ascii="Arial" w:cs="Arial" w:eastAsia="Arial" w:hAnsi="Arial"/>
          <w:sz w:val="16"/>
          <w:szCs w:val="16"/>
          <w:b w:val="1"/>
          <w:bCs w:val="1"/>
          <w:color w:val="3D3935"/>
        </w:rPr>
        <w:t xml:space="preserve"> </w:t>
      </w:r>
      <w:r>
        <w:rPr>
          <w:rFonts w:ascii="Arial" w:cs="Arial" w:eastAsia="Arial" w:hAnsi="Arial"/>
          <w:sz w:val="16"/>
          <w:szCs w:val="16"/>
          <w:color w:val="3D3935"/>
        </w:rPr>
        <w:t xml:space="preserve">by 2030 and reach net zero by 2050 to limit global warming to 1.5°C. </w:t>
      </w:r>
      <w:r>
        <w:rPr>
          <w:rFonts w:ascii="Arial" w:cs="Arial" w:eastAsia="Arial" w:hAnsi="Arial"/>
          <w:sz w:val="21"/>
          <w:szCs w:val="21"/>
          <w:color w:val="3D3935"/>
          <w:vertAlign w:val="superscript"/>
        </w:rPr>
        <w:t>1</w:t>
      </w:r>
      <w:r>
        <w:rPr>
          <w:rFonts w:ascii="Arial" w:cs="Arial" w:eastAsia="Arial" w:hAnsi="Arial"/>
          <w:sz w:val="16"/>
          <w:szCs w:val="16"/>
          <w:color w:val="3D3935"/>
        </w:rPr>
        <w:t xml:space="preserve"> Every incremental increase in temperature above 1.5°C will entail increasingly severe physical and systemic risks for companies and investors.</w:t>
      </w:r>
    </w:p>
    <w:p>
      <w:pPr>
        <w:spacing w:after="0" w:line="18" w:lineRule="exact"/>
        <w:rPr>
          <w:sz w:val="20"/>
          <w:szCs w:val="20"/>
          <w:color w:val="auto"/>
        </w:rPr>
      </w:pPr>
    </w:p>
    <w:p>
      <w:pPr>
        <w:ind w:left="1020" w:right="1120"/>
        <w:spacing w:after="0" w:line="227" w:lineRule="auto"/>
        <w:rPr>
          <w:sz w:val="20"/>
          <w:szCs w:val="20"/>
          <w:color w:val="auto"/>
        </w:rPr>
      </w:pPr>
      <w:r>
        <w:rPr>
          <w:rFonts w:ascii="Arial" w:cs="Arial" w:eastAsia="Arial" w:hAnsi="Arial"/>
          <w:sz w:val="16"/>
          <w:szCs w:val="16"/>
          <w:color w:val="3D3935"/>
        </w:rPr>
        <w:t xml:space="preserve">Steel and aluminum are responsible for approximately 10% of global GHG emissions. </w:t>
      </w:r>
      <w:r>
        <w:rPr>
          <w:rFonts w:ascii="Arial" w:cs="Arial" w:eastAsia="Arial" w:hAnsi="Arial"/>
          <w:sz w:val="21"/>
          <w:szCs w:val="21"/>
          <w:color w:val="3D3935"/>
          <w:vertAlign w:val="superscript"/>
        </w:rPr>
        <w:t>2,3</w:t>
      </w:r>
      <w:r>
        <w:rPr>
          <w:rFonts w:ascii="Arial" w:cs="Arial" w:eastAsia="Arial" w:hAnsi="Arial"/>
          <w:sz w:val="16"/>
          <w:szCs w:val="16"/>
          <w:color w:val="3D3935"/>
        </w:rPr>
        <w:t xml:space="preserve"> The auto industry is the second-largest consumer of steel, procuring 12% of global supply, </w:t>
      </w:r>
      <w:r>
        <w:rPr>
          <w:rFonts w:ascii="Arial" w:cs="Arial" w:eastAsia="Arial" w:hAnsi="Arial"/>
          <w:sz w:val="21"/>
          <w:szCs w:val="21"/>
          <w:color w:val="3D3935"/>
          <w:vertAlign w:val="superscript"/>
        </w:rPr>
        <w:t>4</w:t>
      </w:r>
      <w:r>
        <w:rPr>
          <w:rFonts w:ascii="Arial" w:cs="Arial" w:eastAsia="Arial" w:hAnsi="Arial"/>
          <w:sz w:val="16"/>
          <w:szCs w:val="16"/>
          <w:color w:val="3D3935"/>
        </w:rPr>
        <w:t xml:space="preserve"> and is the largest aluminum buyer in the world. </w:t>
      </w:r>
      <w:r>
        <w:rPr>
          <w:rFonts w:ascii="Arial" w:cs="Arial" w:eastAsia="Arial" w:hAnsi="Arial"/>
          <w:sz w:val="21"/>
          <w:szCs w:val="21"/>
          <w:color w:val="3D3935"/>
          <w:vertAlign w:val="superscript"/>
        </w:rPr>
        <w:t>5</w:t>
      </w:r>
    </w:p>
    <w:p>
      <w:pPr>
        <w:spacing w:after="0" w:line="1" w:lineRule="exact"/>
        <w:rPr>
          <w:sz w:val="20"/>
          <w:szCs w:val="20"/>
          <w:color w:val="auto"/>
        </w:rPr>
      </w:pPr>
    </w:p>
    <w:p>
      <w:pPr>
        <w:ind w:left="1020" w:right="1040"/>
        <w:spacing w:after="0" w:line="236" w:lineRule="auto"/>
        <w:rPr>
          <w:sz w:val="20"/>
          <w:szCs w:val="20"/>
          <w:color w:val="auto"/>
        </w:rPr>
      </w:pPr>
      <w:r>
        <w:rPr>
          <w:rFonts w:ascii="Arial" w:cs="Arial" w:eastAsia="Arial" w:hAnsi="Arial"/>
          <w:sz w:val="16"/>
          <w:szCs w:val="16"/>
          <w:color w:val="3D3935"/>
        </w:rPr>
        <w:t>In its public disclosures, General Motors (GM) articulates a vision to achieve zero emissions, including goals and plans to achieve carbon neutrality in operations and use of sold products by 2040. However, it discloses no such targets or roadmaps for its supply chain emissions, which account for approximately 16% of the Company’s contribution to climate change</w:t>
      </w:r>
      <w:r>
        <w:rPr>
          <w:rFonts w:ascii="Arial" w:cs="Arial" w:eastAsia="Arial" w:hAnsi="Arial"/>
          <w:sz w:val="21"/>
          <w:szCs w:val="21"/>
          <w:color w:val="3D3935"/>
          <w:vertAlign w:val="superscript"/>
        </w:rPr>
        <w:t>6</w:t>
      </w:r>
      <w:r>
        <w:rPr>
          <w:rFonts w:ascii="Arial" w:cs="Arial" w:eastAsia="Arial" w:hAnsi="Arial"/>
          <w:sz w:val="16"/>
          <w:szCs w:val="16"/>
          <w:color w:val="3D3935"/>
        </w:rPr>
        <w:t xml:space="preserve"> and include significant emissions from steel and aluminum. </w:t>
      </w:r>
      <w:r>
        <w:rPr>
          <w:rFonts w:ascii="Arial" w:cs="Arial" w:eastAsia="Arial" w:hAnsi="Arial"/>
          <w:sz w:val="21"/>
          <w:szCs w:val="21"/>
          <w:color w:val="3D3935"/>
          <w:vertAlign w:val="superscript"/>
        </w:rPr>
        <w:t>7</w:t>
      </w:r>
    </w:p>
    <w:p>
      <w:pPr>
        <w:spacing w:after="0" w:line="3" w:lineRule="exact"/>
        <w:rPr>
          <w:sz w:val="20"/>
          <w:szCs w:val="20"/>
          <w:color w:val="auto"/>
        </w:rPr>
      </w:pPr>
    </w:p>
    <w:p>
      <w:pPr>
        <w:ind w:left="1020" w:right="920"/>
        <w:spacing w:after="0" w:line="221" w:lineRule="auto"/>
        <w:rPr>
          <w:sz w:val="20"/>
          <w:szCs w:val="20"/>
          <w:color w:val="auto"/>
        </w:rPr>
      </w:pPr>
      <w:r>
        <w:rPr>
          <w:rFonts w:ascii="Arial" w:cs="Arial" w:eastAsia="Arial" w:hAnsi="Arial"/>
          <w:sz w:val="16"/>
          <w:szCs w:val="16"/>
          <w:color w:val="3D3935"/>
        </w:rPr>
        <w:t xml:space="preserve">While GM invites Tier 1 raw materials suppliers to achieve carbon neutrality by 2038 and pledges to procure 10% near-zero steel and low carbon aluminum by 2030, </w:t>
      </w:r>
      <w:r>
        <w:rPr>
          <w:rFonts w:ascii="Arial" w:cs="Arial" w:eastAsia="Arial" w:hAnsi="Arial"/>
          <w:sz w:val="21"/>
          <w:szCs w:val="21"/>
          <w:color w:val="3D3935"/>
          <w:vertAlign w:val="superscript"/>
        </w:rPr>
        <w:t>8</w:t>
      </w:r>
      <w:r>
        <w:rPr>
          <w:rFonts w:ascii="Arial" w:cs="Arial" w:eastAsia="Arial" w:hAnsi="Arial"/>
          <w:sz w:val="16"/>
          <w:szCs w:val="16"/>
          <w:color w:val="3D3935"/>
        </w:rPr>
        <w:t xml:space="preserve"> such steps do not constitute a plan to reduce supply chain emissions in line with its zero emissions ambition.</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16"/>
          <w:szCs w:val="16"/>
          <w:color w:val="3D3935"/>
        </w:rPr>
        <w:t>Furthermore, GM lags peers in mitigating supply chain GHG emissions:</w:t>
      </w:r>
    </w:p>
    <w:p>
      <w:pPr>
        <w:spacing w:after="0" w:line="73" w:lineRule="exact"/>
        <w:rPr>
          <w:sz w:val="20"/>
          <w:szCs w:val="20"/>
          <w:color w:val="auto"/>
        </w:rPr>
      </w:pPr>
    </w:p>
    <w:p>
      <w:pPr>
        <w:ind w:left="1220" w:right="2620" w:hanging="198"/>
        <w:spacing w:after="0" w:line="237" w:lineRule="auto"/>
        <w:tabs>
          <w:tab w:leader="none" w:pos="1220" w:val="left"/>
        </w:tabs>
        <w:numPr>
          <w:ilvl w:val="0"/>
          <w:numId w:val="113"/>
        </w:numPr>
        <w:rPr>
          <w:rFonts w:ascii="Arial" w:cs="Arial" w:eastAsia="Arial" w:hAnsi="Arial"/>
          <w:sz w:val="16"/>
          <w:szCs w:val="16"/>
          <w:color w:val="3D3935"/>
        </w:rPr>
      </w:pPr>
      <w:r>
        <w:rPr>
          <w:rFonts w:ascii="Arial" w:cs="Arial" w:eastAsia="Arial" w:hAnsi="Arial"/>
          <w:sz w:val="16"/>
          <w:szCs w:val="16"/>
          <w:color w:val="3D3935"/>
        </w:rPr>
        <w:t xml:space="preserve">Volvo and Mercedes-Benz have improved steel supply chain sustainability by participating in the ResponsibleSteel initiative. </w:t>
      </w:r>
      <w:r>
        <w:rPr>
          <w:rFonts w:ascii="Arial" w:cs="Arial" w:eastAsia="Arial" w:hAnsi="Arial"/>
          <w:sz w:val="21"/>
          <w:szCs w:val="21"/>
          <w:color w:val="3D3935"/>
          <w:vertAlign w:val="superscript"/>
        </w:rPr>
        <w:t>9</w:t>
      </w:r>
    </w:p>
    <w:p>
      <w:pPr>
        <w:ind w:left="1220" w:hanging="198"/>
        <w:spacing w:after="0" w:line="228" w:lineRule="auto"/>
        <w:tabs>
          <w:tab w:leader="none" w:pos="1220" w:val="left"/>
        </w:tabs>
        <w:numPr>
          <w:ilvl w:val="0"/>
          <w:numId w:val="113"/>
        </w:numPr>
        <w:rPr>
          <w:rFonts w:ascii="Arial" w:cs="Arial" w:eastAsia="Arial" w:hAnsi="Arial"/>
          <w:sz w:val="16"/>
          <w:szCs w:val="16"/>
          <w:color w:val="3D3935"/>
        </w:rPr>
      </w:pPr>
      <w:r>
        <w:rPr>
          <w:rFonts w:ascii="Arial" w:cs="Arial" w:eastAsia="Arial" w:hAnsi="Arial"/>
          <w:sz w:val="16"/>
          <w:szCs w:val="16"/>
          <w:color w:val="3D3935"/>
        </w:rPr>
        <w:t xml:space="preserve">Volvo has joined SteelZero, pledging to procure 50% net zero steel by 2030 and 100% by 2050.  </w:t>
      </w:r>
      <w:r>
        <w:rPr>
          <w:rFonts w:ascii="Arial" w:cs="Arial" w:eastAsia="Arial" w:hAnsi="Arial"/>
          <w:sz w:val="21"/>
          <w:szCs w:val="21"/>
          <w:color w:val="3D3935"/>
          <w:vertAlign w:val="superscript"/>
        </w:rPr>
        <w:t>10</w:t>
      </w:r>
    </w:p>
    <w:p>
      <w:pPr>
        <w:ind w:left="1220" w:hanging="198"/>
        <w:spacing w:after="0" w:line="228" w:lineRule="auto"/>
        <w:tabs>
          <w:tab w:leader="none" w:pos="1220" w:val="left"/>
        </w:tabs>
        <w:numPr>
          <w:ilvl w:val="0"/>
          <w:numId w:val="113"/>
        </w:numPr>
        <w:rPr>
          <w:rFonts w:ascii="Arial" w:cs="Arial" w:eastAsia="Arial" w:hAnsi="Arial"/>
          <w:sz w:val="16"/>
          <w:szCs w:val="16"/>
          <w:color w:val="3D3935"/>
        </w:rPr>
      </w:pPr>
      <w:r>
        <w:rPr>
          <w:rFonts w:ascii="Arial" w:cs="Arial" w:eastAsia="Arial" w:hAnsi="Arial"/>
          <w:sz w:val="16"/>
          <w:szCs w:val="16"/>
          <w:color w:val="3D3935"/>
        </w:rPr>
        <w:t xml:space="preserve">Nissan will transition to low-carbon aluminum by 2030.  </w:t>
      </w:r>
      <w:r>
        <w:rPr>
          <w:rFonts w:ascii="Arial" w:cs="Arial" w:eastAsia="Arial" w:hAnsi="Arial"/>
          <w:sz w:val="21"/>
          <w:szCs w:val="21"/>
          <w:color w:val="3D3935"/>
          <w:vertAlign w:val="superscript"/>
        </w:rPr>
        <w:t>11</w:t>
      </w:r>
    </w:p>
    <w:p>
      <w:pPr>
        <w:ind w:left="1220" w:right="1260" w:hanging="198"/>
        <w:spacing w:after="0" w:line="243" w:lineRule="auto"/>
        <w:tabs>
          <w:tab w:leader="none" w:pos="1220" w:val="left"/>
        </w:tabs>
        <w:numPr>
          <w:ilvl w:val="0"/>
          <w:numId w:val="113"/>
        </w:numPr>
        <w:rPr>
          <w:rFonts w:ascii="Arial" w:cs="Arial" w:eastAsia="Arial" w:hAnsi="Arial"/>
          <w:sz w:val="16"/>
          <w:szCs w:val="16"/>
          <w:color w:val="3D3935"/>
        </w:rPr>
      </w:pPr>
      <w:r>
        <w:rPr>
          <w:rFonts w:ascii="Arial" w:cs="Arial" w:eastAsia="Arial" w:hAnsi="Arial"/>
          <w:sz w:val="16"/>
          <w:szCs w:val="16"/>
          <w:color w:val="3D3935"/>
        </w:rPr>
        <w:t xml:space="preserve">BMW, Mercedes-Benz, Volvo, Porsche, and other automakers have signed offtake agreements for low carbon steel produced by Stegra’s green hydrogen mill. </w:t>
      </w:r>
      <w:r>
        <w:rPr>
          <w:rFonts w:ascii="Arial" w:cs="Arial" w:eastAsia="Arial" w:hAnsi="Arial"/>
          <w:sz w:val="21"/>
          <w:szCs w:val="21"/>
          <w:color w:val="3D3935"/>
          <w:vertAlign w:val="superscript"/>
        </w:rPr>
        <w:t>12</w:t>
      </w:r>
    </w:p>
    <w:p>
      <w:pPr>
        <w:spacing w:after="0" w:line="1" w:lineRule="exact"/>
        <w:rPr>
          <w:sz w:val="20"/>
          <w:szCs w:val="20"/>
          <w:color w:val="auto"/>
        </w:rPr>
      </w:pPr>
    </w:p>
    <w:p>
      <w:pPr>
        <w:ind w:left="1020" w:right="960"/>
        <w:spacing w:after="0" w:line="247" w:lineRule="auto"/>
        <w:rPr>
          <w:sz w:val="20"/>
          <w:szCs w:val="20"/>
          <w:color w:val="auto"/>
        </w:rPr>
      </w:pPr>
      <w:r>
        <w:rPr>
          <w:rFonts w:ascii="Arial" w:cs="Arial" w:eastAsia="Arial" w:hAnsi="Arial"/>
          <w:sz w:val="16"/>
          <w:szCs w:val="16"/>
          <w:color w:val="3D3935"/>
        </w:rPr>
        <w:t>Enhanced disclosure of GM’s plans to mitigate supply chain GHG emissions, including efforts to increase low carbon steel and aluminum procurement, could help the Company appropriately manage competitive risks and opportunities, mitigate climate risk, and clarify to investors how it intends to effectuate zero emissions.</w:t>
      </w:r>
    </w:p>
    <w:p>
      <w:pPr>
        <w:spacing w:after="0" w:line="24" w:lineRule="exact"/>
        <w:rPr>
          <w:sz w:val="20"/>
          <w:szCs w:val="20"/>
          <w:color w:val="auto"/>
        </w:rPr>
      </w:pPr>
    </w:p>
    <w:p>
      <w:pPr>
        <w:ind w:left="1020" w:right="960"/>
        <w:spacing w:after="0" w:line="248" w:lineRule="auto"/>
        <w:rPr>
          <w:sz w:val="20"/>
          <w:szCs w:val="20"/>
          <w:color w:val="auto"/>
        </w:rPr>
      </w:pPr>
      <w:r>
        <w:rPr>
          <w:rFonts w:ascii="Arial" w:cs="Arial" w:eastAsia="Arial" w:hAnsi="Arial"/>
          <w:sz w:val="16"/>
          <w:szCs w:val="16"/>
          <w:b w:val="1"/>
          <w:bCs w:val="1"/>
          <w:color w:val="3D3935"/>
        </w:rPr>
        <w:t xml:space="preserve">Resolved: </w:t>
      </w:r>
      <w:r>
        <w:rPr>
          <w:rFonts w:ascii="Arial" w:cs="Arial" w:eastAsia="Arial" w:hAnsi="Arial"/>
          <w:sz w:val="16"/>
          <w:szCs w:val="16"/>
          <w:color w:val="3D3935"/>
        </w:rPr>
        <w:t>Shareholders request that General Motors, at reasonable expense and omitting proprietary information, issue a</w:t>
      </w:r>
      <w:r>
        <w:rPr>
          <w:rFonts w:ascii="Arial" w:cs="Arial" w:eastAsia="Arial" w:hAnsi="Arial"/>
          <w:sz w:val="16"/>
          <w:szCs w:val="16"/>
          <w:b w:val="1"/>
          <w:bCs w:val="1"/>
          <w:color w:val="3D3935"/>
        </w:rPr>
        <w:t xml:space="preserve"> </w:t>
      </w:r>
      <w:r>
        <w:rPr>
          <w:rFonts w:ascii="Arial" w:cs="Arial" w:eastAsia="Arial" w:hAnsi="Arial"/>
          <w:sz w:val="16"/>
          <w:szCs w:val="16"/>
          <w:color w:val="3D3935"/>
        </w:rPr>
        <w:t>report describing if and how it plans to align its supply chain GHG emissions reduction strategies with its zero emissions ambition.</w:t>
      </w:r>
    </w:p>
    <w:p>
      <w:pPr>
        <w:spacing w:after="0" w:line="37" w:lineRule="exact"/>
        <w:rPr>
          <w:sz w:val="20"/>
          <w:szCs w:val="20"/>
          <w:color w:val="auto"/>
        </w:rPr>
      </w:pPr>
    </w:p>
    <w:p>
      <w:pPr>
        <w:ind w:left="1020" w:right="1060"/>
        <w:spacing w:after="0" w:line="248" w:lineRule="auto"/>
        <w:rPr>
          <w:sz w:val="20"/>
          <w:szCs w:val="20"/>
          <w:color w:val="auto"/>
        </w:rPr>
      </w:pPr>
      <w:r>
        <w:rPr>
          <w:rFonts w:ascii="Arial" w:cs="Arial" w:eastAsia="Arial" w:hAnsi="Arial"/>
          <w:sz w:val="16"/>
          <w:szCs w:val="16"/>
          <w:b w:val="1"/>
          <w:bCs w:val="1"/>
          <w:color w:val="3D3935"/>
        </w:rPr>
        <w:t xml:space="preserve">Supporting Statement: </w:t>
      </w:r>
      <w:r>
        <w:rPr>
          <w:rFonts w:ascii="Arial" w:cs="Arial" w:eastAsia="Arial" w:hAnsi="Arial"/>
          <w:sz w:val="16"/>
          <w:szCs w:val="16"/>
          <w:color w:val="3D3935"/>
        </w:rPr>
        <w:t>The essential purpose of this proposal is for GM to produce forward-looking disclosures</w:t>
      </w:r>
      <w:r>
        <w:rPr>
          <w:rFonts w:ascii="Arial" w:cs="Arial" w:eastAsia="Arial" w:hAnsi="Arial"/>
          <w:sz w:val="16"/>
          <w:szCs w:val="16"/>
          <w:b w:val="1"/>
          <w:bCs w:val="1"/>
          <w:color w:val="3D3935"/>
        </w:rPr>
        <w:t xml:space="preserve"> </w:t>
      </w:r>
      <w:r>
        <w:rPr>
          <w:rFonts w:ascii="Arial" w:cs="Arial" w:eastAsia="Arial" w:hAnsi="Arial"/>
          <w:sz w:val="16"/>
          <w:szCs w:val="16"/>
          <w:color w:val="3D3935"/>
        </w:rPr>
        <w:t>demonstrating whether its existing policies and actions are aligned with its zero emissions ambition, and if not, to provide additional strategies and metrics accordingly. In developing the disclosures, proponents recommend:</w:t>
      </w:r>
    </w:p>
    <w:p>
      <w:pPr>
        <w:spacing w:after="0" w:line="37" w:lineRule="exact"/>
        <w:rPr>
          <w:sz w:val="20"/>
          <w:szCs w:val="20"/>
          <w:color w:val="auto"/>
        </w:rPr>
      </w:pPr>
    </w:p>
    <w:p>
      <w:pPr>
        <w:ind w:left="1220" w:hanging="198"/>
        <w:spacing w:after="0"/>
        <w:tabs>
          <w:tab w:leader="none" w:pos="1220" w:val="left"/>
        </w:tabs>
        <w:numPr>
          <w:ilvl w:val="1"/>
          <w:numId w:val="114"/>
        </w:numPr>
        <w:rPr>
          <w:rFonts w:ascii="Arial" w:cs="Arial" w:eastAsia="Arial" w:hAnsi="Arial"/>
          <w:sz w:val="16"/>
          <w:szCs w:val="16"/>
          <w:color w:val="3D3935"/>
        </w:rPr>
      </w:pPr>
      <w:r>
        <w:rPr>
          <w:rFonts w:ascii="Arial" w:cs="Arial" w:eastAsia="Arial" w:hAnsi="Arial"/>
          <w:sz w:val="16"/>
          <w:szCs w:val="16"/>
          <w:color w:val="3D3935"/>
        </w:rPr>
        <w:t>Taking into consideration approaches used by groups such as ResponsibleSteel and SteelZero;</w:t>
      </w:r>
    </w:p>
    <w:p>
      <w:pPr>
        <w:spacing w:after="0" w:line="45" w:lineRule="exact"/>
        <w:rPr>
          <w:rFonts w:ascii="Arial" w:cs="Arial" w:eastAsia="Arial" w:hAnsi="Arial"/>
          <w:sz w:val="16"/>
          <w:szCs w:val="16"/>
          <w:color w:val="3D3935"/>
        </w:rPr>
      </w:pPr>
    </w:p>
    <w:p>
      <w:pPr>
        <w:ind w:left="1220" w:right="1160" w:hanging="198"/>
        <w:spacing w:after="0" w:line="268" w:lineRule="auto"/>
        <w:tabs>
          <w:tab w:leader="none" w:pos="1220" w:val="left"/>
        </w:tabs>
        <w:numPr>
          <w:ilvl w:val="1"/>
          <w:numId w:val="114"/>
        </w:numPr>
        <w:rPr>
          <w:rFonts w:ascii="Arial" w:cs="Arial" w:eastAsia="Arial" w:hAnsi="Arial"/>
          <w:sz w:val="16"/>
          <w:szCs w:val="16"/>
          <w:color w:val="3D3935"/>
        </w:rPr>
      </w:pPr>
      <w:r>
        <w:rPr>
          <w:rFonts w:ascii="Arial" w:cs="Arial" w:eastAsia="Arial" w:hAnsi="Arial"/>
          <w:sz w:val="16"/>
          <w:szCs w:val="16"/>
          <w:color w:val="3D3935"/>
        </w:rPr>
        <w:t>Describing how GM intends to meet its commitment to purchase at least 10% near-zero carbon steel and low carbon aluminum by 2030; and</w:t>
      </w:r>
    </w:p>
    <w:p>
      <w:pPr>
        <w:spacing w:after="0" w:line="7" w:lineRule="exact"/>
        <w:rPr>
          <w:rFonts w:ascii="Arial" w:cs="Arial" w:eastAsia="Arial" w:hAnsi="Arial"/>
          <w:sz w:val="16"/>
          <w:szCs w:val="16"/>
          <w:color w:val="3D3935"/>
        </w:rPr>
      </w:pPr>
    </w:p>
    <w:p>
      <w:pPr>
        <w:ind w:left="1220" w:right="2280" w:hanging="198"/>
        <w:spacing w:after="0" w:line="268" w:lineRule="auto"/>
        <w:tabs>
          <w:tab w:leader="none" w:pos="1220" w:val="left"/>
        </w:tabs>
        <w:numPr>
          <w:ilvl w:val="1"/>
          <w:numId w:val="114"/>
        </w:numPr>
        <w:rPr>
          <w:rFonts w:ascii="Arial" w:cs="Arial" w:eastAsia="Arial" w:hAnsi="Arial"/>
          <w:sz w:val="16"/>
          <w:szCs w:val="16"/>
          <w:color w:val="3D3935"/>
        </w:rPr>
      </w:pPr>
      <w:r>
        <w:rPr>
          <w:rFonts w:ascii="Arial" w:cs="Arial" w:eastAsia="Arial" w:hAnsi="Arial"/>
          <w:sz w:val="16"/>
          <w:szCs w:val="16"/>
          <w:color w:val="3D3935"/>
        </w:rPr>
        <w:t>Analyzing the financial and climates-related impacts on GM’s business of a range of low-carbon steel adoption scenarios.</w:t>
      </w:r>
    </w:p>
    <w:p>
      <w:pPr>
        <w:spacing w:after="0" w:line="8" w:lineRule="exact"/>
        <w:rPr>
          <w:rFonts w:ascii="Arial" w:cs="Arial" w:eastAsia="Arial" w:hAnsi="Arial"/>
          <w:sz w:val="16"/>
          <w:szCs w:val="16"/>
          <w:color w:val="3D3935"/>
        </w:rPr>
      </w:pPr>
    </w:p>
    <w:p>
      <w:pPr>
        <w:ind w:left="1020" w:hanging="192"/>
        <w:spacing w:after="0"/>
        <w:tabs>
          <w:tab w:leader="none" w:pos="1020" w:val="left"/>
        </w:tabs>
        <w:numPr>
          <w:ilvl w:val="0"/>
          <w:numId w:val="114"/>
        </w:numPr>
        <w:rPr>
          <w:rFonts w:ascii="Arial" w:cs="Arial" w:eastAsia="Arial" w:hAnsi="Arial"/>
          <w:sz w:val="7"/>
          <w:szCs w:val="7"/>
          <w:color w:val="3D3935"/>
        </w:rPr>
      </w:pPr>
      <w:r>
        <w:rPr>
          <w:rFonts w:ascii="Arial" w:cs="Arial" w:eastAsia="Arial" w:hAnsi="Arial"/>
          <w:sz w:val="11"/>
          <w:szCs w:val="11"/>
          <w:color w:val="3D3935"/>
        </w:rPr>
        <w:t>https://www.un.org/en/climatechange/net-zero-coalition</w:t>
      </w:r>
    </w:p>
    <w:p>
      <w:pPr>
        <w:spacing w:after="0" w:line="5" w:lineRule="exact"/>
        <w:rPr>
          <w:rFonts w:ascii="Arial" w:cs="Arial" w:eastAsia="Arial" w:hAnsi="Arial"/>
          <w:sz w:val="7"/>
          <w:szCs w:val="7"/>
          <w:color w:val="3D3935"/>
        </w:rPr>
      </w:pPr>
    </w:p>
    <w:p>
      <w:pPr>
        <w:ind w:left="1020" w:hanging="192"/>
        <w:spacing w:after="0" w:line="230" w:lineRule="auto"/>
        <w:tabs>
          <w:tab w:leader="none" w:pos="1020" w:val="left"/>
        </w:tabs>
        <w:numPr>
          <w:ilvl w:val="0"/>
          <w:numId w:val="114"/>
        </w:numPr>
        <w:rPr>
          <w:rFonts w:ascii="Arial" w:cs="Arial" w:eastAsia="Arial" w:hAnsi="Arial"/>
          <w:sz w:val="7"/>
          <w:szCs w:val="7"/>
          <w:color w:val="3D3935"/>
        </w:rPr>
      </w:pPr>
      <w:r>
        <w:rPr>
          <w:rFonts w:ascii="Arial" w:cs="Arial" w:eastAsia="Arial" w:hAnsi="Arial"/>
          <w:sz w:val="11"/>
          <w:szCs w:val="11"/>
          <w:color w:val="3D3935"/>
        </w:rPr>
        <w:t>https://www.sciencedirect.com/science/article/abs/pii/S2214629622000706</w:t>
      </w:r>
    </w:p>
    <w:p>
      <w:pPr>
        <w:ind w:left="1020" w:hanging="192"/>
        <w:spacing w:after="0" w:line="230" w:lineRule="auto"/>
        <w:tabs>
          <w:tab w:leader="none" w:pos="1020" w:val="left"/>
        </w:tabs>
        <w:numPr>
          <w:ilvl w:val="0"/>
          <w:numId w:val="114"/>
        </w:numPr>
        <w:rPr>
          <w:rFonts w:ascii="Arial" w:cs="Arial" w:eastAsia="Arial" w:hAnsi="Arial"/>
          <w:sz w:val="7"/>
          <w:szCs w:val="7"/>
          <w:color w:val="3D3935"/>
        </w:rPr>
      </w:pPr>
      <w:r>
        <w:rPr>
          <w:rFonts w:ascii="Arial" w:cs="Arial" w:eastAsia="Arial" w:hAnsi="Arial"/>
          <w:sz w:val="11"/>
          <w:szCs w:val="11"/>
          <w:color w:val="3D3935"/>
        </w:rPr>
        <w:t>https://www.globalefficiencyintel.com/aluminum-climate-impact-international-benchmarking-energy-co2- intensities</w:t>
      </w:r>
    </w:p>
    <w:p>
      <w:pPr>
        <w:ind w:left="1020" w:hanging="192"/>
        <w:spacing w:after="0" w:line="204" w:lineRule="auto"/>
        <w:tabs>
          <w:tab w:leader="none" w:pos="1020" w:val="left"/>
        </w:tabs>
        <w:numPr>
          <w:ilvl w:val="0"/>
          <w:numId w:val="114"/>
        </w:numPr>
        <w:rPr>
          <w:rFonts w:ascii="Arial" w:cs="Arial" w:eastAsia="Arial" w:hAnsi="Arial"/>
          <w:sz w:val="7"/>
          <w:szCs w:val="7"/>
          <w:color w:val="3D3935"/>
        </w:rPr>
      </w:pPr>
      <w:r>
        <w:rPr>
          <w:rFonts w:ascii="Arial" w:cs="Arial" w:eastAsia="Arial" w:hAnsi="Arial"/>
          <w:sz w:val="11"/>
          <w:szCs w:val="11"/>
          <w:color w:val="3D3935"/>
        </w:rPr>
        <w:t>https://theicct.org/publication/green-steel-automakers-us-europe-sep-24/</w:t>
      </w:r>
    </w:p>
    <w:p>
      <w:pPr>
        <w:ind w:left="1020" w:hanging="192"/>
        <w:spacing w:after="0" w:line="230" w:lineRule="auto"/>
        <w:tabs>
          <w:tab w:leader="none" w:pos="1020" w:val="left"/>
        </w:tabs>
        <w:numPr>
          <w:ilvl w:val="0"/>
          <w:numId w:val="114"/>
        </w:numPr>
        <w:rPr>
          <w:rFonts w:ascii="Arial" w:cs="Arial" w:eastAsia="Arial" w:hAnsi="Arial"/>
          <w:sz w:val="7"/>
          <w:szCs w:val="7"/>
          <w:color w:val="3D3935"/>
        </w:rPr>
      </w:pPr>
      <w:r>
        <w:rPr>
          <w:rFonts w:ascii="Arial" w:cs="Arial" w:eastAsia="Arial" w:hAnsi="Arial"/>
          <w:sz w:val="11"/>
          <w:szCs w:val="11"/>
          <w:color w:val="3D3935"/>
        </w:rPr>
        <w:t>https://leadthecharge.org/the-problem/aluminum/</w:t>
      </w:r>
    </w:p>
    <w:p>
      <w:pPr>
        <w:ind w:left="1020" w:hanging="192"/>
        <w:spacing w:after="0" w:line="230" w:lineRule="auto"/>
        <w:tabs>
          <w:tab w:leader="none" w:pos="1020" w:val="left"/>
        </w:tabs>
        <w:numPr>
          <w:ilvl w:val="0"/>
          <w:numId w:val="114"/>
        </w:numPr>
        <w:rPr>
          <w:rFonts w:ascii="Arial" w:cs="Arial" w:eastAsia="Arial" w:hAnsi="Arial"/>
          <w:sz w:val="7"/>
          <w:szCs w:val="7"/>
          <w:color w:val="3D3935"/>
        </w:rPr>
      </w:pPr>
      <w:r>
        <w:rPr>
          <w:rFonts w:ascii="Arial" w:cs="Arial" w:eastAsia="Arial" w:hAnsi="Arial"/>
          <w:sz w:val="11"/>
          <w:szCs w:val="11"/>
          <w:color w:val="3D3935"/>
        </w:rPr>
        <w:t>https://www.gm.com/content/dam/company/docs/us/en/gmcom/company/GM_2023_SR.pdf, p10</w:t>
      </w:r>
    </w:p>
    <w:p>
      <w:pPr>
        <w:ind w:left="1020" w:hanging="192"/>
        <w:spacing w:after="0" w:line="230" w:lineRule="auto"/>
        <w:tabs>
          <w:tab w:leader="none" w:pos="1020" w:val="left"/>
        </w:tabs>
        <w:numPr>
          <w:ilvl w:val="0"/>
          <w:numId w:val="114"/>
        </w:numPr>
        <w:rPr>
          <w:rFonts w:ascii="Arial" w:cs="Arial" w:eastAsia="Arial" w:hAnsi="Arial"/>
          <w:sz w:val="7"/>
          <w:szCs w:val="7"/>
          <w:color w:val="3D3935"/>
        </w:rPr>
      </w:pPr>
      <w:r>
        <w:rPr>
          <w:rFonts w:ascii="Arial" w:cs="Arial" w:eastAsia="Arial" w:hAnsi="Arial"/>
          <w:sz w:val="11"/>
          <w:szCs w:val="11"/>
          <w:color w:val="3D3935"/>
        </w:rPr>
        <w:t>https://www.gm.com/content/dam/company/docs/us/en/gmcom/company/GM_2023_SR.pdf, p22</w:t>
      </w:r>
    </w:p>
    <w:p>
      <w:pPr>
        <w:ind w:left="1020" w:hanging="192"/>
        <w:spacing w:after="0" w:line="230" w:lineRule="auto"/>
        <w:tabs>
          <w:tab w:leader="none" w:pos="1020" w:val="left"/>
        </w:tabs>
        <w:numPr>
          <w:ilvl w:val="0"/>
          <w:numId w:val="114"/>
        </w:numPr>
        <w:rPr>
          <w:rFonts w:ascii="Arial" w:cs="Arial" w:eastAsia="Arial" w:hAnsi="Arial"/>
          <w:sz w:val="7"/>
          <w:szCs w:val="7"/>
          <w:color w:val="3D3935"/>
        </w:rPr>
      </w:pPr>
      <w:r>
        <w:rPr>
          <w:rFonts w:ascii="Arial" w:cs="Arial" w:eastAsia="Arial" w:hAnsi="Arial"/>
          <w:sz w:val="11"/>
          <w:szCs w:val="11"/>
          <w:color w:val="3D3935"/>
        </w:rPr>
        <w:t>https://www.gm.com/content/dam/company/docs/us/en/gmcom/company/GM_2023_SR.pdf</w:t>
      </w:r>
    </w:p>
    <w:p>
      <w:pPr>
        <w:ind w:left="1020" w:hanging="192"/>
        <w:spacing w:after="0" w:line="204" w:lineRule="auto"/>
        <w:tabs>
          <w:tab w:leader="none" w:pos="1020" w:val="left"/>
        </w:tabs>
        <w:numPr>
          <w:ilvl w:val="0"/>
          <w:numId w:val="114"/>
        </w:numPr>
        <w:rPr>
          <w:rFonts w:ascii="Arial" w:cs="Arial" w:eastAsia="Arial" w:hAnsi="Arial"/>
          <w:sz w:val="7"/>
          <w:szCs w:val="7"/>
          <w:color w:val="3D3935"/>
        </w:rPr>
      </w:pPr>
      <w:r>
        <w:rPr>
          <w:rFonts w:ascii="Arial" w:cs="Arial" w:eastAsia="Arial" w:hAnsi="Arial"/>
          <w:sz w:val="11"/>
          <w:szCs w:val="11"/>
          <w:color w:val="3D3935"/>
        </w:rPr>
        <w:t>https://www.responsiblesteel.org/members-and-associates</w:t>
      </w:r>
    </w:p>
    <w:p>
      <w:pPr>
        <w:ind w:left="1020" w:hanging="192"/>
        <w:spacing w:after="0" w:line="230" w:lineRule="auto"/>
        <w:tabs>
          <w:tab w:leader="none" w:pos="1020" w:val="left"/>
        </w:tabs>
        <w:numPr>
          <w:ilvl w:val="0"/>
          <w:numId w:val="114"/>
        </w:numPr>
        <w:rPr>
          <w:rFonts w:ascii="Arial" w:cs="Arial" w:eastAsia="Arial" w:hAnsi="Arial"/>
          <w:sz w:val="7"/>
          <w:szCs w:val="7"/>
          <w:color w:val="3D3935"/>
        </w:rPr>
      </w:pPr>
      <w:r>
        <w:rPr>
          <w:rFonts w:ascii="Arial" w:cs="Arial" w:eastAsia="Arial" w:hAnsi="Arial"/>
          <w:sz w:val="11"/>
          <w:szCs w:val="11"/>
          <w:color w:val="3D3935"/>
        </w:rPr>
        <w:t>https://www.theclimategroup.org/steelzero-members</w:t>
      </w:r>
    </w:p>
    <w:p>
      <w:pPr>
        <w:ind w:left="1020" w:hanging="192"/>
        <w:spacing w:after="0"/>
        <w:tabs>
          <w:tab w:leader="none" w:pos="1020" w:val="left"/>
        </w:tabs>
        <w:numPr>
          <w:ilvl w:val="0"/>
          <w:numId w:val="114"/>
        </w:numPr>
        <w:rPr>
          <w:rFonts w:ascii="Arial" w:cs="Arial" w:eastAsia="Arial" w:hAnsi="Arial"/>
          <w:sz w:val="7"/>
          <w:szCs w:val="7"/>
          <w:color w:val="3D3935"/>
        </w:rPr>
      </w:pPr>
      <w:r>
        <w:rPr>
          <w:rFonts w:ascii="Arial" w:cs="Arial" w:eastAsia="Arial" w:hAnsi="Arial"/>
          <w:sz w:val="11"/>
          <w:szCs w:val="11"/>
          <w:color w:val="3D3935"/>
        </w:rPr>
        <w:t>https://global.nissannews.com/en/releases/nissan-to-transition-to-low-co2-emission-aluminum-by-2030</w:t>
      </w:r>
    </w:p>
    <w:p>
      <w:pPr>
        <w:sectPr>
          <w:pgSz w:w="11900" w:h="16879" w:orient="portrait"/>
          <w:cols w:equalWidth="0" w:num="1">
            <w:col w:w="10720"/>
          </w:cols>
          <w:pgMar w:left="580" w:top="140" w:right="599" w:bottom="0" w:gutter="0" w:footer="0" w:header="0"/>
        </w:sectPr>
      </w:pPr>
    </w:p>
    <w:bookmarkStart w:id="79" w:name="page80"/>
    <w:bookmarkEnd w:id="79"/>
    <w:p>
      <w:pPr>
        <w:ind w:left="200" w:hanging="192"/>
        <w:spacing w:after="0"/>
        <w:tabs>
          <w:tab w:leader="none" w:pos="200" w:val="left"/>
        </w:tabs>
        <w:numPr>
          <w:ilvl w:val="0"/>
          <w:numId w:val="115"/>
        </w:numPr>
        <w:rPr>
          <w:rFonts w:ascii="Arial" w:cs="Arial" w:eastAsia="Arial" w:hAnsi="Arial"/>
          <w:sz w:val="7"/>
          <w:szCs w:val="7"/>
          <w:color w:val="3D3935"/>
        </w:rPr>
      </w:pPr>
      <w:r>
        <w:rPr>
          <w:rFonts w:ascii="Arial" w:cs="Arial" w:eastAsia="Arial" w:hAnsi="Arial"/>
          <w:sz w:val="11"/>
          <w:szCs w:val="11"/>
          <w:color w:val="3D3935"/>
        </w:rPr>
        <w:t>https://stegra.com/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-62865</wp:posOffset>
            </wp:positionV>
            <wp:extent cx="6810375" cy="6877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10375" cy="6877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88677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ind w:right="280"/>
        <w:spacing w:after="0"/>
        <w:rPr>
          <w:sz w:val="20"/>
          <w:szCs w:val="20"/>
          <w:color w:val="auto"/>
        </w:rPr>
      </w:pPr>
      <w:r>
        <w:rPr>
          <w:rFonts w:ascii="Arial" w:cs="Arial" w:eastAsia="Arial" w:hAnsi="Arial"/>
          <w:sz w:val="14"/>
          <w:szCs w:val="14"/>
          <w:b w:val="1"/>
          <w:bCs w:val="1"/>
          <w:color w:val="0072CE"/>
        </w:rPr>
        <w:t>ITEM 5 Shareholder Proposal Regarding a Report on Supply Chain</w:t>
      </w:r>
    </w:p>
    <w:p>
      <w:pPr>
        <w:spacing w:after="0" w:line="29" w:lineRule="exact"/>
        <w:rPr>
          <w:sz w:val="20"/>
          <w:szCs w:val="20"/>
          <w:color w:val="auto"/>
        </w:rPr>
      </w:pPr>
    </w:p>
    <w:p>
      <w:pPr>
        <w:jc w:val="right"/>
        <w:ind w:right="320"/>
        <w:spacing w:after="0"/>
        <w:rPr>
          <w:sz w:val="20"/>
          <w:szCs w:val="20"/>
          <w:color w:val="auto"/>
        </w:rPr>
      </w:pPr>
      <w:r>
        <w:rPr>
          <w:rFonts w:ascii="Arial" w:cs="Arial" w:eastAsia="Arial" w:hAnsi="Arial"/>
          <w:sz w:val="14"/>
          <w:szCs w:val="14"/>
          <w:b w:val="1"/>
          <w:bCs w:val="1"/>
          <w:color w:val="0072CE"/>
        </w:rPr>
        <w:t>GHG Emissions Reduction Strategies</w:t>
      </w:r>
    </w:p>
    <w:p>
      <w:pPr>
        <w:spacing w:after="0" w:line="367"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BOARD RESPONSE</w:t>
      </w:r>
    </w:p>
    <w:p>
      <w:pPr>
        <w:spacing w:after="0" w:line="329" w:lineRule="exact"/>
        <w:rPr>
          <w:sz w:val="20"/>
          <w:szCs w:val="20"/>
          <w:color w:val="auto"/>
        </w:rPr>
      </w:pPr>
    </w:p>
    <w:p>
      <w:pPr>
        <w:ind w:left="240" w:right="1280" w:hanging="185"/>
        <w:spacing w:after="0" w:line="316" w:lineRule="auto"/>
        <w:tabs>
          <w:tab w:leader="none" w:pos="240" w:val="left"/>
        </w:tabs>
        <w:numPr>
          <w:ilvl w:val="0"/>
          <w:numId w:val="116"/>
        </w:numPr>
        <w:rPr>
          <w:rFonts w:ascii="Arial" w:cs="Arial" w:eastAsia="Arial" w:hAnsi="Arial"/>
          <w:sz w:val="16"/>
          <w:szCs w:val="16"/>
          <w:color w:val="0072CE"/>
        </w:rPr>
      </w:pPr>
      <w:r>
        <w:rPr>
          <w:rFonts w:ascii="Arial" w:cs="Arial" w:eastAsia="Arial" w:hAnsi="Arial"/>
          <w:sz w:val="16"/>
          <w:szCs w:val="16"/>
          <w:color w:val="0072CE"/>
        </w:rPr>
        <w:t>GM is committed to incorporating responsibly sourced materials into its supply chain, and GM collaborates with organizations inside and outside of the industry to develop sustainable supply chain programs.</w:t>
      </w:r>
    </w:p>
    <w:p>
      <w:pPr>
        <w:spacing w:after="0" w:line="1" w:lineRule="exact"/>
        <w:rPr>
          <w:rFonts w:ascii="Arial" w:cs="Arial" w:eastAsia="Arial" w:hAnsi="Arial"/>
          <w:sz w:val="16"/>
          <w:szCs w:val="16"/>
          <w:color w:val="0072CE"/>
        </w:rPr>
      </w:pPr>
    </w:p>
    <w:p>
      <w:pPr>
        <w:ind w:left="240" w:hanging="185"/>
        <w:spacing w:after="0"/>
        <w:tabs>
          <w:tab w:leader="none" w:pos="240" w:val="left"/>
        </w:tabs>
        <w:numPr>
          <w:ilvl w:val="0"/>
          <w:numId w:val="116"/>
        </w:numPr>
        <w:rPr>
          <w:rFonts w:ascii="Arial" w:cs="Arial" w:eastAsia="Arial" w:hAnsi="Arial"/>
          <w:sz w:val="16"/>
          <w:szCs w:val="16"/>
          <w:color w:val="0072CE"/>
        </w:rPr>
      </w:pPr>
      <w:r>
        <w:rPr>
          <w:rFonts w:ascii="Arial" w:cs="Arial" w:eastAsia="Arial" w:hAnsi="Arial"/>
          <w:sz w:val="16"/>
          <w:szCs w:val="16"/>
          <w:color w:val="0072CE"/>
        </w:rPr>
        <w:t>The requested report is unnecessary because GM already follows robust and transparent reporting practices.</w:t>
      </w:r>
    </w:p>
    <w:p>
      <w:pPr>
        <w:spacing w:after="0" w:line="304" w:lineRule="exact"/>
        <w:rPr>
          <w:sz w:val="20"/>
          <w:szCs w:val="20"/>
          <w:color w:val="auto"/>
        </w:rPr>
      </w:pPr>
    </w:p>
    <w:p>
      <w:pPr>
        <w:spacing w:after="0" w:line="264" w:lineRule="auto"/>
        <w:rPr>
          <w:sz w:val="20"/>
          <w:szCs w:val="20"/>
          <w:color w:val="auto"/>
        </w:rPr>
      </w:pPr>
      <w:r>
        <w:rPr>
          <w:rFonts w:ascii="Arial" w:cs="Arial" w:eastAsia="Arial" w:hAnsi="Arial"/>
          <w:sz w:val="16"/>
          <w:szCs w:val="16"/>
          <w:b w:val="1"/>
          <w:bCs w:val="1"/>
          <w:i w:val="1"/>
          <w:iCs w:val="1"/>
          <w:color w:val="3D3935"/>
        </w:rPr>
        <w:t>GM is committed to incorporating responsibly sourced materials into its supply chain and is working to increase the use of sustainable materials in its vehicles.</w:t>
      </w:r>
    </w:p>
    <w:p>
      <w:pPr>
        <w:spacing w:after="0" w:line="1" w:lineRule="exact"/>
        <w:rPr>
          <w:sz w:val="20"/>
          <w:szCs w:val="20"/>
          <w:color w:val="auto"/>
        </w:rPr>
      </w:pPr>
    </w:p>
    <w:p>
      <w:pPr>
        <w:ind w:right="600"/>
        <w:spacing w:after="0" w:line="262" w:lineRule="auto"/>
        <w:rPr>
          <w:sz w:val="20"/>
          <w:szCs w:val="20"/>
          <w:color w:val="auto"/>
        </w:rPr>
      </w:pPr>
      <w:r>
        <w:rPr>
          <w:rFonts w:ascii="Arial" w:cs="Arial" w:eastAsia="Arial" w:hAnsi="Arial"/>
          <w:sz w:val="16"/>
          <w:szCs w:val="16"/>
          <w:color w:val="3D3935"/>
        </w:rPr>
        <w:t xml:space="preserve">As we transform our business to support production of EVs, we are not only considering end-of-life reusability and recyclability, but also working to ensure the use of sustainable materials in our vehicles from inception. We aim to procure increasingly sustainable materials, with a focus on reducing carbon emissions through process innovation, recycled material content, and renewable and fossil fuel-free energy for electricity. We will drive collaboration with our suppliers and apply data-driven strategies that can be customized to the specific attributes of each commodity. In addition, GM has a number of policies that document our commitment to responsibly sourced materials, including our Responsible Materials Policy, Conflict Minerals Policy, and Global Environmental Policy, all of which are available at: </w:t>
      </w:r>
      <w:r>
        <w:rPr>
          <w:rFonts w:ascii="Arial" w:cs="Arial" w:eastAsia="Arial" w:hAnsi="Arial"/>
          <w:sz w:val="16"/>
          <w:szCs w:val="16"/>
          <w:u w:val="single" w:color="auto"/>
          <w:color w:val="0072CE"/>
        </w:rPr>
        <w:t>investor.gm.com/governanceandsustainability.</w:t>
      </w:r>
    </w:p>
    <w:p>
      <w:pPr>
        <w:spacing w:after="0" w:line="266" w:lineRule="exact"/>
        <w:rPr>
          <w:sz w:val="20"/>
          <w:szCs w:val="20"/>
          <w:color w:val="auto"/>
        </w:rPr>
      </w:pPr>
    </w:p>
    <w:p>
      <w:pPr>
        <w:ind w:right="520"/>
        <w:spacing w:after="0" w:line="264" w:lineRule="auto"/>
        <w:rPr>
          <w:sz w:val="20"/>
          <w:szCs w:val="20"/>
          <w:color w:val="auto"/>
        </w:rPr>
      </w:pPr>
      <w:r>
        <w:rPr>
          <w:rFonts w:ascii="Arial" w:cs="Arial" w:eastAsia="Arial" w:hAnsi="Arial"/>
          <w:sz w:val="16"/>
          <w:szCs w:val="16"/>
          <w:color w:val="3D3935"/>
        </w:rPr>
        <w:t>We know that our suppliers’ commitment to responsible and sustainable operations is a critical component of our vision of zero crashes, zero emissions, and zero congestion. GM’s cross-functional teams work directly with suppliers to integrate sustainability into all aspects of our supply chain. This includes our ESG Supplier Pledge, which invites our Tier 1 suppliers to embrace sustainability in a holistic manner, focusing on commitments related to environmental, social, and governance topics. As part of the Pledge, GM is asking its suppliers to commit to carbon neutrality for their Scope 1 and Scope 2 emissions relevant to products or services provided to GM, with a target of (i) 2035 for manufacturing suppliers that provide vehicle components and purchased equipment and (ii) 2038 for raw materials suppliers that provide raw materials or logistics. In addition, we have announced procurement commitments that are aligned with the goals of the First Movers Coalition with respect to concrete, steel, and aluminum.</w:t>
      </w:r>
    </w:p>
    <w:p>
      <w:pPr>
        <w:spacing w:after="0" w:line="57" w:lineRule="exact"/>
        <w:rPr>
          <w:sz w:val="20"/>
          <w:szCs w:val="20"/>
          <w:color w:val="auto"/>
        </w:rPr>
      </w:pPr>
    </w:p>
    <w:p>
      <w:pPr>
        <w:ind w:right="320"/>
        <w:spacing w:after="0" w:line="273" w:lineRule="auto"/>
        <w:rPr>
          <w:sz w:val="20"/>
          <w:szCs w:val="20"/>
          <w:color w:val="auto"/>
        </w:rPr>
      </w:pPr>
      <w:r>
        <w:rPr>
          <w:rFonts w:ascii="Arial" w:cs="Arial" w:eastAsia="Arial" w:hAnsi="Arial"/>
          <w:sz w:val="16"/>
          <w:szCs w:val="16"/>
          <w:b w:val="1"/>
          <w:bCs w:val="1"/>
          <w:i w:val="1"/>
          <w:iCs w:val="1"/>
          <w:color w:val="3D3935"/>
        </w:rPr>
        <w:t>GM collaborates with, and is an active member of, organizations inside and outside the automotive industry to develop sustainable and socially responsible supply chain programs.</w:t>
      </w:r>
    </w:p>
    <w:p>
      <w:pPr>
        <w:ind w:right="480"/>
        <w:spacing w:after="0" w:line="261" w:lineRule="auto"/>
        <w:rPr>
          <w:sz w:val="20"/>
          <w:szCs w:val="20"/>
          <w:color w:val="auto"/>
        </w:rPr>
      </w:pPr>
      <w:r>
        <w:rPr>
          <w:rFonts w:ascii="Arial" w:cs="Arial" w:eastAsia="Arial" w:hAnsi="Arial"/>
          <w:sz w:val="16"/>
          <w:szCs w:val="16"/>
          <w:color w:val="3D3935"/>
        </w:rPr>
        <w:t>As a First Movers Coalition member, GM engages in steel and aluminum sector working groups, participates in the Coalition’s Near-Zero Steel 2030 Demand Challenge, and maintains a near-zero cement and concrete purchasing commitment. GM is also a member of the Scope 3 Peer Group, which is a global, multi-sector community focused on reducing supply chain emissions. We work closely with many other industry and supply chain-focused organizations, including the Automotive Industry Action Group (AIAG), where we actively participate in the Responsible Materials Working Group and sit on the Corporate Responsibility Steering Committee, and the Suppliers Partnership for the Environment, which convenes companies in the automotive value chain, to advance projects with positive environmental, economic, and community impact. GM also collaborates with the US Department of Energy and other industry leaders through the United States Advanced Battery Consortium LLC (USABC) and the United States Driving Research and Innovation for Vehicle Efficiency and Energy Sustainability (US DRIVE) Materials Technical Team (MTT) to support sustainable energy infrastructure development. GM has also partnered with the Responsible Business Alliance (RBA) to provide business ethics, environment, and human rights and working conditions training to our employees and suppliers. Additionally, GM is a member of the Global Platform for Sustainable Natural Rubber (GPSNR) to improve natural rubber supply chain sustainability.</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D3935"/>
        </w:rPr>
        <w:t>The requested report is unnecessary because GM already follows robust and transparent reporting practices.</w:t>
      </w:r>
    </w:p>
    <w:p>
      <w:pPr>
        <w:spacing w:after="0" w:line="33" w:lineRule="exact"/>
        <w:rPr>
          <w:sz w:val="20"/>
          <w:szCs w:val="20"/>
          <w:color w:val="auto"/>
        </w:rPr>
      </w:pPr>
    </w:p>
    <w:p>
      <w:pPr>
        <w:spacing w:after="0"/>
        <w:tabs>
          <w:tab w:leader="none" w:pos="9000" w:val="left"/>
        </w:tabs>
        <w:rPr>
          <w:sz w:val="20"/>
          <w:szCs w:val="20"/>
          <w:color w:val="auto"/>
        </w:rPr>
      </w:pPr>
      <w:r>
        <w:rPr>
          <w:rFonts w:ascii="Arial" w:cs="Arial" w:eastAsia="Arial" w:hAnsi="Arial"/>
          <w:sz w:val="16"/>
          <w:szCs w:val="16"/>
          <w:color w:val="3D3935"/>
        </w:rPr>
        <w:t>GM’s approach to supply chain sourcing and sustainability is addressed in our annual Sustainability Report available a</w:t>
      </w:r>
      <w:r>
        <w:rPr>
          <w:sz w:val="20"/>
          <w:szCs w:val="20"/>
          <w:color w:val="auto"/>
        </w:rPr>
        <w:tab/>
      </w:r>
      <w:r>
        <w:rPr>
          <w:rFonts w:ascii="Arial" w:cs="Arial" w:eastAsia="Arial" w:hAnsi="Arial"/>
          <w:sz w:val="14"/>
          <w:szCs w:val="14"/>
          <w:color w:val="242424"/>
        </w:rPr>
        <w:t>t</w:t>
      </w:r>
    </w:p>
    <w:p>
      <w:pPr>
        <w:spacing w:after="0" w:line="15" w:lineRule="exact"/>
        <w:rPr>
          <w:sz w:val="20"/>
          <w:szCs w:val="20"/>
          <w:color w:val="auto"/>
        </w:rPr>
      </w:pPr>
    </w:p>
    <w:p>
      <w:pPr>
        <w:spacing w:after="0"/>
        <w:tabs>
          <w:tab w:leader="none" w:pos="3480" w:val="left"/>
        </w:tabs>
        <w:rPr>
          <w:sz w:val="20"/>
          <w:szCs w:val="20"/>
          <w:color w:val="auto"/>
        </w:rPr>
      </w:pPr>
      <w:r>
        <w:rPr>
          <w:rFonts w:ascii="Arial" w:cs="Arial" w:eastAsia="Arial" w:hAnsi="Arial"/>
          <w:sz w:val="16"/>
          <w:szCs w:val="16"/>
          <w:u w:val="single" w:color="auto"/>
          <w:color w:val="0072CE"/>
        </w:rPr>
        <w:t>investor.gm.com/governanceandsustainability.</w:t>
      </w:r>
      <w:r>
        <w:rPr>
          <w:sz w:val="20"/>
          <w:szCs w:val="20"/>
          <w:color w:val="auto"/>
        </w:rPr>
        <w:tab/>
      </w:r>
      <w:r>
        <w:rPr>
          <w:rFonts w:ascii="Arial" w:cs="Arial" w:eastAsia="Arial" w:hAnsi="Arial"/>
          <w:sz w:val="16"/>
          <w:szCs w:val="16"/>
          <w:color w:val="242424"/>
        </w:rPr>
        <w:t>Specifically, GM makes disclosures aligned with relevant Global Reporting</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242424"/>
        </w:rPr>
        <w:t>Initiatives and Sustainability Accounting Standards Board standards. In addition, GM has been disclosing our annual Scope 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242424"/>
        </w:rPr>
        <w:t>Category 1 (Supply Chain) emissions data in the Sustainability Report for several years, supported by a robust process to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242424"/>
        </w:rPr>
        <w:t>calculate and monitor these emissions against our 2018 baseline. Furthermore, GM engages regularly with shareholders and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242424"/>
        </w:rPr>
        <w:t>other stakeholders on these and other critical supply chain and sustainability issues. Shareholders’ approval of GM’s current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242424"/>
        </w:rPr>
        <w:t>approach and related disclosure was confirmed when two similar proposals submitted by this shareholder proponent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242424"/>
        </w:rPr>
        <w:t>received only 14% of the vote at the Company’s 2023 and 2024 annual meetings, respectively. GM will continue to provide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242424"/>
        </w:rPr>
        <w:t>robust public disclosure on its actions and engagement on supply chain sustainability matters, including our expanding</w:t>
      </w:r>
    </w:p>
    <w:p>
      <w:pPr>
        <w:spacing w:after="0" w:line="19" w:lineRule="exact"/>
        <w:rPr>
          <w:sz w:val="20"/>
          <w:szCs w:val="20"/>
          <w:color w:val="auto"/>
        </w:rPr>
      </w:pPr>
    </w:p>
    <w:p>
      <w:pPr>
        <w:spacing w:after="0"/>
        <w:tabs>
          <w:tab w:leader="none" w:pos="5740" w:val="left"/>
        </w:tabs>
        <w:rPr>
          <w:sz w:val="20"/>
          <w:szCs w:val="20"/>
          <w:color w:val="auto"/>
        </w:rPr>
      </w:pPr>
      <w:r>
        <w:rPr>
          <w:rFonts w:ascii="Arial" w:cs="Arial" w:eastAsia="Arial" w:hAnsi="Arial"/>
          <w:sz w:val="16"/>
          <w:szCs w:val="16"/>
          <w:color w:val="242424"/>
        </w:rPr>
        <w:t>eng</w:t>
      </w:r>
      <w:r>
        <w:rPr>
          <w:rFonts w:ascii="Arial" w:cs="Arial" w:eastAsia="Arial" w:hAnsi="Arial"/>
          <w:sz w:val="16"/>
          <w:szCs w:val="16"/>
          <w:color w:val="3E3935"/>
        </w:rPr>
        <w:t>agement with providers of raw materials throughout our supply chain. Visit</w:t>
      </w:r>
      <w:r>
        <w:rPr>
          <w:sz w:val="20"/>
          <w:szCs w:val="20"/>
          <w:color w:val="auto"/>
        </w:rPr>
        <w:tab/>
      </w:r>
      <w:r>
        <w:rPr>
          <w:rFonts w:ascii="Arial" w:cs="Arial" w:eastAsia="Arial" w:hAnsi="Arial"/>
          <w:sz w:val="16"/>
          <w:szCs w:val="16"/>
          <w:u w:val="single" w:color="auto"/>
          <w:color w:val="0072CE"/>
        </w:rPr>
        <w:t xml:space="preserve">gmsustainability.com </w:t>
      </w:r>
      <w:r>
        <w:rPr>
          <w:rFonts w:ascii="Arial" w:cs="Arial" w:eastAsia="Arial" w:hAnsi="Arial"/>
          <w:sz w:val="16"/>
          <w:szCs w:val="16"/>
          <w:color w:val="3E3935"/>
        </w:rPr>
        <w:t>for more information.</w:t>
      </w:r>
    </w:p>
    <w:p>
      <w:pPr>
        <w:spacing w:after="0" w:line="299" w:lineRule="exact"/>
        <w:rPr>
          <w:sz w:val="20"/>
          <w:szCs w:val="20"/>
          <w:color w:val="auto"/>
        </w:rPr>
      </w:pPr>
    </w:p>
    <w:p>
      <w:pPr>
        <w:ind w:left="680"/>
        <w:spacing w:after="0"/>
        <w:rPr>
          <w:sz w:val="20"/>
          <w:szCs w:val="20"/>
          <w:color w:val="auto"/>
        </w:rPr>
      </w:pPr>
      <w:r>
        <w:rPr>
          <w:rFonts w:ascii="Arial" w:cs="Arial" w:eastAsia="Arial" w:hAnsi="Arial"/>
          <w:sz w:val="18"/>
          <w:szCs w:val="18"/>
          <w:color w:val="3D3935"/>
        </w:rPr>
        <w:t xml:space="preserve">Therefore, the Board of Directors recommends a vote </w:t>
      </w:r>
      <w:r>
        <w:rPr>
          <w:rFonts w:ascii="Arial" w:cs="Arial" w:eastAsia="Arial" w:hAnsi="Arial"/>
          <w:sz w:val="18"/>
          <w:szCs w:val="18"/>
          <w:b w:val="1"/>
          <w:bCs w:val="1"/>
          <w:color w:val="3D3935"/>
        </w:rPr>
        <w:t>AGAINST</w:t>
      </w:r>
      <w:r>
        <w:rPr>
          <w:rFonts w:ascii="Arial" w:cs="Arial" w:eastAsia="Arial" w:hAnsi="Arial"/>
          <w:sz w:val="18"/>
          <w:szCs w:val="18"/>
          <w:color w:val="3D3935"/>
        </w:rPr>
        <w:t xml:space="preserve"> this shareholder proposal.</w:t>
      </w:r>
    </w:p>
    <w:p>
      <w:pPr>
        <w:sectPr>
          <w:pgSz w:w="11900" w:h="16838" w:orient="portrait"/>
          <w:cols w:equalWidth="0" w:num="1">
            <w:col w:w="9480"/>
          </w:cols>
          <w:pgMar w:left="1400" w:top="114"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000"/>
        <w:spacing w:after="0"/>
        <w:tabs>
          <w:tab w:leader="none" w:pos="8840" w:val="left"/>
        </w:tabs>
        <w:rPr>
          <w:sz w:val="20"/>
          <w:szCs w:val="20"/>
          <w:color w:val="auto"/>
        </w:rPr>
      </w:pPr>
      <w:r>
        <w:rPr>
          <w:rFonts w:ascii="Arial" w:cs="Arial" w:eastAsia="Arial" w:hAnsi="Arial"/>
          <w:sz w:val="14"/>
          <w:szCs w:val="14"/>
          <w:b w:val="1"/>
          <w:bCs w:val="1"/>
          <w:color w:val="0072CE"/>
        </w:rPr>
        <w:t>2025 Proxy Statement</w:t>
      </w:r>
      <w:r>
        <w:rPr>
          <w:sz w:val="20"/>
          <w:szCs w:val="20"/>
          <w:color w:val="auto"/>
        </w:rPr>
        <w:tab/>
      </w:r>
      <w:r>
        <w:rPr>
          <w:rFonts w:ascii="Arial" w:cs="Arial" w:eastAsia="Arial" w:hAnsi="Arial"/>
          <w:sz w:val="14"/>
          <w:szCs w:val="14"/>
          <w:b w:val="1"/>
          <w:bCs w:val="1"/>
          <w:color w:val="3D3935"/>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7962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10375" cy="796290"/>
                    </a:xfrm>
                    <a:prstGeom prst="rect">
                      <a:avLst/>
                    </a:prstGeom>
                    <a:noFill/>
                  </pic:spPr>
                </pic:pic>
              </a:graphicData>
            </a:graphic>
          </wp:anchor>
        </w:drawing>
      </w:r>
    </w:p>
    <w:p>
      <w:pPr>
        <w:sectPr>
          <w:pgSz w:w="11900" w:h="16838" w:orient="portrait"/>
          <w:cols w:equalWidth="0" w:num="1">
            <w:col w:w="9480"/>
          </w:cols>
          <w:pgMar w:left="1400" w:top="114" w:right="1019" w:bottom="1440" w:gutter="0" w:footer="0" w:header="0"/>
          <w:type w:val="continuous"/>
        </w:sectPr>
      </w:pPr>
    </w:p>
    <w:bookmarkStart w:id="80" w:name="page81"/>
    <w:bookmarkEnd w:id="80"/>
    <w:p>
      <w:pPr>
        <w:ind w:left="60"/>
        <w:spacing w:after="0"/>
        <w:rPr>
          <w:sz w:val="20"/>
          <w:szCs w:val="20"/>
          <w:color w:val="auto"/>
        </w:rPr>
      </w:pPr>
      <w:r>
        <w:rPr>
          <w:rFonts w:ascii="Arial" w:cs="Arial" w:eastAsia="Arial" w:hAnsi="Arial"/>
          <w:sz w:val="49"/>
          <w:szCs w:val="49"/>
          <w:b w:val="1"/>
          <w:bCs w:val="1"/>
          <w:color w:val="3D3935"/>
        </w:rPr>
        <w:t>Security Ownership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-320040</wp:posOffset>
            </wp:positionV>
            <wp:extent cx="6810375" cy="80600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10375" cy="8060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500"/>
        <w:spacing w:after="0" w:line="268" w:lineRule="auto"/>
        <w:rPr>
          <w:sz w:val="20"/>
          <w:szCs w:val="20"/>
          <w:color w:val="auto"/>
        </w:rPr>
      </w:pPr>
      <w:r>
        <w:rPr>
          <w:rFonts w:ascii="Arial" w:cs="Arial" w:eastAsia="Arial" w:hAnsi="Arial"/>
          <w:sz w:val="40"/>
          <w:szCs w:val="40"/>
          <w:b w:val="1"/>
          <w:bCs w:val="1"/>
          <w:color w:val="0072CE"/>
        </w:rPr>
        <w:t>Security Ownership of Directors, Named Executive Officers, and Certain Other Beneficial Owners</w:t>
      </w:r>
    </w:p>
    <w:p>
      <w:pPr>
        <w:spacing w:after="0" w:line="4"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3D3935"/>
        </w:rPr>
        <w:t>The following table and accompanying footnotes show information regarding the beneficial ownership of GM’s issued and outstanding common stock by (i) each of our directors and NEOs, and all directors and executive officers as a group, and (ii) each person known by us to beneficially own more than five percent of our issued and outstanding common stock as of the dates indicated in the footnotes. All directors and executive officers have sole voting and dispositive power over their shares, and none of the shares shown as beneficially owned by directors and executive officers are pledged as security for any obligation. The Percentage of Outstanding Shares is based on 966,280,490 shares issued and outstanding as of April 4, 2025.</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0" w:type="dxa"/>
            <w:vAlign w:val="bottom"/>
            <w:shd w:val="clear" w:color="auto" w:fill="F0F3F6"/>
          </w:tcPr>
          <w:p>
            <w:pPr>
              <w:spacing w:after="0"/>
              <w:rPr>
                <w:sz w:val="20"/>
                <w:szCs w:val="20"/>
                <w:color w:val="auto"/>
              </w:rPr>
            </w:pPr>
          </w:p>
        </w:tc>
        <w:tc>
          <w:tcPr>
            <w:tcW w:w="2040" w:type="dxa"/>
            <w:vAlign w:val="bottom"/>
            <w:gridSpan w:val="2"/>
            <w:shd w:val="clear" w:color="auto" w:fill="F0F3F6"/>
          </w:tcPr>
          <w:p>
            <w:pPr>
              <w:jc w:val="right"/>
              <w:ind w:right="167"/>
              <w:spacing w:after="0"/>
              <w:rPr>
                <w:sz w:val="20"/>
                <w:szCs w:val="20"/>
                <w:color w:val="auto"/>
              </w:rPr>
            </w:pPr>
            <w:r>
              <w:rPr>
                <w:rFonts w:ascii="Arial" w:cs="Arial" w:eastAsia="Arial" w:hAnsi="Arial"/>
                <w:sz w:val="14"/>
                <w:szCs w:val="14"/>
                <w:b w:val="1"/>
                <w:bCs w:val="1"/>
                <w:color w:val="3D3935"/>
              </w:rPr>
              <w:t>Shares of Common</w:t>
            </w:r>
          </w:p>
        </w:tc>
        <w:tc>
          <w:tcPr>
            <w:tcW w:w="1240" w:type="dxa"/>
            <w:vAlign w:val="bottom"/>
            <w:shd w:val="clear" w:color="auto" w:fill="F0F3F6"/>
          </w:tcPr>
          <w:p>
            <w:pPr>
              <w:jc w:val="right"/>
              <w:spacing w:after="0"/>
              <w:rPr>
                <w:sz w:val="20"/>
                <w:szCs w:val="20"/>
                <w:color w:val="auto"/>
              </w:rPr>
            </w:pPr>
            <w:r>
              <w:rPr>
                <w:rFonts w:ascii="Arial" w:cs="Arial" w:eastAsia="Arial" w:hAnsi="Arial"/>
                <w:sz w:val="14"/>
                <w:szCs w:val="14"/>
                <w:b w:val="1"/>
                <w:bCs w:val="1"/>
                <w:color w:val="3D3935"/>
              </w:rPr>
              <w:t>Percentage of</w:t>
            </w:r>
          </w:p>
        </w:tc>
      </w:tr>
      <w:tr>
        <w:trPr>
          <w:trHeight w:val="162"/>
        </w:trPr>
        <w:tc>
          <w:tcPr>
            <w:tcW w:w="5800" w:type="dxa"/>
            <w:vAlign w:val="bottom"/>
            <w:shd w:val="clear" w:color="auto" w:fill="F0F3F6"/>
          </w:tcPr>
          <w:p>
            <w:pPr>
              <w:spacing w:after="0"/>
              <w:rPr>
                <w:sz w:val="14"/>
                <w:szCs w:val="14"/>
                <w:color w:val="auto"/>
              </w:rPr>
            </w:pPr>
          </w:p>
        </w:tc>
        <w:tc>
          <w:tcPr>
            <w:tcW w:w="2040" w:type="dxa"/>
            <w:vAlign w:val="bottom"/>
            <w:gridSpan w:val="2"/>
            <w:shd w:val="clear" w:color="auto" w:fill="F0F3F6"/>
          </w:tcPr>
          <w:p>
            <w:pPr>
              <w:jc w:val="right"/>
              <w:ind w:right="207"/>
              <w:spacing w:after="0"/>
              <w:rPr>
                <w:sz w:val="20"/>
                <w:szCs w:val="20"/>
                <w:color w:val="auto"/>
              </w:rPr>
            </w:pPr>
            <w:r>
              <w:rPr>
                <w:rFonts w:ascii="Arial" w:cs="Arial" w:eastAsia="Arial" w:hAnsi="Arial"/>
                <w:sz w:val="14"/>
                <w:szCs w:val="14"/>
                <w:b w:val="1"/>
                <w:bCs w:val="1"/>
                <w:color w:val="3D3935"/>
              </w:rPr>
              <w:t>Stock Beneficially</w:t>
            </w:r>
          </w:p>
        </w:tc>
        <w:tc>
          <w:tcPr>
            <w:tcW w:w="1240" w:type="dxa"/>
            <w:vAlign w:val="bottom"/>
            <w:shd w:val="clear" w:color="auto" w:fill="F0F3F6"/>
          </w:tcPr>
          <w:p>
            <w:pPr>
              <w:jc w:val="right"/>
              <w:spacing w:after="0"/>
              <w:rPr>
                <w:sz w:val="20"/>
                <w:szCs w:val="20"/>
                <w:color w:val="auto"/>
              </w:rPr>
            </w:pPr>
            <w:r>
              <w:rPr>
                <w:rFonts w:ascii="Arial" w:cs="Arial" w:eastAsia="Arial" w:hAnsi="Arial"/>
                <w:sz w:val="14"/>
                <w:szCs w:val="14"/>
                <w:b w:val="1"/>
                <w:bCs w:val="1"/>
                <w:color w:val="3D3935"/>
              </w:rPr>
              <w:t>Outstanding</w:t>
            </w:r>
          </w:p>
        </w:tc>
      </w:tr>
      <w:tr>
        <w:trPr>
          <w:trHeight w:val="197"/>
        </w:trPr>
        <w:tc>
          <w:tcPr>
            <w:tcW w:w="5800" w:type="dxa"/>
            <w:vAlign w:val="bottom"/>
            <w:tcBorders>
              <w:bottom w:val="single" w:sz="8" w:color="0072CE"/>
            </w:tcBorders>
            <w:shd w:val="clear" w:color="auto" w:fill="F0F3F6"/>
          </w:tcPr>
          <w:p>
            <w:pPr>
              <w:ind w:left="60"/>
              <w:spacing w:after="0"/>
              <w:rPr>
                <w:sz w:val="20"/>
                <w:szCs w:val="20"/>
                <w:color w:val="auto"/>
              </w:rPr>
            </w:pPr>
            <w:r>
              <w:rPr>
                <w:rFonts w:ascii="Arial" w:cs="Arial" w:eastAsia="Arial" w:hAnsi="Arial"/>
                <w:sz w:val="14"/>
                <w:szCs w:val="14"/>
                <w:b w:val="1"/>
                <w:bCs w:val="1"/>
                <w:color w:val="3D3935"/>
              </w:rPr>
              <w:t>Name</w:t>
            </w:r>
          </w:p>
        </w:tc>
        <w:tc>
          <w:tcPr>
            <w:tcW w:w="2040" w:type="dxa"/>
            <w:vAlign w:val="bottom"/>
            <w:tcBorders>
              <w:bottom w:val="single" w:sz="8" w:color="0072CE"/>
            </w:tcBorders>
            <w:gridSpan w:val="2"/>
            <w:shd w:val="clear" w:color="auto" w:fill="F0F3F6"/>
          </w:tcPr>
          <w:p>
            <w:pPr>
              <w:jc w:val="right"/>
              <w:ind w:right="207"/>
              <w:spacing w:after="0"/>
              <w:rPr>
                <w:sz w:val="20"/>
                <w:szCs w:val="20"/>
                <w:color w:val="auto"/>
              </w:rPr>
            </w:pPr>
            <w:r>
              <w:rPr>
                <w:rFonts w:ascii="Arial" w:cs="Arial" w:eastAsia="Arial" w:hAnsi="Arial"/>
                <w:sz w:val="14"/>
                <w:szCs w:val="14"/>
                <w:b w:val="1"/>
                <w:bCs w:val="1"/>
                <w:color w:val="3D3935"/>
              </w:rPr>
              <w:t>Owned</w:t>
            </w:r>
          </w:p>
        </w:tc>
        <w:tc>
          <w:tcPr>
            <w:tcW w:w="1240" w:type="dxa"/>
            <w:vAlign w:val="bottom"/>
            <w:tcBorders>
              <w:bottom w:val="single" w:sz="8" w:color="0072CE"/>
            </w:tcBorders>
            <w:shd w:val="clear" w:color="auto" w:fill="F0F3F6"/>
          </w:tcPr>
          <w:p>
            <w:pPr>
              <w:jc w:val="right"/>
              <w:spacing w:after="0"/>
              <w:rPr>
                <w:sz w:val="20"/>
                <w:szCs w:val="20"/>
                <w:color w:val="auto"/>
              </w:rPr>
            </w:pPr>
            <w:r>
              <w:rPr>
                <w:rFonts w:ascii="Arial" w:cs="Arial" w:eastAsia="Arial" w:hAnsi="Arial"/>
                <w:sz w:val="14"/>
                <w:szCs w:val="14"/>
                <w:b w:val="1"/>
                <w:bCs w:val="1"/>
                <w:color w:val="3D3935"/>
              </w:rPr>
              <w:t>Shares</w:t>
            </w:r>
          </w:p>
        </w:tc>
      </w:tr>
      <w:tr>
        <w:trPr>
          <w:trHeight w:val="251"/>
        </w:trPr>
        <w:tc>
          <w:tcPr>
            <w:tcW w:w="5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Non-Employee Directors</w:t>
            </w:r>
            <w:r>
              <w:rPr>
                <w:rFonts w:ascii="Arial" w:cs="Arial" w:eastAsia="Arial" w:hAnsi="Arial"/>
                <w:sz w:val="21"/>
                <w:szCs w:val="21"/>
                <w:b w:val="1"/>
                <w:bCs w:val="1"/>
                <w:color w:val="3D3935"/>
                <w:vertAlign w:val="superscript"/>
              </w:rPr>
              <w:t>(1)</w:t>
            </w:r>
          </w:p>
        </w:tc>
        <w:tc>
          <w:tcPr>
            <w:tcW w:w="1380" w:type="dxa"/>
            <w:vAlign w:val="bottom"/>
            <w:tcBorders>
              <w:bottom w:val="single" w:sz="8" w:color="D9D9D6"/>
            </w:tcBorders>
          </w:tcPr>
          <w:p>
            <w:pPr>
              <w:spacing w:after="0"/>
              <w:rPr>
                <w:sz w:val="21"/>
                <w:szCs w:val="21"/>
                <w:color w:val="auto"/>
              </w:rPr>
            </w:pPr>
          </w:p>
        </w:tc>
        <w:tc>
          <w:tcPr>
            <w:tcW w:w="660" w:type="dxa"/>
            <w:vAlign w:val="bottom"/>
            <w:tcBorders>
              <w:bottom w:val="single" w:sz="8" w:color="D9D9D6"/>
            </w:tcBorders>
          </w:tcPr>
          <w:p>
            <w:pPr>
              <w:spacing w:after="0"/>
              <w:rPr>
                <w:sz w:val="21"/>
                <w:szCs w:val="21"/>
                <w:color w:val="auto"/>
              </w:rPr>
            </w:pPr>
          </w:p>
        </w:tc>
        <w:tc>
          <w:tcPr>
            <w:tcW w:w="1240" w:type="dxa"/>
            <w:vAlign w:val="bottom"/>
            <w:tcBorders>
              <w:bottom w:val="single" w:sz="8" w:color="D9D9D6"/>
            </w:tcBorders>
          </w:tcPr>
          <w:p>
            <w:pPr>
              <w:spacing w:after="0"/>
              <w:rPr>
                <w:sz w:val="21"/>
                <w:szCs w:val="21"/>
                <w:color w:val="auto"/>
              </w:rPr>
            </w:pPr>
          </w:p>
        </w:tc>
      </w:tr>
      <w:tr>
        <w:trPr>
          <w:trHeight w:val="250"/>
        </w:trPr>
        <w:tc>
          <w:tcPr>
            <w:tcW w:w="5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Wesley G. Bush</w:t>
            </w:r>
          </w:p>
        </w:tc>
        <w:tc>
          <w:tcPr>
            <w:tcW w:w="1380" w:type="dxa"/>
            <w:vAlign w:val="bottom"/>
            <w:tcBorders>
              <w:bottom w:val="single" w:sz="8" w:color="D9D9D6"/>
            </w:tcBorders>
          </w:tcPr>
          <w:p>
            <w:pPr>
              <w:jc w:val="right"/>
              <w:ind w:right="48"/>
              <w:spacing w:after="0"/>
              <w:rPr>
                <w:sz w:val="20"/>
                <w:szCs w:val="20"/>
                <w:color w:val="auto"/>
              </w:rPr>
            </w:pPr>
            <w:r>
              <w:rPr>
                <w:rFonts w:ascii="Arial" w:cs="Arial" w:eastAsia="Arial" w:hAnsi="Arial"/>
                <w:sz w:val="16"/>
                <w:szCs w:val="16"/>
                <w:color w:val="3D3935"/>
              </w:rPr>
              <w:t>20,000</w:t>
            </w:r>
          </w:p>
        </w:tc>
        <w:tc>
          <w:tcPr>
            <w:tcW w:w="660" w:type="dxa"/>
            <w:vAlign w:val="bottom"/>
            <w:tcBorders>
              <w:bottom w:val="single" w:sz="8" w:color="D9D9D6"/>
            </w:tcBorders>
          </w:tcPr>
          <w:p>
            <w:pPr>
              <w:jc w:val="right"/>
              <w:ind w:right="267"/>
              <w:spacing w:after="0"/>
              <w:rPr>
                <w:sz w:val="20"/>
                <w:szCs w:val="20"/>
                <w:color w:val="auto"/>
              </w:rPr>
            </w:pPr>
            <w:r>
              <w:rPr>
                <w:rFonts w:ascii="Arial" w:cs="Arial" w:eastAsia="Arial" w:hAnsi="Arial"/>
                <w:sz w:val="11"/>
                <w:szCs w:val="11"/>
                <w:color w:val="3D3935"/>
              </w:rPr>
              <w:t>(2),(3)</w:t>
            </w:r>
          </w:p>
        </w:tc>
        <w:tc>
          <w:tcPr>
            <w:tcW w:w="12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r>
      <w:tr>
        <w:trPr>
          <w:trHeight w:val="250"/>
        </w:trPr>
        <w:tc>
          <w:tcPr>
            <w:tcW w:w="5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Joanne C. Crevoiserat</w:t>
            </w:r>
          </w:p>
        </w:tc>
        <w:tc>
          <w:tcPr>
            <w:tcW w:w="2040" w:type="dxa"/>
            <w:vAlign w:val="bottom"/>
            <w:tcBorders>
              <w:bottom w:val="single" w:sz="8" w:color="D9D9D6"/>
            </w:tcBorders>
            <w:gridSpan w:val="2"/>
          </w:tcPr>
          <w:p>
            <w:pPr>
              <w:jc w:val="right"/>
              <w:ind w:right="427"/>
              <w:spacing w:after="0" w:line="250" w:lineRule="exact"/>
              <w:rPr>
                <w:sz w:val="20"/>
                <w:szCs w:val="20"/>
                <w:color w:val="auto"/>
              </w:rPr>
            </w:pPr>
            <w:r>
              <w:rPr>
                <w:rFonts w:ascii="Arial" w:cs="Arial" w:eastAsia="Arial" w:hAnsi="Arial"/>
                <w:sz w:val="28"/>
                <w:szCs w:val="28"/>
                <w:color w:val="3D3935"/>
                <w:vertAlign w:val="subscript"/>
              </w:rPr>
              <w:t>—</w:t>
            </w:r>
            <w:r>
              <w:rPr>
                <w:rFonts w:ascii="Arial" w:cs="Arial" w:eastAsia="Arial" w:hAnsi="Arial"/>
                <w:sz w:val="10"/>
                <w:szCs w:val="10"/>
                <w:color w:val="3D3935"/>
              </w:rPr>
              <w:t xml:space="preserve"> (2)</w:t>
            </w:r>
          </w:p>
        </w:tc>
        <w:tc>
          <w:tcPr>
            <w:tcW w:w="12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r>
      <w:tr>
        <w:trPr>
          <w:trHeight w:val="250"/>
        </w:trPr>
        <w:tc>
          <w:tcPr>
            <w:tcW w:w="5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Linda R. Gooden</w:t>
            </w:r>
          </w:p>
        </w:tc>
        <w:tc>
          <w:tcPr>
            <w:tcW w:w="1380" w:type="dxa"/>
            <w:vAlign w:val="bottom"/>
            <w:tcBorders>
              <w:bottom w:val="single" w:sz="8" w:color="D9D9D6"/>
            </w:tcBorders>
          </w:tcPr>
          <w:p>
            <w:pPr>
              <w:jc w:val="right"/>
              <w:ind w:right="8"/>
              <w:spacing w:after="0"/>
              <w:rPr>
                <w:sz w:val="20"/>
                <w:szCs w:val="20"/>
                <w:color w:val="auto"/>
              </w:rPr>
            </w:pPr>
            <w:r>
              <w:rPr>
                <w:rFonts w:ascii="Arial" w:cs="Arial" w:eastAsia="Arial" w:hAnsi="Arial"/>
                <w:sz w:val="16"/>
                <w:szCs w:val="16"/>
                <w:color w:val="3D3935"/>
              </w:rPr>
              <w:t>1,000</w:t>
            </w:r>
          </w:p>
        </w:tc>
        <w:tc>
          <w:tcPr>
            <w:tcW w:w="660" w:type="dxa"/>
            <w:vAlign w:val="bottom"/>
            <w:tcBorders>
              <w:bottom w:val="single" w:sz="8" w:color="D9D9D6"/>
            </w:tcBorders>
          </w:tcPr>
          <w:p>
            <w:pPr>
              <w:jc w:val="right"/>
              <w:ind w:right="427"/>
              <w:spacing w:after="0"/>
              <w:rPr>
                <w:sz w:val="20"/>
                <w:szCs w:val="20"/>
                <w:color w:val="auto"/>
              </w:rPr>
            </w:pPr>
            <w:r>
              <w:rPr>
                <w:rFonts w:ascii="Arial" w:cs="Arial" w:eastAsia="Arial" w:hAnsi="Arial"/>
                <w:sz w:val="11"/>
                <w:szCs w:val="11"/>
                <w:color w:val="3D3935"/>
              </w:rPr>
              <w:t>(2)</w:t>
            </w:r>
          </w:p>
        </w:tc>
        <w:tc>
          <w:tcPr>
            <w:tcW w:w="12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r>
      <w:tr>
        <w:trPr>
          <w:trHeight w:val="250"/>
        </w:trPr>
        <w:tc>
          <w:tcPr>
            <w:tcW w:w="5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Alfred F. Kelly Jr.</w:t>
            </w:r>
          </w:p>
        </w:tc>
        <w:tc>
          <w:tcPr>
            <w:tcW w:w="138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17,323</w:t>
            </w:r>
          </w:p>
        </w:tc>
        <w:tc>
          <w:tcPr>
            <w:tcW w:w="660" w:type="dxa"/>
            <w:vAlign w:val="bottom"/>
            <w:tcBorders>
              <w:bottom w:val="single" w:sz="8" w:color="D9D9D6"/>
            </w:tcBorders>
          </w:tcPr>
          <w:p>
            <w:pPr>
              <w:spacing w:after="0"/>
              <w:rPr>
                <w:sz w:val="21"/>
                <w:szCs w:val="21"/>
                <w:color w:val="auto"/>
              </w:rPr>
            </w:pPr>
          </w:p>
        </w:tc>
        <w:tc>
          <w:tcPr>
            <w:tcW w:w="12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r>
      <w:tr>
        <w:trPr>
          <w:trHeight w:val="250"/>
        </w:trPr>
        <w:tc>
          <w:tcPr>
            <w:tcW w:w="5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Joseph Jimenez</w:t>
            </w:r>
          </w:p>
        </w:tc>
        <w:tc>
          <w:tcPr>
            <w:tcW w:w="1380" w:type="dxa"/>
            <w:vAlign w:val="bottom"/>
            <w:tcBorders>
              <w:bottom w:val="single" w:sz="8" w:color="D9D9D6"/>
            </w:tcBorders>
          </w:tcPr>
          <w:p>
            <w:pPr>
              <w:jc w:val="right"/>
              <w:ind w:right="28"/>
              <w:spacing w:after="0"/>
              <w:rPr>
                <w:sz w:val="20"/>
                <w:szCs w:val="20"/>
                <w:color w:val="auto"/>
              </w:rPr>
            </w:pPr>
            <w:r>
              <w:rPr>
                <w:rFonts w:ascii="Arial" w:cs="Arial" w:eastAsia="Arial" w:hAnsi="Arial"/>
                <w:sz w:val="16"/>
                <w:szCs w:val="16"/>
                <w:color w:val="3D3935"/>
              </w:rPr>
              <w:t>32,330</w:t>
            </w:r>
          </w:p>
        </w:tc>
        <w:tc>
          <w:tcPr>
            <w:tcW w:w="660" w:type="dxa"/>
            <w:vAlign w:val="bottom"/>
            <w:tcBorders>
              <w:bottom w:val="single" w:sz="8" w:color="D9D9D6"/>
            </w:tcBorders>
          </w:tcPr>
          <w:p>
            <w:pPr>
              <w:jc w:val="right"/>
              <w:ind w:right="267"/>
              <w:spacing w:after="0"/>
              <w:rPr>
                <w:sz w:val="20"/>
                <w:szCs w:val="20"/>
                <w:color w:val="auto"/>
              </w:rPr>
            </w:pPr>
            <w:r>
              <w:rPr>
                <w:rFonts w:ascii="Arial" w:cs="Arial" w:eastAsia="Arial" w:hAnsi="Arial"/>
                <w:sz w:val="11"/>
                <w:szCs w:val="11"/>
                <w:color w:val="3D3935"/>
              </w:rPr>
              <w:t>(2),(4)</w:t>
            </w:r>
          </w:p>
        </w:tc>
        <w:tc>
          <w:tcPr>
            <w:tcW w:w="12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r>
      <w:tr>
        <w:trPr>
          <w:trHeight w:val="250"/>
        </w:trPr>
        <w:tc>
          <w:tcPr>
            <w:tcW w:w="5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Jonathan McNeill</w:t>
            </w:r>
          </w:p>
        </w:tc>
        <w:tc>
          <w:tcPr>
            <w:tcW w:w="2040" w:type="dxa"/>
            <w:vAlign w:val="bottom"/>
            <w:tcBorders>
              <w:bottom w:val="single" w:sz="8" w:color="D9D9D6"/>
            </w:tcBorders>
            <w:gridSpan w:val="2"/>
          </w:tcPr>
          <w:p>
            <w:pPr>
              <w:jc w:val="right"/>
              <w:ind w:right="427"/>
              <w:spacing w:after="0" w:line="250" w:lineRule="exact"/>
              <w:rPr>
                <w:sz w:val="20"/>
                <w:szCs w:val="20"/>
                <w:color w:val="auto"/>
              </w:rPr>
            </w:pPr>
            <w:r>
              <w:rPr>
                <w:rFonts w:ascii="Arial" w:cs="Arial" w:eastAsia="Arial" w:hAnsi="Arial"/>
                <w:sz w:val="28"/>
                <w:szCs w:val="28"/>
                <w:color w:val="3D3935"/>
                <w:vertAlign w:val="subscript"/>
              </w:rPr>
              <w:t>—</w:t>
            </w:r>
            <w:r>
              <w:rPr>
                <w:rFonts w:ascii="Arial" w:cs="Arial" w:eastAsia="Arial" w:hAnsi="Arial"/>
                <w:sz w:val="10"/>
                <w:szCs w:val="10"/>
                <w:color w:val="3D3935"/>
              </w:rPr>
              <w:t xml:space="preserve"> (2)</w:t>
            </w:r>
          </w:p>
        </w:tc>
        <w:tc>
          <w:tcPr>
            <w:tcW w:w="12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r>
      <w:tr>
        <w:trPr>
          <w:trHeight w:val="250"/>
        </w:trPr>
        <w:tc>
          <w:tcPr>
            <w:tcW w:w="5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Judith A. Miscik</w:t>
            </w:r>
          </w:p>
        </w:tc>
        <w:tc>
          <w:tcPr>
            <w:tcW w:w="2040" w:type="dxa"/>
            <w:vAlign w:val="bottom"/>
            <w:tcBorders>
              <w:bottom w:val="single" w:sz="8" w:color="D9D9D6"/>
            </w:tcBorders>
            <w:gridSpan w:val="2"/>
          </w:tcPr>
          <w:p>
            <w:pPr>
              <w:jc w:val="right"/>
              <w:ind w:right="427"/>
              <w:spacing w:after="0" w:line="250" w:lineRule="exact"/>
              <w:rPr>
                <w:sz w:val="20"/>
                <w:szCs w:val="20"/>
                <w:color w:val="auto"/>
              </w:rPr>
            </w:pPr>
            <w:r>
              <w:rPr>
                <w:rFonts w:ascii="Arial" w:cs="Arial" w:eastAsia="Arial" w:hAnsi="Arial"/>
                <w:sz w:val="28"/>
                <w:szCs w:val="28"/>
                <w:color w:val="3D3935"/>
                <w:vertAlign w:val="subscript"/>
              </w:rPr>
              <w:t>—</w:t>
            </w:r>
            <w:r>
              <w:rPr>
                <w:rFonts w:ascii="Arial" w:cs="Arial" w:eastAsia="Arial" w:hAnsi="Arial"/>
                <w:sz w:val="10"/>
                <w:szCs w:val="10"/>
                <w:color w:val="3D3935"/>
              </w:rPr>
              <w:t xml:space="preserve"> (2)</w:t>
            </w:r>
          </w:p>
        </w:tc>
        <w:tc>
          <w:tcPr>
            <w:tcW w:w="12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r>
      <w:tr>
        <w:trPr>
          <w:trHeight w:val="250"/>
        </w:trPr>
        <w:tc>
          <w:tcPr>
            <w:tcW w:w="5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Patricia F. Russo</w:t>
            </w:r>
          </w:p>
        </w:tc>
        <w:tc>
          <w:tcPr>
            <w:tcW w:w="1380" w:type="dxa"/>
            <w:vAlign w:val="bottom"/>
            <w:tcBorders>
              <w:bottom w:val="single" w:sz="8" w:color="D9D9D6"/>
            </w:tcBorders>
          </w:tcPr>
          <w:p>
            <w:pPr>
              <w:jc w:val="right"/>
              <w:ind w:right="8"/>
              <w:spacing w:after="0"/>
              <w:rPr>
                <w:sz w:val="20"/>
                <w:szCs w:val="20"/>
                <w:color w:val="auto"/>
              </w:rPr>
            </w:pPr>
            <w:r>
              <w:rPr>
                <w:rFonts w:ascii="Arial" w:cs="Arial" w:eastAsia="Arial" w:hAnsi="Arial"/>
                <w:sz w:val="16"/>
                <w:szCs w:val="16"/>
                <w:color w:val="3D3935"/>
              </w:rPr>
              <w:t>31,000</w:t>
            </w:r>
          </w:p>
        </w:tc>
        <w:tc>
          <w:tcPr>
            <w:tcW w:w="660" w:type="dxa"/>
            <w:vAlign w:val="bottom"/>
            <w:tcBorders>
              <w:bottom w:val="single" w:sz="8" w:color="D9D9D6"/>
            </w:tcBorders>
          </w:tcPr>
          <w:p>
            <w:pPr>
              <w:jc w:val="right"/>
              <w:ind w:right="427"/>
              <w:spacing w:after="0"/>
              <w:rPr>
                <w:sz w:val="20"/>
                <w:szCs w:val="20"/>
                <w:color w:val="auto"/>
              </w:rPr>
            </w:pPr>
            <w:r>
              <w:rPr>
                <w:rFonts w:ascii="Arial" w:cs="Arial" w:eastAsia="Arial" w:hAnsi="Arial"/>
                <w:sz w:val="11"/>
                <w:szCs w:val="11"/>
                <w:color w:val="3D3935"/>
              </w:rPr>
              <w:t>(2)</w:t>
            </w:r>
          </w:p>
        </w:tc>
        <w:tc>
          <w:tcPr>
            <w:tcW w:w="12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r>
      <w:tr>
        <w:trPr>
          <w:trHeight w:val="250"/>
        </w:trPr>
        <w:tc>
          <w:tcPr>
            <w:tcW w:w="5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Thomas M. Schoewe</w:t>
            </w:r>
          </w:p>
        </w:tc>
        <w:tc>
          <w:tcPr>
            <w:tcW w:w="1380" w:type="dxa"/>
            <w:vAlign w:val="bottom"/>
            <w:tcBorders>
              <w:bottom w:val="single" w:sz="8" w:color="D9D9D6"/>
            </w:tcBorders>
          </w:tcPr>
          <w:p>
            <w:pPr>
              <w:jc w:val="right"/>
              <w:ind w:right="28"/>
              <w:spacing w:after="0"/>
              <w:rPr>
                <w:sz w:val="20"/>
                <w:szCs w:val="20"/>
                <w:color w:val="auto"/>
              </w:rPr>
            </w:pPr>
            <w:r>
              <w:rPr>
                <w:rFonts w:ascii="Arial" w:cs="Arial" w:eastAsia="Arial" w:hAnsi="Arial"/>
                <w:sz w:val="16"/>
                <w:szCs w:val="16"/>
                <w:color w:val="3D3935"/>
              </w:rPr>
              <w:t>22,005</w:t>
            </w:r>
          </w:p>
        </w:tc>
        <w:tc>
          <w:tcPr>
            <w:tcW w:w="660" w:type="dxa"/>
            <w:vAlign w:val="bottom"/>
            <w:tcBorders>
              <w:bottom w:val="single" w:sz="8" w:color="D9D9D6"/>
            </w:tcBorders>
          </w:tcPr>
          <w:p>
            <w:pPr>
              <w:jc w:val="right"/>
              <w:ind w:right="427"/>
              <w:spacing w:after="0"/>
              <w:rPr>
                <w:sz w:val="20"/>
                <w:szCs w:val="20"/>
                <w:color w:val="auto"/>
              </w:rPr>
            </w:pPr>
            <w:r>
              <w:rPr>
                <w:rFonts w:ascii="Arial" w:cs="Arial" w:eastAsia="Arial" w:hAnsi="Arial"/>
                <w:sz w:val="11"/>
                <w:szCs w:val="11"/>
                <w:color w:val="3D3935"/>
              </w:rPr>
              <w:t>(2)</w:t>
            </w:r>
          </w:p>
        </w:tc>
        <w:tc>
          <w:tcPr>
            <w:tcW w:w="12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r>
      <w:tr>
        <w:trPr>
          <w:trHeight w:val="250"/>
        </w:trPr>
        <w:tc>
          <w:tcPr>
            <w:tcW w:w="5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Mark A. Tatum</w:t>
            </w:r>
          </w:p>
        </w:tc>
        <w:tc>
          <w:tcPr>
            <w:tcW w:w="2040" w:type="dxa"/>
            <w:vAlign w:val="bottom"/>
            <w:tcBorders>
              <w:bottom w:val="single" w:sz="8" w:color="D9D9D6"/>
            </w:tcBorders>
            <w:gridSpan w:val="2"/>
          </w:tcPr>
          <w:p>
            <w:pPr>
              <w:jc w:val="right"/>
              <w:ind w:right="427"/>
              <w:spacing w:after="0" w:line="250" w:lineRule="exact"/>
              <w:rPr>
                <w:sz w:val="20"/>
                <w:szCs w:val="20"/>
                <w:color w:val="auto"/>
              </w:rPr>
            </w:pPr>
            <w:r>
              <w:rPr>
                <w:rFonts w:ascii="Arial" w:cs="Arial" w:eastAsia="Arial" w:hAnsi="Arial"/>
                <w:sz w:val="28"/>
                <w:szCs w:val="28"/>
                <w:color w:val="3D3935"/>
                <w:vertAlign w:val="subscript"/>
              </w:rPr>
              <w:t>—</w:t>
            </w:r>
            <w:r>
              <w:rPr>
                <w:rFonts w:ascii="Arial" w:cs="Arial" w:eastAsia="Arial" w:hAnsi="Arial"/>
                <w:sz w:val="10"/>
                <w:szCs w:val="10"/>
                <w:color w:val="3D3935"/>
              </w:rPr>
              <w:t xml:space="preserve"> (2)</w:t>
            </w:r>
          </w:p>
        </w:tc>
        <w:tc>
          <w:tcPr>
            <w:tcW w:w="12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r>
      <w:tr>
        <w:trPr>
          <w:trHeight w:val="250"/>
        </w:trPr>
        <w:tc>
          <w:tcPr>
            <w:tcW w:w="5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Jan E. Tighe</w:t>
            </w:r>
          </w:p>
        </w:tc>
        <w:tc>
          <w:tcPr>
            <w:tcW w:w="2040" w:type="dxa"/>
            <w:vAlign w:val="bottom"/>
            <w:tcBorders>
              <w:bottom w:val="single" w:sz="8" w:color="D9D9D6"/>
            </w:tcBorders>
            <w:gridSpan w:val="2"/>
          </w:tcPr>
          <w:p>
            <w:pPr>
              <w:jc w:val="right"/>
              <w:ind w:right="427"/>
              <w:spacing w:after="0" w:line="250" w:lineRule="exact"/>
              <w:rPr>
                <w:sz w:val="20"/>
                <w:szCs w:val="20"/>
                <w:color w:val="auto"/>
              </w:rPr>
            </w:pPr>
            <w:r>
              <w:rPr>
                <w:rFonts w:ascii="Arial" w:cs="Arial" w:eastAsia="Arial" w:hAnsi="Arial"/>
                <w:sz w:val="28"/>
                <w:szCs w:val="28"/>
                <w:color w:val="3D3935"/>
                <w:vertAlign w:val="subscript"/>
              </w:rPr>
              <w:t>—</w:t>
            </w:r>
            <w:r>
              <w:rPr>
                <w:rFonts w:ascii="Arial" w:cs="Arial" w:eastAsia="Arial" w:hAnsi="Arial"/>
                <w:sz w:val="10"/>
                <w:szCs w:val="10"/>
                <w:color w:val="3D3935"/>
              </w:rPr>
              <w:t xml:space="preserve"> (2)</w:t>
            </w:r>
          </w:p>
        </w:tc>
        <w:tc>
          <w:tcPr>
            <w:tcW w:w="12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r>
      <w:tr>
        <w:trPr>
          <w:trHeight w:val="250"/>
        </w:trPr>
        <w:tc>
          <w:tcPr>
            <w:tcW w:w="5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Devin N. Wenig</w:t>
            </w:r>
          </w:p>
        </w:tc>
        <w:tc>
          <w:tcPr>
            <w:tcW w:w="2040" w:type="dxa"/>
            <w:vAlign w:val="bottom"/>
            <w:tcBorders>
              <w:bottom w:val="single" w:sz="8" w:color="D9D9D6"/>
            </w:tcBorders>
            <w:gridSpan w:val="2"/>
          </w:tcPr>
          <w:p>
            <w:pPr>
              <w:jc w:val="right"/>
              <w:ind w:right="427"/>
              <w:spacing w:after="0" w:line="250" w:lineRule="exact"/>
              <w:rPr>
                <w:sz w:val="20"/>
                <w:szCs w:val="20"/>
                <w:color w:val="auto"/>
              </w:rPr>
            </w:pPr>
            <w:r>
              <w:rPr>
                <w:rFonts w:ascii="Arial" w:cs="Arial" w:eastAsia="Arial" w:hAnsi="Arial"/>
                <w:sz w:val="28"/>
                <w:szCs w:val="28"/>
                <w:color w:val="3D3935"/>
                <w:vertAlign w:val="subscript"/>
              </w:rPr>
              <w:t>—</w:t>
            </w:r>
            <w:r>
              <w:rPr>
                <w:rFonts w:ascii="Arial" w:cs="Arial" w:eastAsia="Arial" w:hAnsi="Arial"/>
                <w:sz w:val="10"/>
                <w:szCs w:val="10"/>
                <w:color w:val="3D3935"/>
              </w:rPr>
              <w:t xml:space="preserve"> (2)</w:t>
            </w:r>
          </w:p>
        </w:tc>
        <w:tc>
          <w:tcPr>
            <w:tcW w:w="12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r>
      <w:tr>
        <w:trPr>
          <w:trHeight w:val="250"/>
        </w:trPr>
        <w:tc>
          <w:tcPr>
            <w:tcW w:w="5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Named Executive Officers</w:t>
            </w:r>
            <w:r>
              <w:rPr>
                <w:rFonts w:ascii="Arial" w:cs="Arial" w:eastAsia="Arial" w:hAnsi="Arial"/>
                <w:sz w:val="21"/>
                <w:szCs w:val="21"/>
                <w:b w:val="1"/>
                <w:bCs w:val="1"/>
                <w:color w:val="3D3935"/>
                <w:vertAlign w:val="superscript"/>
              </w:rPr>
              <w:t>(1)</w:t>
            </w:r>
          </w:p>
        </w:tc>
        <w:tc>
          <w:tcPr>
            <w:tcW w:w="1380" w:type="dxa"/>
            <w:vAlign w:val="bottom"/>
            <w:tcBorders>
              <w:bottom w:val="single" w:sz="8" w:color="D9D9D6"/>
            </w:tcBorders>
          </w:tcPr>
          <w:p>
            <w:pPr>
              <w:spacing w:after="0"/>
              <w:rPr>
                <w:sz w:val="21"/>
                <w:szCs w:val="21"/>
                <w:color w:val="auto"/>
              </w:rPr>
            </w:pPr>
          </w:p>
        </w:tc>
        <w:tc>
          <w:tcPr>
            <w:tcW w:w="660" w:type="dxa"/>
            <w:vAlign w:val="bottom"/>
            <w:tcBorders>
              <w:bottom w:val="single" w:sz="8" w:color="D9D9D6"/>
            </w:tcBorders>
          </w:tcPr>
          <w:p>
            <w:pPr>
              <w:spacing w:after="0"/>
              <w:rPr>
                <w:sz w:val="21"/>
                <w:szCs w:val="21"/>
                <w:color w:val="auto"/>
              </w:rPr>
            </w:pPr>
          </w:p>
        </w:tc>
        <w:tc>
          <w:tcPr>
            <w:tcW w:w="1240" w:type="dxa"/>
            <w:vAlign w:val="bottom"/>
            <w:tcBorders>
              <w:bottom w:val="single" w:sz="8" w:color="D9D9D6"/>
            </w:tcBorders>
          </w:tcPr>
          <w:p>
            <w:pPr>
              <w:spacing w:after="0"/>
              <w:rPr>
                <w:sz w:val="21"/>
                <w:szCs w:val="21"/>
                <w:color w:val="auto"/>
              </w:rPr>
            </w:pPr>
          </w:p>
        </w:tc>
      </w:tr>
      <w:tr>
        <w:trPr>
          <w:trHeight w:val="250"/>
        </w:trPr>
        <w:tc>
          <w:tcPr>
            <w:tcW w:w="5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Mary T. Barra</w:t>
            </w:r>
          </w:p>
        </w:tc>
        <w:tc>
          <w:tcPr>
            <w:tcW w:w="1380" w:type="dxa"/>
            <w:vAlign w:val="bottom"/>
            <w:tcBorders>
              <w:bottom w:val="single" w:sz="8" w:color="D9D9D6"/>
            </w:tcBorders>
          </w:tcPr>
          <w:p>
            <w:pPr>
              <w:jc w:val="right"/>
              <w:ind w:right="28"/>
              <w:spacing w:after="0"/>
              <w:rPr>
                <w:sz w:val="20"/>
                <w:szCs w:val="20"/>
                <w:color w:val="auto"/>
              </w:rPr>
            </w:pPr>
            <w:r>
              <w:rPr>
                <w:rFonts w:ascii="Arial" w:cs="Arial" w:eastAsia="Arial" w:hAnsi="Arial"/>
                <w:sz w:val="16"/>
                <w:szCs w:val="16"/>
                <w:color w:val="3D3935"/>
              </w:rPr>
              <w:t>3,038,678</w:t>
            </w:r>
          </w:p>
        </w:tc>
        <w:tc>
          <w:tcPr>
            <w:tcW w:w="660" w:type="dxa"/>
            <w:vAlign w:val="bottom"/>
            <w:tcBorders>
              <w:bottom w:val="single" w:sz="8" w:color="D9D9D6"/>
            </w:tcBorders>
          </w:tcPr>
          <w:p>
            <w:pPr>
              <w:jc w:val="right"/>
              <w:ind w:right="267"/>
              <w:spacing w:after="0"/>
              <w:rPr>
                <w:sz w:val="20"/>
                <w:szCs w:val="20"/>
                <w:color w:val="auto"/>
              </w:rPr>
            </w:pPr>
            <w:r>
              <w:rPr>
                <w:rFonts w:ascii="Arial" w:cs="Arial" w:eastAsia="Arial" w:hAnsi="Arial"/>
                <w:sz w:val="11"/>
                <w:szCs w:val="11"/>
                <w:color w:val="3D3935"/>
              </w:rPr>
              <w:t>(5),(6)</w:t>
            </w:r>
          </w:p>
        </w:tc>
        <w:tc>
          <w:tcPr>
            <w:tcW w:w="12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r>
      <w:tr>
        <w:trPr>
          <w:trHeight w:val="250"/>
        </w:trPr>
        <w:tc>
          <w:tcPr>
            <w:tcW w:w="5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Paul A. Jacobson</w:t>
            </w:r>
          </w:p>
        </w:tc>
        <w:tc>
          <w:tcPr>
            <w:tcW w:w="138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671,900</w:t>
            </w:r>
          </w:p>
        </w:tc>
        <w:tc>
          <w:tcPr>
            <w:tcW w:w="660" w:type="dxa"/>
            <w:vAlign w:val="bottom"/>
            <w:tcBorders>
              <w:bottom w:val="single" w:sz="8" w:color="D9D9D6"/>
            </w:tcBorders>
          </w:tcPr>
          <w:p>
            <w:pPr>
              <w:jc w:val="right"/>
              <w:ind w:right="427"/>
              <w:spacing w:after="0"/>
              <w:rPr>
                <w:sz w:val="20"/>
                <w:szCs w:val="20"/>
                <w:color w:val="auto"/>
              </w:rPr>
            </w:pPr>
            <w:r>
              <w:rPr>
                <w:rFonts w:ascii="Arial" w:cs="Arial" w:eastAsia="Arial" w:hAnsi="Arial"/>
                <w:sz w:val="11"/>
                <w:szCs w:val="11"/>
                <w:color w:val="3D3935"/>
              </w:rPr>
              <w:t>(5)</w:t>
            </w:r>
          </w:p>
        </w:tc>
        <w:tc>
          <w:tcPr>
            <w:tcW w:w="12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r>
      <w:tr>
        <w:trPr>
          <w:trHeight w:val="250"/>
        </w:trPr>
        <w:tc>
          <w:tcPr>
            <w:tcW w:w="5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Mark L. Reuss</w:t>
            </w:r>
          </w:p>
        </w:tc>
        <w:tc>
          <w:tcPr>
            <w:tcW w:w="138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1,130,409</w:t>
            </w:r>
          </w:p>
        </w:tc>
        <w:tc>
          <w:tcPr>
            <w:tcW w:w="660" w:type="dxa"/>
            <w:vAlign w:val="bottom"/>
            <w:tcBorders>
              <w:bottom w:val="single" w:sz="8" w:color="D9D9D6"/>
            </w:tcBorders>
          </w:tcPr>
          <w:p>
            <w:pPr>
              <w:jc w:val="right"/>
              <w:ind w:right="427"/>
              <w:spacing w:after="0"/>
              <w:rPr>
                <w:sz w:val="20"/>
                <w:szCs w:val="20"/>
                <w:color w:val="auto"/>
              </w:rPr>
            </w:pPr>
            <w:r>
              <w:rPr>
                <w:rFonts w:ascii="Arial" w:cs="Arial" w:eastAsia="Arial" w:hAnsi="Arial"/>
                <w:sz w:val="11"/>
                <w:szCs w:val="11"/>
                <w:color w:val="3D3935"/>
              </w:rPr>
              <w:t>(5)</w:t>
            </w:r>
          </w:p>
        </w:tc>
        <w:tc>
          <w:tcPr>
            <w:tcW w:w="12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r>
      <w:tr>
        <w:trPr>
          <w:trHeight w:val="250"/>
        </w:trPr>
        <w:tc>
          <w:tcPr>
            <w:tcW w:w="5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Michael Abbott</w:t>
            </w:r>
          </w:p>
        </w:tc>
        <w:tc>
          <w:tcPr>
            <w:tcW w:w="1380" w:type="dxa"/>
            <w:vAlign w:val="bottom"/>
            <w:tcBorders>
              <w:bottom w:val="single" w:sz="8" w:color="D9D9D6"/>
            </w:tcBorders>
          </w:tcPr>
          <w:p>
            <w:pPr>
              <w:jc w:val="right"/>
              <w:ind w:right="28"/>
              <w:spacing w:after="0"/>
              <w:rPr>
                <w:sz w:val="20"/>
                <w:szCs w:val="20"/>
                <w:color w:val="auto"/>
              </w:rPr>
            </w:pPr>
            <w:r>
              <w:rPr>
                <w:rFonts w:ascii="Arial" w:cs="Arial" w:eastAsia="Arial" w:hAnsi="Arial"/>
                <w:sz w:val="16"/>
                <w:szCs w:val="16"/>
                <w:color w:val="3D3935"/>
              </w:rPr>
              <w:t>74,284</w:t>
            </w:r>
          </w:p>
        </w:tc>
        <w:tc>
          <w:tcPr>
            <w:tcW w:w="660" w:type="dxa"/>
            <w:vAlign w:val="bottom"/>
            <w:tcBorders>
              <w:bottom w:val="single" w:sz="8" w:color="D9D9D6"/>
            </w:tcBorders>
          </w:tcPr>
          <w:p>
            <w:pPr>
              <w:jc w:val="right"/>
              <w:ind w:right="427"/>
              <w:spacing w:after="0"/>
              <w:rPr>
                <w:sz w:val="20"/>
                <w:szCs w:val="20"/>
                <w:color w:val="auto"/>
              </w:rPr>
            </w:pPr>
            <w:r>
              <w:rPr>
                <w:rFonts w:ascii="Arial" w:cs="Arial" w:eastAsia="Arial" w:hAnsi="Arial"/>
                <w:sz w:val="11"/>
                <w:szCs w:val="11"/>
                <w:color w:val="3D3935"/>
              </w:rPr>
              <w:t>(5)</w:t>
            </w:r>
          </w:p>
        </w:tc>
        <w:tc>
          <w:tcPr>
            <w:tcW w:w="12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r>
      <w:tr>
        <w:trPr>
          <w:trHeight w:val="250"/>
        </w:trPr>
        <w:tc>
          <w:tcPr>
            <w:tcW w:w="5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Craig B. Glidden</w:t>
            </w:r>
          </w:p>
        </w:tc>
        <w:tc>
          <w:tcPr>
            <w:tcW w:w="1380" w:type="dxa"/>
            <w:vAlign w:val="bottom"/>
            <w:tcBorders>
              <w:bottom w:val="single" w:sz="8" w:color="D9D9D6"/>
            </w:tcBorders>
          </w:tcPr>
          <w:p>
            <w:pPr>
              <w:jc w:val="right"/>
              <w:ind w:right="28"/>
              <w:spacing w:after="0"/>
              <w:rPr>
                <w:sz w:val="20"/>
                <w:szCs w:val="20"/>
                <w:color w:val="auto"/>
              </w:rPr>
            </w:pPr>
            <w:r>
              <w:rPr>
                <w:rFonts w:ascii="Arial" w:cs="Arial" w:eastAsia="Arial" w:hAnsi="Arial"/>
                <w:sz w:val="16"/>
                <w:szCs w:val="16"/>
                <w:color w:val="3D3935"/>
              </w:rPr>
              <w:t>332,098</w:t>
            </w:r>
          </w:p>
        </w:tc>
        <w:tc>
          <w:tcPr>
            <w:tcW w:w="660" w:type="dxa"/>
            <w:vAlign w:val="bottom"/>
            <w:tcBorders>
              <w:bottom w:val="single" w:sz="8" w:color="D9D9D6"/>
            </w:tcBorders>
          </w:tcPr>
          <w:p>
            <w:pPr>
              <w:jc w:val="right"/>
              <w:ind w:right="427"/>
              <w:spacing w:after="0"/>
              <w:rPr>
                <w:sz w:val="20"/>
                <w:szCs w:val="20"/>
                <w:color w:val="auto"/>
              </w:rPr>
            </w:pPr>
            <w:r>
              <w:rPr>
                <w:rFonts w:ascii="Arial" w:cs="Arial" w:eastAsia="Arial" w:hAnsi="Arial"/>
                <w:sz w:val="11"/>
                <w:szCs w:val="11"/>
                <w:color w:val="3D3935"/>
              </w:rPr>
              <w:t>(5)</w:t>
            </w:r>
          </w:p>
        </w:tc>
        <w:tc>
          <w:tcPr>
            <w:tcW w:w="12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r>
      <w:tr>
        <w:trPr>
          <w:trHeight w:val="250"/>
        </w:trPr>
        <w:tc>
          <w:tcPr>
            <w:tcW w:w="5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072CE"/>
              </w:rPr>
              <w:t>Rory V. Harvey</w:t>
            </w:r>
          </w:p>
        </w:tc>
        <w:tc>
          <w:tcPr>
            <w:tcW w:w="138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74,610</w:t>
            </w:r>
          </w:p>
        </w:tc>
        <w:tc>
          <w:tcPr>
            <w:tcW w:w="660" w:type="dxa"/>
            <w:vAlign w:val="bottom"/>
            <w:tcBorders>
              <w:bottom w:val="single" w:sz="8" w:color="D9D9D6"/>
            </w:tcBorders>
          </w:tcPr>
          <w:p>
            <w:pPr>
              <w:spacing w:after="0"/>
              <w:rPr>
                <w:sz w:val="21"/>
                <w:szCs w:val="21"/>
                <w:color w:val="auto"/>
              </w:rPr>
            </w:pPr>
          </w:p>
        </w:tc>
        <w:tc>
          <w:tcPr>
            <w:tcW w:w="12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r>
      <w:tr>
        <w:trPr>
          <w:trHeight w:val="250"/>
        </w:trPr>
        <w:tc>
          <w:tcPr>
            <w:tcW w:w="5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All Directors and Current Executive Officers as a Group (18 persons)</w:t>
            </w:r>
          </w:p>
        </w:tc>
        <w:tc>
          <w:tcPr>
            <w:tcW w:w="1380" w:type="dxa"/>
            <w:vAlign w:val="bottom"/>
            <w:tcBorders>
              <w:bottom w:val="single" w:sz="8" w:color="D9D9D6"/>
            </w:tcBorders>
          </w:tcPr>
          <w:p>
            <w:pPr>
              <w:jc w:val="right"/>
              <w:ind w:right="8"/>
              <w:spacing w:after="0"/>
              <w:rPr>
                <w:sz w:val="20"/>
                <w:szCs w:val="20"/>
                <w:color w:val="auto"/>
              </w:rPr>
            </w:pPr>
            <w:r>
              <w:rPr>
                <w:rFonts w:ascii="Arial" w:cs="Arial" w:eastAsia="Arial" w:hAnsi="Arial"/>
                <w:sz w:val="16"/>
                <w:szCs w:val="16"/>
                <w:color w:val="3D3935"/>
              </w:rPr>
              <w:t>5,183,650</w:t>
            </w:r>
          </w:p>
        </w:tc>
        <w:tc>
          <w:tcPr>
            <w:tcW w:w="660" w:type="dxa"/>
            <w:vAlign w:val="bottom"/>
            <w:tcBorders>
              <w:bottom w:val="single" w:sz="8" w:color="D9D9D6"/>
            </w:tcBorders>
          </w:tcPr>
          <w:p>
            <w:pPr>
              <w:jc w:val="right"/>
              <w:ind w:right="427"/>
              <w:spacing w:after="0"/>
              <w:rPr>
                <w:sz w:val="20"/>
                <w:szCs w:val="20"/>
                <w:color w:val="auto"/>
              </w:rPr>
            </w:pPr>
            <w:r>
              <w:rPr>
                <w:rFonts w:ascii="Arial" w:cs="Arial" w:eastAsia="Arial" w:hAnsi="Arial"/>
                <w:sz w:val="11"/>
                <w:szCs w:val="11"/>
                <w:color w:val="3D3935"/>
              </w:rPr>
              <w:t>(7)</w:t>
            </w:r>
          </w:p>
        </w:tc>
        <w:tc>
          <w:tcPr>
            <w:tcW w:w="12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r>
      <w:tr>
        <w:trPr>
          <w:trHeight w:val="250"/>
        </w:trPr>
        <w:tc>
          <w:tcPr>
            <w:tcW w:w="5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Certain Other Beneficial Owners</w:t>
            </w:r>
            <w:r>
              <w:rPr>
                <w:rFonts w:ascii="Arial" w:cs="Arial" w:eastAsia="Arial" w:hAnsi="Arial"/>
                <w:sz w:val="21"/>
                <w:szCs w:val="21"/>
                <w:b w:val="1"/>
                <w:bCs w:val="1"/>
                <w:color w:val="3D3935"/>
                <w:vertAlign w:val="superscript"/>
              </w:rPr>
              <w:t>(8)</w:t>
            </w:r>
          </w:p>
        </w:tc>
        <w:tc>
          <w:tcPr>
            <w:tcW w:w="1380" w:type="dxa"/>
            <w:vAlign w:val="bottom"/>
            <w:tcBorders>
              <w:bottom w:val="single" w:sz="8" w:color="D9D9D6"/>
            </w:tcBorders>
          </w:tcPr>
          <w:p>
            <w:pPr>
              <w:spacing w:after="0"/>
              <w:rPr>
                <w:sz w:val="21"/>
                <w:szCs w:val="21"/>
                <w:color w:val="auto"/>
              </w:rPr>
            </w:pPr>
          </w:p>
        </w:tc>
        <w:tc>
          <w:tcPr>
            <w:tcW w:w="660" w:type="dxa"/>
            <w:vAlign w:val="bottom"/>
            <w:tcBorders>
              <w:bottom w:val="single" w:sz="8" w:color="D9D9D6"/>
            </w:tcBorders>
          </w:tcPr>
          <w:p>
            <w:pPr>
              <w:spacing w:after="0"/>
              <w:rPr>
                <w:sz w:val="21"/>
                <w:szCs w:val="21"/>
                <w:color w:val="auto"/>
              </w:rPr>
            </w:pPr>
          </w:p>
        </w:tc>
        <w:tc>
          <w:tcPr>
            <w:tcW w:w="1240" w:type="dxa"/>
            <w:vAlign w:val="bottom"/>
            <w:tcBorders>
              <w:bottom w:val="single" w:sz="8" w:color="D9D9D6"/>
            </w:tcBorders>
          </w:tcPr>
          <w:p>
            <w:pPr>
              <w:spacing w:after="0"/>
              <w:rPr>
                <w:sz w:val="21"/>
                <w:szCs w:val="21"/>
                <w:color w:val="auto"/>
              </w:rPr>
            </w:pPr>
          </w:p>
        </w:tc>
      </w:tr>
      <w:tr>
        <w:trPr>
          <w:trHeight w:val="250"/>
        </w:trPr>
        <w:tc>
          <w:tcPr>
            <w:tcW w:w="5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BlackRock, Inc.</w:t>
            </w:r>
            <w:r>
              <w:rPr>
                <w:rFonts w:ascii="Arial" w:cs="Arial" w:eastAsia="Arial" w:hAnsi="Arial"/>
                <w:sz w:val="21"/>
                <w:szCs w:val="21"/>
                <w:b w:val="1"/>
                <w:bCs w:val="1"/>
                <w:color w:val="3D3935"/>
                <w:vertAlign w:val="superscript"/>
              </w:rPr>
              <w:t>(9)</w:t>
            </w:r>
          </w:p>
        </w:tc>
        <w:tc>
          <w:tcPr>
            <w:tcW w:w="1380" w:type="dxa"/>
            <w:vAlign w:val="bottom"/>
            <w:tcBorders>
              <w:bottom w:val="single" w:sz="8" w:color="D9D9D6"/>
            </w:tcBorders>
          </w:tcPr>
          <w:p>
            <w:pPr>
              <w:jc w:val="right"/>
              <w:ind w:right="48"/>
              <w:spacing w:after="0"/>
              <w:rPr>
                <w:sz w:val="20"/>
                <w:szCs w:val="20"/>
                <w:color w:val="auto"/>
              </w:rPr>
            </w:pPr>
            <w:r>
              <w:rPr>
                <w:rFonts w:ascii="Arial" w:cs="Arial" w:eastAsia="Arial" w:hAnsi="Arial"/>
                <w:sz w:val="16"/>
                <w:szCs w:val="16"/>
                <w:color w:val="3D3935"/>
              </w:rPr>
              <w:t>74,909,069</w:t>
            </w:r>
          </w:p>
        </w:tc>
        <w:tc>
          <w:tcPr>
            <w:tcW w:w="660" w:type="dxa"/>
            <w:vAlign w:val="bottom"/>
            <w:tcBorders>
              <w:bottom w:val="single" w:sz="8" w:color="D9D9D6"/>
            </w:tcBorders>
          </w:tcPr>
          <w:p>
            <w:pPr>
              <w:spacing w:after="0"/>
              <w:rPr>
                <w:sz w:val="21"/>
                <w:szCs w:val="21"/>
                <w:color w:val="auto"/>
              </w:rPr>
            </w:pPr>
          </w:p>
        </w:tc>
        <w:tc>
          <w:tcPr>
            <w:tcW w:w="12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7.8</w:t>
            </w:r>
          </w:p>
        </w:tc>
      </w:tr>
      <w:tr>
        <w:trPr>
          <w:trHeight w:val="250"/>
        </w:trPr>
        <w:tc>
          <w:tcPr>
            <w:tcW w:w="5800" w:type="dxa"/>
            <w:vAlign w:val="bottom"/>
            <w:tcBorders>
              <w:bottom w:val="single" w:sz="8" w:color="0072CE"/>
            </w:tcBorders>
          </w:tcPr>
          <w:p>
            <w:pPr>
              <w:ind w:left="60"/>
              <w:spacing w:after="0"/>
              <w:rPr>
                <w:sz w:val="20"/>
                <w:szCs w:val="20"/>
                <w:color w:val="auto"/>
              </w:rPr>
            </w:pPr>
            <w:r>
              <w:rPr>
                <w:rFonts w:ascii="Arial" w:cs="Arial" w:eastAsia="Arial" w:hAnsi="Arial"/>
                <w:sz w:val="16"/>
                <w:szCs w:val="16"/>
                <w:b w:val="1"/>
                <w:bCs w:val="1"/>
                <w:color w:val="3D3935"/>
              </w:rPr>
              <w:t>The Vanguard Group</w:t>
            </w:r>
            <w:r>
              <w:rPr>
                <w:rFonts w:ascii="Arial" w:cs="Arial" w:eastAsia="Arial" w:hAnsi="Arial"/>
                <w:sz w:val="21"/>
                <w:szCs w:val="21"/>
                <w:b w:val="1"/>
                <w:bCs w:val="1"/>
                <w:color w:val="3D3935"/>
                <w:vertAlign w:val="superscript"/>
              </w:rPr>
              <w:t>(10)</w:t>
            </w:r>
          </w:p>
        </w:tc>
        <w:tc>
          <w:tcPr>
            <w:tcW w:w="1380" w:type="dxa"/>
            <w:vAlign w:val="bottom"/>
            <w:tcBorders>
              <w:bottom w:val="single" w:sz="8" w:color="0072CE"/>
            </w:tcBorders>
          </w:tcPr>
          <w:p>
            <w:pPr>
              <w:jc w:val="right"/>
              <w:spacing w:after="0"/>
              <w:rPr>
                <w:sz w:val="20"/>
                <w:szCs w:val="20"/>
                <w:color w:val="auto"/>
              </w:rPr>
            </w:pPr>
            <w:r>
              <w:rPr>
                <w:rFonts w:ascii="Arial" w:cs="Arial" w:eastAsia="Arial" w:hAnsi="Arial"/>
                <w:sz w:val="16"/>
                <w:szCs w:val="16"/>
                <w:color w:val="3D3935"/>
              </w:rPr>
              <w:t>111,623,432</w:t>
            </w:r>
          </w:p>
        </w:tc>
        <w:tc>
          <w:tcPr>
            <w:tcW w:w="660" w:type="dxa"/>
            <w:vAlign w:val="bottom"/>
            <w:tcBorders>
              <w:bottom w:val="single" w:sz="8" w:color="0072CE"/>
            </w:tcBorders>
          </w:tcPr>
          <w:p>
            <w:pPr>
              <w:spacing w:after="0"/>
              <w:rPr>
                <w:sz w:val="21"/>
                <w:szCs w:val="21"/>
                <w:color w:val="auto"/>
              </w:rPr>
            </w:pPr>
          </w:p>
        </w:tc>
        <w:tc>
          <w:tcPr>
            <w:tcW w:w="1240" w:type="dxa"/>
            <w:vAlign w:val="bottom"/>
            <w:tcBorders>
              <w:bottom w:val="single" w:sz="8" w:color="0072CE"/>
            </w:tcBorders>
          </w:tcPr>
          <w:p>
            <w:pPr>
              <w:jc w:val="right"/>
              <w:spacing w:after="0"/>
              <w:rPr>
                <w:sz w:val="20"/>
                <w:szCs w:val="20"/>
                <w:color w:val="auto"/>
              </w:rPr>
            </w:pPr>
            <w:r>
              <w:rPr>
                <w:rFonts w:ascii="Arial" w:cs="Arial" w:eastAsia="Arial" w:hAnsi="Arial"/>
                <w:sz w:val="16"/>
                <w:szCs w:val="16"/>
                <w:color w:val="3D3935"/>
              </w:rPr>
              <w:t>11.6</w:t>
            </w:r>
          </w:p>
        </w:tc>
      </w:tr>
    </w:tbl>
    <w:p>
      <w:pPr>
        <w:spacing w:after="0" w:line="166" w:lineRule="exact"/>
        <w:rPr>
          <w:sz w:val="20"/>
          <w:szCs w:val="20"/>
          <w:color w:val="auto"/>
        </w:rPr>
      </w:pPr>
    </w:p>
    <w:p>
      <w:pPr>
        <w:spacing w:after="0"/>
        <w:tabs>
          <w:tab w:leader="none" w:pos="160" w:val="left"/>
        </w:tabs>
        <w:rPr>
          <w:sz w:val="20"/>
          <w:szCs w:val="20"/>
          <w:color w:val="auto"/>
        </w:rPr>
      </w:pPr>
      <w:r>
        <w:rPr>
          <w:rFonts w:ascii="Arial" w:cs="Arial" w:eastAsia="Arial" w:hAnsi="Arial"/>
          <w:sz w:val="14"/>
          <w:szCs w:val="14"/>
          <w:color w:val="3D3935"/>
        </w:rPr>
        <w:t>*</w:t>
        <w:tab/>
        <w:t>Less than 1 percent.</w:t>
      </w:r>
    </w:p>
    <w:p>
      <w:pPr>
        <w:spacing w:after="0" w:line="200" w:lineRule="exact"/>
        <w:rPr>
          <w:sz w:val="20"/>
          <w:szCs w:val="20"/>
          <w:color w:val="auto"/>
        </w:rPr>
      </w:pPr>
    </w:p>
    <w:p>
      <w:pPr>
        <w:spacing w:after="0" w:line="36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23736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10375" cy="2373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Security Ownership Information</w:t>
      </w:r>
    </w:p>
    <w:p>
      <w:pPr>
        <w:spacing w:after="0" w:line="200" w:lineRule="exact"/>
        <w:rPr>
          <w:sz w:val="20"/>
          <w:szCs w:val="20"/>
          <w:color w:val="auto"/>
        </w:rPr>
      </w:pPr>
    </w:p>
    <w:p>
      <w:pPr>
        <w:spacing w:after="0" w:line="353" w:lineRule="exact"/>
        <w:rPr>
          <w:sz w:val="20"/>
          <w:szCs w:val="20"/>
          <w:color w:val="auto"/>
        </w:rPr>
      </w:pPr>
    </w:p>
    <w:p>
      <w:pPr>
        <w:ind w:left="200" w:hanging="192"/>
        <w:spacing w:after="0"/>
        <w:tabs>
          <w:tab w:leader="none" w:pos="200" w:val="left"/>
        </w:tabs>
        <w:numPr>
          <w:ilvl w:val="0"/>
          <w:numId w:val="117"/>
        </w:numPr>
        <w:rPr>
          <w:rFonts w:ascii="Arial" w:cs="Arial" w:eastAsia="Arial" w:hAnsi="Arial"/>
          <w:sz w:val="19"/>
          <w:szCs w:val="19"/>
          <w:color w:val="3D3935"/>
          <w:vertAlign w:val="superscript"/>
        </w:rPr>
      </w:pPr>
      <w:r>
        <w:rPr>
          <w:rFonts w:ascii="Arial" w:cs="Arial" w:eastAsia="Arial" w:hAnsi="Arial"/>
          <w:sz w:val="14"/>
          <w:szCs w:val="14"/>
          <w:color w:val="3D3935"/>
        </w:rPr>
        <w:t>c/o General Motors Company, 300 Renaissance Center, Detroit, Michigan 48265.</w:t>
      </w:r>
    </w:p>
    <w:p>
      <w:pPr>
        <w:spacing w:after="0" w:line="52" w:lineRule="exact"/>
        <w:rPr>
          <w:rFonts w:ascii="Arial" w:cs="Arial" w:eastAsia="Arial" w:hAnsi="Arial"/>
          <w:sz w:val="19"/>
          <w:szCs w:val="19"/>
          <w:color w:val="3D3935"/>
          <w:vertAlign w:val="superscript"/>
        </w:rPr>
      </w:pPr>
    </w:p>
    <w:p>
      <w:pPr>
        <w:ind w:left="200" w:right="40" w:hanging="192"/>
        <w:spacing w:after="0" w:line="273" w:lineRule="auto"/>
        <w:tabs>
          <w:tab w:leader="none" w:pos="200" w:val="left"/>
        </w:tabs>
        <w:numPr>
          <w:ilvl w:val="0"/>
          <w:numId w:val="117"/>
        </w:numPr>
        <w:rPr>
          <w:rFonts w:ascii="Arial" w:cs="Arial" w:eastAsia="Arial" w:hAnsi="Arial"/>
          <w:sz w:val="19"/>
          <w:szCs w:val="19"/>
          <w:color w:val="3D3935"/>
          <w:vertAlign w:val="superscript"/>
        </w:rPr>
      </w:pPr>
      <w:r>
        <w:rPr>
          <w:rFonts w:ascii="Arial" w:cs="Arial" w:eastAsia="Arial" w:hAnsi="Arial"/>
          <w:sz w:val="14"/>
          <w:szCs w:val="14"/>
          <w:color w:val="3D3935"/>
        </w:rPr>
        <w:t>These amounts represent common stock only and do not include DSUs, which are unit equivalents of our common stock. For more information about how DSUs work, see page 36 Non-employee directors hold the following number of DSUs: 50,235 DSUs for Mr. Bush; 19,840 DSUs for Ms. Crevoiserat; 43,303 DSUs for Ms. Gooden; 83,075 DSUs for Mr. Jimenez; 2,106 DSUs for Mr. Kelly; 15,302 DSUs for Mr. McNeill; 26,631 DSUs for Ms. Miscik; 93,096 DSUs for Ms. Russo; 57,578 DSUs for Mr. Schoewe; 16,021 DSUs for Mr. Tatum; 12,111 DSUs for Ms. Tighe; and 57,981 DSUs for Mr. Wenig.</w:t>
      </w:r>
    </w:p>
    <w:p>
      <w:pPr>
        <w:spacing w:after="0" w:line="3" w:lineRule="exact"/>
        <w:rPr>
          <w:rFonts w:ascii="Arial" w:cs="Arial" w:eastAsia="Arial" w:hAnsi="Arial"/>
          <w:sz w:val="19"/>
          <w:szCs w:val="19"/>
          <w:color w:val="3D3935"/>
          <w:vertAlign w:val="superscript"/>
        </w:rPr>
      </w:pPr>
    </w:p>
    <w:p>
      <w:pPr>
        <w:ind w:left="200" w:hanging="192"/>
        <w:spacing w:after="0"/>
        <w:tabs>
          <w:tab w:leader="none" w:pos="200" w:val="left"/>
        </w:tabs>
        <w:numPr>
          <w:ilvl w:val="0"/>
          <w:numId w:val="117"/>
        </w:numPr>
        <w:rPr>
          <w:rFonts w:ascii="Arial" w:cs="Arial" w:eastAsia="Arial" w:hAnsi="Arial"/>
          <w:sz w:val="19"/>
          <w:szCs w:val="19"/>
          <w:color w:val="3D3935"/>
          <w:vertAlign w:val="superscript"/>
        </w:rPr>
      </w:pPr>
      <w:r>
        <w:rPr>
          <w:rFonts w:ascii="Arial" w:cs="Arial" w:eastAsia="Arial" w:hAnsi="Arial"/>
          <w:sz w:val="14"/>
          <w:szCs w:val="14"/>
          <w:color w:val="3D3935"/>
        </w:rPr>
        <w:t>These shares are held indirectly in the Wesley G. Bush Revocable Trust.</w:t>
      </w:r>
    </w:p>
    <w:p>
      <w:pPr>
        <w:spacing w:after="0" w:line="52" w:lineRule="exact"/>
        <w:rPr>
          <w:rFonts w:ascii="Arial" w:cs="Arial" w:eastAsia="Arial" w:hAnsi="Arial"/>
          <w:sz w:val="19"/>
          <w:szCs w:val="19"/>
          <w:color w:val="3D3935"/>
          <w:vertAlign w:val="superscript"/>
        </w:rPr>
      </w:pPr>
    </w:p>
    <w:p>
      <w:pPr>
        <w:ind w:left="200" w:right="420" w:hanging="192"/>
        <w:spacing w:after="0" w:line="239" w:lineRule="auto"/>
        <w:tabs>
          <w:tab w:leader="none" w:pos="200" w:val="left"/>
        </w:tabs>
        <w:numPr>
          <w:ilvl w:val="0"/>
          <w:numId w:val="117"/>
        </w:numPr>
        <w:rPr>
          <w:rFonts w:ascii="Arial" w:cs="Arial" w:eastAsia="Arial" w:hAnsi="Arial"/>
          <w:sz w:val="19"/>
          <w:szCs w:val="19"/>
          <w:color w:val="3D3935"/>
          <w:vertAlign w:val="superscript"/>
        </w:rPr>
      </w:pPr>
      <w:r>
        <w:rPr>
          <w:rFonts w:ascii="Arial" w:cs="Arial" w:eastAsia="Arial" w:hAnsi="Arial"/>
          <w:sz w:val="14"/>
          <w:szCs w:val="14"/>
          <w:color w:val="3D3935"/>
        </w:rPr>
        <w:t>This amount includes 330 shares of common stock that Mr. Jimenez holds indirectly through a limited liability company owned but not managed by him.</w:t>
      </w:r>
    </w:p>
    <w:p>
      <w:pPr>
        <w:spacing w:after="0" w:line="67" w:lineRule="exact"/>
        <w:rPr>
          <w:rFonts w:ascii="Arial" w:cs="Arial" w:eastAsia="Arial" w:hAnsi="Arial"/>
          <w:sz w:val="19"/>
          <w:szCs w:val="19"/>
          <w:color w:val="3D3935"/>
          <w:vertAlign w:val="superscript"/>
        </w:rPr>
      </w:pPr>
    </w:p>
    <w:p>
      <w:pPr>
        <w:ind w:left="200" w:right="180" w:hanging="192"/>
        <w:spacing w:after="0" w:line="257" w:lineRule="auto"/>
        <w:tabs>
          <w:tab w:leader="none" w:pos="200" w:val="left"/>
        </w:tabs>
        <w:numPr>
          <w:ilvl w:val="0"/>
          <w:numId w:val="117"/>
        </w:numPr>
        <w:rPr>
          <w:rFonts w:ascii="Arial" w:cs="Arial" w:eastAsia="Arial" w:hAnsi="Arial"/>
          <w:sz w:val="19"/>
          <w:szCs w:val="19"/>
          <w:color w:val="3D3935"/>
          <w:vertAlign w:val="superscript"/>
        </w:rPr>
      </w:pPr>
      <w:r>
        <w:rPr>
          <w:rFonts w:ascii="Arial" w:cs="Arial" w:eastAsia="Arial" w:hAnsi="Arial"/>
          <w:sz w:val="14"/>
          <w:szCs w:val="14"/>
          <w:color w:val="3D3935"/>
        </w:rPr>
        <w:t>These amounts include shares that may be acquired upon exercise of stock options that are currently exercisable or will become exercisable within 60 days of April 4, 2025, as follows: 1,931,853 shares for Ms. Barra; 308,485 shares for Mr. Jacobson; 855,152 shares for Mr. Reuss; 0 shares for Mr. Abbott; 163,452 shares for Mr. Glidden; and 16,711 shares for Mr. Harvey.</w:t>
      </w:r>
    </w:p>
    <w:p>
      <w:pPr>
        <w:sectPr>
          <w:pgSz w:w="11900" w:h="16838" w:orient="portrait"/>
          <w:cols w:equalWidth="0" w:num="1">
            <w:col w:w="9100"/>
          </w:cols>
          <w:pgMar w:left="1400" w:top="81" w:right="1399" w:bottom="0" w:gutter="0" w:footer="0" w:header="0"/>
        </w:sectPr>
      </w:pPr>
    </w:p>
    <w:bookmarkStart w:id="81" w:name="page82"/>
    <w:bookmarkEnd w:id="81"/>
    <w:p>
      <w:pPr>
        <w:spacing w:after="0" w:line="16" w:lineRule="exact"/>
        <w:rPr>
          <w:sz w:val="20"/>
          <w:szCs w:val="20"/>
          <w:color w:val="auto"/>
        </w:rPr>
      </w:pPr>
    </w:p>
    <w:p>
      <w:pPr>
        <w:ind w:left="200" w:right="260" w:hanging="192"/>
        <w:spacing w:after="0" w:line="263" w:lineRule="auto"/>
        <w:tabs>
          <w:tab w:leader="none" w:pos="200" w:val="left"/>
        </w:tabs>
        <w:numPr>
          <w:ilvl w:val="0"/>
          <w:numId w:val="118"/>
        </w:numPr>
        <w:rPr>
          <w:rFonts w:ascii="Arial" w:cs="Arial" w:eastAsia="Arial" w:hAnsi="Arial"/>
          <w:sz w:val="9"/>
          <w:szCs w:val="9"/>
          <w:color w:val="3D3935"/>
        </w:rPr>
      </w:pPr>
      <w:r>
        <w:rPr>
          <w:rFonts w:ascii="Arial" w:cs="Arial" w:eastAsia="Arial" w:hAnsi="Arial"/>
          <w:sz w:val="14"/>
          <w:szCs w:val="14"/>
          <w:color w:val="3D3935"/>
        </w:rPr>
        <w:t>This amount includes 385,000 shares that are held indirectly in the Mary T. Barra Grantor Retained Annuity Trust Agreement #2 and the Mary T. Barra Grantor Retained Annuity Trust Agreement #3.</w:t>
      </w:r>
    </w:p>
    <w:p>
      <w:pPr>
        <w:spacing w:after="0" w:line="51" w:lineRule="exact"/>
        <w:rPr>
          <w:rFonts w:ascii="Arial" w:cs="Arial" w:eastAsia="Arial" w:hAnsi="Arial"/>
          <w:sz w:val="9"/>
          <w:szCs w:val="9"/>
          <w:color w:val="3D3935"/>
        </w:rPr>
      </w:pPr>
    </w:p>
    <w:p>
      <w:pPr>
        <w:ind w:left="200" w:right="380" w:hanging="192"/>
        <w:spacing w:after="0" w:line="257" w:lineRule="auto"/>
        <w:tabs>
          <w:tab w:leader="none" w:pos="200" w:val="left"/>
        </w:tabs>
        <w:numPr>
          <w:ilvl w:val="0"/>
          <w:numId w:val="118"/>
        </w:numPr>
        <w:rPr>
          <w:rFonts w:ascii="Arial" w:cs="Arial" w:eastAsia="Arial" w:hAnsi="Arial"/>
          <w:sz w:val="19"/>
          <w:szCs w:val="19"/>
          <w:color w:val="3D3935"/>
          <w:vertAlign w:val="superscript"/>
        </w:rPr>
      </w:pPr>
      <w:r>
        <w:rPr>
          <w:rFonts w:ascii="Arial" w:cs="Arial" w:eastAsia="Arial" w:hAnsi="Arial"/>
          <w:sz w:val="14"/>
          <w:szCs w:val="14"/>
          <w:color w:val="3D3935"/>
        </w:rPr>
        <w:t>This amount includes 3,199,731 shares that individuals in the group may acquire upon exercise of stock options that are currently exercisable or will become exercisable within 60 days of April 4, 2025. No director or executive officer had pledged shares of common stock as security or hedged their exposure to common stock.</w:t>
      </w:r>
    </w:p>
    <w:p>
      <w:pPr>
        <w:spacing w:after="0" w:line="42" w:lineRule="exact"/>
        <w:rPr>
          <w:rFonts w:ascii="Arial" w:cs="Arial" w:eastAsia="Arial" w:hAnsi="Arial"/>
          <w:sz w:val="19"/>
          <w:szCs w:val="19"/>
          <w:color w:val="3D3935"/>
          <w:vertAlign w:val="superscript"/>
        </w:rPr>
      </w:pPr>
    </w:p>
    <w:p>
      <w:pPr>
        <w:ind w:left="200" w:right="460" w:hanging="192"/>
        <w:spacing w:after="0" w:line="239" w:lineRule="auto"/>
        <w:tabs>
          <w:tab w:leader="none" w:pos="200" w:val="left"/>
        </w:tabs>
        <w:numPr>
          <w:ilvl w:val="0"/>
          <w:numId w:val="118"/>
        </w:numPr>
        <w:rPr>
          <w:rFonts w:ascii="Arial" w:cs="Arial" w:eastAsia="Arial" w:hAnsi="Arial"/>
          <w:sz w:val="19"/>
          <w:szCs w:val="19"/>
          <w:color w:val="3D3935"/>
          <w:vertAlign w:val="superscript"/>
        </w:rPr>
      </w:pPr>
      <w:r>
        <w:rPr>
          <w:rFonts w:ascii="Arial" w:cs="Arial" w:eastAsia="Arial" w:hAnsi="Arial"/>
          <w:sz w:val="14"/>
          <w:szCs w:val="14"/>
          <w:color w:val="3D3935"/>
        </w:rPr>
        <w:t>The Company is permitted to rely on the information reported by each beneficial owner in filings with the SEC and has no reason to believe that the information is incomplete or inaccurate or that the beneficial owner should have filed an amended report and did not.</w:t>
      </w:r>
    </w:p>
    <w:p>
      <w:pPr>
        <w:spacing w:after="0" w:line="67" w:lineRule="exact"/>
        <w:rPr>
          <w:rFonts w:ascii="Arial" w:cs="Arial" w:eastAsia="Arial" w:hAnsi="Arial"/>
          <w:sz w:val="19"/>
          <w:szCs w:val="19"/>
          <w:color w:val="3D3935"/>
          <w:vertAlign w:val="superscript"/>
        </w:rPr>
      </w:pPr>
    </w:p>
    <w:p>
      <w:pPr>
        <w:ind w:left="200" w:right="200" w:hanging="192"/>
        <w:spacing w:after="0" w:line="259" w:lineRule="auto"/>
        <w:tabs>
          <w:tab w:leader="none" w:pos="200" w:val="left"/>
        </w:tabs>
        <w:numPr>
          <w:ilvl w:val="0"/>
          <w:numId w:val="118"/>
        </w:numPr>
        <w:rPr>
          <w:rFonts w:ascii="Arial" w:cs="Arial" w:eastAsia="Arial" w:hAnsi="Arial"/>
          <w:sz w:val="19"/>
          <w:szCs w:val="19"/>
          <w:color w:val="3D3935"/>
          <w:vertAlign w:val="superscript"/>
        </w:rPr>
      </w:pPr>
      <w:r>
        <w:rPr>
          <w:rFonts w:ascii="Arial" w:cs="Arial" w:eastAsia="Arial" w:hAnsi="Arial"/>
          <w:sz w:val="14"/>
          <w:szCs w:val="14"/>
          <w:color w:val="3D3935"/>
        </w:rPr>
        <w:t>Based solely on information set forth in a Schedule 13G/A filed with the SEC on April 17, 2025, BlackRock, Inc., reported that it and its subsidiaries listed on Exhibit 99 to Schedule 13G/A were the beneficial owners of 74,909,069 shares of GM’s outstanding common stock as of March 31, 2025. BlackRock reported having sole voting power over 65,212,860 shares and sole dispositive power over 74,909,069 shares. No shared voting or dispositive powers were reported. The address for BlackRock, Inc., is 50 Hudson Yards, New York,</w:t>
      </w:r>
    </w:p>
    <w:p>
      <w:pPr>
        <w:ind w:left="200"/>
        <w:spacing w:after="0"/>
        <w:rPr>
          <w:rFonts w:ascii="Arial" w:cs="Arial" w:eastAsia="Arial" w:hAnsi="Arial"/>
          <w:sz w:val="19"/>
          <w:szCs w:val="19"/>
          <w:color w:val="3D3935"/>
          <w:vertAlign w:val="superscript"/>
        </w:rPr>
      </w:pPr>
      <w:r>
        <w:rPr>
          <w:rFonts w:ascii="Arial" w:cs="Arial" w:eastAsia="Arial" w:hAnsi="Arial"/>
          <w:sz w:val="14"/>
          <w:szCs w:val="14"/>
          <w:color w:val="3D3935"/>
        </w:rPr>
        <w:t>New York 10001.</w:t>
      </w:r>
    </w:p>
    <w:p>
      <w:pPr>
        <w:spacing w:after="0" w:line="80" w:lineRule="exact"/>
        <w:rPr>
          <w:rFonts w:ascii="Arial" w:cs="Arial" w:eastAsia="Arial" w:hAnsi="Arial"/>
          <w:sz w:val="19"/>
          <w:szCs w:val="19"/>
          <w:color w:val="3D3935"/>
          <w:vertAlign w:val="superscript"/>
        </w:rPr>
      </w:pPr>
    </w:p>
    <w:p>
      <w:pPr>
        <w:ind w:left="200" w:right="220" w:hanging="192"/>
        <w:spacing w:after="0" w:line="428" w:lineRule="auto"/>
        <w:tabs>
          <w:tab w:leader="none" w:pos="200" w:val="left"/>
        </w:tabs>
        <w:numPr>
          <w:ilvl w:val="0"/>
          <w:numId w:val="118"/>
        </w:numPr>
        <w:rPr>
          <w:rFonts w:ascii="Arial" w:cs="Arial" w:eastAsia="Arial" w:hAnsi="Arial"/>
          <w:sz w:val="16"/>
          <w:szCs w:val="16"/>
          <w:color w:val="3D3935"/>
          <w:vertAlign w:val="superscript"/>
        </w:rPr>
      </w:pPr>
      <w:r>
        <w:rPr>
          <w:rFonts w:ascii="Arial" w:cs="Arial" w:eastAsia="Arial" w:hAnsi="Arial"/>
          <w:sz w:val="12"/>
          <w:szCs w:val="12"/>
          <w:color w:val="3D3935"/>
        </w:rPr>
        <w:t>Based solely on information set forth in a Schedule 13G/A filed with the SEC on February 13, 2024, The Vanguard Group reported that it was the beneficial owner of 111,623,432 shares of GM’s outstanding common stock as of December 29, 2023. The Vanguard Group reported having shared voting power over 1,710,488 shares, sole dispositive power over 105,995,331 shares, and shared dispositive power over 5,628,101 shares. No sole voting power was reported. The address for The Vanguard Group is 100 Vanguard Boulevard, Malvern, Pennsylvania 19355.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-2230755</wp:posOffset>
            </wp:positionV>
            <wp:extent cx="6810375" cy="6482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10375" cy="6482715"/>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Delinquent Section 16(a) Reporting</w:t>
      </w:r>
    </w:p>
    <w:p>
      <w:pPr>
        <w:spacing w:after="0" w:line="140"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3D3935"/>
        </w:rPr>
        <w:t>Section 16(a) of the Securities Exchange Act of 1934 requires our directors, officers and beneficial owners of 10% or more of our common shares to file reports with the SEC. We assist our directors and officers by monitoring transactions and completing and filing these reports on their behalf. Based on our records and other information, we believe that all reports that were required to be filed under Section 16(a) during 2024 were timely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3D3935"/>
              </w:rPr>
              <w:t>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39509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10375" cy="3950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Security Ownership Information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Equity Compensation Plan Information</w:t>
      </w:r>
    </w:p>
    <w:p>
      <w:pPr>
        <w:spacing w:after="0" w:line="127" w:lineRule="exact"/>
        <w:rPr>
          <w:sz w:val="20"/>
          <w:szCs w:val="20"/>
          <w:color w:val="auto"/>
        </w:rPr>
      </w:pPr>
    </w:p>
    <w:p>
      <w:pPr>
        <w:ind w:right="240"/>
        <w:spacing w:after="0" w:line="321" w:lineRule="auto"/>
        <w:rPr>
          <w:sz w:val="20"/>
          <w:szCs w:val="20"/>
          <w:color w:val="auto"/>
        </w:rPr>
      </w:pPr>
      <w:r>
        <w:rPr>
          <w:rFonts w:ascii="Arial" w:cs="Arial" w:eastAsia="Arial" w:hAnsi="Arial"/>
          <w:sz w:val="16"/>
          <w:szCs w:val="16"/>
          <w:color w:val="3D3935"/>
        </w:rPr>
        <w:t>The following table provides information as of December 31, 2024, about the Company’s common stock that may be issued upon the exercise of options, warrants, and rights under all the Company’s equity compensation plans.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shd w:val="clear" w:color="auto" w:fill="F0F3F6"/>
          </w:tcPr>
          <w:p>
            <w:pPr>
              <w:spacing w:after="0"/>
              <w:rPr>
                <w:sz w:val="20"/>
                <w:szCs w:val="20"/>
                <w:color w:val="auto"/>
              </w:rPr>
            </w:pPr>
          </w:p>
        </w:tc>
        <w:tc>
          <w:tcPr>
            <w:tcW w:w="2140" w:type="dxa"/>
            <w:vAlign w:val="bottom"/>
            <w:shd w:val="clear" w:color="auto" w:fill="F0F3F6"/>
          </w:tcPr>
          <w:p>
            <w:pPr>
              <w:spacing w:after="0"/>
              <w:rPr>
                <w:sz w:val="20"/>
                <w:szCs w:val="20"/>
                <w:color w:val="auto"/>
              </w:rPr>
            </w:pPr>
          </w:p>
        </w:tc>
        <w:tc>
          <w:tcPr>
            <w:tcW w:w="1640" w:type="dxa"/>
            <w:vAlign w:val="bottom"/>
            <w:shd w:val="clear" w:color="auto" w:fill="F0F3F6"/>
          </w:tcPr>
          <w:p>
            <w:pPr>
              <w:spacing w:after="0"/>
              <w:rPr>
                <w:sz w:val="20"/>
                <w:szCs w:val="20"/>
                <w:color w:val="auto"/>
              </w:rPr>
            </w:pPr>
          </w:p>
        </w:tc>
        <w:tc>
          <w:tcPr>
            <w:tcW w:w="2040" w:type="dxa"/>
            <w:vAlign w:val="bottom"/>
            <w:shd w:val="clear" w:color="auto" w:fill="F0F3F6"/>
          </w:tcPr>
          <w:p>
            <w:pPr>
              <w:jc w:val="right"/>
              <w:spacing w:after="0"/>
              <w:rPr>
                <w:sz w:val="20"/>
                <w:szCs w:val="20"/>
                <w:color w:val="auto"/>
              </w:rPr>
            </w:pPr>
            <w:r>
              <w:rPr>
                <w:rFonts w:ascii="Arial" w:cs="Arial" w:eastAsia="Arial" w:hAnsi="Arial"/>
                <w:sz w:val="14"/>
                <w:szCs w:val="14"/>
                <w:b w:val="1"/>
                <w:bCs w:val="1"/>
                <w:color w:val="3D3935"/>
              </w:rPr>
              <w:t>Number of Securities</w:t>
            </w:r>
          </w:p>
        </w:tc>
      </w:tr>
      <w:tr>
        <w:trPr>
          <w:trHeight w:val="176"/>
        </w:trPr>
        <w:tc>
          <w:tcPr>
            <w:tcW w:w="3260" w:type="dxa"/>
            <w:vAlign w:val="bottom"/>
            <w:shd w:val="clear" w:color="auto" w:fill="F0F3F6"/>
          </w:tcPr>
          <w:p>
            <w:pPr>
              <w:spacing w:after="0"/>
              <w:rPr>
                <w:sz w:val="15"/>
                <w:szCs w:val="15"/>
                <w:color w:val="auto"/>
              </w:rPr>
            </w:pPr>
          </w:p>
        </w:tc>
        <w:tc>
          <w:tcPr>
            <w:tcW w:w="2140" w:type="dxa"/>
            <w:vAlign w:val="bottom"/>
            <w:shd w:val="clear" w:color="auto" w:fill="F0F3F6"/>
          </w:tcPr>
          <w:p>
            <w:pPr>
              <w:spacing w:after="0"/>
              <w:rPr>
                <w:sz w:val="15"/>
                <w:szCs w:val="15"/>
                <w:color w:val="auto"/>
              </w:rPr>
            </w:pPr>
          </w:p>
        </w:tc>
        <w:tc>
          <w:tcPr>
            <w:tcW w:w="1640" w:type="dxa"/>
            <w:vAlign w:val="bottom"/>
            <w:shd w:val="clear" w:color="auto" w:fill="F0F3F6"/>
          </w:tcPr>
          <w:p>
            <w:pPr>
              <w:jc w:val="right"/>
              <w:ind w:right="145"/>
              <w:spacing w:after="0"/>
              <w:rPr>
                <w:sz w:val="20"/>
                <w:szCs w:val="20"/>
                <w:color w:val="auto"/>
              </w:rPr>
            </w:pPr>
            <w:r>
              <w:rPr>
                <w:rFonts w:ascii="Arial" w:cs="Arial" w:eastAsia="Arial" w:hAnsi="Arial"/>
                <w:sz w:val="14"/>
                <w:szCs w:val="14"/>
                <w:b w:val="1"/>
                <w:bCs w:val="1"/>
                <w:color w:val="3D3935"/>
              </w:rPr>
              <w:t>Weighted-Average</w:t>
            </w:r>
          </w:p>
        </w:tc>
        <w:tc>
          <w:tcPr>
            <w:tcW w:w="2040" w:type="dxa"/>
            <w:vAlign w:val="bottom"/>
            <w:shd w:val="clear" w:color="auto" w:fill="F0F3F6"/>
          </w:tcPr>
          <w:p>
            <w:pPr>
              <w:jc w:val="right"/>
              <w:spacing w:after="0"/>
              <w:rPr>
                <w:sz w:val="20"/>
                <w:szCs w:val="20"/>
                <w:color w:val="auto"/>
              </w:rPr>
            </w:pPr>
            <w:r>
              <w:rPr>
                <w:rFonts w:ascii="Arial" w:cs="Arial" w:eastAsia="Arial" w:hAnsi="Arial"/>
                <w:sz w:val="14"/>
                <w:szCs w:val="14"/>
                <w:b w:val="1"/>
                <w:bCs w:val="1"/>
                <w:color w:val="3D3935"/>
              </w:rPr>
              <w:t>Remaining Available for</w:t>
            </w:r>
          </w:p>
        </w:tc>
      </w:tr>
      <w:tr>
        <w:trPr>
          <w:trHeight w:val="175"/>
        </w:trPr>
        <w:tc>
          <w:tcPr>
            <w:tcW w:w="3260" w:type="dxa"/>
            <w:vAlign w:val="bottom"/>
            <w:shd w:val="clear" w:color="auto" w:fill="F0F3F6"/>
          </w:tcPr>
          <w:p>
            <w:pPr>
              <w:spacing w:after="0"/>
              <w:rPr>
                <w:sz w:val="15"/>
                <w:szCs w:val="15"/>
                <w:color w:val="auto"/>
              </w:rPr>
            </w:pPr>
          </w:p>
        </w:tc>
        <w:tc>
          <w:tcPr>
            <w:tcW w:w="2140" w:type="dxa"/>
            <w:vAlign w:val="bottom"/>
            <w:shd w:val="clear" w:color="auto" w:fill="F0F3F6"/>
          </w:tcPr>
          <w:p>
            <w:pPr>
              <w:jc w:val="center"/>
              <w:ind w:left="44"/>
              <w:spacing w:after="0"/>
              <w:rPr>
                <w:sz w:val="20"/>
                <w:szCs w:val="20"/>
                <w:color w:val="auto"/>
              </w:rPr>
            </w:pPr>
            <w:r>
              <w:rPr>
                <w:rFonts w:ascii="Arial" w:cs="Arial" w:eastAsia="Arial" w:hAnsi="Arial"/>
                <w:sz w:val="14"/>
                <w:szCs w:val="14"/>
                <w:b w:val="1"/>
                <w:bCs w:val="1"/>
                <w:color w:val="3D3935"/>
              </w:rPr>
              <w:t>Number of Securities to</w:t>
            </w:r>
          </w:p>
        </w:tc>
        <w:tc>
          <w:tcPr>
            <w:tcW w:w="1640" w:type="dxa"/>
            <w:vAlign w:val="bottom"/>
            <w:shd w:val="clear" w:color="auto" w:fill="F0F3F6"/>
          </w:tcPr>
          <w:p>
            <w:pPr>
              <w:jc w:val="right"/>
              <w:ind w:right="125"/>
              <w:spacing w:after="0"/>
              <w:rPr>
                <w:sz w:val="20"/>
                <w:szCs w:val="20"/>
                <w:color w:val="auto"/>
              </w:rPr>
            </w:pPr>
            <w:r>
              <w:rPr>
                <w:rFonts w:ascii="Arial" w:cs="Arial" w:eastAsia="Arial" w:hAnsi="Arial"/>
                <w:sz w:val="14"/>
                <w:szCs w:val="14"/>
                <w:b w:val="1"/>
                <w:bCs w:val="1"/>
                <w:color w:val="3D3935"/>
              </w:rPr>
              <w:t>Exercise Price of</w:t>
            </w:r>
          </w:p>
        </w:tc>
        <w:tc>
          <w:tcPr>
            <w:tcW w:w="2040" w:type="dxa"/>
            <w:vAlign w:val="bottom"/>
            <w:shd w:val="clear" w:color="auto" w:fill="F0F3F6"/>
          </w:tcPr>
          <w:p>
            <w:pPr>
              <w:jc w:val="right"/>
              <w:spacing w:after="0"/>
              <w:rPr>
                <w:sz w:val="20"/>
                <w:szCs w:val="20"/>
                <w:color w:val="auto"/>
              </w:rPr>
            </w:pPr>
            <w:r>
              <w:rPr>
                <w:rFonts w:ascii="Arial" w:cs="Arial" w:eastAsia="Arial" w:hAnsi="Arial"/>
                <w:sz w:val="14"/>
                <w:szCs w:val="14"/>
                <w:b w:val="1"/>
                <w:bCs w:val="1"/>
                <w:color w:val="3D3935"/>
              </w:rPr>
              <w:t>Future Issuance Under</w:t>
            </w:r>
          </w:p>
        </w:tc>
      </w:tr>
      <w:tr>
        <w:trPr>
          <w:trHeight w:val="175"/>
        </w:trPr>
        <w:tc>
          <w:tcPr>
            <w:tcW w:w="3260" w:type="dxa"/>
            <w:vAlign w:val="bottom"/>
            <w:shd w:val="clear" w:color="auto" w:fill="F0F3F6"/>
          </w:tcPr>
          <w:p>
            <w:pPr>
              <w:spacing w:after="0"/>
              <w:rPr>
                <w:sz w:val="15"/>
                <w:szCs w:val="15"/>
                <w:color w:val="auto"/>
              </w:rPr>
            </w:pPr>
          </w:p>
        </w:tc>
        <w:tc>
          <w:tcPr>
            <w:tcW w:w="2140" w:type="dxa"/>
            <w:vAlign w:val="bottom"/>
            <w:shd w:val="clear" w:color="auto" w:fill="F0F3F6"/>
          </w:tcPr>
          <w:p>
            <w:pPr>
              <w:jc w:val="center"/>
              <w:ind w:left="44"/>
              <w:spacing w:after="0"/>
              <w:rPr>
                <w:sz w:val="20"/>
                <w:szCs w:val="20"/>
                <w:color w:val="auto"/>
              </w:rPr>
            </w:pPr>
            <w:r>
              <w:rPr>
                <w:rFonts w:ascii="Arial" w:cs="Arial" w:eastAsia="Arial" w:hAnsi="Arial"/>
                <w:sz w:val="14"/>
                <w:szCs w:val="14"/>
                <w:b w:val="1"/>
                <w:bCs w:val="1"/>
                <w:color w:val="3D3935"/>
              </w:rPr>
              <w:t>be Issued Upon Exercise</w:t>
            </w:r>
          </w:p>
        </w:tc>
        <w:tc>
          <w:tcPr>
            <w:tcW w:w="1640" w:type="dxa"/>
            <w:vAlign w:val="bottom"/>
            <w:shd w:val="clear" w:color="auto" w:fill="F0F3F6"/>
          </w:tcPr>
          <w:p>
            <w:pPr>
              <w:jc w:val="right"/>
              <w:ind w:right="105"/>
              <w:spacing w:after="0"/>
              <w:rPr>
                <w:sz w:val="20"/>
                <w:szCs w:val="20"/>
                <w:color w:val="auto"/>
              </w:rPr>
            </w:pPr>
            <w:r>
              <w:rPr>
                <w:rFonts w:ascii="Arial" w:cs="Arial" w:eastAsia="Arial" w:hAnsi="Arial"/>
                <w:sz w:val="14"/>
                <w:szCs w:val="14"/>
                <w:b w:val="1"/>
                <w:bCs w:val="1"/>
                <w:color w:val="3D3935"/>
              </w:rPr>
              <w:t>Outstanding</w:t>
            </w:r>
          </w:p>
        </w:tc>
        <w:tc>
          <w:tcPr>
            <w:tcW w:w="2040" w:type="dxa"/>
            <w:vAlign w:val="bottom"/>
            <w:shd w:val="clear" w:color="auto" w:fill="F0F3F6"/>
          </w:tcPr>
          <w:p>
            <w:pPr>
              <w:jc w:val="right"/>
              <w:spacing w:after="0"/>
              <w:rPr>
                <w:sz w:val="20"/>
                <w:szCs w:val="20"/>
                <w:color w:val="auto"/>
              </w:rPr>
            </w:pPr>
            <w:r>
              <w:rPr>
                <w:rFonts w:ascii="Arial" w:cs="Arial" w:eastAsia="Arial" w:hAnsi="Arial"/>
                <w:sz w:val="14"/>
                <w:szCs w:val="14"/>
                <w:b w:val="1"/>
                <w:bCs w:val="1"/>
                <w:color w:val="3D3935"/>
              </w:rPr>
              <w:t>Equity Compensation Plan</w:t>
            </w:r>
          </w:p>
        </w:tc>
      </w:tr>
      <w:tr>
        <w:trPr>
          <w:trHeight w:val="160"/>
        </w:trPr>
        <w:tc>
          <w:tcPr>
            <w:tcW w:w="3260" w:type="dxa"/>
            <w:vAlign w:val="bottom"/>
            <w:shd w:val="clear" w:color="auto" w:fill="F0F3F6"/>
          </w:tcPr>
          <w:p>
            <w:pPr>
              <w:spacing w:after="0"/>
              <w:rPr>
                <w:sz w:val="13"/>
                <w:szCs w:val="13"/>
                <w:color w:val="auto"/>
              </w:rPr>
            </w:pPr>
          </w:p>
        </w:tc>
        <w:tc>
          <w:tcPr>
            <w:tcW w:w="2140" w:type="dxa"/>
            <w:vAlign w:val="bottom"/>
            <w:shd w:val="clear" w:color="auto" w:fill="F0F3F6"/>
          </w:tcPr>
          <w:p>
            <w:pPr>
              <w:ind w:left="340"/>
              <w:spacing w:after="0" w:line="159" w:lineRule="exact"/>
              <w:rPr>
                <w:sz w:val="20"/>
                <w:szCs w:val="20"/>
                <w:color w:val="auto"/>
              </w:rPr>
            </w:pPr>
            <w:r>
              <w:rPr>
                <w:rFonts w:ascii="Arial" w:cs="Arial" w:eastAsia="Arial" w:hAnsi="Arial"/>
                <w:sz w:val="14"/>
                <w:szCs w:val="14"/>
                <w:b w:val="1"/>
                <w:bCs w:val="1"/>
                <w:color w:val="3D3935"/>
              </w:rPr>
              <w:t>of Outstanding Options,</w:t>
            </w:r>
          </w:p>
        </w:tc>
        <w:tc>
          <w:tcPr>
            <w:tcW w:w="1640" w:type="dxa"/>
            <w:vAlign w:val="bottom"/>
            <w:shd w:val="clear" w:color="auto" w:fill="F0F3F6"/>
          </w:tcPr>
          <w:p>
            <w:pPr>
              <w:jc w:val="right"/>
              <w:ind w:right="105"/>
              <w:spacing w:after="0" w:line="159" w:lineRule="exact"/>
              <w:rPr>
                <w:sz w:val="20"/>
                <w:szCs w:val="20"/>
                <w:color w:val="auto"/>
              </w:rPr>
            </w:pPr>
            <w:r>
              <w:rPr>
                <w:rFonts w:ascii="Arial" w:cs="Arial" w:eastAsia="Arial" w:hAnsi="Arial"/>
                <w:sz w:val="14"/>
                <w:szCs w:val="14"/>
                <w:b w:val="1"/>
                <w:bCs w:val="1"/>
                <w:color w:val="3D3935"/>
              </w:rPr>
              <w:t>Options, Warrants,</w:t>
            </w:r>
          </w:p>
        </w:tc>
        <w:tc>
          <w:tcPr>
            <w:tcW w:w="2040" w:type="dxa"/>
            <w:vAlign w:val="bottom"/>
            <w:shd w:val="clear" w:color="auto" w:fill="F0F3F6"/>
          </w:tcPr>
          <w:p>
            <w:pPr>
              <w:jc w:val="right"/>
              <w:spacing w:after="0" w:line="159" w:lineRule="exact"/>
              <w:rPr>
                <w:sz w:val="20"/>
                <w:szCs w:val="20"/>
                <w:color w:val="auto"/>
              </w:rPr>
            </w:pPr>
            <w:r>
              <w:rPr>
                <w:rFonts w:ascii="Arial" w:cs="Arial" w:eastAsia="Arial" w:hAnsi="Arial"/>
                <w:sz w:val="14"/>
                <w:szCs w:val="14"/>
                <w:b w:val="1"/>
                <w:bCs w:val="1"/>
                <w:color w:val="3D3935"/>
              </w:rPr>
              <w:t>(excluding securities</w:t>
            </w:r>
          </w:p>
        </w:tc>
      </w:tr>
      <w:tr>
        <w:trPr>
          <w:trHeight w:val="201"/>
        </w:trPr>
        <w:tc>
          <w:tcPr>
            <w:tcW w:w="3260" w:type="dxa"/>
            <w:vAlign w:val="bottom"/>
            <w:tcBorders>
              <w:bottom w:val="single" w:sz="8" w:color="0072CE"/>
            </w:tcBorders>
            <w:shd w:val="clear" w:color="auto" w:fill="F0F3F6"/>
          </w:tcPr>
          <w:p>
            <w:pPr>
              <w:ind w:left="60"/>
              <w:spacing w:after="0"/>
              <w:rPr>
                <w:sz w:val="20"/>
                <w:szCs w:val="20"/>
                <w:color w:val="auto"/>
              </w:rPr>
            </w:pPr>
            <w:r>
              <w:rPr>
                <w:rFonts w:ascii="Arial" w:cs="Arial" w:eastAsia="Arial" w:hAnsi="Arial"/>
                <w:sz w:val="14"/>
                <w:szCs w:val="14"/>
                <w:b w:val="1"/>
                <w:bCs w:val="1"/>
                <w:color w:val="3D3935"/>
              </w:rPr>
              <w:t>Plan Category</w:t>
            </w:r>
          </w:p>
        </w:tc>
        <w:tc>
          <w:tcPr>
            <w:tcW w:w="2140" w:type="dxa"/>
            <w:vAlign w:val="bottom"/>
            <w:tcBorders>
              <w:bottom w:val="single" w:sz="8" w:color="0072CE"/>
            </w:tcBorders>
            <w:shd w:val="clear" w:color="auto" w:fill="F0F3F6"/>
          </w:tcPr>
          <w:p>
            <w:pPr>
              <w:jc w:val="center"/>
              <w:ind w:left="24"/>
              <w:spacing w:after="0"/>
              <w:rPr>
                <w:sz w:val="20"/>
                <w:szCs w:val="20"/>
                <w:color w:val="auto"/>
              </w:rPr>
            </w:pPr>
            <w:r>
              <w:rPr>
                <w:rFonts w:ascii="Arial" w:cs="Arial" w:eastAsia="Arial" w:hAnsi="Arial"/>
                <w:sz w:val="14"/>
                <w:szCs w:val="14"/>
                <w:b w:val="1"/>
                <w:bCs w:val="1"/>
                <w:color w:val="3D3935"/>
              </w:rPr>
              <w:t>Warrants, and Rights (A)</w:t>
            </w:r>
          </w:p>
        </w:tc>
        <w:tc>
          <w:tcPr>
            <w:tcW w:w="1640" w:type="dxa"/>
            <w:vAlign w:val="bottom"/>
            <w:tcBorders>
              <w:bottom w:val="single" w:sz="8" w:color="0072CE"/>
            </w:tcBorders>
            <w:shd w:val="clear" w:color="auto" w:fill="F0F3F6"/>
          </w:tcPr>
          <w:p>
            <w:pPr>
              <w:jc w:val="right"/>
              <w:ind w:right="125"/>
              <w:spacing w:after="0" w:line="201" w:lineRule="exact"/>
              <w:rPr>
                <w:sz w:val="20"/>
                <w:szCs w:val="20"/>
                <w:color w:val="auto"/>
              </w:rPr>
            </w:pPr>
            <w:r>
              <w:rPr>
                <w:rFonts w:ascii="Arial" w:cs="Arial" w:eastAsia="Arial" w:hAnsi="Arial"/>
                <w:sz w:val="14"/>
                <w:szCs w:val="14"/>
                <w:b w:val="1"/>
                <w:bCs w:val="1"/>
                <w:color w:val="3D3935"/>
              </w:rPr>
              <w:t>and Rights (B)</w:t>
            </w:r>
            <w:r>
              <w:rPr>
                <w:rFonts w:ascii="Arial" w:cs="Arial" w:eastAsia="Arial" w:hAnsi="Arial"/>
                <w:sz w:val="18"/>
                <w:szCs w:val="18"/>
                <w:b w:val="1"/>
                <w:bCs w:val="1"/>
                <w:color w:val="3D3935"/>
                <w:vertAlign w:val="superscript"/>
              </w:rPr>
              <w:t>(1)</w:t>
            </w:r>
          </w:p>
        </w:tc>
        <w:tc>
          <w:tcPr>
            <w:tcW w:w="2040" w:type="dxa"/>
            <w:vAlign w:val="bottom"/>
            <w:tcBorders>
              <w:bottom w:val="single" w:sz="8" w:color="0072CE"/>
            </w:tcBorders>
            <w:shd w:val="clear" w:color="auto" w:fill="F0F3F6"/>
          </w:tcPr>
          <w:p>
            <w:pPr>
              <w:jc w:val="right"/>
              <w:spacing w:after="0"/>
              <w:rPr>
                <w:sz w:val="20"/>
                <w:szCs w:val="20"/>
                <w:color w:val="auto"/>
              </w:rPr>
            </w:pPr>
            <w:r>
              <w:rPr>
                <w:rFonts w:ascii="Arial" w:cs="Arial" w:eastAsia="Arial" w:hAnsi="Arial"/>
                <w:sz w:val="14"/>
                <w:szCs w:val="14"/>
                <w:b w:val="1"/>
                <w:bCs w:val="1"/>
                <w:color w:val="3D3935"/>
              </w:rPr>
              <w:t>reflected in column (A)) (C)</w:t>
            </w:r>
          </w:p>
        </w:tc>
      </w:tr>
      <w:tr>
        <w:trPr>
          <w:trHeight w:val="236"/>
        </w:trPr>
        <w:tc>
          <w:tcPr>
            <w:tcW w:w="3260" w:type="dxa"/>
            <w:vAlign w:val="bottom"/>
          </w:tcPr>
          <w:p>
            <w:pPr>
              <w:ind w:left="60"/>
              <w:spacing w:after="0"/>
              <w:rPr>
                <w:sz w:val="20"/>
                <w:szCs w:val="20"/>
                <w:color w:val="auto"/>
              </w:rPr>
            </w:pPr>
            <w:r>
              <w:rPr>
                <w:rFonts w:ascii="Arial" w:cs="Arial" w:eastAsia="Arial" w:hAnsi="Arial"/>
                <w:sz w:val="16"/>
                <w:szCs w:val="16"/>
                <w:color w:val="3D3935"/>
              </w:rPr>
              <w:t>Equity compensation plans approved by</w:t>
            </w:r>
          </w:p>
        </w:tc>
        <w:tc>
          <w:tcPr>
            <w:tcW w:w="2140" w:type="dxa"/>
            <w:vAlign w:val="bottom"/>
          </w:tcPr>
          <w:p>
            <w:pPr>
              <w:ind w:left="860"/>
              <w:spacing w:after="0" w:line="236" w:lineRule="exact"/>
              <w:rPr>
                <w:sz w:val="20"/>
                <w:szCs w:val="20"/>
                <w:color w:val="auto"/>
              </w:rPr>
            </w:pPr>
            <w:r>
              <w:rPr>
                <w:rFonts w:ascii="Arial" w:cs="Arial" w:eastAsia="Arial" w:hAnsi="Arial"/>
                <w:sz w:val="16"/>
                <w:szCs w:val="16"/>
                <w:color w:val="3D3935"/>
              </w:rPr>
              <w:t xml:space="preserve">34,917,261 </w:t>
            </w:r>
            <w:r>
              <w:rPr>
                <w:rFonts w:ascii="Arial" w:cs="Arial" w:eastAsia="Arial" w:hAnsi="Arial"/>
                <w:sz w:val="21"/>
                <w:szCs w:val="21"/>
                <w:color w:val="3D3935"/>
                <w:vertAlign w:val="superscript"/>
              </w:rPr>
              <w:t>(2)</w:t>
            </w:r>
          </w:p>
        </w:tc>
        <w:tc>
          <w:tcPr>
            <w:tcW w:w="1640" w:type="dxa"/>
            <w:vAlign w:val="bottom"/>
          </w:tcPr>
          <w:p>
            <w:pPr>
              <w:jc w:val="right"/>
              <w:ind w:right="125"/>
              <w:spacing w:after="0"/>
              <w:rPr>
                <w:sz w:val="20"/>
                <w:szCs w:val="20"/>
                <w:color w:val="auto"/>
              </w:rPr>
            </w:pPr>
            <w:r>
              <w:rPr>
                <w:rFonts w:ascii="Arial" w:cs="Arial" w:eastAsia="Arial" w:hAnsi="Arial"/>
                <w:sz w:val="16"/>
                <w:szCs w:val="16"/>
                <w:color w:val="3D3935"/>
              </w:rPr>
              <w:t>$ 41.77</w:t>
            </w:r>
          </w:p>
        </w:tc>
        <w:tc>
          <w:tcPr>
            <w:tcW w:w="2040" w:type="dxa"/>
            <w:vAlign w:val="bottom"/>
          </w:tcPr>
          <w:p>
            <w:pPr>
              <w:ind w:left="920"/>
              <w:spacing w:after="0" w:line="236" w:lineRule="exact"/>
              <w:rPr>
                <w:sz w:val="20"/>
                <w:szCs w:val="20"/>
                <w:color w:val="auto"/>
              </w:rPr>
            </w:pPr>
            <w:r>
              <w:rPr>
                <w:rFonts w:ascii="Arial" w:cs="Arial" w:eastAsia="Arial" w:hAnsi="Arial"/>
                <w:sz w:val="16"/>
                <w:szCs w:val="16"/>
                <w:color w:val="3D3935"/>
              </w:rPr>
              <w:t xml:space="preserve">41,471,058 </w:t>
            </w:r>
            <w:r>
              <w:rPr>
                <w:rFonts w:ascii="Arial" w:cs="Arial" w:eastAsia="Arial" w:hAnsi="Arial"/>
                <w:sz w:val="21"/>
                <w:szCs w:val="21"/>
                <w:color w:val="3D3935"/>
                <w:vertAlign w:val="superscript"/>
              </w:rPr>
              <w:t>(3)</w:t>
            </w:r>
          </w:p>
        </w:tc>
      </w:tr>
      <w:tr>
        <w:trPr>
          <w:trHeight w:val="216"/>
        </w:trPr>
        <w:tc>
          <w:tcPr>
            <w:tcW w:w="326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security holders</w:t>
            </w:r>
          </w:p>
        </w:tc>
        <w:tc>
          <w:tcPr>
            <w:tcW w:w="2140" w:type="dxa"/>
            <w:vAlign w:val="bottom"/>
            <w:tcBorders>
              <w:bottom w:val="single" w:sz="8" w:color="D9D9D6"/>
            </w:tcBorders>
          </w:tcPr>
          <w:p>
            <w:pPr>
              <w:spacing w:after="0"/>
              <w:rPr>
                <w:sz w:val="18"/>
                <w:szCs w:val="18"/>
                <w:color w:val="auto"/>
              </w:rPr>
            </w:pPr>
          </w:p>
        </w:tc>
        <w:tc>
          <w:tcPr>
            <w:tcW w:w="1640" w:type="dxa"/>
            <w:vAlign w:val="bottom"/>
            <w:tcBorders>
              <w:bottom w:val="single" w:sz="8" w:color="D9D9D6"/>
            </w:tcBorders>
          </w:tcPr>
          <w:p>
            <w:pPr>
              <w:spacing w:after="0"/>
              <w:rPr>
                <w:sz w:val="18"/>
                <w:szCs w:val="18"/>
                <w:color w:val="auto"/>
              </w:rPr>
            </w:pPr>
          </w:p>
        </w:tc>
        <w:tc>
          <w:tcPr>
            <w:tcW w:w="2040" w:type="dxa"/>
            <w:vAlign w:val="bottom"/>
            <w:tcBorders>
              <w:bottom w:val="single" w:sz="8" w:color="D9D9D6"/>
            </w:tcBorders>
          </w:tcPr>
          <w:p>
            <w:pPr>
              <w:spacing w:after="0"/>
              <w:rPr>
                <w:sz w:val="18"/>
                <w:szCs w:val="18"/>
                <w:color w:val="auto"/>
              </w:rPr>
            </w:pPr>
          </w:p>
        </w:tc>
      </w:tr>
      <w:tr>
        <w:trPr>
          <w:trHeight w:val="237"/>
        </w:trPr>
        <w:tc>
          <w:tcPr>
            <w:tcW w:w="3260" w:type="dxa"/>
            <w:vAlign w:val="bottom"/>
          </w:tcPr>
          <w:p>
            <w:pPr>
              <w:ind w:left="60"/>
              <w:spacing w:after="0"/>
              <w:rPr>
                <w:sz w:val="20"/>
                <w:szCs w:val="20"/>
                <w:color w:val="auto"/>
              </w:rPr>
            </w:pPr>
            <w:r>
              <w:rPr>
                <w:rFonts w:ascii="Arial" w:cs="Arial" w:eastAsia="Arial" w:hAnsi="Arial"/>
                <w:sz w:val="16"/>
                <w:szCs w:val="16"/>
                <w:color w:val="3D3935"/>
              </w:rPr>
              <w:t>Equity compensation plans not approved</w:t>
            </w:r>
          </w:p>
        </w:tc>
        <w:tc>
          <w:tcPr>
            <w:tcW w:w="2140" w:type="dxa"/>
            <w:vAlign w:val="bottom"/>
          </w:tcPr>
          <w:p>
            <w:pPr>
              <w:ind w:left="1560"/>
              <w:spacing w:after="0"/>
              <w:rPr>
                <w:sz w:val="20"/>
                <w:szCs w:val="20"/>
                <w:color w:val="auto"/>
              </w:rPr>
            </w:pPr>
            <w:r>
              <w:rPr>
                <w:rFonts w:ascii="Arial" w:cs="Arial" w:eastAsia="Arial" w:hAnsi="Arial"/>
                <w:sz w:val="16"/>
                <w:szCs w:val="16"/>
                <w:color w:val="3D3935"/>
              </w:rPr>
              <w:t>—</w:t>
            </w:r>
          </w:p>
        </w:tc>
        <w:tc>
          <w:tcPr>
            <w:tcW w:w="1640" w:type="dxa"/>
            <w:vAlign w:val="bottom"/>
          </w:tcPr>
          <w:p>
            <w:pPr>
              <w:jc w:val="right"/>
              <w:ind w:right="85"/>
              <w:spacing w:after="0"/>
              <w:rPr>
                <w:sz w:val="20"/>
                <w:szCs w:val="20"/>
                <w:color w:val="auto"/>
              </w:rPr>
            </w:pPr>
            <w:r>
              <w:rPr>
                <w:rFonts w:ascii="Arial" w:cs="Arial" w:eastAsia="Arial" w:hAnsi="Arial"/>
                <w:sz w:val="16"/>
                <w:szCs w:val="16"/>
                <w:color w:val="3D3935"/>
              </w:rPr>
              <w:t>—</w:t>
            </w:r>
          </w:p>
        </w:tc>
        <w:tc>
          <w:tcPr>
            <w:tcW w:w="2040" w:type="dxa"/>
            <w:vAlign w:val="bottom"/>
          </w:tcPr>
          <w:p>
            <w:pPr>
              <w:jc w:val="right"/>
              <w:ind w:right="185"/>
              <w:spacing w:after="0"/>
              <w:rPr>
                <w:sz w:val="20"/>
                <w:szCs w:val="20"/>
                <w:color w:val="auto"/>
              </w:rPr>
            </w:pPr>
            <w:r>
              <w:rPr>
                <w:rFonts w:ascii="Arial" w:cs="Arial" w:eastAsia="Arial" w:hAnsi="Arial"/>
                <w:sz w:val="16"/>
                <w:szCs w:val="16"/>
                <w:color w:val="3D3935"/>
              </w:rPr>
              <w:t>—</w:t>
            </w:r>
          </w:p>
        </w:tc>
      </w:tr>
      <w:tr>
        <w:trPr>
          <w:trHeight w:val="216"/>
        </w:trPr>
        <w:tc>
          <w:tcPr>
            <w:tcW w:w="326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by security holders</w:t>
            </w:r>
          </w:p>
        </w:tc>
        <w:tc>
          <w:tcPr>
            <w:tcW w:w="2140" w:type="dxa"/>
            <w:vAlign w:val="bottom"/>
            <w:tcBorders>
              <w:bottom w:val="single" w:sz="8" w:color="D9D9D6"/>
            </w:tcBorders>
          </w:tcPr>
          <w:p>
            <w:pPr>
              <w:spacing w:after="0"/>
              <w:rPr>
                <w:sz w:val="18"/>
                <w:szCs w:val="18"/>
                <w:color w:val="auto"/>
              </w:rPr>
            </w:pPr>
          </w:p>
        </w:tc>
        <w:tc>
          <w:tcPr>
            <w:tcW w:w="1640" w:type="dxa"/>
            <w:vAlign w:val="bottom"/>
            <w:tcBorders>
              <w:bottom w:val="single" w:sz="8" w:color="D9D9D6"/>
            </w:tcBorders>
          </w:tcPr>
          <w:p>
            <w:pPr>
              <w:spacing w:after="0"/>
              <w:rPr>
                <w:sz w:val="18"/>
                <w:szCs w:val="18"/>
                <w:color w:val="auto"/>
              </w:rPr>
            </w:pPr>
          </w:p>
        </w:tc>
        <w:tc>
          <w:tcPr>
            <w:tcW w:w="2040" w:type="dxa"/>
            <w:vAlign w:val="bottom"/>
            <w:tcBorders>
              <w:bottom w:val="single" w:sz="8" w:color="D9D9D6"/>
            </w:tcBorders>
          </w:tcPr>
          <w:p>
            <w:pPr>
              <w:spacing w:after="0"/>
              <w:rPr>
                <w:sz w:val="18"/>
                <w:szCs w:val="18"/>
                <w:color w:val="auto"/>
              </w:rPr>
            </w:pPr>
          </w:p>
        </w:tc>
      </w:tr>
      <w:tr>
        <w:trPr>
          <w:trHeight w:val="250"/>
        </w:trPr>
        <w:tc>
          <w:tcPr>
            <w:tcW w:w="3260" w:type="dxa"/>
            <w:vAlign w:val="bottom"/>
            <w:tcBorders>
              <w:bottom w:val="single" w:sz="8" w:color="0072CE"/>
            </w:tcBorders>
          </w:tcPr>
          <w:p>
            <w:pPr>
              <w:ind w:left="60"/>
              <w:spacing w:after="0"/>
              <w:rPr>
                <w:sz w:val="20"/>
                <w:szCs w:val="20"/>
                <w:color w:val="auto"/>
              </w:rPr>
            </w:pPr>
            <w:r>
              <w:rPr>
                <w:rFonts w:ascii="Arial" w:cs="Arial" w:eastAsia="Arial" w:hAnsi="Arial"/>
                <w:sz w:val="16"/>
                <w:szCs w:val="16"/>
                <w:color w:val="3D3935"/>
              </w:rPr>
              <w:t>Total</w:t>
            </w:r>
          </w:p>
        </w:tc>
        <w:tc>
          <w:tcPr>
            <w:tcW w:w="2140" w:type="dxa"/>
            <w:vAlign w:val="bottom"/>
            <w:tcBorders>
              <w:bottom w:val="single" w:sz="8" w:color="0072CE"/>
            </w:tcBorders>
          </w:tcPr>
          <w:p>
            <w:pPr>
              <w:ind w:left="860"/>
              <w:spacing w:after="0"/>
              <w:rPr>
                <w:sz w:val="20"/>
                <w:szCs w:val="20"/>
                <w:color w:val="auto"/>
              </w:rPr>
            </w:pPr>
            <w:r>
              <w:rPr>
                <w:rFonts w:ascii="Arial" w:cs="Arial" w:eastAsia="Arial" w:hAnsi="Arial"/>
                <w:sz w:val="16"/>
                <w:szCs w:val="16"/>
                <w:color w:val="3D3935"/>
              </w:rPr>
              <w:t>34,917,261</w:t>
            </w:r>
          </w:p>
        </w:tc>
        <w:tc>
          <w:tcPr>
            <w:tcW w:w="1640" w:type="dxa"/>
            <w:vAlign w:val="bottom"/>
            <w:tcBorders>
              <w:bottom w:val="single" w:sz="8" w:color="0072CE"/>
            </w:tcBorders>
          </w:tcPr>
          <w:p>
            <w:pPr>
              <w:jc w:val="right"/>
              <w:ind w:right="125"/>
              <w:spacing w:after="0"/>
              <w:rPr>
                <w:sz w:val="20"/>
                <w:szCs w:val="20"/>
                <w:color w:val="auto"/>
              </w:rPr>
            </w:pPr>
            <w:r>
              <w:rPr>
                <w:rFonts w:ascii="Arial" w:cs="Arial" w:eastAsia="Arial" w:hAnsi="Arial"/>
                <w:sz w:val="16"/>
                <w:szCs w:val="16"/>
                <w:color w:val="3D3935"/>
              </w:rPr>
              <w:t>$ 41.77</w:t>
            </w:r>
          </w:p>
        </w:tc>
        <w:tc>
          <w:tcPr>
            <w:tcW w:w="2040" w:type="dxa"/>
            <w:vAlign w:val="bottom"/>
            <w:tcBorders>
              <w:bottom w:val="single" w:sz="8" w:color="0072CE"/>
            </w:tcBorders>
          </w:tcPr>
          <w:p>
            <w:pPr>
              <w:ind w:left="920"/>
              <w:spacing w:after="0"/>
              <w:rPr>
                <w:sz w:val="20"/>
                <w:szCs w:val="20"/>
                <w:color w:val="auto"/>
              </w:rPr>
            </w:pPr>
            <w:r>
              <w:rPr>
                <w:rFonts w:ascii="Arial" w:cs="Arial" w:eastAsia="Arial" w:hAnsi="Arial"/>
                <w:sz w:val="16"/>
                <w:szCs w:val="16"/>
                <w:color w:val="3D3935"/>
              </w:rPr>
              <w:t>41,471,058</w:t>
            </w:r>
          </w:p>
        </w:tc>
      </w:tr>
    </w:tbl>
    <w:p>
      <w:pPr>
        <w:spacing w:after="0" w:line="166" w:lineRule="exact"/>
        <w:rPr>
          <w:sz w:val="20"/>
          <w:szCs w:val="20"/>
          <w:color w:val="auto"/>
        </w:rPr>
      </w:pPr>
    </w:p>
    <w:p>
      <w:pPr>
        <w:ind w:left="200" w:right="120" w:hanging="192"/>
        <w:spacing w:after="0" w:line="239" w:lineRule="auto"/>
        <w:tabs>
          <w:tab w:leader="none" w:pos="200" w:val="left"/>
        </w:tabs>
        <w:numPr>
          <w:ilvl w:val="0"/>
          <w:numId w:val="119"/>
        </w:numPr>
        <w:rPr>
          <w:rFonts w:ascii="Arial" w:cs="Arial" w:eastAsia="Arial" w:hAnsi="Arial"/>
          <w:sz w:val="19"/>
          <w:szCs w:val="19"/>
          <w:color w:val="3D3935"/>
          <w:vertAlign w:val="superscript"/>
        </w:rPr>
      </w:pPr>
      <w:r>
        <w:rPr>
          <w:rFonts w:ascii="Arial" w:cs="Arial" w:eastAsia="Arial" w:hAnsi="Arial"/>
          <w:sz w:val="14"/>
          <w:szCs w:val="14"/>
          <w:color w:val="3D3935"/>
        </w:rPr>
        <w:t>Represents the weighted-average exercise price of outstanding options. The weighted-average price does not take RSU and PSU awards into account since they do not have exercise prices.</w:t>
      </w:r>
    </w:p>
    <w:p>
      <w:pPr>
        <w:spacing w:after="0" w:line="25" w:lineRule="exact"/>
        <w:rPr>
          <w:rFonts w:ascii="Arial" w:cs="Arial" w:eastAsia="Arial" w:hAnsi="Arial"/>
          <w:sz w:val="19"/>
          <w:szCs w:val="19"/>
          <w:color w:val="3D3935"/>
          <w:vertAlign w:val="superscript"/>
        </w:rPr>
      </w:pPr>
    </w:p>
    <w:p>
      <w:pPr>
        <w:ind w:left="200" w:hanging="192"/>
        <w:spacing w:after="0"/>
        <w:tabs>
          <w:tab w:leader="none" w:pos="200" w:val="left"/>
        </w:tabs>
        <w:numPr>
          <w:ilvl w:val="0"/>
          <w:numId w:val="119"/>
        </w:numPr>
        <w:rPr>
          <w:rFonts w:ascii="Arial" w:cs="Arial" w:eastAsia="Arial" w:hAnsi="Arial"/>
          <w:sz w:val="19"/>
          <w:szCs w:val="19"/>
          <w:color w:val="3D3935"/>
          <w:vertAlign w:val="superscript"/>
        </w:rPr>
      </w:pPr>
      <w:r>
        <w:rPr>
          <w:rFonts w:ascii="Arial" w:cs="Arial" w:eastAsia="Arial" w:hAnsi="Arial"/>
          <w:sz w:val="14"/>
          <w:szCs w:val="14"/>
          <w:color w:val="3D3935"/>
        </w:rPr>
        <w:t>The number includes the following:</w:t>
      </w:r>
    </w:p>
    <w:p>
      <w:pPr>
        <w:spacing w:after="0" w:line="43" w:lineRule="exact"/>
        <w:rPr>
          <w:rFonts w:ascii="Arial" w:cs="Arial" w:eastAsia="Arial" w:hAnsi="Arial"/>
          <w:sz w:val="19"/>
          <w:szCs w:val="19"/>
          <w:color w:val="3D3935"/>
          <w:vertAlign w:val="superscript"/>
        </w:rPr>
      </w:pPr>
    </w:p>
    <w:p>
      <w:pPr>
        <w:ind w:left="400" w:hanging="198"/>
        <w:spacing w:after="0" w:line="219" w:lineRule="auto"/>
        <w:tabs>
          <w:tab w:leader="none" w:pos="400" w:val="left"/>
        </w:tabs>
        <w:numPr>
          <w:ilvl w:val="1"/>
          <w:numId w:val="119"/>
        </w:numPr>
        <w:rPr>
          <w:rFonts w:ascii="Arial" w:cs="Arial" w:eastAsia="Arial" w:hAnsi="Arial"/>
          <w:sz w:val="19"/>
          <w:szCs w:val="19"/>
          <w:color w:val="3D3935"/>
          <w:vertAlign w:val="superscript"/>
        </w:rPr>
      </w:pPr>
      <w:r>
        <w:rPr>
          <w:rFonts w:ascii="Arial" w:cs="Arial" w:eastAsia="Arial" w:hAnsi="Arial"/>
          <w:sz w:val="14"/>
          <w:szCs w:val="14"/>
          <w:color w:val="3D3935"/>
        </w:rPr>
        <w:t>13,562,778 shares represent options.</w:t>
      </w:r>
    </w:p>
    <w:p>
      <w:pPr>
        <w:spacing w:after="0" w:line="66" w:lineRule="exact"/>
        <w:rPr>
          <w:rFonts w:ascii="Arial" w:cs="Arial" w:eastAsia="Arial" w:hAnsi="Arial"/>
          <w:sz w:val="19"/>
          <w:szCs w:val="19"/>
          <w:color w:val="3D3935"/>
          <w:vertAlign w:val="superscript"/>
        </w:rPr>
      </w:pPr>
    </w:p>
    <w:p>
      <w:pPr>
        <w:ind w:left="400" w:right="140" w:hanging="198"/>
        <w:spacing w:after="0" w:line="239" w:lineRule="auto"/>
        <w:tabs>
          <w:tab w:leader="none" w:pos="400" w:val="left"/>
        </w:tabs>
        <w:numPr>
          <w:ilvl w:val="1"/>
          <w:numId w:val="119"/>
        </w:numPr>
        <w:rPr>
          <w:rFonts w:ascii="Arial" w:cs="Arial" w:eastAsia="Arial" w:hAnsi="Arial"/>
          <w:sz w:val="19"/>
          <w:szCs w:val="19"/>
          <w:color w:val="3D3935"/>
          <w:vertAlign w:val="superscript"/>
        </w:rPr>
      </w:pPr>
      <w:r>
        <w:rPr>
          <w:rFonts w:ascii="Arial" w:cs="Arial" w:eastAsia="Arial" w:hAnsi="Arial"/>
          <w:sz w:val="14"/>
          <w:szCs w:val="14"/>
          <w:color w:val="3D3935"/>
        </w:rPr>
        <w:t>14,597,260 shares represent PSU awards assuming performance is achieved at target. For performance above target, awards may be settled in common stock, cash, or a combination of both.</w:t>
      </w:r>
    </w:p>
    <w:p>
      <w:pPr>
        <w:sectPr>
          <w:pgSz w:w="11900" w:h="16855" w:orient="portrait"/>
          <w:cols w:equalWidth="0" w:num="1">
            <w:col w:w="9080"/>
          </w:cols>
          <w:pgMar w:left="1400" w:top="118" w:right="1419" w:bottom="0" w:gutter="0" w:footer="0" w:header="0"/>
        </w:sectPr>
      </w:pPr>
    </w:p>
    <w:bookmarkStart w:id="82" w:name="page83"/>
    <w:bookmarkEnd w:id="82"/>
    <w:p>
      <w:pPr>
        <w:ind w:left="400" w:hanging="198"/>
        <w:spacing w:after="0"/>
        <w:tabs>
          <w:tab w:leader="none" w:pos="400" w:val="left"/>
        </w:tabs>
        <w:numPr>
          <w:ilvl w:val="0"/>
          <w:numId w:val="120"/>
        </w:numPr>
        <w:rPr>
          <w:rFonts w:ascii="Arial" w:cs="Arial" w:eastAsia="Arial" w:hAnsi="Arial"/>
          <w:sz w:val="9"/>
          <w:szCs w:val="9"/>
          <w:color w:val="3D3935"/>
        </w:rPr>
      </w:pPr>
      <w:r>
        <w:rPr>
          <w:rFonts w:ascii="Arial" w:cs="Arial" w:eastAsia="Arial" w:hAnsi="Arial"/>
          <w:sz w:val="14"/>
          <w:szCs w:val="14"/>
          <w:color w:val="3D3935"/>
        </w:rPr>
        <w:t>6,757,223 shares represent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-95885</wp:posOffset>
            </wp:positionV>
            <wp:extent cx="6810375" cy="49053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10375" cy="4905375"/>
                    </a:xfrm>
                    <a:prstGeom prst="rect">
                      <a:avLst/>
                    </a:prstGeom>
                    <a:noFill/>
                  </pic:spPr>
                </pic:pic>
              </a:graphicData>
            </a:graphic>
          </wp:anchor>
        </w:drawing>
      </w:r>
    </w:p>
    <w:p>
      <w:pPr>
        <w:spacing w:after="0" w:line="62" w:lineRule="exact"/>
        <w:rPr>
          <w:sz w:val="20"/>
          <w:szCs w:val="20"/>
          <w:color w:val="auto"/>
        </w:rPr>
      </w:pPr>
    </w:p>
    <w:p>
      <w:pPr>
        <w:ind w:left="200" w:right="140"/>
        <w:spacing w:after="0" w:line="303" w:lineRule="auto"/>
        <w:rPr>
          <w:sz w:val="20"/>
          <w:szCs w:val="20"/>
          <w:color w:val="auto"/>
        </w:rPr>
      </w:pPr>
      <w:r>
        <w:rPr>
          <w:rFonts w:ascii="Arial" w:cs="Arial" w:eastAsia="Arial" w:hAnsi="Arial"/>
          <w:sz w:val="14"/>
          <w:szCs w:val="14"/>
          <w:color w:val="3D3935"/>
        </w:rPr>
        <w:t>The number represents awards outstanding under our 2020 Long-Term Incentive Plan and the Company’s predecessor plans (i.e., the 2014 Long-Term Incentive Plan and the 2017 Long-Term Incentive Plan). The only awards outstanding under the Company’s predecessor plans are vested and unexercised options.</w:t>
      </w:r>
    </w:p>
    <w:p>
      <w:pPr>
        <w:spacing w:after="0" w:line="25" w:lineRule="exact"/>
        <w:rPr>
          <w:sz w:val="20"/>
          <w:szCs w:val="20"/>
          <w:color w:val="auto"/>
        </w:rPr>
      </w:pPr>
    </w:p>
    <w:p>
      <w:pPr>
        <w:ind w:left="200" w:right="220" w:hanging="192"/>
        <w:spacing w:after="0" w:line="264" w:lineRule="auto"/>
        <w:tabs>
          <w:tab w:leader="none" w:pos="200" w:val="left"/>
        </w:tabs>
        <w:numPr>
          <w:ilvl w:val="0"/>
          <w:numId w:val="121"/>
        </w:numPr>
        <w:rPr>
          <w:rFonts w:ascii="Arial" w:cs="Arial" w:eastAsia="Arial" w:hAnsi="Arial"/>
          <w:sz w:val="19"/>
          <w:szCs w:val="19"/>
          <w:color w:val="3D3935"/>
          <w:vertAlign w:val="superscript"/>
        </w:rPr>
      </w:pPr>
      <w:r>
        <w:rPr>
          <w:rFonts w:ascii="Arial" w:cs="Arial" w:eastAsia="Arial" w:hAnsi="Arial"/>
          <w:sz w:val="14"/>
          <w:szCs w:val="14"/>
          <w:color w:val="3D3935"/>
        </w:rPr>
        <w:t>New awards are only granted under our 2020 Long-Term Incentive Plan, effective June 17, 2020, when the plan was approved by our shareholders. Shares that remained available for issuance under the Company’s predecessor plans were only used to settle outstanding awards that were granted under such plans prior to June 17, 2020. As of December 31, 2024, shares that remain under our 2014 Long-Term Incentive Plan and our 2017 Long-Term Incentive Plan will not be used and have been excluded.</w:t>
      </w:r>
    </w:p>
    <w:p>
      <w:pPr>
        <w:spacing w:after="0" w:line="128" w:lineRule="exact"/>
        <w:rPr>
          <w:sz w:val="20"/>
          <w:szCs w:val="20"/>
          <w:color w:val="auto"/>
        </w:rPr>
      </w:pPr>
    </w:p>
    <w:p>
      <w:pPr>
        <w:ind w:right="400"/>
        <w:spacing w:after="0" w:line="299" w:lineRule="auto"/>
        <w:rPr>
          <w:sz w:val="20"/>
          <w:szCs w:val="20"/>
          <w:color w:val="auto"/>
        </w:rPr>
      </w:pPr>
      <w:r>
        <w:rPr>
          <w:rFonts w:ascii="Arial" w:cs="Arial" w:eastAsia="Arial" w:hAnsi="Arial"/>
          <w:sz w:val="16"/>
          <w:szCs w:val="16"/>
          <w:color w:val="3D3935"/>
        </w:rPr>
        <w:t>The following table provides information about the Company’s common stock usage for awards granted and performance awards vested/earned during fiscal year 2024 under the Company’s equity compensation plan.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40" w:type="dxa"/>
            <w:vAlign w:val="bottom"/>
            <w:shd w:val="clear" w:color="auto" w:fill="F0F3F6"/>
          </w:tcPr>
          <w:p>
            <w:pPr>
              <w:spacing w:after="0"/>
              <w:rPr>
                <w:sz w:val="19"/>
                <w:szCs w:val="19"/>
                <w:color w:val="auto"/>
              </w:rPr>
            </w:pPr>
          </w:p>
        </w:tc>
        <w:tc>
          <w:tcPr>
            <w:tcW w:w="3960" w:type="dxa"/>
            <w:vAlign w:val="bottom"/>
            <w:shd w:val="clear" w:color="auto" w:fill="F0F3F6"/>
          </w:tcPr>
          <w:p>
            <w:pPr>
              <w:spacing w:after="0"/>
              <w:rPr>
                <w:sz w:val="19"/>
                <w:szCs w:val="19"/>
                <w:color w:val="auto"/>
              </w:rPr>
            </w:pPr>
          </w:p>
        </w:tc>
        <w:tc>
          <w:tcPr>
            <w:tcW w:w="1680" w:type="dxa"/>
            <w:vAlign w:val="bottom"/>
            <w:shd w:val="clear" w:color="auto" w:fill="F0F3F6"/>
          </w:tcPr>
          <w:p>
            <w:pPr>
              <w:jc w:val="right"/>
              <w:spacing w:after="0"/>
              <w:rPr>
                <w:sz w:val="20"/>
                <w:szCs w:val="20"/>
                <w:color w:val="auto"/>
              </w:rPr>
            </w:pPr>
            <w:r>
              <w:rPr>
                <w:rFonts w:ascii="Arial" w:cs="Arial" w:eastAsia="Arial" w:hAnsi="Arial"/>
                <w:sz w:val="14"/>
                <w:szCs w:val="14"/>
                <w:b w:val="1"/>
                <w:bCs w:val="1"/>
                <w:color w:val="3D3935"/>
              </w:rPr>
              <w:t>Performance Awards</w:t>
            </w:r>
          </w:p>
        </w:tc>
      </w:tr>
      <w:tr>
        <w:trPr>
          <w:trHeight w:val="197"/>
        </w:trPr>
        <w:tc>
          <w:tcPr>
            <w:tcW w:w="3440" w:type="dxa"/>
            <w:vAlign w:val="bottom"/>
            <w:tcBorders>
              <w:bottom w:val="single" w:sz="8" w:color="0072CE"/>
            </w:tcBorders>
            <w:shd w:val="clear" w:color="auto" w:fill="F0F3F6"/>
          </w:tcPr>
          <w:p>
            <w:pPr>
              <w:spacing w:after="0"/>
              <w:rPr>
                <w:sz w:val="17"/>
                <w:szCs w:val="17"/>
                <w:color w:val="auto"/>
              </w:rPr>
            </w:pPr>
          </w:p>
        </w:tc>
        <w:tc>
          <w:tcPr>
            <w:tcW w:w="3960" w:type="dxa"/>
            <w:vAlign w:val="bottom"/>
            <w:tcBorders>
              <w:bottom w:val="single" w:sz="8" w:color="0072CE"/>
            </w:tcBorders>
            <w:shd w:val="clear" w:color="auto" w:fill="F0F3F6"/>
          </w:tcPr>
          <w:p>
            <w:pPr>
              <w:jc w:val="right"/>
              <w:ind w:right="102"/>
              <w:spacing w:after="0"/>
              <w:rPr>
                <w:sz w:val="20"/>
                <w:szCs w:val="20"/>
                <w:color w:val="auto"/>
              </w:rPr>
            </w:pPr>
            <w:r>
              <w:rPr>
                <w:rFonts w:ascii="Arial" w:cs="Arial" w:eastAsia="Arial" w:hAnsi="Arial"/>
                <w:sz w:val="14"/>
                <w:szCs w:val="14"/>
                <w:b w:val="1"/>
                <w:bCs w:val="1"/>
                <w:color w:val="3D3935"/>
              </w:rPr>
              <w:t>Granted</w:t>
            </w:r>
          </w:p>
        </w:tc>
        <w:tc>
          <w:tcPr>
            <w:tcW w:w="1680" w:type="dxa"/>
            <w:vAlign w:val="bottom"/>
            <w:tcBorders>
              <w:bottom w:val="single" w:sz="8" w:color="0072CE"/>
            </w:tcBorders>
            <w:shd w:val="clear" w:color="auto" w:fill="F0F3F6"/>
          </w:tcPr>
          <w:p>
            <w:pPr>
              <w:jc w:val="right"/>
              <w:ind w:right="4"/>
              <w:spacing w:after="0"/>
              <w:rPr>
                <w:sz w:val="20"/>
                <w:szCs w:val="20"/>
                <w:color w:val="auto"/>
              </w:rPr>
            </w:pPr>
            <w:r>
              <w:rPr>
                <w:rFonts w:ascii="Arial" w:cs="Arial" w:eastAsia="Arial" w:hAnsi="Arial"/>
                <w:sz w:val="14"/>
                <w:szCs w:val="14"/>
                <w:b w:val="1"/>
                <w:bCs w:val="1"/>
                <w:color w:val="3D3935"/>
              </w:rPr>
              <w:t>Vested/Earned</w:t>
            </w:r>
          </w:p>
        </w:tc>
      </w:tr>
      <w:tr>
        <w:trPr>
          <w:trHeight w:val="250"/>
        </w:trPr>
        <w:tc>
          <w:tcPr>
            <w:tcW w:w="344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RSUs</w:t>
            </w:r>
          </w:p>
        </w:tc>
        <w:tc>
          <w:tcPr>
            <w:tcW w:w="3960" w:type="dxa"/>
            <w:vAlign w:val="bottom"/>
            <w:tcBorders>
              <w:bottom w:val="single" w:sz="8" w:color="D9D9D6"/>
            </w:tcBorders>
          </w:tcPr>
          <w:p>
            <w:pPr>
              <w:jc w:val="right"/>
              <w:ind w:right="202"/>
              <w:spacing w:after="0"/>
              <w:rPr>
                <w:sz w:val="20"/>
                <w:szCs w:val="20"/>
                <w:color w:val="auto"/>
              </w:rPr>
            </w:pPr>
            <w:r>
              <w:rPr>
                <w:rFonts w:ascii="Arial" w:cs="Arial" w:eastAsia="Arial" w:hAnsi="Arial"/>
                <w:sz w:val="16"/>
                <w:szCs w:val="16"/>
                <w:color w:val="3D3935"/>
              </w:rPr>
              <w:t>5,700,000</w:t>
            </w:r>
          </w:p>
        </w:tc>
        <w:tc>
          <w:tcPr>
            <w:tcW w:w="168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r>
      <w:tr>
        <w:trPr>
          <w:trHeight w:val="250"/>
        </w:trPr>
        <w:tc>
          <w:tcPr>
            <w:tcW w:w="3440" w:type="dxa"/>
            <w:vAlign w:val="bottom"/>
            <w:tcBorders>
              <w:bottom w:val="single" w:sz="8" w:color="0072CE"/>
            </w:tcBorders>
          </w:tcPr>
          <w:p>
            <w:pPr>
              <w:ind w:left="60"/>
              <w:spacing w:after="0"/>
              <w:rPr>
                <w:sz w:val="20"/>
                <w:szCs w:val="20"/>
                <w:color w:val="auto"/>
              </w:rPr>
            </w:pPr>
            <w:r>
              <w:rPr>
                <w:rFonts w:ascii="Arial" w:cs="Arial" w:eastAsia="Arial" w:hAnsi="Arial"/>
                <w:sz w:val="16"/>
                <w:szCs w:val="16"/>
                <w:color w:val="3D3935"/>
              </w:rPr>
              <w:t>PSUs</w:t>
            </w:r>
          </w:p>
        </w:tc>
        <w:tc>
          <w:tcPr>
            <w:tcW w:w="3960" w:type="dxa"/>
            <w:vAlign w:val="bottom"/>
            <w:tcBorders>
              <w:bottom w:val="single" w:sz="8" w:color="0072CE"/>
            </w:tcBorders>
          </w:tcPr>
          <w:p>
            <w:pPr>
              <w:jc w:val="right"/>
              <w:ind w:right="222"/>
              <w:spacing w:after="0"/>
              <w:rPr>
                <w:sz w:val="20"/>
                <w:szCs w:val="20"/>
                <w:color w:val="auto"/>
              </w:rPr>
            </w:pPr>
            <w:r>
              <w:rPr>
                <w:rFonts w:ascii="Arial" w:cs="Arial" w:eastAsia="Arial" w:hAnsi="Arial"/>
                <w:sz w:val="16"/>
                <w:szCs w:val="16"/>
                <w:color w:val="3D3935"/>
              </w:rPr>
              <w:t>4,300,000</w:t>
            </w:r>
          </w:p>
        </w:tc>
        <w:tc>
          <w:tcPr>
            <w:tcW w:w="1680" w:type="dxa"/>
            <w:vAlign w:val="bottom"/>
            <w:tcBorders>
              <w:bottom w:val="single" w:sz="8" w:color="0072CE"/>
            </w:tcBorders>
          </w:tcPr>
          <w:p>
            <w:pPr>
              <w:jc w:val="right"/>
              <w:ind w:right="84"/>
              <w:spacing w:after="0"/>
              <w:rPr>
                <w:sz w:val="20"/>
                <w:szCs w:val="20"/>
                <w:color w:val="auto"/>
              </w:rPr>
            </w:pPr>
            <w:r>
              <w:rPr>
                <w:rFonts w:ascii="Arial" w:cs="Arial" w:eastAsia="Arial" w:hAnsi="Arial"/>
                <w:sz w:val="16"/>
                <w:szCs w:val="16"/>
                <w:color w:val="3D3935"/>
              </w:rPr>
              <w:t>2,400,000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55283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10375" cy="5528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right="2000"/>
        <w:spacing w:after="0" w:line="293" w:lineRule="auto"/>
        <w:rPr>
          <w:sz w:val="20"/>
          <w:szCs w:val="20"/>
          <w:color w:val="auto"/>
        </w:rPr>
      </w:pPr>
      <w:r>
        <w:rPr>
          <w:rFonts w:ascii="Arial" w:cs="Arial" w:eastAsia="Arial" w:hAnsi="Arial"/>
          <w:sz w:val="49"/>
          <w:szCs w:val="49"/>
          <w:b w:val="1"/>
          <w:bCs w:val="1"/>
          <w:color w:val="3D3935"/>
        </w:rPr>
        <w:t>General Information About the Annual Meeting</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Voting and Meeting Information</w:t>
      </w:r>
    </w:p>
    <w:p>
      <w:pPr>
        <w:spacing w:after="0" w:line="112" w:lineRule="exact"/>
        <w:rPr>
          <w:sz w:val="20"/>
          <w:szCs w:val="20"/>
          <w:color w:val="auto"/>
        </w:rPr>
      </w:pPr>
    </w:p>
    <w:p>
      <w:pPr>
        <w:ind w:right="680"/>
        <w:spacing w:after="0" w:line="273" w:lineRule="auto"/>
        <w:rPr>
          <w:sz w:val="20"/>
          <w:szCs w:val="20"/>
          <w:color w:val="auto"/>
        </w:rPr>
      </w:pPr>
      <w:r>
        <w:rPr>
          <w:rFonts w:ascii="Arial" w:cs="Arial" w:eastAsia="Arial" w:hAnsi="Arial"/>
          <w:sz w:val="22"/>
          <w:szCs w:val="22"/>
          <w:b w:val="1"/>
          <w:bCs w:val="1"/>
          <w:color w:val="3D3935"/>
        </w:rPr>
        <w:t>What are the matters to be presented at the Annual Meeting? How does the Board recommend that I vote, and what are the vote requirements?</w:t>
      </w:r>
      <w:r>
        <w:rPr>
          <w:rFonts w:ascii="Arial" w:cs="Arial" w:eastAsia="Arial" w:hAnsi="Arial"/>
          <w:sz w:val="28"/>
          <w:szCs w:val="28"/>
          <w:b w:val="1"/>
          <w:bCs w:val="1"/>
          <w:color w:val="3D3935"/>
          <w:vertAlign w:val="superscript"/>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60" w:type="dxa"/>
            <w:vAlign w:val="bottom"/>
            <w:shd w:val="clear" w:color="auto" w:fill="F0F3F6"/>
          </w:tcPr>
          <w:p>
            <w:pPr>
              <w:jc w:val="center"/>
              <w:spacing w:after="0"/>
              <w:rPr>
                <w:sz w:val="20"/>
                <w:szCs w:val="20"/>
                <w:color w:val="auto"/>
              </w:rPr>
            </w:pPr>
            <w:r>
              <w:rPr>
                <w:rFonts w:ascii="Arial" w:cs="Arial" w:eastAsia="Arial" w:hAnsi="Arial"/>
                <w:sz w:val="14"/>
                <w:szCs w:val="14"/>
                <w:b w:val="1"/>
                <w:bCs w:val="1"/>
                <w:color w:val="3D3935"/>
              </w:rPr>
              <w:t>Agenda</w:t>
            </w:r>
          </w:p>
        </w:tc>
        <w:tc>
          <w:tcPr>
            <w:tcW w:w="2600" w:type="dxa"/>
            <w:vAlign w:val="bottom"/>
            <w:shd w:val="clear" w:color="auto" w:fill="F0F3F6"/>
          </w:tcPr>
          <w:p>
            <w:pPr>
              <w:spacing w:after="0"/>
              <w:rPr>
                <w:sz w:val="18"/>
                <w:szCs w:val="18"/>
                <w:color w:val="auto"/>
              </w:rPr>
            </w:pPr>
          </w:p>
        </w:tc>
        <w:tc>
          <w:tcPr>
            <w:tcW w:w="1380" w:type="dxa"/>
            <w:vAlign w:val="bottom"/>
            <w:shd w:val="clear" w:color="auto" w:fill="F0F3F6"/>
          </w:tcPr>
          <w:p>
            <w:pPr>
              <w:jc w:val="center"/>
              <w:spacing w:after="0"/>
              <w:rPr>
                <w:sz w:val="20"/>
                <w:szCs w:val="20"/>
                <w:color w:val="auto"/>
              </w:rPr>
            </w:pPr>
            <w:r>
              <w:rPr>
                <w:rFonts w:ascii="Arial" w:cs="Arial" w:eastAsia="Arial" w:hAnsi="Arial"/>
                <w:sz w:val="14"/>
                <w:szCs w:val="14"/>
                <w:b w:val="1"/>
                <w:bCs w:val="1"/>
                <w:color w:val="3D3935"/>
              </w:rPr>
              <w:t>Board</w:t>
            </w:r>
          </w:p>
        </w:tc>
        <w:tc>
          <w:tcPr>
            <w:tcW w:w="2260" w:type="dxa"/>
            <w:vAlign w:val="bottom"/>
            <w:shd w:val="clear" w:color="auto" w:fill="F0F3F6"/>
          </w:tcPr>
          <w:p>
            <w:pPr>
              <w:spacing w:after="0"/>
              <w:rPr>
                <w:sz w:val="18"/>
                <w:szCs w:val="18"/>
                <w:color w:val="auto"/>
              </w:rPr>
            </w:pPr>
          </w:p>
        </w:tc>
        <w:tc>
          <w:tcPr>
            <w:tcW w:w="980" w:type="dxa"/>
            <w:vAlign w:val="bottom"/>
            <w:shd w:val="clear" w:color="auto" w:fill="F0F3F6"/>
          </w:tcPr>
          <w:p>
            <w:pPr>
              <w:jc w:val="center"/>
              <w:spacing w:after="0"/>
              <w:rPr>
                <w:sz w:val="20"/>
                <w:szCs w:val="20"/>
                <w:color w:val="auto"/>
              </w:rPr>
            </w:pPr>
            <w:r>
              <w:rPr>
                <w:rFonts w:ascii="Arial" w:cs="Arial" w:eastAsia="Arial" w:hAnsi="Arial"/>
                <w:sz w:val="14"/>
                <w:szCs w:val="14"/>
                <w:b w:val="1"/>
                <w:bCs w:val="1"/>
                <w:color w:val="3D3935"/>
              </w:rPr>
              <w:t>Effect of</w:t>
            </w:r>
          </w:p>
        </w:tc>
        <w:tc>
          <w:tcPr>
            <w:tcW w:w="1200" w:type="dxa"/>
            <w:vAlign w:val="bottom"/>
            <w:shd w:val="clear" w:color="auto" w:fill="F0F3F6"/>
          </w:tcPr>
          <w:p>
            <w:pPr>
              <w:jc w:val="center"/>
              <w:spacing w:after="0"/>
              <w:rPr>
                <w:sz w:val="20"/>
                <w:szCs w:val="20"/>
                <w:color w:val="auto"/>
              </w:rPr>
            </w:pPr>
            <w:r>
              <w:rPr>
                <w:rFonts w:ascii="Arial" w:cs="Arial" w:eastAsia="Arial" w:hAnsi="Arial"/>
                <w:sz w:val="14"/>
                <w:szCs w:val="14"/>
                <w:b w:val="1"/>
                <w:bCs w:val="1"/>
                <w:color w:val="3D3935"/>
              </w:rPr>
              <w:t>Effect of Broker</w:t>
            </w:r>
          </w:p>
        </w:tc>
        <w:tc>
          <w:tcPr>
            <w:tcW w:w="0" w:type="dxa"/>
            <w:vAlign w:val="bottom"/>
          </w:tcPr>
          <w:p>
            <w:pPr>
              <w:spacing w:after="0"/>
              <w:rPr>
                <w:sz w:val="1"/>
                <w:szCs w:val="1"/>
                <w:color w:val="auto"/>
              </w:rPr>
            </w:pPr>
          </w:p>
        </w:tc>
      </w:tr>
      <w:tr>
        <w:trPr>
          <w:trHeight w:val="197"/>
        </w:trPr>
        <w:tc>
          <w:tcPr>
            <w:tcW w:w="660" w:type="dxa"/>
            <w:vAlign w:val="bottom"/>
            <w:tcBorders>
              <w:bottom w:val="single" w:sz="8" w:color="0072CE"/>
            </w:tcBorders>
            <w:shd w:val="clear" w:color="auto" w:fill="F0F3F6"/>
          </w:tcPr>
          <w:p>
            <w:pPr>
              <w:jc w:val="center"/>
              <w:spacing w:after="0"/>
              <w:rPr>
                <w:sz w:val="20"/>
                <w:szCs w:val="20"/>
                <w:color w:val="auto"/>
              </w:rPr>
            </w:pPr>
            <w:r>
              <w:rPr>
                <w:rFonts w:ascii="Arial" w:cs="Arial" w:eastAsia="Arial" w:hAnsi="Arial"/>
                <w:sz w:val="14"/>
                <w:szCs w:val="14"/>
                <w:b w:val="1"/>
                <w:bCs w:val="1"/>
                <w:color w:val="3D3935"/>
              </w:rPr>
              <w:t>Item</w:t>
            </w:r>
          </w:p>
        </w:tc>
        <w:tc>
          <w:tcPr>
            <w:tcW w:w="2600" w:type="dxa"/>
            <w:vAlign w:val="bottom"/>
            <w:tcBorders>
              <w:bottom w:val="single" w:sz="8" w:color="0072CE"/>
            </w:tcBorders>
            <w:shd w:val="clear" w:color="auto" w:fill="F0F3F6"/>
          </w:tcPr>
          <w:p>
            <w:pPr>
              <w:ind w:left="60"/>
              <w:spacing w:after="0"/>
              <w:rPr>
                <w:sz w:val="20"/>
                <w:szCs w:val="20"/>
                <w:color w:val="auto"/>
              </w:rPr>
            </w:pPr>
            <w:r>
              <w:rPr>
                <w:rFonts w:ascii="Arial" w:cs="Arial" w:eastAsia="Arial" w:hAnsi="Arial"/>
                <w:sz w:val="14"/>
                <w:szCs w:val="14"/>
                <w:b w:val="1"/>
                <w:bCs w:val="1"/>
                <w:color w:val="3D3935"/>
              </w:rPr>
              <w:t>Description</w:t>
            </w:r>
          </w:p>
        </w:tc>
        <w:tc>
          <w:tcPr>
            <w:tcW w:w="1380" w:type="dxa"/>
            <w:vAlign w:val="bottom"/>
            <w:tcBorders>
              <w:bottom w:val="single" w:sz="8" w:color="0072CE"/>
            </w:tcBorders>
            <w:shd w:val="clear" w:color="auto" w:fill="F0F3F6"/>
          </w:tcPr>
          <w:p>
            <w:pPr>
              <w:jc w:val="center"/>
              <w:spacing w:after="0"/>
              <w:rPr>
                <w:sz w:val="20"/>
                <w:szCs w:val="20"/>
                <w:color w:val="auto"/>
              </w:rPr>
            </w:pPr>
            <w:r>
              <w:rPr>
                <w:rFonts w:ascii="Arial" w:cs="Arial" w:eastAsia="Arial" w:hAnsi="Arial"/>
                <w:sz w:val="14"/>
                <w:szCs w:val="14"/>
                <w:b w:val="1"/>
                <w:bCs w:val="1"/>
                <w:color w:val="3D3935"/>
              </w:rPr>
              <w:t>Recommendation</w:t>
            </w:r>
          </w:p>
        </w:tc>
        <w:tc>
          <w:tcPr>
            <w:tcW w:w="2260" w:type="dxa"/>
            <w:vAlign w:val="bottom"/>
            <w:tcBorders>
              <w:bottom w:val="single" w:sz="8" w:color="0072CE"/>
            </w:tcBorders>
            <w:shd w:val="clear" w:color="auto" w:fill="F0F3F6"/>
          </w:tcPr>
          <w:p>
            <w:pPr>
              <w:ind w:left="80"/>
              <w:spacing w:after="0"/>
              <w:rPr>
                <w:sz w:val="20"/>
                <w:szCs w:val="20"/>
                <w:color w:val="auto"/>
              </w:rPr>
            </w:pPr>
            <w:r>
              <w:rPr>
                <w:rFonts w:ascii="Arial" w:cs="Arial" w:eastAsia="Arial" w:hAnsi="Arial"/>
                <w:sz w:val="14"/>
                <w:szCs w:val="14"/>
                <w:b w:val="1"/>
                <w:bCs w:val="1"/>
                <w:color w:val="3D3935"/>
              </w:rPr>
              <w:t>Vote Requirement for Approval</w:t>
            </w:r>
          </w:p>
        </w:tc>
        <w:tc>
          <w:tcPr>
            <w:tcW w:w="980" w:type="dxa"/>
            <w:vAlign w:val="bottom"/>
            <w:tcBorders>
              <w:bottom w:val="single" w:sz="8" w:color="0072CE"/>
            </w:tcBorders>
            <w:shd w:val="clear" w:color="auto" w:fill="F0F3F6"/>
          </w:tcPr>
          <w:p>
            <w:pPr>
              <w:jc w:val="center"/>
              <w:spacing w:after="0"/>
              <w:rPr>
                <w:sz w:val="20"/>
                <w:szCs w:val="20"/>
                <w:color w:val="auto"/>
              </w:rPr>
            </w:pPr>
            <w:r>
              <w:rPr>
                <w:rFonts w:ascii="Arial" w:cs="Arial" w:eastAsia="Arial" w:hAnsi="Arial"/>
                <w:sz w:val="14"/>
                <w:szCs w:val="14"/>
                <w:b w:val="1"/>
                <w:bCs w:val="1"/>
                <w:color w:val="3D3935"/>
              </w:rPr>
              <w:t>Abstentions</w:t>
            </w:r>
          </w:p>
        </w:tc>
        <w:tc>
          <w:tcPr>
            <w:tcW w:w="1200" w:type="dxa"/>
            <w:vAlign w:val="bottom"/>
            <w:tcBorders>
              <w:bottom w:val="single" w:sz="8" w:color="0072CE"/>
            </w:tcBorders>
            <w:shd w:val="clear" w:color="auto" w:fill="F0F3F6"/>
          </w:tcPr>
          <w:p>
            <w:pPr>
              <w:jc w:val="center"/>
              <w:spacing w:after="0"/>
              <w:rPr>
                <w:sz w:val="20"/>
                <w:szCs w:val="20"/>
                <w:color w:val="auto"/>
              </w:rPr>
            </w:pPr>
            <w:r>
              <w:rPr>
                <w:rFonts w:ascii="Arial" w:cs="Arial" w:eastAsia="Arial" w:hAnsi="Arial"/>
                <w:sz w:val="14"/>
                <w:szCs w:val="14"/>
                <w:b w:val="1"/>
                <w:bCs w:val="1"/>
                <w:color w:val="3D3935"/>
                <w:w w:val="99"/>
              </w:rPr>
              <w:t>Non-Votes</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0072CE"/>
              </w:rPr>
              <w:t>FOR</w:t>
            </w:r>
          </w:p>
        </w:tc>
        <w:tc>
          <w:tcPr>
            <w:tcW w:w="2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6"/>
                <w:szCs w:val="16"/>
                <w:color w:val="3D3935"/>
              </w:rPr>
              <w:t>1</w:t>
            </w:r>
          </w:p>
        </w:tc>
        <w:tc>
          <w:tcPr>
            <w:tcW w:w="2600" w:type="dxa"/>
            <w:vAlign w:val="bottom"/>
          </w:tcPr>
          <w:p>
            <w:pPr>
              <w:ind w:left="60"/>
              <w:spacing w:after="0"/>
              <w:rPr>
                <w:sz w:val="20"/>
                <w:szCs w:val="20"/>
                <w:color w:val="auto"/>
              </w:rPr>
            </w:pPr>
            <w:r>
              <w:rPr>
                <w:rFonts w:ascii="Arial" w:cs="Arial" w:eastAsia="Arial" w:hAnsi="Arial"/>
                <w:sz w:val="16"/>
                <w:szCs w:val="16"/>
                <w:color w:val="3D3935"/>
              </w:rPr>
              <w:t>Annual Election of Directors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0072CE"/>
              </w:rPr>
              <w:t>each director</w:t>
            </w:r>
          </w:p>
        </w:tc>
        <w:tc>
          <w:tcPr>
            <w:tcW w:w="2260" w:type="dxa"/>
            <w:vAlign w:val="bottom"/>
          </w:tcPr>
          <w:p>
            <w:pPr>
              <w:jc w:val="center"/>
              <w:spacing w:after="0"/>
              <w:rPr>
                <w:sz w:val="20"/>
                <w:szCs w:val="20"/>
                <w:color w:val="auto"/>
              </w:rPr>
            </w:pPr>
            <w:r>
              <w:rPr>
                <w:rFonts w:ascii="Arial" w:cs="Arial" w:eastAsia="Arial" w:hAnsi="Arial"/>
                <w:sz w:val="16"/>
                <w:szCs w:val="16"/>
                <w:color w:val="3D3935"/>
              </w:rPr>
              <w:t>Majority of votes cast</w:t>
            </w:r>
          </w:p>
        </w:tc>
        <w:tc>
          <w:tcPr>
            <w:tcW w:w="980" w:type="dxa"/>
            <w:vAlign w:val="bottom"/>
          </w:tcPr>
          <w:p>
            <w:pPr>
              <w:jc w:val="center"/>
              <w:spacing w:after="0"/>
              <w:rPr>
                <w:sz w:val="20"/>
                <w:szCs w:val="20"/>
                <w:color w:val="auto"/>
              </w:rPr>
            </w:pPr>
            <w:r>
              <w:rPr>
                <w:rFonts w:ascii="Arial" w:cs="Arial" w:eastAsia="Arial" w:hAnsi="Arial"/>
                <w:sz w:val="16"/>
                <w:szCs w:val="16"/>
                <w:color w:val="3D3935"/>
              </w:rPr>
              <w:t>No effect</w:t>
            </w:r>
          </w:p>
        </w:tc>
        <w:tc>
          <w:tcPr>
            <w:tcW w:w="1200" w:type="dxa"/>
            <w:vAlign w:val="bottom"/>
          </w:tcPr>
          <w:p>
            <w:pPr>
              <w:jc w:val="center"/>
              <w:spacing w:after="0"/>
              <w:rPr>
                <w:sz w:val="20"/>
                <w:szCs w:val="20"/>
                <w:color w:val="auto"/>
              </w:rPr>
            </w:pPr>
            <w:r>
              <w:rPr>
                <w:rFonts w:ascii="Arial" w:cs="Arial" w:eastAsia="Arial" w:hAnsi="Arial"/>
                <w:sz w:val="16"/>
                <w:szCs w:val="16"/>
                <w:color w:val="3D3935"/>
                <w:w w:val="99"/>
              </w:rPr>
              <w:t>No effect</w:t>
            </w:r>
          </w:p>
        </w:tc>
        <w:tc>
          <w:tcPr>
            <w:tcW w:w="0" w:type="dxa"/>
            <w:vAlign w:val="bottom"/>
          </w:tcPr>
          <w:p>
            <w:pPr>
              <w:spacing w:after="0"/>
              <w:rPr>
                <w:sz w:val="1"/>
                <w:szCs w:val="1"/>
                <w:color w:val="auto"/>
              </w:rPr>
            </w:pPr>
          </w:p>
        </w:tc>
      </w:tr>
      <w:tr>
        <w:trPr>
          <w:trHeight w:val="203"/>
        </w:trPr>
        <w:tc>
          <w:tcPr>
            <w:tcW w:w="660" w:type="dxa"/>
            <w:vAlign w:val="bottom"/>
            <w:tcBorders>
              <w:bottom w:val="single" w:sz="8" w:color="D9D9D6"/>
            </w:tcBorders>
          </w:tcPr>
          <w:p>
            <w:pPr>
              <w:spacing w:after="0"/>
              <w:rPr>
                <w:sz w:val="17"/>
                <w:szCs w:val="17"/>
                <w:color w:val="auto"/>
              </w:rPr>
            </w:pPr>
          </w:p>
        </w:tc>
        <w:tc>
          <w:tcPr>
            <w:tcW w:w="2600" w:type="dxa"/>
            <w:vAlign w:val="bottom"/>
            <w:tcBorders>
              <w:bottom w:val="single" w:sz="8" w:color="D9D9D6"/>
            </w:tcBorders>
          </w:tcPr>
          <w:p>
            <w:pPr>
              <w:spacing w:after="0"/>
              <w:rPr>
                <w:sz w:val="17"/>
                <w:szCs w:val="17"/>
                <w:color w:val="auto"/>
              </w:rPr>
            </w:pPr>
          </w:p>
        </w:tc>
        <w:tc>
          <w:tcPr>
            <w:tcW w:w="1380" w:type="dxa"/>
            <w:vAlign w:val="bottom"/>
            <w:tcBorders>
              <w:bottom w:val="single" w:sz="8" w:color="D9D9D6"/>
            </w:tcBorders>
          </w:tcPr>
          <w:p>
            <w:pPr>
              <w:jc w:val="center"/>
              <w:spacing w:after="0"/>
              <w:rPr>
                <w:sz w:val="20"/>
                <w:szCs w:val="20"/>
                <w:color w:val="auto"/>
              </w:rPr>
            </w:pPr>
            <w:r>
              <w:rPr>
                <w:rFonts w:ascii="Arial" w:cs="Arial" w:eastAsia="Arial" w:hAnsi="Arial"/>
                <w:sz w:val="16"/>
                <w:szCs w:val="16"/>
                <w:b w:val="1"/>
                <w:bCs w:val="1"/>
                <w:color w:val="0072CE"/>
              </w:rPr>
              <w:t>nominee</w:t>
            </w:r>
          </w:p>
        </w:tc>
        <w:tc>
          <w:tcPr>
            <w:tcW w:w="2260" w:type="dxa"/>
            <w:vAlign w:val="bottom"/>
            <w:tcBorders>
              <w:bottom w:val="single" w:sz="8" w:color="D9D9D6"/>
            </w:tcBorders>
          </w:tcPr>
          <w:p>
            <w:pPr>
              <w:spacing w:after="0"/>
              <w:rPr>
                <w:sz w:val="17"/>
                <w:szCs w:val="17"/>
                <w:color w:val="auto"/>
              </w:rPr>
            </w:pPr>
          </w:p>
        </w:tc>
        <w:tc>
          <w:tcPr>
            <w:tcW w:w="980" w:type="dxa"/>
            <w:vAlign w:val="bottom"/>
            <w:tcBorders>
              <w:bottom w:val="single" w:sz="8" w:color="D9D9D6"/>
            </w:tcBorders>
          </w:tcPr>
          <w:p>
            <w:pPr>
              <w:spacing w:after="0"/>
              <w:rPr>
                <w:sz w:val="17"/>
                <w:szCs w:val="17"/>
                <w:color w:val="auto"/>
              </w:rPr>
            </w:pPr>
          </w:p>
        </w:tc>
        <w:tc>
          <w:tcPr>
            <w:tcW w:w="1200" w:type="dxa"/>
            <w:vAlign w:val="bottom"/>
            <w:tcBorders>
              <w:bottom w:val="single" w:sz="8" w:color="D9D9D6"/>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60" w:type="dxa"/>
            <w:vAlign w:val="bottom"/>
          </w:tcPr>
          <w:p>
            <w:pPr>
              <w:spacing w:after="0"/>
              <w:rPr>
                <w:sz w:val="21"/>
                <w:szCs w:val="21"/>
                <w:color w:val="auto"/>
              </w:rPr>
            </w:pPr>
          </w:p>
        </w:tc>
        <w:tc>
          <w:tcPr>
            <w:tcW w:w="2600" w:type="dxa"/>
            <w:vAlign w:val="bottom"/>
          </w:tcPr>
          <w:p>
            <w:pPr>
              <w:ind w:left="60"/>
              <w:spacing w:after="0"/>
              <w:rPr>
                <w:sz w:val="20"/>
                <w:szCs w:val="20"/>
                <w:color w:val="auto"/>
              </w:rPr>
            </w:pPr>
            <w:r>
              <w:rPr>
                <w:rFonts w:ascii="Arial" w:cs="Arial" w:eastAsia="Arial" w:hAnsi="Arial"/>
                <w:sz w:val="16"/>
                <w:szCs w:val="16"/>
                <w:color w:val="3D3935"/>
              </w:rPr>
              <w:t>Proposal to Ratify the Selection</w:t>
            </w:r>
          </w:p>
        </w:tc>
        <w:tc>
          <w:tcPr>
            <w:tcW w:w="13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6"/>
                <w:szCs w:val="16"/>
                <w:color w:val="3D3935"/>
              </w:rPr>
              <w:t>of Ernst &amp; Young LLP as the</w:t>
            </w:r>
          </w:p>
        </w:tc>
        <w:tc>
          <w:tcPr>
            <w:tcW w:w="138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6"/>
                <w:szCs w:val="16"/>
                <w:color w:val="3D3935"/>
              </w:rPr>
              <w:t>Majority of shares present</w:t>
            </w:r>
          </w:p>
        </w:tc>
        <w:tc>
          <w:tcPr>
            <w:tcW w:w="980" w:type="dxa"/>
            <w:vAlign w:val="bottom"/>
            <w:vMerge w:val="restart"/>
          </w:tcPr>
          <w:p>
            <w:pPr>
              <w:jc w:val="center"/>
              <w:spacing w:after="0"/>
              <w:rPr>
                <w:sz w:val="20"/>
                <w:szCs w:val="20"/>
                <w:color w:val="auto"/>
              </w:rPr>
            </w:pPr>
            <w:r>
              <w:rPr>
                <w:rFonts w:ascii="Arial" w:cs="Arial" w:eastAsia="Arial" w:hAnsi="Arial"/>
                <w:sz w:val="16"/>
                <w:szCs w:val="16"/>
                <w:color w:val="3D3935"/>
              </w:rPr>
              <w:t>Counted as</w:t>
            </w:r>
          </w:p>
        </w:tc>
        <w:tc>
          <w:tcPr>
            <w:tcW w:w="1200" w:type="dxa"/>
            <w:vAlign w:val="bottom"/>
            <w:vMerge w:val="restart"/>
          </w:tcPr>
          <w:p>
            <w:pPr>
              <w:jc w:val="center"/>
              <w:spacing w:after="0"/>
              <w:rPr>
                <w:sz w:val="20"/>
                <w:szCs w:val="20"/>
                <w:color w:val="auto"/>
              </w:rPr>
            </w:pPr>
            <w:r>
              <w:rPr>
                <w:rFonts w:ascii="Arial" w:cs="Arial" w:eastAsia="Arial" w:hAnsi="Arial"/>
                <w:sz w:val="16"/>
                <w:szCs w:val="16"/>
                <w:color w:val="3D3935"/>
              </w:rPr>
              <w:t>Discretionary</w:t>
            </w:r>
          </w:p>
        </w:tc>
        <w:tc>
          <w:tcPr>
            <w:tcW w:w="0" w:type="dxa"/>
            <w:vAlign w:val="bottom"/>
          </w:tcPr>
          <w:p>
            <w:pPr>
              <w:spacing w:after="0"/>
              <w:rPr>
                <w:sz w:val="1"/>
                <w:szCs w:val="1"/>
                <w:color w:val="auto"/>
              </w:rPr>
            </w:pPr>
          </w:p>
        </w:tc>
      </w:tr>
      <w:tr>
        <w:trPr>
          <w:trHeight w:val="108"/>
        </w:trPr>
        <w:tc>
          <w:tcPr>
            <w:tcW w:w="660" w:type="dxa"/>
            <w:vAlign w:val="bottom"/>
            <w:vMerge w:val="restart"/>
          </w:tcPr>
          <w:p>
            <w:pPr>
              <w:jc w:val="center"/>
              <w:spacing w:after="0"/>
              <w:rPr>
                <w:sz w:val="20"/>
                <w:szCs w:val="20"/>
                <w:color w:val="auto"/>
              </w:rPr>
            </w:pPr>
            <w:r>
              <w:rPr>
                <w:rFonts w:ascii="Arial" w:cs="Arial" w:eastAsia="Arial" w:hAnsi="Arial"/>
                <w:sz w:val="16"/>
                <w:szCs w:val="16"/>
                <w:color w:val="3D3935"/>
              </w:rPr>
              <w:t>2</w:t>
            </w:r>
          </w:p>
        </w:tc>
        <w:tc>
          <w:tcPr>
            <w:tcW w:w="2600" w:type="dxa"/>
            <w:vAlign w:val="bottom"/>
            <w:vMerge w:val="restart"/>
          </w:tcPr>
          <w:p>
            <w:pPr>
              <w:ind w:left="60"/>
              <w:spacing w:after="0"/>
              <w:rPr>
                <w:sz w:val="20"/>
                <w:szCs w:val="20"/>
                <w:color w:val="auto"/>
              </w:rPr>
            </w:pPr>
            <w:r>
              <w:rPr>
                <w:rFonts w:ascii="Arial" w:cs="Arial" w:eastAsia="Arial" w:hAnsi="Arial"/>
                <w:sz w:val="16"/>
                <w:szCs w:val="16"/>
                <w:color w:val="3D3935"/>
              </w:rPr>
              <w:t>Company’s Independent</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0072CE"/>
              </w:rPr>
              <w:t>FOR</w:t>
            </w:r>
          </w:p>
        </w:tc>
        <w:tc>
          <w:tcPr>
            <w:tcW w:w="2260" w:type="dxa"/>
            <w:vAlign w:val="bottom"/>
            <w:vMerge w:val="restart"/>
          </w:tcPr>
          <w:p>
            <w:pPr>
              <w:jc w:val="center"/>
              <w:spacing w:after="0"/>
              <w:rPr>
                <w:sz w:val="20"/>
                <w:szCs w:val="20"/>
                <w:color w:val="auto"/>
              </w:rPr>
            </w:pPr>
            <w:r>
              <w:rPr>
                <w:rFonts w:ascii="Arial" w:cs="Arial" w:eastAsia="Arial" w:hAnsi="Arial"/>
                <w:sz w:val="16"/>
                <w:szCs w:val="16"/>
                <w:color w:val="3D3935"/>
              </w:rPr>
              <w:t>(in person or by proxy)</w:t>
            </w:r>
          </w:p>
        </w:tc>
        <w:tc>
          <w:tcPr>
            <w:tcW w:w="9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660" w:type="dxa"/>
            <w:vAlign w:val="bottom"/>
            <w:vMerge w:val="continue"/>
          </w:tcPr>
          <w:p>
            <w:pPr>
              <w:spacing w:after="0"/>
              <w:rPr>
                <w:sz w:val="9"/>
                <w:szCs w:val="9"/>
                <w:color w:val="auto"/>
              </w:rPr>
            </w:pPr>
          </w:p>
        </w:tc>
        <w:tc>
          <w:tcPr>
            <w:tcW w:w="26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2260" w:type="dxa"/>
            <w:vAlign w:val="bottom"/>
            <w:vMerge w:val="continue"/>
          </w:tcPr>
          <w:p>
            <w:pPr>
              <w:spacing w:after="0"/>
              <w:rPr>
                <w:sz w:val="9"/>
                <w:szCs w:val="9"/>
                <w:color w:val="auto"/>
              </w:rPr>
            </w:pPr>
          </w:p>
        </w:tc>
        <w:tc>
          <w:tcPr>
            <w:tcW w:w="980" w:type="dxa"/>
            <w:vAlign w:val="bottom"/>
            <w:vMerge w:val="restart"/>
          </w:tcPr>
          <w:p>
            <w:pPr>
              <w:jc w:val="center"/>
              <w:spacing w:after="0"/>
              <w:rPr>
                <w:sz w:val="20"/>
                <w:szCs w:val="20"/>
                <w:color w:val="auto"/>
              </w:rPr>
            </w:pPr>
            <w:r>
              <w:rPr>
                <w:rFonts w:ascii="Arial" w:cs="Arial" w:eastAsia="Arial" w:hAnsi="Arial"/>
                <w:sz w:val="16"/>
                <w:szCs w:val="16"/>
                <w:color w:val="3D3935"/>
              </w:rPr>
              <w:t>“AGAINST”</w:t>
            </w:r>
          </w:p>
        </w:tc>
        <w:tc>
          <w:tcPr>
            <w:tcW w:w="1200" w:type="dxa"/>
            <w:vAlign w:val="bottom"/>
            <w:vMerge w:val="restart"/>
          </w:tcPr>
          <w:p>
            <w:pPr>
              <w:jc w:val="center"/>
              <w:spacing w:after="0"/>
              <w:rPr>
                <w:sz w:val="20"/>
                <w:szCs w:val="20"/>
                <w:color w:val="auto"/>
              </w:rPr>
            </w:pPr>
            <w:r>
              <w:rPr>
                <w:rFonts w:ascii="Arial" w:cs="Arial" w:eastAsia="Arial" w:hAnsi="Arial"/>
                <w:sz w:val="16"/>
                <w:szCs w:val="16"/>
                <w:color w:val="3D3935"/>
                <w:w w:val="99"/>
              </w:rPr>
              <w:t>vote</w:t>
            </w:r>
          </w:p>
        </w:tc>
        <w:tc>
          <w:tcPr>
            <w:tcW w:w="0" w:type="dxa"/>
            <w:vAlign w:val="bottom"/>
          </w:tcPr>
          <w:p>
            <w:pPr>
              <w:spacing w:after="0"/>
              <w:rPr>
                <w:sz w:val="1"/>
                <w:szCs w:val="1"/>
                <w:color w:val="auto"/>
              </w:rPr>
            </w:pPr>
          </w:p>
        </w:tc>
      </w:tr>
      <w:tr>
        <w:trPr>
          <w:trHeight w:val="107"/>
        </w:trPr>
        <w:tc>
          <w:tcPr>
            <w:tcW w:w="660" w:type="dxa"/>
            <w:vAlign w:val="bottom"/>
          </w:tcPr>
          <w:p>
            <w:pPr>
              <w:spacing w:after="0"/>
              <w:rPr>
                <w:sz w:val="9"/>
                <w:szCs w:val="9"/>
                <w:color w:val="auto"/>
              </w:rPr>
            </w:pPr>
          </w:p>
        </w:tc>
        <w:tc>
          <w:tcPr>
            <w:tcW w:w="2600" w:type="dxa"/>
            <w:vAlign w:val="bottom"/>
            <w:vMerge w:val="restart"/>
          </w:tcPr>
          <w:p>
            <w:pPr>
              <w:ind w:left="60"/>
              <w:spacing w:after="0"/>
              <w:rPr>
                <w:sz w:val="20"/>
                <w:szCs w:val="20"/>
                <w:color w:val="auto"/>
              </w:rPr>
            </w:pPr>
            <w:r>
              <w:rPr>
                <w:rFonts w:ascii="Arial" w:cs="Arial" w:eastAsia="Arial" w:hAnsi="Arial"/>
                <w:sz w:val="16"/>
                <w:szCs w:val="16"/>
                <w:color w:val="3D3935"/>
              </w:rPr>
              <w:t>Registered Public Accounting</w:t>
            </w:r>
          </w:p>
        </w:tc>
        <w:tc>
          <w:tcPr>
            <w:tcW w:w="1380" w:type="dxa"/>
            <w:vAlign w:val="bottom"/>
          </w:tcPr>
          <w:p>
            <w:pPr>
              <w:spacing w:after="0"/>
              <w:rPr>
                <w:sz w:val="9"/>
                <w:szCs w:val="9"/>
                <w:color w:val="auto"/>
              </w:rPr>
            </w:pPr>
          </w:p>
        </w:tc>
        <w:tc>
          <w:tcPr>
            <w:tcW w:w="2260" w:type="dxa"/>
            <w:vAlign w:val="bottom"/>
            <w:vMerge w:val="restart"/>
          </w:tcPr>
          <w:p>
            <w:pPr>
              <w:jc w:val="center"/>
              <w:spacing w:after="0"/>
              <w:rPr>
                <w:sz w:val="20"/>
                <w:szCs w:val="20"/>
                <w:color w:val="auto"/>
              </w:rPr>
            </w:pPr>
            <w:r>
              <w:rPr>
                <w:rFonts w:ascii="Arial" w:cs="Arial" w:eastAsia="Arial" w:hAnsi="Arial"/>
                <w:sz w:val="16"/>
                <w:szCs w:val="16"/>
                <w:color w:val="3D3935"/>
              </w:rPr>
              <w:t>and entitled to vote</w:t>
            </w:r>
          </w:p>
        </w:tc>
        <w:tc>
          <w:tcPr>
            <w:tcW w:w="9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60" w:type="dxa"/>
            <w:vAlign w:val="bottom"/>
          </w:tcPr>
          <w:p>
            <w:pPr>
              <w:spacing w:after="0"/>
              <w:rPr>
                <w:sz w:val="9"/>
                <w:szCs w:val="9"/>
                <w:color w:val="auto"/>
              </w:rPr>
            </w:pPr>
          </w:p>
        </w:tc>
        <w:tc>
          <w:tcPr>
            <w:tcW w:w="260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22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660" w:type="dxa"/>
            <w:vAlign w:val="bottom"/>
            <w:tcBorders>
              <w:bottom w:val="single" w:sz="8" w:color="D9D9D6"/>
            </w:tcBorders>
          </w:tcPr>
          <w:p>
            <w:pPr>
              <w:spacing w:after="0"/>
              <w:rPr>
                <w:sz w:val="19"/>
                <w:szCs w:val="19"/>
                <w:color w:val="auto"/>
              </w:rPr>
            </w:pPr>
          </w:p>
        </w:tc>
        <w:tc>
          <w:tcPr>
            <w:tcW w:w="260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Firm for 2025</w:t>
            </w:r>
          </w:p>
        </w:tc>
        <w:tc>
          <w:tcPr>
            <w:tcW w:w="1380" w:type="dxa"/>
            <w:vAlign w:val="bottom"/>
            <w:tcBorders>
              <w:bottom w:val="single" w:sz="8" w:color="D9D9D6"/>
            </w:tcBorders>
          </w:tcPr>
          <w:p>
            <w:pPr>
              <w:spacing w:after="0"/>
              <w:rPr>
                <w:sz w:val="19"/>
                <w:szCs w:val="19"/>
                <w:color w:val="auto"/>
              </w:rPr>
            </w:pPr>
          </w:p>
        </w:tc>
        <w:tc>
          <w:tcPr>
            <w:tcW w:w="2260" w:type="dxa"/>
            <w:vAlign w:val="bottom"/>
            <w:tcBorders>
              <w:bottom w:val="single" w:sz="8" w:color="D9D9D6"/>
            </w:tcBorders>
          </w:tcPr>
          <w:p>
            <w:pPr>
              <w:spacing w:after="0"/>
              <w:rPr>
                <w:sz w:val="19"/>
                <w:szCs w:val="19"/>
                <w:color w:val="auto"/>
              </w:rPr>
            </w:pPr>
          </w:p>
        </w:tc>
        <w:tc>
          <w:tcPr>
            <w:tcW w:w="980" w:type="dxa"/>
            <w:vAlign w:val="bottom"/>
            <w:tcBorders>
              <w:bottom w:val="single" w:sz="8" w:color="D9D9D6"/>
            </w:tcBorders>
          </w:tcPr>
          <w:p>
            <w:pPr>
              <w:spacing w:after="0"/>
              <w:rPr>
                <w:sz w:val="19"/>
                <w:szCs w:val="19"/>
                <w:color w:val="auto"/>
              </w:rPr>
            </w:pPr>
          </w:p>
        </w:tc>
        <w:tc>
          <w:tcPr>
            <w:tcW w:w="1200" w:type="dxa"/>
            <w:vAlign w:val="bottom"/>
            <w:tcBorders>
              <w:bottom w:val="single" w:sz="8" w:color="D9D9D6"/>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60" w:type="dxa"/>
            <w:vAlign w:val="bottom"/>
          </w:tcPr>
          <w:p>
            <w:pPr>
              <w:spacing w:after="0"/>
              <w:rPr>
                <w:sz w:val="20"/>
                <w:szCs w:val="20"/>
                <w:color w:val="auto"/>
              </w:rPr>
            </w:pPr>
          </w:p>
        </w:tc>
        <w:tc>
          <w:tcPr>
            <w:tcW w:w="2600" w:type="dxa"/>
            <w:vAlign w:val="bottom"/>
          </w:tcPr>
          <w:p>
            <w:pPr>
              <w:ind w:left="60"/>
              <w:spacing w:after="0"/>
              <w:rPr>
                <w:sz w:val="20"/>
                <w:szCs w:val="20"/>
                <w:color w:val="auto"/>
              </w:rPr>
            </w:pPr>
            <w:r>
              <w:rPr>
                <w:rFonts w:ascii="Arial" w:cs="Arial" w:eastAsia="Arial" w:hAnsi="Arial"/>
                <w:sz w:val="16"/>
                <w:szCs w:val="16"/>
                <w:color w:val="3D3935"/>
              </w:rPr>
              <w:t>Proposal to Approve, on an</w:t>
            </w:r>
          </w:p>
        </w:tc>
        <w:tc>
          <w:tcPr>
            <w:tcW w:w="138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Arial" w:cs="Arial" w:eastAsia="Arial" w:hAnsi="Arial"/>
                <w:sz w:val="16"/>
                <w:szCs w:val="16"/>
                <w:color w:val="3D3935"/>
              </w:rPr>
              <w:t>Majority of shares present</w:t>
            </w:r>
          </w:p>
        </w:tc>
        <w:tc>
          <w:tcPr>
            <w:tcW w:w="980" w:type="dxa"/>
            <w:vAlign w:val="bottom"/>
            <w:vMerge w:val="restart"/>
          </w:tcPr>
          <w:p>
            <w:pPr>
              <w:jc w:val="center"/>
              <w:spacing w:after="0"/>
              <w:rPr>
                <w:sz w:val="20"/>
                <w:szCs w:val="20"/>
                <w:color w:val="auto"/>
              </w:rPr>
            </w:pPr>
            <w:r>
              <w:rPr>
                <w:rFonts w:ascii="Arial" w:cs="Arial" w:eastAsia="Arial" w:hAnsi="Arial"/>
                <w:sz w:val="16"/>
                <w:szCs w:val="16"/>
                <w:color w:val="3D3935"/>
              </w:rPr>
              <w:t>Counted as</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660" w:type="dxa"/>
            <w:vAlign w:val="bottom"/>
            <w:vMerge w:val="restart"/>
          </w:tcPr>
          <w:p>
            <w:pPr>
              <w:jc w:val="center"/>
              <w:spacing w:after="0"/>
              <w:rPr>
                <w:sz w:val="20"/>
                <w:szCs w:val="20"/>
                <w:color w:val="auto"/>
              </w:rPr>
            </w:pPr>
            <w:r>
              <w:rPr>
                <w:rFonts w:ascii="Arial" w:cs="Arial" w:eastAsia="Arial" w:hAnsi="Arial"/>
                <w:sz w:val="16"/>
                <w:szCs w:val="16"/>
                <w:color w:val="3D3935"/>
              </w:rPr>
              <w:t>3</w:t>
            </w:r>
          </w:p>
        </w:tc>
        <w:tc>
          <w:tcPr>
            <w:tcW w:w="2600" w:type="dxa"/>
            <w:vAlign w:val="bottom"/>
            <w:vMerge w:val="restart"/>
          </w:tcPr>
          <w:p>
            <w:pPr>
              <w:ind w:left="60"/>
              <w:spacing w:after="0"/>
              <w:rPr>
                <w:sz w:val="20"/>
                <w:szCs w:val="20"/>
                <w:color w:val="auto"/>
              </w:rPr>
            </w:pPr>
            <w:r>
              <w:rPr>
                <w:rFonts w:ascii="Arial" w:cs="Arial" w:eastAsia="Arial" w:hAnsi="Arial"/>
                <w:sz w:val="16"/>
                <w:szCs w:val="16"/>
                <w:color w:val="3D3935"/>
              </w:rPr>
              <w:t>Advisory Basis, Named Executive</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0072CE"/>
              </w:rPr>
              <w:t>FOR</w:t>
            </w:r>
          </w:p>
        </w:tc>
        <w:tc>
          <w:tcPr>
            <w:tcW w:w="2260" w:type="dxa"/>
            <w:vAlign w:val="bottom"/>
            <w:vMerge w:val="restart"/>
          </w:tcPr>
          <w:p>
            <w:pPr>
              <w:jc w:val="center"/>
              <w:spacing w:after="0"/>
              <w:rPr>
                <w:sz w:val="20"/>
                <w:szCs w:val="20"/>
                <w:color w:val="auto"/>
              </w:rPr>
            </w:pPr>
            <w:r>
              <w:rPr>
                <w:rFonts w:ascii="Arial" w:cs="Arial" w:eastAsia="Arial" w:hAnsi="Arial"/>
                <w:sz w:val="16"/>
                <w:szCs w:val="16"/>
                <w:color w:val="3D3935"/>
              </w:rPr>
              <w:t>(in person or by proxy)</w:t>
            </w:r>
          </w:p>
        </w:tc>
        <w:tc>
          <w:tcPr>
            <w:tcW w:w="980" w:type="dxa"/>
            <w:vAlign w:val="bottom"/>
            <w:vMerge w:val="continue"/>
          </w:tcPr>
          <w:p>
            <w:pPr>
              <w:spacing w:after="0"/>
              <w:rPr>
                <w:sz w:val="9"/>
                <w:szCs w:val="9"/>
                <w:color w:val="auto"/>
              </w:rPr>
            </w:pPr>
          </w:p>
        </w:tc>
        <w:tc>
          <w:tcPr>
            <w:tcW w:w="1200" w:type="dxa"/>
            <w:vAlign w:val="bottom"/>
            <w:vMerge w:val="restart"/>
          </w:tcPr>
          <w:p>
            <w:pPr>
              <w:jc w:val="center"/>
              <w:spacing w:after="0"/>
              <w:rPr>
                <w:sz w:val="20"/>
                <w:szCs w:val="20"/>
                <w:color w:val="auto"/>
              </w:rPr>
            </w:pPr>
            <w:r>
              <w:rPr>
                <w:rFonts w:ascii="Arial" w:cs="Arial" w:eastAsia="Arial" w:hAnsi="Arial"/>
                <w:sz w:val="16"/>
                <w:szCs w:val="16"/>
                <w:color w:val="3D3935"/>
                <w:w w:val="99"/>
              </w:rPr>
              <w:t>No effect</w:t>
            </w:r>
          </w:p>
        </w:tc>
        <w:tc>
          <w:tcPr>
            <w:tcW w:w="0" w:type="dxa"/>
            <w:vAlign w:val="bottom"/>
          </w:tcPr>
          <w:p>
            <w:pPr>
              <w:spacing w:after="0"/>
              <w:rPr>
                <w:sz w:val="1"/>
                <w:szCs w:val="1"/>
                <w:color w:val="auto"/>
              </w:rPr>
            </w:pPr>
          </w:p>
        </w:tc>
      </w:tr>
      <w:tr>
        <w:trPr>
          <w:trHeight w:val="109"/>
        </w:trPr>
        <w:tc>
          <w:tcPr>
            <w:tcW w:w="660" w:type="dxa"/>
            <w:vAlign w:val="bottom"/>
            <w:vMerge w:val="continue"/>
          </w:tcPr>
          <w:p>
            <w:pPr>
              <w:spacing w:after="0"/>
              <w:rPr>
                <w:sz w:val="9"/>
                <w:szCs w:val="9"/>
                <w:color w:val="auto"/>
              </w:rPr>
            </w:pPr>
          </w:p>
        </w:tc>
        <w:tc>
          <w:tcPr>
            <w:tcW w:w="26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2260" w:type="dxa"/>
            <w:vAlign w:val="bottom"/>
            <w:vMerge w:val="continue"/>
          </w:tcPr>
          <w:p>
            <w:pPr>
              <w:spacing w:after="0"/>
              <w:rPr>
                <w:sz w:val="9"/>
                <w:szCs w:val="9"/>
                <w:color w:val="auto"/>
              </w:rPr>
            </w:pPr>
          </w:p>
        </w:tc>
        <w:tc>
          <w:tcPr>
            <w:tcW w:w="980" w:type="dxa"/>
            <w:vAlign w:val="bottom"/>
            <w:vMerge w:val="restart"/>
          </w:tcPr>
          <w:p>
            <w:pPr>
              <w:jc w:val="center"/>
              <w:spacing w:after="0"/>
              <w:rPr>
                <w:sz w:val="20"/>
                <w:szCs w:val="20"/>
                <w:color w:val="auto"/>
              </w:rPr>
            </w:pPr>
            <w:r>
              <w:rPr>
                <w:rFonts w:ascii="Arial" w:cs="Arial" w:eastAsia="Arial" w:hAnsi="Arial"/>
                <w:sz w:val="16"/>
                <w:szCs w:val="16"/>
                <w:color w:val="3D3935"/>
              </w:rPr>
              <w:t>“AGAINST”</w:t>
            </w: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60" w:type="dxa"/>
            <w:vAlign w:val="bottom"/>
          </w:tcPr>
          <w:p>
            <w:pPr>
              <w:spacing w:after="0"/>
              <w:rPr>
                <w:sz w:val="9"/>
                <w:szCs w:val="9"/>
                <w:color w:val="auto"/>
              </w:rPr>
            </w:pPr>
          </w:p>
        </w:tc>
        <w:tc>
          <w:tcPr>
            <w:tcW w:w="2600" w:type="dxa"/>
            <w:vAlign w:val="bottom"/>
            <w:vMerge w:val="restart"/>
          </w:tcPr>
          <w:p>
            <w:pPr>
              <w:ind w:left="60"/>
              <w:spacing w:after="0"/>
              <w:rPr>
                <w:sz w:val="20"/>
                <w:szCs w:val="20"/>
                <w:color w:val="auto"/>
              </w:rPr>
            </w:pPr>
            <w:r>
              <w:rPr>
                <w:rFonts w:ascii="Arial" w:cs="Arial" w:eastAsia="Arial" w:hAnsi="Arial"/>
                <w:sz w:val="16"/>
                <w:szCs w:val="16"/>
                <w:color w:val="3D3935"/>
              </w:rPr>
              <w:t>Officer Compensation</w:t>
            </w:r>
          </w:p>
        </w:tc>
        <w:tc>
          <w:tcPr>
            <w:tcW w:w="1380" w:type="dxa"/>
            <w:vAlign w:val="bottom"/>
          </w:tcPr>
          <w:p>
            <w:pPr>
              <w:spacing w:after="0"/>
              <w:rPr>
                <w:sz w:val="9"/>
                <w:szCs w:val="9"/>
                <w:color w:val="auto"/>
              </w:rPr>
            </w:pPr>
          </w:p>
        </w:tc>
        <w:tc>
          <w:tcPr>
            <w:tcW w:w="2260" w:type="dxa"/>
            <w:vAlign w:val="bottom"/>
            <w:vMerge w:val="restart"/>
          </w:tcPr>
          <w:p>
            <w:pPr>
              <w:jc w:val="center"/>
              <w:spacing w:after="0"/>
              <w:rPr>
                <w:sz w:val="20"/>
                <w:szCs w:val="20"/>
                <w:color w:val="auto"/>
              </w:rPr>
            </w:pPr>
            <w:r>
              <w:rPr>
                <w:rFonts w:ascii="Arial" w:cs="Arial" w:eastAsia="Arial" w:hAnsi="Arial"/>
                <w:sz w:val="16"/>
                <w:szCs w:val="16"/>
                <w:color w:val="3D3935"/>
              </w:rPr>
              <w:t>and entitled to vote</w:t>
            </w:r>
          </w:p>
        </w:tc>
        <w:tc>
          <w:tcPr>
            <w:tcW w:w="98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660" w:type="dxa"/>
            <w:vAlign w:val="bottom"/>
            <w:tcBorders>
              <w:bottom w:val="single" w:sz="8" w:color="D9D9D6"/>
            </w:tcBorders>
          </w:tcPr>
          <w:p>
            <w:pPr>
              <w:spacing w:after="0"/>
              <w:rPr>
                <w:sz w:val="9"/>
                <w:szCs w:val="9"/>
                <w:color w:val="auto"/>
              </w:rPr>
            </w:pPr>
          </w:p>
        </w:tc>
        <w:tc>
          <w:tcPr>
            <w:tcW w:w="2600" w:type="dxa"/>
            <w:vAlign w:val="bottom"/>
            <w:tcBorders>
              <w:bottom w:val="single" w:sz="8" w:color="D9D9D6"/>
            </w:tcBorders>
            <w:vMerge w:val="continue"/>
          </w:tcPr>
          <w:p>
            <w:pPr>
              <w:spacing w:after="0"/>
              <w:rPr>
                <w:sz w:val="9"/>
                <w:szCs w:val="9"/>
                <w:color w:val="auto"/>
              </w:rPr>
            </w:pPr>
          </w:p>
        </w:tc>
        <w:tc>
          <w:tcPr>
            <w:tcW w:w="1380" w:type="dxa"/>
            <w:vAlign w:val="bottom"/>
            <w:tcBorders>
              <w:bottom w:val="single" w:sz="8" w:color="D9D9D6"/>
            </w:tcBorders>
          </w:tcPr>
          <w:p>
            <w:pPr>
              <w:spacing w:after="0"/>
              <w:rPr>
                <w:sz w:val="9"/>
                <w:szCs w:val="9"/>
                <w:color w:val="auto"/>
              </w:rPr>
            </w:pPr>
          </w:p>
        </w:tc>
        <w:tc>
          <w:tcPr>
            <w:tcW w:w="2260" w:type="dxa"/>
            <w:vAlign w:val="bottom"/>
            <w:tcBorders>
              <w:bottom w:val="single" w:sz="8" w:color="D9D9D6"/>
            </w:tcBorders>
            <w:vMerge w:val="continue"/>
          </w:tcPr>
          <w:p>
            <w:pPr>
              <w:spacing w:after="0"/>
              <w:rPr>
                <w:sz w:val="9"/>
                <w:szCs w:val="9"/>
                <w:color w:val="auto"/>
              </w:rPr>
            </w:pPr>
          </w:p>
        </w:tc>
        <w:tc>
          <w:tcPr>
            <w:tcW w:w="980" w:type="dxa"/>
            <w:vAlign w:val="bottom"/>
            <w:tcBorders>
              <w:bottom w:val="single" w:sz="8" w:color="D9D9D6"/>
            </w:tcBorders>
          </w:tcPr>
          <w:p>
            <w:pPr>
              <w:spacing w:after="0"/>
              <w:rPr>
                <w:sz w:val="9"/>
                <w:szCs w:val="9"/>
                <w:color w:val="auto"/>
              </w:rPr>
            </w:pPr>
          </w:p>
        </w:tc>
        <w:tc>
          <w:tcPr>
            <w:tcW w:w="1200" w:type="dxa"/>
            <w:vAlign w:val="bottom"/>
            <w:tcBorders>
              <w:bottom w:val="single" w:sz="8" w:color="D9D9D6"/>
            </w:tcBorders>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2600" w:type="dxa"/>
            <w:vAlign w:val="bottom"/>
          </w:tcPr>
          <w:p>
            <w:pPr>
              <w:ind w:left="60"/>
              <w:spacing w:after="0"/>
              <w:rPr>
                <w:sz w:val="20"/>
                <w:szCs w:val="20"/>
                <w:color w:val="auto"/>
              </w:rPr>
            </w:pPr>
            <w:r>
              <w:rPr>
                <w:rFonts w:ascii="Arial" w:cs="Arial" w:eastAsia="Arial" w:hAnsi="Arial"/>
                <w:sz w:val="16"/>
                <w:szCs w:val="16"/>
                <w:color w:val="3D3935"/>
              </w:rPr>
              <w:t>Proposal to Approve the</w:t>
            </w:r>
          </w:p>
        </w:tc>
        <w:tc>
          <w:tcPr>
            <w:tcW w:w="1380" w:type="dxa"/>
            <w:vAlign w:val="bottom"/>
          </w:tcPr>
          <w:p>
            <w:pPr>
              <w:spacing w:after="0"/>
              <w:rPr>
                <w:sz w:val="20"/>
                <w:szCs w:val="20"/>
                <w:color w:val="auto"/>
              </w:rPr>
            </w:pPr>
          </w:p>
        </w:tc>
        <w:tc>
          <w:tcPr>
            <w:tcW w:w="2260" w:type="dxa"/>
            <w:vAlign w:val="bottom"/>
            <w:vMerge w:val="restart"/>
          </w:tcPr>
          <w:p>
            <w:pPr>
              <w:jc w:val="center"/>
              <w:spacing w:after="0"/>
              <w:rPr>
                <w:sz w:val="20"/>
                <w:szCs w:val="20"/>
                <w:color w:val="auto"/>
              </w:rPr>
            </w:pPr>
            <w:r>
              <w:rPr>
                <w:rFonts w:ascii="Arial" w:cs="Arial" w:eastAsia="Arial" w:hAnsi="Arial"/>
                <w:sz w:val="16"/>
                <w:szCs w:val="16"/>
                <w:color w:val="3D3935"/>
              </w:rPr>
              <w:t>Majority of outstanding</w:t>
            </w:r>
          </w:p>
        </w:tc>
        <w:tc>
          <w:tcPr>
            <w:tcW w:w="980" w:type="dxa"/>
            <w:vAlign w:val="bottom"/>
            <w:vMerge w:val="restart"/>
          </w:tcPr>
          <w:p>
            <w:pPr>
              <w:jc w:val="center"/>
              <w:spacing w:after="0"/>
              <w:rPr>
                <w:sz w:val="20"/>
                <w:szCs w:val="20"/>
                <w:color w:val="auto"/>
              </w:rPr>
            </w:pPr>
            <w:r>
              <w:rPr>
                <w:rFonts w:ascii="Arial" w:cs="Arial" w:eastAsia="Arial" w:hAnsi="Arial"/>
                <w:sz w:val="16"/>
                <w:szCs w:val="16"/>
                <w:color w:val="3D3935"/>
              </w:rPr>
              <w:t>Counted as</w:t>
            </w:r>
          </w:p>
        </w:tc>
        <w:tc>
          <w:tcPr>
            <w:tcW w:w="1200" w:type="dxa"/>
            <w:vAlign w:val="bottom"/>
            <w:vMerge w:val="restart"/>
          </w:tcPr>
          <w:p>
            <w:pPr>
              <w:jc w:val="center"/>
              <w:spacing w:after="0"/>
              <w:rPr>
                <w:sz w:val="20"/>
                <w:szCs w:val="20"/>
                <w:color w:val="auto"/>
              </w:rPr>
            </w:pPr>
            <w:r>
              <w:rPr>
                <w:rFonts w:ascii="Arial" w:cs="Arial" w:eastAsia="Arial" w:hAnsi="Arial"/>
                <w:sz w:val="16"/>
                <w:szCs w:val="16"/>
                <w:color w:val="3D3935"/>
              </w:rPr>
              <w:t>Counted as</w:t>
            </w:r>
          </w:p>
        </w:tc>
        <w:tc>
          <w:tcPr>
            <w:tcW w:w="0" w:type="dxa"/>
            <w:vAlign w:val="bottom"/>
          </w:tcPr>
          <w:p>
            <w:pPr>
              <w:spacing w:after="0"/>
              <w:rPr>
                <w:sz w:val="1"/>
                <w:szCs w:val="1"/>
                <w:color w:val="auto"/>
              </w:rPr>
            </w:pPr>
          </w:p>
        </w:tc>
      </w:tr>
      <w:tr>
        <w:trPr>
          <w:trHeight w:val="108"/>
        </w:trPr>
        <w:tc>
          <w:tcPr>
            <w:tcW w:w="660" w:type="dxa"/>
            <w:vAlign w:val="bottom"/>
            <w:vMerge w:val="restart"/>
          </w:tcPr>
          <w:p>
            <w:pPr>
              <w:jc w:val="center"/>
              <w:spacing w:after="0"/>
              <w:rPr>
                <w:sz w:val="20"/>
                <w:szCs w:val="20"/>
                <w:color w:val="auto"/>
              </w:rPr>
            </w:pPr>
            <w:r>
              <w:rPr>
                <w:rFonts w:ascii="Arial" w:cs="Arial" w:eastAsia="Arial" w:hAnsi="Arial"/>
                <w:sz w:val="16"/>
                <w:szCs w:val="16"/>
                <w:color w:val="3D3935"/>
              </w:rPr>
              <w:t>4</w:t>
            </w:r>
          </w:p>
        </w:tc>
        <w:tc>
          <w:tcPr>
            <w:tcW w:w="2600" w:type="dxa"/>
            <w:vAlign w:val="bottom"/>
            <w:vMerge w:val="restart"/>
          </w:tcPr>
          <w:p>
            <w:pPr>
              <w:ind w:left="60"/>
              <w:spacing w:after="0"/>
              <w:rPr>
                <w:sz w:val="20"/>
                <w:szCs w:val="20"/>
                <w:color w:val="auto"/>
              </w:rPr>
            </w:pPr>
            <w:r>
              <w:rPr>
                <w:rFonts w:ascii="Arial" w:cs="Arial" w:eastAsia="Arial" w:hAnsi="Arial"/>
                <w:sz w:val="16"/>
                <w:szCs w:val="16"/>
                <w:color w:val="3D3935"/>
              </w:rPr>
              <w:t>Amended and Restated</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0072CE"/>
              </w:rPr>
              <w:t>FOR</w:t>
            </w:r>
          </w:p>
        </w:tc>
        <w:tc>
          <w:tcPr>
            <w:tcW w:w="22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660" w:type="dxa"/>
            <w:vAlign w:val="bottom"/>
            <w:vMerge w:val="continue"/>
          </w:tcPr>
          <w:p>
            <w:pPr>
              <w:spacing w:after="0"/>
              <w:rPr>
                <w:sz w:val="9"/>
                <w:szCs w:val="9"/>
                <w:color w:val="auto"/>
              </w:rPr>
            </w:pPr>
          </w:p>
        </w:tc>
        <w:tc>
          <w:tcPr>
            <w:tcW w:w="26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2260" w:type="dxa"/>
            <w:vAlign w:val="bottom"/>
            <w:vMerge w:val="restart"/>
          </w:tcPr>
          <w:p>
            <w:pPr>
              <w:jc w:val="center"/>
              <w:spacing w:after="0"/>
              <w:rPr>
                <w:sz w:val="20"/>
                <w:szCs w:val="20"/>
                <w:color w:val="auto"/>
              </w:rPr>
            </w:pPr>
            <w:r>
              <w:rPr>
                <w:rFonts w:ascii="Arial" w:cs="Arial" w:eastAsia="Arial" w:hAnsi="Arial"/>
                <w:sz w:val="16"/>
                <w:szCs w:val="16"/>
                <w:color w:val="3D3935"/>
              </w:rPr>
              <w:t>shares entitled to vote</w:t>
            </w:r>
          </w:p>
        </w:tc>
        <w:tc>
          <w:tcPr>
            <w:tcW w:w="980" w:type="dxa"/>
            <w:vAlign w:val="bottom"/>
            <w:vMerge w:val="restart"/>
          </w:tcPr>
          <w:p>
            <w:pPr>
              <w:jc w:val="center"/>
              <w:spacing w:after="0"/>
              <w:rPr>
                <w:sz w:val="20"/>
                <w:szCs w:val="20"/>
                <w:color w:val="auto"/>
              </w:rPr>
            </w:pPr>
            <w:r>
              <w:rPr>
                <w:rFonts w:ascii="Arial" w:cs="Arial" w:eastAsia="Arial" w:hAnsi="Arial"/>
                <w:sz w:val="16"/>
                <w:szCs w:val="16"/>
                <w:color w:val="3D3935"/>
              </w:rPr>
              <w:t>“AGAINST”</w:t>
            </w:r>
          </w:p>
        </w:tc>
        <w:tc>
          <w:tcPr>
            <w:tcW w:w="1200" w:type="dxa"/>
            <w:vAlign w:val="bottom"/>
            <w:vMerge w:val="restart"/>
          </w:tcPr>
          <w:p>
            <w:pPr>
              <w:jc w:val="center"/>
              <w:spacing w:after="0"/>
              <w:rPr>
                <w:sz w:val="20"/>
                <w:szCs w:val="20"/>
                <w:color w:val="auto"/>
              </w:rPr>
            </w:pPr>
            <w:r>
              <w:rPr>
                <w:rFonts w:ascii="Arial" w:cs="Arial" w:eastAsia="Arial" w:hAnsi="Arial"/>
                <w:sz w:val="16"/>
                <w:szCs w:val="16"/>
                <w:color w:val="3D3935"/>
              </w:rPr>
              <w:t>“AGAINST”</w:t>
            </w:r>
          </w:p>
        </w:tc>
        <w:tc>
          <w:tcPr>
            <w:tcW w:w="0" w:type="dxa"/>
            <w:vAlign w:val="bottom"/>
          </w:tcPr>
          <w:p>
            <w:pPr>
              <w:spacing w:after="0"/>
              <w:rPr>
                <w:sz w:val="1"/>
                <w:szCs w:val="1"/>
                <w:color w:val="auto"/>
              </w:rPr>
            </w:pPr>
          </w:p>
        </w:tc>
      </w:tr>
      <w:tr>
        <w:trPr>
          <w:trHeight w:val="107"/>
        </w:trPr>
        <w:tc>
          <w:tcPr>
            <w:tcW w:w="660" w:type="dxa"/>
            <w:vAlign w:val="bottom"/>
          </w:tcPr>
          <w:p>
            <w:pPr>
              <w:spacing w:after="0"/>
              <w:rPr>
                <w:sz w:val="9"/>
                <w:szCs w:val="9"/>
                <w:color w:val="auto"/>
              </w:rPr>
            </w:pPr>
          </w:p>
        </w:tc>
        <w:tc>
          <w:tcPr>
            <w:tcW w:w="2600" w:type="dxa"/>
            <w:vAlign w:val="bottom"/>
            <w:vMerge w:val="restart"/>
          </w:tcPr>
          <w:p>
            <w:pPr>
              <w:ind w:left="60"/>
              <w:spacing w:after="0"/>
              <w:rPr>
                <w:sz w:val="20"/>
                <w:szCs w:val="20"/>
                <w:color w:val="auto"/>
              </w:rPr>
            </w:pPr>
            <w:r>
              <w:rPr>
                <w:rFonts w:ascii="Arial" w:cs="Arial" w:eastAsia="Arial" w:hAnsi="Arial"/>
                <w:sz w:val="16"/>
                <w:szCs w:val="16"/>
                <w:color w:val="3D3935"/>
              </w:rPr>
              <w:t>Certificate of Incorporation</w:t>
            </w:r>
          </w:p>
        </w:tc>
        <w:tc>
          <w:tcPr>
            <w:tcW w:w="1380" w:type="dxa"/>
            <w:vAlign w:val="bottom"/>
          </w:tcPr>
          <w:p>
            <w:pPr>
              <w:spacing w:after="0"/>
              <w:rPr>
                <w:sz w:val="9"/>
                <w:szCs w:val="9"/>
                <w:color w:val="auto"/>
              </w:rPr>
            </w:pPr>
          </w:p>
        </w:tc>
        <w:tc>
          <w:tcPr>
            <w:tcW w:w="22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660" w:type="dxa"/>
            <w:vAlign w:val="bottom"/>
            <w:tcBorders>
              <w:bottom w:val="single" w:sz="8" w:color="D9D9D6"/>
            </w:tcBorders>
          </w:tcPr>
          <w:p>
            <w:pPr>
              <w:spacing w:after="0"/>
              <w:rPr>
                <w:sz w:val="9"/>
                <w:szCs w:val="9"/>
                <w:color w:val="auto"/>
              </w:rPr>
            </w:pPr>
          </w:p>
        </w:tc>
        <w:tc>
          <w:tcPr>
            <w:tcW w:w="2600" w:type="dxa"/>
            <w:vAlign w:val="bottom"/>
            <w:tcBorders>
              <w:bottom w:val="single" w:sz="8" w:color="D9D9D6"/>
            </w:tcBorders>
            <w:vMerge w:val="continue"/>
          </w:tcPr>
          <w:p>
            <w:pPr>
              <w:spacing w:after="0"/>
              <w:rPr>
                <w:sz w:val="9"/>
                <w:szCs w:val="9"/>
                <w:color w:val="auto"/>
              </w:rPr>
            </w:pPr>
          </w:p>
        </w:tc>
        <w:tc>
          <w:tcPr>
            <w:tcW w:w="1380" w:type="dxa"/>
            <w:vAlign w:val="bottom"/>
            <w:tcBorders>
              <w:bottom w:val="single" w:sz="8" w:color="D9D9D6"/>
            </w:tcBorders>
          </w:tcPr>
          <w:p>
            <w:pPr>
              <w:spacing w:after="0"/>
              <w:rPr>
                <w:sz w:val="9"/>
                <w:szCs w:val="9"/>
                <w:color w:val="auto"/>
              </w:rPr>
            </w:pPr>
          </w:p>
        </w:tc>
        <w:tc>
          <w:tcPr>
            <w:tcW w:w="2260" w:type="dxa"/>
            <w:vAlign w:val="bottom"/>
            <w:tcBorders>
              <w:bottom w:val="single" w:sz="8" w:color="D9D9D6"/>
            </w:tcBorders>
          </w:tcPr>
          <w:p>
            <w:pPr>
              <w:spacing w:after="0"/>
              <w:rPr>
                <w:sz w:val="9"/>
                <w:szCs w:val="9"/>
                <w:color w:val="auto"/>
              </w:rPr>
            </w:pPr>
          </w:p>
        </w:tc>
        <w:tc>
          <w:tcPr>
            <w:tcW w:w="980" w:type="dxa"/>
            <w:vAlign w:val="bottom"/>
            <w:tcBorders>
              <w:bottom w:val="single" w:sz="8" w:color="D9D9D6"/>
            </w:tcBorders>
          </w:tcPr>
          <w:p>
            <w:pPr>
              <w:spacing w:after="0"/>
              <w:rPr>
                <w:sz w:val="9"/>
                <w:szCs w:val="9"/>
                <w:color w:val="auto"/>
              </w:rPr>
            </w:pPr>
          </w:p>
        </w:tc>
        <w:tc>
          <w:tcPr>
            <w:tcW w:w="1200" w:type="dxa"/>
            <w:vAlign w:val="bottom"/>
            <w:tcBorders>
              <w:bottom w:val="single" w:sz="8" w:color="D9D9D6"/>
            </w:tcBorders>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660" w:type="dxa"/>
            <w:vAlign w:val="bottom"/>
          </w:tcPr>
          <w:p>
            <w:pPr>
              <w:spacing w:after="0"/>
              <w:rPr>
                <w:sz w:val="20"/>
                <w:szCs w:val="20"/>
                <w:color w:val="auto"/>
              </w:rPr>
            </w:pPr>
          </w:p>
        </w:tc>
        <w:tc>
          <w:tcPr>
            <w:tcW w:w="2600" w:type="dxa"/>
            <w:vAlign w:val="bottom"/>
          </w:tcPr>
          <w:p>
            <w:pPr>
              <w:ind w:left="60"/>
              <w:spacing w:after="0"/>
              <w:rPr>
                <w:sz w:val="20"/>
                <w:szCs w:val="20"/>
                <w:color w:val="auto"/>
              </w:rPr>
            </w:pPr>
            <w:r>
              <w:rPr>
                <w:rFonts w:ascii="Arial" w:cs="Arial" w:eastAsia="Arial" w:hAnsi="Arial"/>
                <w:sz w:val="16"/>
                <w:szCs w:val="16"/>
                <w:color w:val="3D3935"/>
              </w:rPr>
              <w:t>Shareholder Proposal Regarding</w:t>
            </w:r>
          </w:p>
        </w:tc>
        <w:tc>
          <w:tcPr>
            <w:tcW w:w="138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Arial" w:cs="Arial" w:eastAsia="Arial" w:hAnsi="Arial"/>
                <w:sz w:val="16"/>
                <w:szCs w:val="16"/>
                <w:color w:val="3D3935"/>
              </w:rPr>
              <w:t>Majority of shares present</w:t>
            </w:r>
          </w:p>
        </w:tc>
        <w:tc>
          <w:tcPr>
            <w:tcW w:w="980" w:type="dxa"/>
            <w:vAlign w:val="bottom"/>
            <w:vMerge w:val="restart"/>
          </w:tcPr>
          <w:p>
            <w:pPr>
              <w:jc w:val="center"/>
              <w:spacing w:after="0"/>
              <w:rPr>
                <w:sz w:val="20"/>
                <w:szCs w:val="20"/>
                <w:color w:val="auto"/>
              </w:rPr>
            </w:pPr>
            <w:r>
              <w:rPr>
                <w:rFonts w:ascii="Arial" w:cs="Arial" w:eastAsia="Arial" w:hAnsi="Arial"/>
                <w:sz w:val="16"/>
                <w:szCs w:val="16"/>
                <w:color w:val="3D3935"/>
              </w:rPr>
              <w:t>Counted as</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660" w:type="dxa"/>
            <w:vAlign w:val="bottom"/>
            <w:vMerge w:val="restart"/>
          </w:tcPr>
          <w:p>
            <w:pPr>
              <w:jc w:val="center"/>
              <w:spacing w:after="0"/>
              <w:rPr>
                <w:sz w:val="20"/>
                <w:szCs w:val="20"/>
                <w:color w:val="auto"/>
              </w:rPr>
            </w:pPr>
            <w:r>
              <w:rPr>
                <w:rFonts w:ascii="Arial" w:cs="Arial" w:eastAsia="Arial" w:hAnsi="Arial"/>
                <w:sz w:val="16"/>
                <w:szCs w:val="16"/>
                <w:color w:val="3D3935"/>
              </w:rPr>
              <w:t>5</w:t>
            </w:r>
          </w:p>
        </w:tc>
        <w:tc>
          <w:tcPr>
            <w:tcW w:w="2600" w:type="dxa"/>
            <w:vAlign w:val="bottom"/>
            <w:vMerge w:val="restart"/>
          </w:tcPr>
          <w:p>
            <w:pPr>
              <w:ind w:left="60"/>
              <w:spacing w:after="0"/>
              <w:rPr>
                <w:sz w:val="20"/>
                <w:szCs w:val="20"/>
                <w:color w:val="auto"/>
              </w:rPr>
            </w:pPr>
            <w:r>
              <w:rPr>
                <w:rFonts w:ascii="Arial" w:cs="Arial" w:eastAsia="Arial" w:hAnsi="Arial"/>
                <w:sz w:val="16"/>
                <w:szCs w:val="16"/>
                <w:color w:val="3D3935"/>
              </w:rPr>
              <w:t>a Report on Supply Chain GHG</w:t>
            </w: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0072CE"/>
                <w:w w:val="99"/>
              </w:rPr>
              <w:t>AGAINST</w:t>
            </w:r>
          </w:p>
        </w:tc>
        <w:tc>
          <w:tcPr>
            <w:tcW w:w="2260" w:type="dxa"/>
            <w:vAlign w:val="bottom"/>
            <w:vMerge w:val="restart"/>
          </w:tcPr>
          <w:p>
            <w:pPr>
              <w:jc w:val="center"/>
              <w:spacing w:after="0"/>
              <w:rPr>
                <w:sz w:val="20"/>
                <w:szCs w:val="20"/>
                <w:color w:val="auto"/>
              </w:rPr>
            </w:pPr>
            <w:r>
              <w:rPr>
                <w:rFonts w:ascii="Arial" w:cs="Arial" w:eastAsia="Arial" w:hAnsi="Arial"/>
                <w:sz w:val="16"/>
                <w:szCs w:val="16"/>
                <w:color w:val="3D3935"/>
              </w:rPr>
              <w:t>(in person or by proxy)</w:t>
            </w:r>
          </w:p>
        </w:tc>
        <w:tc>
          <w:tcPr>
            <w:tcW w:w="980" w:type="dxa"/>
            <w:vAlign w:val="bottom"/>
            <w:vMerge w:val="continue"/>
          </w:tcPr>
          <w:p>
            <w:pPr>
              <w:spacing w:after="0"/>
              <w:rPr>
                <w:sz w:val="9"/>
                <w:szCs w:val="9"/>
                <w:color w:val="auto"/>
              </w:rPr>
            </w:pPr>
          </w:p>
        </w:tc>
        <w:tc>
          <w:tcPr>
            <w:tcW w:w="1200" w:type="dxa"/>
            <w:vAlign w:val="bottom"/>
            <w:vMerge w:val="restart"/>
          </w:tcPr>
          <w:p>
            <w:pPr>
              <w:jc w:val="center"/>
              <w:spacing w:after="0"/>
              <w:rPr>
                <w:sz w:val="20"/>
                <w:szCs w:val="20"/>
                <w:color w:val="auto"/>
              </w:rPr>
            </w:pPr>
            <w:r>
              <w:rPr>
                <w:rFonts w:ascii="Arial" w:cs="Arial" w:eastAsia="Arial" w:hAnsi="Arial"/>
                <w:sz w:val="16"/>
                <w:szCs w:val="16"/>
                <w:color w:val="3D3935"/>
                <w:w w:val="99"/>
              </w:rPr>
              <w:t>No effect</w:t>
            </w:r>
          </w:p>
        </w:tc>
        <w:tc>
          <w:tcPr>
            <w:tcW w:w="0" w:type="dxa"/>
            <w:vAlign w:val="bottom"/>
          </w:tcPr>
          <w:p>
            <w:pPr>
              <w:spacing w:after="0"/>
              <w:rPr>
                <w:sz w:val="1"/>
                <w:szCs w:val="1"/>
                <w:color w:val="auto"/>
              </w:rPr>
            </w:pPr>
          </w:p>
        </w:tc>
      </w:tr>
      <w:tr>
        <w:trPr>
          <w:trHeight w:val="109"/>
        </w:trPr>
        <w:tc>
          <w:tcPr>
            <w:tcW w:w="660" w:type="dxa"/>
            <w:vAlign w:val="bottom"/>
            <w:vMerge w:val="continue"/>
          </w:tcPr>
          <w:p>
            <w:pPr>
              <w:spacing w:after="0"/>
              <w:rPr>
                <w:sz w:val="9"/>
                <w:szCs w:val="9"/>
                <w:color w:val="auto"/>
              </w:rPr>
            </w:pPr>
          </w:p>
        </w:tc>
        <w:tc>
          <w:tcPr>
            <w:tcW w:w="26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2260" w:type="dxa"/>
            <w:vAlign w:val="bottom"/>
            <w:vMerge w:val="continue"/>
          </w:tcPr>
          <w:p>
            <w:pPr>
              <w:spacing w:after="0"/>
              <w:rPr>
                <w:sz w:val="9"/>
                <w:szCs w:val="9"/>
                <w:color w:val="auto"/>
              </w:rPr>
            </w:pPr>
          </w:p>
        </w:tc>
        <w:tc>
          <w:tcPr>
            <w:tcW w:w="980" w:type="dxa"/>
            <w:vAlign w:val="bottom"/>
            <w:vMerge w:val="restart"/>
          </w:tcPr>
          <w:p>
            <w:pPr>
              <w:jc w:val="center"/>
              <w:spacing w:after="0"/>
              <w:rPr>
                <w:sz w:val="20"/>
                <w:szCs w:val="20"/>
                <w:color w:val="auto"/>
              </w:rPr>
            </w:pPr>
            <w:r>
              <w:rPr>
                <w:rFonts w:ascii="Arial" w:cs="Arial" w:eastAsia="Arial" w:hAnsi="Arial"/>
                <w:sz w:val="16"/>
                <w:szCs w:val="16"/>
                <w:color w:val="3D3935"/>
              </w:rPr>
              <w:t>“AGAINST”</w:t>
            </w: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60" w:type="dxa"/>
            <w:vAlign w:val="bottom"/>
          </w:tcPr>
          <w:p>
            <w:pPr>
              <w:spacing w:after="0"/>
              <w:rPr>
                <w:sz w:val="9"/>
                <w:szCs w:val="9"/>
                <w:color w:val="auto"/>
              </w:rPr>
            </w:pPr>
          </w:p>
        </w:tc>
        <w:tc>
          <w:tcPr>
            <w:tcW w:w="2600" w:type="dxa"/>
            <w:vAlign w:val="bottom"/>
            <w:vMerge w:val="restart"/>
          </w:tcPr>
          <w:p>
            <w:pPr>
              <w:ind w:left="60"/>
              <w:spacing w:after="0"/>
              <w:rPr>
                <w:sz w:val="20"/>
                <w:szCs w:val="20"/>
                <w:color w:val="auto"/>
              </w:rPr>
            </w:pPr>
            <w:r>
              <w:rPr>
                <w:rFonts w:ascii="Arial" w:cs="Arial" w:eastAsia="Arial" w:hAnsi="Arial"/>
                <w:sz w:val="16"/>
                <w:szCs w:val="16"/>
                <w:color w:val="3D3935"/>
              </w:rPr>
              <w:t>Emissions Reduction Strategies</w:t>
            </w:r>
          </w:p>
        </w:tc>
        <w:tc>
          <w:tcPr>
            <w:tcW w:w="1380" w:type="dxa"/>
            <w:vAlign w:val="bottom"/>
          </w:tcPr>
          <w:p>
            <w:pPr>
              <w:spacing w:after="0"/>
              <w:rPr>
                <w:sz w:val="9"/>
                <w:szCs w:val="9"/>
                <w:color w:val="auto"/>
              </w:rPr>
            </w:pPr>
          </w:p>
        </w:tc>
        <w:tc>
          <w:tcPr>
            <w:tcW w:w="2260" w:type="dxa"/>
            <w:vAlign w:val="bottom"/>
            <w:vMerge w:val="restart"/>
          </w:tcPr>
          <w:p>
            <w:pPr>
              <w:jc w:val="center"/>
              <w:spacing w:after="0"/>
              <w:rPr>
                <w:sz w:val="20"/>
                <w:szCs w:val="20"/>
                <w:color w:val="auto"/>
              </w:rPr>
            </w:pPr>
            <w:r>
              <w:rPr>
                <w:rFonts w:ascii="Arial" w:cs="Arial" w:eastAsia="Arial" w:hAnsi="Arial"/>
                <w:sz w:val="16"/>
                <w:szCs w:val="16"/>
                <w:color w:val="3D3935"/>
              </w:rPr>
              <w:t>and entitled to vote</w:t>
            </w:r>
          </w:p>
        </w:tc>
        <w:tc>
          <w:tcPr>
            <w:tcW w:w="98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660" w:type="dxa"/>
            <w:vAlign w:val="bottom"/>
            <w:tcBorders>
              <w:bottom w:val="single" w:sz="8" w:color="0072CE"/>
            </w:tcBorders>
          </w:tcPr>
          <w:p>
            <w:pPr>
              <w:spacing w:after="0"/>
              <w:rPr>
                <w:sz w:val="9"/>
                <w:szCs w:val="9"/>
                <w:color w:val="auto"/>
              </w:rPr>
            </w:pPr>
          </w:p>
        </w:tc>
        <w:tc>
          <w:tcPr>
            <w:tcW w:w="2600" w:type="dxa"/>
            <w:vAlign w:val="bottom"/>
            <w:tcBorders>
              <w:bottom w:val="single" w:sz="8" w:color="0072CE"/>
            </w:tcBorders>
            <w:vMerge w:val="continue"/>
          </w:tcPr>
          <w:p>
            <w:pPr>
              <w:spacing w:after="0"/>
              <w:rPr>
                <w:sz w:val="9"/>
                <w:szCs w:val="9"/>
                <w:color w:val="auto"/>
              </w:rPr>
            </w:pPr>
          </w:p>
        </w:tc>
        <w:tc>
          <w:tcPr>
            <w:tcW w:w="1380" w:type="dxa"/>
            <w:vAlign w:val="bottom"/>
            <w:tcBorders>
              <w:bottom w:val="single" w:sz="8" w:color="0072CE"/>
            </w:tcBorders>
          </w:tcPr>
          <w:p>
            <w:pPr>
              <w:spacing w:after="0"/>
              <w:rPr>
                <w:sz w:val="9"/>
                <w:szCs w:val="9"/>
                <w:color w:val="auto"/>
              </w:rPr>
            </w:pPr>
          </w:p>
        </w:tc>
        <w:tc>
          <w:tcPr>
            <w:tcW w:w="2260" w:type="dxa"/>
            <w:vAlign w:val="bottom"/>
            <w:tcBorders>
              <w:bottom w:val="single" w:sz="8" w:color="0072CE"/>
            </w:tcBorders>
            <w:vMerge w:val="continue"/>
          </w:tcPr>
          <w:p>
            <w:pPr>
              <w:spacing w:after="0"/>
              <w:rPr>
                <w:sz w:val="9"/>
                <w:szCs w:val="9"/>
                <w:color w:val="auto"/>
              </w:rPr>
            </w:pPr>
          </w:p>
        </w:tc>
        <w:tc>
          <w:tcPr>
            <w:tcW w:w="980" w:type="dxa"/>
            <w:vAlign w:val="bottom"/>
            <w:tcBorders>
              <w:bottom w:val="single" w:sz="8" w:color="0072CE"/>
            </w:tcBorders>
          </w:tcPr>
          <w:p>
            <w:pPr>
              <w:spacing w:after="0"/>
              <w:rPr>
                <w:sz w:val="9"/>
                <w:szCs w:val="9"/>
                <w:color w:val="auto"/>
              </w:rPr>
            </w:pPr>
          </w:p>
        </w:tc>
        <w:tc>
          <w:tcPr>
            <w:tcW w:w="1200" w:type="dxa"/>
            <w:vAlign w:val="bottom"/>
            <w:tcBorders>
              <w:bottom w:val="single" w:sz="8" w:color="0072CE"/>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9080"/>
          </w:cols>
          <w:pgMar w:left="1400" w:top="130" w:right="1419" w:bottom="0" w:gutter="0" w:footer="0" w:header="0"/>
        </w:sectPr>
      </w:pPr>
    </w:p>
    <w:bookmarkStart w:id="83" w:name="page84"/>
    <w:bookmarkEnd w:id="83"/>
    <w:p>
      <w:pPr>
        <w:ind w:left="200" w:right="200" w:hanging="192"/>
        <w:spacing w:after="0" w:line="325" w:lineRule="auto"/>
        <w:tabs>
          <w:tab w:leader="none" w:pos="182" w:val="left"/>
        </w:tabs>
        <w:numPr>
          <w:ilvl w:val="0"/>
          <w:numId w:val="122"/>
        </w:numPr>
        <w:rPr>
          <w:rFonts w:ascii="Arial" w:cs="Arial" w:eastAsia="Arial" w:hAnsi="Arial"/>
          <w:sz w:val="14"/>
          <w:szCs w:val="14"/>
          <w:color w:val="3D3935"/>
        </w:rPr>
      </w:pPr>
      <w:r>
        <w:rPr>
          <w:rFonts w:ascii="Arial" w:cs="Arial" w:eastAsia="Arial" w:hAnsi="Arial"/>
          <w:sz w:val="14"/>
          <w:szCs w:val="14"/>
          <w:color w:val="3D3935"/>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3328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10375" cy="3328035"/>
                    </a:xfrm>
                    <a:prstGeom prst="rect">
                      <a:avLst/>
                    </a:prstGeom>
                    <a:noFill/>
                  </pic:spPr>
                </pic:pic>
              </a:graphicData>
            </a:graphic>
          </wp:anchor>
        </w:drawing>
        <w:t>See sections 1.7 and 2.2(c) of the Company’s Bylaws for a description of the vote requirements and the impact of abstentions and broker non-votes on the meeting agenda items listed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3D3935"/>
              </w:rPr>
              <w:t>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71056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10375" cy="7105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General Information About the Annual Meeting</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Will Other Matters Be Presented at the Annual Meeting?</w:t>
      </w:r>
    </w:p>
    <w:p>
      <w:pPr>
        <w:spacing w:after="0" w:line="58"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3D3935"/>
        </w:rPr>
        <w:t>We do not know of any matters to be voted on by shareholders at the Annual Meeting other than those included in this Proxy Statement. If any matter other than the election of directors or items 2 through 5 in this Proxy Statement is properly presented at the meeting, your executed proxy gives the Proxies discretionary authority to vote your shares in accordance with their best judgment with respect to the matter presented.</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How Do I Attend the Virtual Annual Meeting?</w:t>
      </w:r>
    </w:p>
    <w:p>
      <w:pPr>
        <w:spacing w:after="0" w:line="99" w:lineRule="exact"/>
        <w:rPr>
          <w:sz w:val="20"/>
          <w:szCs w:val="20"/>
          <w:color w:val="auto"/>
        </w:rPr>
      </w:pPr>
    </w:p>
    <w:p>
      <w:pPr>
        <w:ind w:right="160"/>
        <w:spacing w:after="0" w:line="321" w:lineRule="auto"/>
        <w:rPr>
          <w:sz w:val="20"/>
          <w:szCs w:val="20"/>
          <w:color w:val="auto"/>
        </w:rPr>
      </w:pPr>
      <w:r>
        <w:rPr>
          <w:rFonts w:ascii="Arial" w:cs="Arial" w:eastAsia="Arial" w:hAnsi="Arial"/>
          <w:sz w:val="16"/>
          <w:szCs w:val="16"/>
          <w:color w:val="3D3935"/>
        </w:rPr>
        <w:t>The Annual Meeting will be held virtually this year. If circumstances warrant, the Board and certain members of management may dial in to the webinar from remote locations and will not be present in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ind w:left="60"/>
              <w:spacing w:after="0"/>
              <w:rPr>
                <w:sz w:val="20"/>
                <w:szCs w:val="20"/>
                <w:color w:val="auto"/>
              </w:rPr>
            </w:pPr>
            <w:r>
              <w:rPr>
                <w:rFonts w:ascii="Arial" w:cs="Arial" w:eastAsia="Arial" w:hAnsi="Arial"/>
                <w:sz w:val="16"/>
                <w:szCs w:val="16"/>
                <w:b w:val="1"/>
                <w:bCs w:val="1"/>
                <w:color w:val="0072CE"/>
              </w:rPr>
              <w:t>How to Participate in the Annual</w:t>
            </w:r>
          </w:p>
        </w:tc>
        <w:tc>
          <w:tcPr>
            <w:tcW w:w="6160" w:type="dxa"/>
            <w:vAlign w:val="bottom"/>
            <w:gridSpan w:val="7"/>
          </w:tcPr>
          <w:p>
            <w:pPr>
              <w:ind w:left="180"/>
              <w:spacing w:after="0"/>
              <w:rPr>
                <w:sz w:val="20"/>
                <w:szCs w:val="20"/>
                <w:color w:val="auto"/>
              </w:rPr>
            </w:pPr>
            <w:r>
              <w:rPr>
                <w:rFonts w:ascii="Arial" w:cs="Arial" w:eastAsia="Arial" w:hAnsi="Arial"/>
                <w:sz w:val="16"/>
                <w:szCs w:val="16"/>
                <w:b w:val="1"/>
                <w:bCs w:val="1"/>
                <w:color w:val="0072CE"/>
              </w:rPr>
              <w:t xml:space="preserve">1.  </w:t>
            </w:r>
            <w:r>
              <w:rPr>
                <w:rFonts w:ascii="Arial" w:cs="Arial" w:eastAsia="Arial" w:hAnsi="Arial"/>
                <w:sz w:val="16"/>
                <w:szCs w:val="16"/>
                <w:color w:val="3D3935"/>
              </w:rPr>
              <w:t>Visit</w:t>
            </w:r>
            <w:r>
              <w:rPr>
                <w:rFonts w:ascii="Arial" w:cs="Arial" w:eastAsia="Arial" w:hAnsi="Arial"/>
                <w:sz w:val="16"/>
                <w:szCs w:val="16"/>
                <w:b w:val="1"/>
                <w:bCs w:val="1"/>
                <w:color w:val="0072CE"/>
              </w:rPr>
              <w:t xml:space="preserve"> </w:t>
            </w:r>
            <w:r>
              <w:rPr>
                <w:rFonts w:ascii="Arial" w:cs="Arial" w:eastAsia="Arial" w:hAnsi="Arial"/>
                <w:sz w:val="16"/>
                <w:szCs w:val="16"/>
                <w:color w:val="0072CE"/>
              </w:rPr>
              <w:t>virtualshareholdermeeting.com/GM2025;</w:t>
            </w:r>
            <w:r>
              <w:rPr>
                <w:rFonts w:ascii="Arial" w:cs="Arial" w:eastAsia="Arial" w:hAnsi="Arial"/>
                <w:sz w:val="16"/>
                <w:szCs w:val="16"/>
                <w:b w:val="1"/>
                <w:bCs w:val="1"/>
                <w:color w:val="0072CE"/>
              </w:rPr>
              <w:t xml:space="preserve">  </w:t>
            </w:r>
            <w:r>
              <w:rPr>
                <w:rFonts w:ascii="Arial" w:cs="Arial" w:eastAsia="Arial" w:hAnsi="Arial"/>
                <w:sz w:val="16"/>
                <w:szCs w:val="16"/>
                <w:color w:val="3D3935"/>
              </w:rPr>
              <w:t>and</w:t>
            </w:r>
          </w:p>
        </w:tc>
        <w:tc>
          <w:tcPr>
            <w:tcW w:w="0" w:type="dxa"/>
            <w:vAlign w:val="bottom"/>
          </w:tcPr>
          <w:p>
            <w:pPr>
              <w:spacing w:after="0"/>
              <w:rPr>
                <w:sz w:val="1"/>
                <w:szCs w:val="1"/>
                <w:color w:val="auto"/>
              </w:rPr>
            </w:pPr>
          </w:p>
        </w:tc>
      </w:tr>
      <w:tr>
        <w:trPr>
          <w:trHeight w:val="20"/>
        </w:trPr>
        <w:tc>
          <w:tcPr>
            <w:tcW w:w="2920" w:type="dxa"/>
            <w:vAlign w:val="bottom"/>
            <w:vMerge w:val="restart"/>
          </w:tcPr>
          <w:p>
            <w:pPr>
              <w:ind w:left="60"/>
              <w:spacing w:after="0"/>
              <w:rPr>
                <w:sz w:val="20"/>
                <w:szCs w:val="20"/>
                <w:color w:val="auto"/>
              </w:rPr>
            </w:pPr>
            <w:r>
              <w:rPr>
                <w:rFonts w:ascii="Arial" w:cs="Arial" w:eastAsia="Arial" w:hAnsi="Arial"/>
                <w:sz w:val="16"/>
                <w:szCs w:val="16"/>
                <w:b w:val="1"/>
                <w:bCs w:val="1"/>
                <w:color w:val="0072CE"/>
              </w:rPr>
              <w:t>Meeting Online</w:t>
            </w: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shd w:val="clear" w:color="auto" w:fill="0072CE"/>
          </w:tcPr>
          <w:p>
            <w:pPr>
              <w:spacing w:after="0" w:line="20" w:lineRule="exact"/>
              <w:rPr>
                <w:sz w:val="1"/>
                <w:szCs w:val="1"/>
                <w:color w:val="auto"/>
              </w:rPr>
            </w:pPr>
          </w:p>
        </w:tc>
        <w:tc>
          <w:tcPr>
            <w:tcW w:w="680" w:type="dxa"/>
            <w:vAlign w:val="bottom"/>
            <w:shd w:val="clear" w:color="auto" w:fill="0072CE"/>
          </w:tcPr>
          <w:p>
            <w:pPr>
              <w:spacing w:after="0" w:line="20" w:lineRule="exact"/>
              <w:rPr>
                <w:sz w:val="1"/>
                <w:szCs w:val="1"/>
                <w:color w:val="auto"/>
              </w:rPr>
            </w:pPr>
          </w:p>
        </w:tc>
        <w:tc>
          <w:tcPr>
            <w:tcW w:w="300" w:type="dxa"/>
            <w:vAlign w:val="bottom"/>
            <w:shd w:val="clear" w:color="auto" w:fill="0072C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920" w:type="dxa"/>
            <w:vAlign w:val="bottom"/>
            <w:vMerge w:val="continue"/>
          </w:tcPr>
          <w:p>
            <w:pPr>
              <w:spacing w:after="0"/>
              <w:rPr>
                <w:sz w:val="24"/>
                <w:szCs w:val="24"/>
                <w:color w:val="auto"/>
              </w:rPr>
            </w:pPr>
          </w:p>
        </w:tc>
        <w:tc>
          <w:tcPr>
            <w:tcW w:w="6160" w:type="dxa"/>
            <w:vAlign w:val="bottom"/>
            <w:gridSpan w:val="7"/>
          </w:tcPr>
          <w:p>
            <w:pPr>
              <w:ind w:left="180"/>
              <w:spacing w:after="0"/>
              <w:rPr>
                <w:sz w:val="20"/>
                <w:szCs w:val="20"/>
                <w:color w:val="auto"/>
              </w:rPr>
            </w:pPr>
            <w:r>
              <w:rPr>
                <w:rFonts w:ascii="Arial" w:cs="Arial" w:eastAsia="Arial" w:hAnsi="Arial"/>
                <w:sz w:val="16"/>
                <w:szCs w:val="16"/>
                <w:b w:val="1"/>
                <w:bCs w:val="1"/>
                <w:color w:val="0072CE"/>
              </w:rPr>
              <w:t xml:space="preserve">2.  </w:t>
            </w:r>
            <w:r>
              <w:rPr>
                <w:rFonts w:ascii="Arial" w:cs="Arial" w:eastAsia="Arial" w:hAnsi="Arial"/>
                <w:sz w:val="16"/>
                <w:szCs w:val="16"/>
                <w:color w:val="3D3935"/>
              </w:rPr>
              <w:t>Enter the 16-digit control number included on your Notice, on your proxy card</w:t>
            </w:r>
          </w:p>
        </w:tc>
        <w:tc>
          <w:tcPr>
            <w:tcW w:w="0" w:type="dxa"/>
            <w:vAlign w:val="bottom"/>
          </w:tcPr>
          <w:p>
            <w:pPr>
              <w:spacing w:after="0"/>
              <w:rPr>
                <w:sz w:val="1"/>
                <w:szCs w:val="1"/>
                <w:color w:val="auto"/>
              </w:rPr>
            </w:pPr>
          </w:p>
        </w:tc>
      </w:tr>
      <w:tr>
        <w:trPr>
          <w:trHeight w:val="215"/>
        </w:trPr>
        <w:tc>
          <w:tcPr>
            <w:tcW w:w="2920" w:type="dxa"/>
            <w:vAlign w:val="bottom"/>
          </w:tcPr>
          <w:p>
            <w:pPr>
              <w:spacing w:after="0"/>
              <w:rPr>
                <w:sz w:val="18"/>
                <w:szCs w:val="18"/>
                <w:color w:val="auto"/>
              </w:rPr>
            </w:pPr>
          </w:p>
        </w:tc>
        <w:tc>
          <w:tcPr>
            <w:tcW w:w="6160" w:type="dxa"/>
            <w:vAlign w:val="bottom"/>
            <w:gridSpan w:val="7"/>
          </w:tcPr>
          <w:p>
            <w:pPr>
              <w:ind w:left="440"/>
              <w:spacing w:after="0"/>
              <w:rPr>
                <w:sz w:val="20"/>
                <w:szCs w:val="20"/>
                <w:color w:val="auto"/>
              </w:rPr>
            </w:pPr>
            <w:r>
              <w:rPr>
                <w:rFonts w:ascii="Arial" w:cs="Arial" w:eastAsia="Arial" w:hAnsi="Arial"/>
                <w:sz w:val="16"/>
                <w:szCs w:val="16"/>
                <w:color w:val="3D3935"/>
              </w:rPr>
              <w:t>(if you received a printed copy of the proxy materials), or on the instructions</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6160" w:type="dxa"/>
            <w:vAlign w:val="bottom"/>
            <w:gridSpan w:val="7"/>
          </w:tcPr>
          <w:p>
            <w:pPr>
              <w:ind w:left="440"/>
              <w:spacing w:after="0"/>
              <w:rPr>
                <w:sz w:val="20"/>
                <w:szCs w:val="20"/>
                <w:color w:val="auto"/>
              </w:rPr>
            </w:pPr>
            <w:r>
              <w:rPr>
                <w:rFonts w:ascii="Arial" w:cs="Arial" w:eastAsia="Arial" w:hAnsi="Arial"/>
                <w:sz w:val="16"/>
                <w:szCs w:val="16"/>
                <w:color w:val="3D3935"/>
              </w:rPr>
              <w:t>that accompanied your proxy materials.</w:t>
            </w:r>
          </w:p>
        </w:tc>
        <w:tc>
          <w:tcPr>
            <w:tcW w:w="0" w:type="dxa"/>
            <w:vAlign w:val="bottom"/>
          </w:tcPr>
          <w:p>
            <w:pPr>
              <w:spacing w:after="0"/>
              <w:rPr>
                <w:sz w:val="1"/>
                <w:szCs w:val="1"/>
                <w:color w:val="auto"/>
              </w:rPr>
            </w:pPr>
          </w:p>
        </w:tc>
      </w:tr>
      <w:tr>
        <w:trPr>
          <w:trHeight w:val="270"/>
        </w:trPr>
        <w:tc>
          <w:tcPr>
            <w:tcW w:w="2920" w:type="dxa"/>
            <w:vAlign w:val="bottom"/>
          </w:tcPr>
          <w:p>
            <w:pPr>
              <w:spacing w:after="0"/>
              <w:rPr>
                <w:sz w:val="23"/>
                <w:szCs w:val="23"/>
                <w:color w:val="auto"/>
              </w:rPr>
            </w:pPr>
          </w:p>
        </w:tc>
        <w:tc>
          <w:tcPr>
            <w:tcW w:w="6160" w:type="dxa"/>
            <w:vAlign w:val="bottom"/>
            <w:gridSpan w:val="7"/>
          </w:tcPr>
          <w:p>
            <w:pPr>
              <w:ind w:left="180"/>
              <w:spacing w:after="0"/>
              <w:rPr>
                <w:sz w:val="20"/>
                <w:szCs w:val="20"/>
                <w:color w:val="auto"/>
              </w:rPr>
            </w:pPr>
            <w:r>
              <w:rPr>
                <w:rFonts w:ascii="Arial" w:cs="Arial" w:eastAsia="Arial" w:hAnsi="Arial"/>
                <w:sz w:val="16"/>
                <w:szCs w:val="16"/>
                <w:color w:val="3D3935"/>
              </w:rPr>
              <w:t>You may log in to the meeting platform beginning at 11:45 a.m. Eastern Time on</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6160" w:type="dxa"/>
            <w:vAlign w:val="bottom"/>
            <w:gridSpan w:val="7"/>
          </w:tcPr>
          <w:p>
            <w:pPr>
              <w:ind w:left="180"/>
              <w:spacing w:after="0"/>
              <w:rPr>
                <w:sz w:val="20"/>
                <w:szCs w:val="20"/>
                <w:color w:val="auto"/>
              </w:rPr>
            </w:pPr>
            <w:r>
              <w:rPr>
                <w:rFonts w:ascii="Arial" w:cs="Arial" w:eastAsia="Arial" w:hAnsi="Arial"/>
                <w:sz w:val="16"/>
                <w:szCs w:val="16"/>
                <w:color w:val="3D3935"/>
              </w:rPr>
              <w:t>June 3, 2025. The meeting will begin promptly at 12:00 p.m. Eastern Time.</w:t>
            </w:r>
          </w:p>
        </w:tc>
        <w:tc>
          <w:tcPr>
            <w:tcW w:w="0" w:type="dxa"/>
            <w:vAlign w:val="bottom"/>
          </w:tcPr>
          <w:p>
            <w:pPr>
              <w:spacing w:after="0"/>
              <w:rPr>
                <w:sz w:val="1"/>
                <w:szCs w:val="1"/>
                <w:color w:val="auto"/>
              </w:rPr>
            </w:pPr>
          </w:p>
        </w:tc>
      </w:tr>
      <w:tr>
        <w:trPr>
          <w:trHeight w:val="56"/>
        </w:trPr>
        <w:tc>
          <w:tcPr>
            <w:tcW w:w="2920" w:type="dxa"/>
            <w:vAlign w:val="bottom"/>
            <w:tcBorders>
              <w:bottom w:val="single" w:sz="8" w:color="D9D9D6"/>
            </w:tcBorders>
          </w:tcPr>
          <w:p>
            <w:pPr>
              <w:spacing w:after="0"/>
              <w:rPr>
                <w:sz w:val="4"/>
                <w:szCs w:val="4"/>
                <w:color w:val="auto"/>
              </w:rPr>
            </w:pPr>
          </w:p>
        </w:tc>
        <w:tc>
          <w:tcPr>
            <w:tcW w:w="540" w:type="dxa"/>
            <w:vAlign w:val="bottom"/>
            <w:tcBorders>
              <w:bottom w:val="single" w:sz="8" w:color="D9D9D6"/>
            </w:tcBorders>
          </w:tcPr>
          <w:p>
            <w:pPr>
              <w:spacing w:after="0"/>
              <w:rPr>
                <w:sz w:val="4"/>
                <w:szCs w:val="4"/>
                <w:color w:val="auto"/>
              </w:rPr>
            </w:pPr>
          </w:p>
        </w:tc>
        <w:tc>
          <w:tcPr>
            <w:tcW w:w="260" w:type="dxa"/>
            <w:vAlign w:val="bottom"/>
            <w:tcBorders>
              <w:bottom w:val="single" w:sz="8" w:color="D9D9D6"/>
            </w:tcBorders>
          </w:tcPr>
          <w:p>
            <w:pPr>
              <w:spacing w:after="0"/>
              <w:rPr>
                <w:sz w:val="4"/>
                <w:szCs w:val="4"/>
                <w:color w:val="auto"/>
              </w:rPr>
            </w:pPr>
          </w:p>
        </w:tc>
        <w:tc>
          <w:tcPr>
            <w:tcW w:w="1940" w:type="dxa"/>
            <w:vAlign w:val="bottom"/>
            <w:tcBorders>
              <w:bottom w:val="single" w:sz="8" w:color="D9D9D6"/>
            </w:tcBorders>
          </w:tcPr>
          <w:p>
            <w:pPr>
              <w:spacing w:after="0"/>
              <w:rPr>
                <w:sz w:val="4"/>
                <w:szCs w:val="4"/>
                <w:color w:val="auto"/>
              </w:rPr>
            </w:pPr>
          </w:p>
        </w:tc>
        <w:tc>
          <w:tcPr>
            <w:tcW w:w="680" w:type="dxa"/>
            <w:vAlign w:val="bottom"/>
            <w:tcBorders>
              <w:bottom w:val="single" w:sz="8" w:color="D9D9D6"/>
            </w:tcBorders>
          </w:tcPr>
          <w:p>
            <w:pPr>
              <w:spacing w:after="0"/>
              <w:rPr>
                <w:sz w:val="4"/>
                <w:szCs w:val="4"/>
                <w:color w:val="auto"/>
              </w:rPr>
            </w:pPr>
          </w:p>
        </w:tc>
        <w:tc>
          <w:tcPr>
            <w:tcW w:w="300" w:type="dxa"/>
            <w:vAlign w:val="bottom"/>
            <w:tcBorders>
              <w:bottom w:val="single" w:sz="8" w:color="D9D9D6"/>
            </w:tcBorders>
          </w:tcPr>
          <w:p>
            <w:pPr>
              <w:spacing w:after="0"/>
              <w:rPr>
                <w:sz w:val="4"/>
                <w:szCs w:val="4"/>
                <w:color w:val="auto"/>
              </w:rPr>
            </w:pPr>
          </w:p>
        </w:tc>
        <w:tc>
          <w:tcPr>
            <w:tcW w:w="1260" w:type="dxa"/>
            <w:vAlign w:val="bottom"/>
            <w:tcBorders>
              <w:bottom w:val="single" w:sz="8" w:color="D9D9D6"/>
            </w:tcBorders>
          </w:tcPr>
          <w:p>
            <w:pPr>
              <w:spacing w:after="0"/>
              <w:rPr>
                <w:sz w:val="4"/>
                <w:szCs w:val="4"/>
                <w:color w:val="auto"/>
              </w:rPr>
            </w:pPr>
          </w:p>
        </w:tc>
        <w:tc>
          <w:tcPr>
            <w:tcW w:w="1180" w:type="dxa"/>
            <w:vAlign w:val="bottom"/>
            <w:tcBorders>
              <w:bottom w:val="single" w:sz="8" w:color="D9D9D6"/>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920" w:type="dxa"/>
            <w:vAlign w:val="bottom"/>
          </w:tcPr>
          <w:p>
            <w:pPr>
              <w:ind w:left="60"/>
              <w:spacing w:after="0"/>
              <w:rPr>
                <w:sz w:val="20"/>
                <w:szCs w:val="20"/>
                <w:color w:val="auto"/>
              </w:rPr>
            </w:pPr>
            <w:r>
              <w:rPr>
                <w:rFonts w:ascii="Arial" w:cs="Arial" w:eastAsia="Arial" w:hAnsi="Arial"/>
                <w:sz w:val="16"/>
                <w:szCs w:val="16"/>
                <w:b w:val="1"/>
                <w:bCs w:val="1"/>
                <w:color w:val="0072CE"/>
              </w:rPr>
              <w:t>How to Participate in the Annual</w:t>
            </w:r>
          </w:p>
        </w:tc>
        <w:tc>
          <w:tcPr>
            <w:tcW w:w="6160" w:type="dxa"/>
            <w:vAlign w:val="bottom"/>
            <w:gridSpan w:val="7"/>
          </w:tcPr>
          <w:p>
            <w:pPr>
              <w:ind w:left="180"/>
              <w:spacing w:after="0"/>
              <w:rPr>
                <w:sz w:val="20"/>
                <w:szCs w:val="20"/>
                <w:color w:val="auto"/>
              </w:rPr>
            </w:pPr>
            <w:r>
              <w:rPr>
                <w:rFonts w:ascii="Arial" w:cs="Arial" w:eastAsia="Arial" w:hAnsi="Arial"/>
                <w:sz w:val="16"/>
                <w:szCs w:val="16"/>
                <w:color w:val="3D3935"/>
              </w:rPr>
              <w:t>Call (877) 328-2502 (toll free) or (412) 317-5419 (international) to listen to the</w:t>
            </w:r>
          </w:p>
        </w:tc>
        <w:tc>
          <w:tcPr>
            <w:tcW w:w="0" w:type="dxa"/>
            <w:vAlign w:val="bottom"/>
          </w:tcPr>
          <w:p>
            <w:pPr>
              <w:spacing w:after="0"/>
              <w:rPr>
                <w:sz w:val="1"/>
                <w:szCs w:val="1"/>
                <w:color w:val="auto"/>
              </w:rPr>
            </w:pPr>
          </w:p>
        </w:tc>
      </w:tr>
      <w:tr>
        <w:trPr>
          <w:trHeight w:val="216"/>
        </w:trPr>
        <w:tc>
          <w:tcPr>
            <w:tcW w:w="2920" w:type="dxa"/>
            <w:vAlign w:val="bottom"/>
          </w:tcPr>
          <w:p>
            <w:pPr>
              <w:ind w:left="60"/>
              <w:spacing w:after="0"/>
              <w:rPr>
                <w:sz w:val="20"/>
                <w:szCs w:val="20"/>
                <w:color w:val="auto"/>
              </w:rPr>
            </w:pPr>
            <w:r>
              <w:rPr>
                <w:rFonts w:ascii="Arial" w:cs="Arial" w:eastAsia="Arial" w:hAnsi="Arial"/>
                <w:sz w:val="16"/>
                <w:szCs w:val="16"/>
                <w:b w:val="1"/>
                <w:bCs w:val="1"/>
                <w:color w:val="0072CE"/>
              </w:rPr>
              <w:t>Meeting Without Internet Access</w:t>
            </w:r>
          </w:p>
        </w:tc>
        <w:tc>
          <w:tcPr>
            <w:tcW w:w="6160" w:type="dxa"/>
            <w:vAlign w:val="bottom"/>
            <w:gridSpan w:val="7"/>
          </w:tcPr>
          <w:p>
            <w:pPr>
              <w:ind w:left="180"/>
              <w:spacing w:after="0"/>
              <w:rPr>
                <w:sz w:val="20"/>
                <w:szCs w:val="20"/>
                <w:color w:val="auto"/>
              </w:rPr>
            </w:pPr>
            <w:r>
              <w:rPr>
                <w:rFonts w:ascii="Arial" w:cs="Arial" w:eastAsia="Arial" w:hAnsi="Arial"/>
                <w:sz w:val="16"/>
                <w:szCs w:val="16"/>
                <w:color w:val="3D3935"/>
              </w:rPr>
              <w:t>meeting proceedings. If you join via phone, you will not be able to vote your</w:t>
            </w:r>
          </w:p>
        </w:tc>
        <w:tc>
          <w:tcPr>
            <w:tcW w:w="0" w:type="dxa"/>
            <w:vAlign w:val="bottom"/>
          </w:tcPr>
          <w:p>
            <w:pPr>
              <w:spacing w:after="0"/>
              <w:rPr>
                <w:sz w:val="1"/>
                <w:szCs w:val="1"/>
                <w:color w:val="auto"/>
              </w:rPr>
            </w:pPr>
          </w:p>
        </w:tc>
      </w:tr>
      <w:tr>
        <w:trPr>
          <w:trHeight w:val="215"/>
        </w:trPr>
        <w:tc>
          <w:tcPr>
            <w:tcW w:w="2920" w:type="dxa"/>
            <w:vAlign w:val="bottom"/>
          </w:tcPr>
          <w:p>
            <w:pPr>
              <w:spacing w:after="0"/>
              <w:rPr>
                <w:sz w:val="18"/>
                <w:szCs w:val="18"/>
                <w:color w:val="auto"/>
              </w:rPr>
            </w:pPr>
          </w:p>
        </w:tc>
        <w:tc>
          <w:tcPr>
            <w:tcW w:w="6160" w:type="dxa"/>
            <w:vAlign w:val="bottom"/>
            <w:gridSpan w:val="7"/>
          </w:tcPr>
          <w:p>
            <w:pPr>
              <w:ind w:left="180"/>
              <w:spacing w:after="0"/>
              <w:rPr>
                <w:sz w:val="20"/>
                <w:szCs w:val="20"/>
                <w:color w:val="auto"/>
              </w:rPr>
            </w:pPr>
            <w:r>
              <w:rPr>
                <w:rFonts w:ascii="Arial" w:cs="Arial" w:eastAsia="Arial" w:hAnsi="Arial"/>
                <w:sz w:val="16"/>
                <w:szCs w:val="16"/>
                <w:color w:val="3D3935"/>
              </w:rPr>
              <w:t>shares during the meeting.</w:t>
            </w:r>
          </w:p>
        </w:tc>
        <w:tc>
          <w:tcPr>
            <w:tcW w:w="0" w:type="dxa"/>
            <w:vAlign w:val="bottom"/>
          </w:tcPr>
          <w:p>
            <w:pPr>
              <w:spacing w:after="0"/>
              <w:rPr>
                <w:sz w:val="1"/>
                <w:szCs w:val="1"/>
                <w:color w:val="auto"/>
              </w:rPr>
            </w:pPr>
          </w:p>
        </w:tc>
      </w:tr>
      <w:tr>
        <w:trPr>
          <w:trHeight w:val="56"/>
        </w:trPr>
        <w:tc>
          <w:tcPr>
            <w:tcW w:w="2920" w:type="dxa"/>
            <w:vAlign w:val="bottom"/>
            <w:tcBorders>
              <w:bottom w:val="single" w:sz="8" w:color="D9D9D6"/>
            </w:tcBorders>
          </w:tcPr>
          <w:p>
            <w:pPr>
              <w:spacing w:after="0"/>
              <w:rPr>
                <w:sz w:val="4"/>
                <w:szCs w:val="4"/>
                <w:color w:val="auto"/>
              </w:rPr>
            </w:pPr>
          </w:p>
        </w:tc>
        <w:tc>
          <w:tcPr>
            <w:tcW w:w="540" w:type="dxa"/>
            <w:vAlign w:val="bottom"/>
            <w:tcBorders>
              <w:bottom w:val="single" w:sz="8" w:color="D9D9D6"/>
            </w:tcBorders>
          </w:tcPr>
          <w:p>
            <w:pPr>
              <w:spacing w:after="0"/>
              <w:rPr>
                <w:sz w:val="4"/>
                <w:szCs w:val="4"/>
                <w:color w:val="auto"/>
              </w:rPr>
            </w:pPr>
          </w:p>
        </w:tc>
        <w:tc>
          <w:tcPr>
            <w:tcW w:w="260" w:type="dxa"/>
            <w:vAlign w:val="bottom"/>
            <w:tcBorders>
              <w:bottom w:val="single" w:sz="8" w:color="D9D9D6"/>
            </w:tcBorders>
          </w:tcPr>
          <w:p>
            <w:pPr>
              <w:spacing w:after="0"/>
              <w:rPr>
                <w:sz w:val="4"/>
                <w:szCs w:val="4"/>
                <w:color w:val="auto"/>
              </w:rPr>
            </w:pPr>
          </w:p>
        </w:tc>
        <w:tc>
          <w:tcPr>
            <w:tcW w:w="1940" w:type="dxa"/>
            <w:vAlign w:val="bottom"/>
            <w:tcBorders>
              <w:bottom w:val="single" w:sz="8" w:color="D9D9D6"/>
            </w:tcBorders>
          </w:tcPr>
          <w:p>
            <w:pPr>
              <w:spacing w:after="0"/>
              <w:rPr>
                <w:sz w:val="4"/>
                <w:szCs w:val="4"/>
                <w:color w:val="auto"/>
              </w:rPr>
            </w:pPr>
          </w:p>
        </w:tc>
        <w:tc>
          <w:tcPr>
            <w:tcW w:w="680" w:type="dxa"/>
            <w:vAlign w:val="bottom"/>
            <w:tcBorders>
              <w:bottom w:val="single" w:sz="8" w:color="D9D9D6"/>
            </w:tcBorders>
          </w:tcPr>
          <w:p>
            <w:pPr>
              <w:spacing w:after="0"/>
              <w:rPr>
                <w:sz w:val="4"/>
                <w:szCs w:val="4"/>
                <w:color w:val="auto"/>
              </w:rPr>
            </w:pPr>
          </w:p>
        </w:tc>
        <w:tc>
          <w:tcPr>
            <w:tcW w:w="300" w:type="dxa"/>
            <w:vAlign w:val="bottom"/>
            <w:tcBorders>
              <w:bottom w:val="single" w:sz="8" w:color="D9D9D6"/>
            </w:tcBorders>
          </w:tcPr>
          <w:p>
            <w:pPr>
              <w:spacing w:after="0"/>
              <w:rPr>
                <w:sz w:val="4"/>
                <w:szCs w:val="4"/>
                <w:color w:val="auto"/>
              </w:rPr>
            </w:pPr>
          </w:p>
        </w:tc>
        <w:tc>
          <w:tcPr>
            <w:tcW w:w="1260" w:type="dxa"/>
            <w:vAlign w:val="bottom"/>
            <w:tcBorders>
              <w:bottom w:val="single" w:sz="8" w:color="D9D9D6"/>
            </w:tcBorders>
          </w:tcPr>
          <w:p>
            <w:pPr>
              <w:spacing w:after="0"/>
              <w:rPr>
                <w:sz w:val="4"/>
                <w:szCs w:val="4"/>
                <w:color w:val="auto"/>
              </w:rPr>
            </w:pPr>
          </w:p>
        </w:tc>
        <w:tc>
          <w:tcPr>
            <w:tcW w:w="1180" w:type="dxa"/>
            <w:vAlign w:val="bottom"/>
            <w:tcBorders>
              <w:bottom w:val="single" w:sz="8" w:color="D9D9D6"/>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920" w:type="dxa"/>
            <w:vAlign w:val="bottom"/>
          </w:tcPr>
          <w:p>
            <w:pPr>
              <w:ind w:left="60"/>
              <w:spacing w:after="0"/>
              <w:rPr>
                <w:sz w:val="20"/>
                <w:szCs w:val="20"/>
                <w:color w:val="auto"/>
              </w:rPr>
            </w:pPr>
            <w:r>
              <w:rPr>
                <w:rFonts w:ascii="Arial" w:cs="Arial" w:eastAsia="Arial" w:hAnsi="Arial"/>
                <w:sz w:val="16"/>
                <w:szCs w:val="16"/>
                <w:b w:val="1"/>
                <w:bCs w:val="1"/>
                <w:color w:val="0072CE"/>
              </w:rPr>
              <w:t>How to Participate in the Annual</w:t>
            </w:r>
          </w:p>
        </w:tc>
        <w:tc>
          <w:tcPr>
            <w:tcW w:w="6160" w:type="dxa"/>
            <w:vAlign w:val="bottom"/>
            <w:gridSpan w:val="7"/>
          </w:tcPr>
          <w:p>
            <w:pPr>
              <w:ind w:left="180"/>
              <w:spacing w:after="0"/>
              <w:rPr>
                <w:sz w:val="20"/>
                <w:szCs w:val="20"/>
                <w:color w:val="auto"/>
              </w:rPr>
            </w:pPr>
            <w:r>
              <w:rPr>
                <w:rFonts w:ascii="Arial" w:cs="Arial" w:eastAsia="Arial" w:hAnsi="Arial"/>
                <w:sz w:val="16"/>
                <w:szCs w:val="16"/>
                <w:color w:val="3D3935"/>
              </w:rPr>
              <w:t xml:space="preserve">Visit </w:t>
            </w:r>
            <w:r>
              <w:rPr>
                <w:rFonts w:ascii="Arial" w:cs="Arial" w:eastAsia="Arial" w:hAnsi="Arial"/>
                <w:sz w:val="16"/>
                <w:szCs w:val="16"/>
                <w:color w:val="0072CE"/>
              </w:rPr>
              <w:t>virtualshareholdermeeting.com/GM2025</w:t>
            </w:r>
            <w:r>
              <w:rPr>
                <w:rFonts w:ascii="Arial" w:cs="Arial" w:eastAsia="Arial" w:hAnsi="Arial"/>
                <w:sz w:val="16"/>
                <w:szCs w:val="16"/>
                <w:color w:val="3D3935"/>
              </w:rPr>
              <w:t xml:space="preserve">  and register as a guest. If you join</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gridSpan w:val="2"/>
            <w:shd w:val="clear" w:color="auto" w:fill="0072CE"/>
          </w:tcPr>
          <w:p>
            <w:pPr>
              <w:spacing w:after="0" w:line="20" w:lineRule="exact"/>
              <w:rPr>
                <w:sz w:val="1"/>
                <w:szCs w:val="1"/>
                <w:color w:val="auto"/>
              </w:rPr>
            </w:pPr>
          </w:p>
        </w:tc>
        <w:tc>
          <w:tcPr>
            <w:tcW w:w="680" w:type="dxa"/>
            <w:vAlign w:val="bottom"/>
            <w:shd w:val="clear" w:color="auto" w:fill="0072C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920" w:type="dxa"/>
            <w:vAlign w:val="bottom"/>
          </w:tcPr>
          <w:p>
            <w:pPr>
              <w:ind w:left="60"/>
              <w:spacing w:after="0"/>
              <w:rPr>
                <w:sz w:val="20"/>
                <w:szCs w:val="20"/>
                <w:color w:val="auto"/>
              </w:rPr>
            </w:pPr>
            <w:r>
              <w:rPr>
                <w:rFonts w:ascii="Arial" w:cs="Arial" w:eastAsia="Arial" w:hAnsi="Arial"/>
                <w:sz w:val="16"/>
                <w:szCs w:val="16"/>
                <w:b w:val="1"/>
                <w:bCs w:val="1"/>
                <w:color w:val="0072CE"/>
              </w:rPr>
              <w:t>Meeting Without a 16-digit</w:t>
            </w:r>
          </w:p>
        </w:tc>
        <w:tc>
          <w:tcPr>
            <w:tcW w:w="6160" w:type="dxa"/>
            <w:vAlign w:val="bottom"/>
            <w:gridSpan w:val="7"/>
          </w:tcPr>
          <w:p>
            <w:pPr>
              <w:ind w:left="180"/>
              <w:spacing w:after="0"/>
              <w:rPr>
                <w:sz w:val="20"/>
                <w:szCs w:val="20"/>
                <w:color w:val="auto"/>
              </w:rPr>
            </w:pPr>
            <w:r>
              <w:rPr>
                <w:rFonts w:ascii="Arial" w:cs="Arial" w:eastAsia="Arial" w:hAnsi="Arial"/>
                <w:sz w:val="16"/>
                <w:szCs w:val="16"/>
                <w:color w:val="3D3935"/>
              </w:rPr>
              <w:t>as a guest, you will not be able to vote your shares or ask questions during</w:t>
            </w:r>
          </w:p>
        </w:tc>
        <w:tc>
          <w:tcPr>
            <w:tcW w:w="0" w:type="dxa"/>
            <w:vAlign w:val="bottom"/>
          </w:tcPr>
          <w:p>
            <w:pPr>
              <w:spacing w:after="0"/>
              <w:rPr>
                <w:sz w:val="1"/>
                <w:szCs w:val="1"/>
                <w:color w:val="auto"/>
              </w:rPr>
            </w:pPr>
          </w:p>
        </w:tc>
      </w:tr>
      <w:tr>
        <w:trPr>
          <w:trHeight w:val="223"/>
        </w:trPr>
        <w:tc>
          <w:tcPr>
            <w:tcW w:w="2920" w:type="dxa"/>
            <w:vAlign w:val="bottom"/>
          </w:tcPr>
          <w:p>
            <w:pPr>
              <w:ind w:left="60"/>
              <w:spacing w:after="0"/>
              <w:rPr>
                <w:sz w:val="20"/>
                <w:szCs w:val="20"/>
                <w:color w:val="auto"/>
              </w:rPr>
            </w:pPr>
            <w:r>
              <w:rPr>
                <w:rFonts w:ascii="Arial" w:cs="Arial" w:eastAsia="Arial" w:hAnsi="Arial"/>
                <w:sz w:val="16"/>
                <w:szCs w:val="16"/>
                <w:b w:val="1"/>
                <w:bCs w:val="1"/>
                <w:color w:val="0072CE"/>
              </w:rPr>
              <w:t>Control Number</w:t>
            </w:r>
          </w:p>
        </w:tc>
        <w:tc>
          <w:tcPr>
            <w:tcW w:w="6160" w:type="dxa"/>
            <w:vAlign w:val="bottom"/>
            <w:gridSpan w:val="7"/>
          </w:tcPr>
          <w:p>
            <w:pPr>
              <w:ind w:left="180"/>
              <w:spacing w:after="0"/>
              <w:rPr>
                <w:sz w:val="20"/>
                <w:szCs w:val="20"/>
                <w:color w:val="auto"/>
              </w:rPr>
            </w:pPr>
            <w:r>
              <w:rPr>
                <w:rFonts w:ascii="Arial" w:cs="Arial" w:eastAsia="Arial" w:hAnsi="Arial"/>
                <w:sz w:val="16"/>
                <w:szCs w:val="16"/>
                <w:color w:val="3D3935"/>
              </w:rPr>
              <w:t>the meeting.</w:t>
            </w:r>
          </w:p>
        </w:tc>
        <w:tc>
          <w:tcPr>
            <w:tcW w:w="0" w:type="dxa"/>
            <w:vAlign w:val="bottom"/>
          </w:tcPr>
          <w:p>
            <w:pPr>
              <w:spacing w:after="0"/>
              <w:rPr>
                <w:sz w:val="1"/>
                <w:szCs w:val="1"/>
                <w:color w:val="auto"/>
              </w:rPr>
            </w:pPr>
          </w:p>
        </w:tc>
      </w:tr>
      <w:tr>
        <w:trPr>
          <w:trHeight w:val="48"/>
        </w:trPr>
        <w:tc>
          <w:tcPr>
            <w:tcW w:w="2920" w:type="dxa"/>
            <w:vAlign w:val="bottom"/>
            <w:tcBorders>
              <w:bottom w:val="single" w:sz="8" w:color="D9D9D6"/>
            </w:tcBorders>
          </w:tcPr>
          <w:p>
            <w:pPr>
              <w:spacing w:after="0"/>
              <w:rPr>
                <w:sz w:val="4"/>
                <w:szCs w:val="4"/>
                <w:color w:val="auto"/>
              </w:rPr>
            </w:pPr>
          </w:p>
        </w:tc>
        <w:tc>
          <w:tcPr>
            <w:tcW w:w="540" w:type="dxa"/>
            <w:vAlign w:val="bottom"/>
            <w:tcBorders>
              <w:bottom w:val="single" w:sz="8" w:color="D9D9D6"/>
            </w:tcBorders>
          </w:tcPr>
          <w:p>
            <w:pPr>
              <w:spacing w:after="0"/>
              <w:rPr>
                <w:sz w:val="4"/>
                <w:szCs w:val="4"/>
                <w:color w:val="auto"/>
              </w:rPr>
            </w:pPr>
          </w:p>
        </w:tc>
        <w:tc>
          <w:tcPr>
            <w:tcW w:w="260" w:type="dxa"/>
            <w:vAlign w:val="bottom"/>
            <w:tcBorders>
              <w:bottom w:val="single" w:sz="8" w:color="D9D9D6"/>
            </w:tcBorders>
          </w:tcPr>
          <w:p>
            <w:pPr>
              <w:spacing w:after="0"/>
              <w:rPr>
                <w:sz w:val="4"/>
                <w:szCs w:val="4"/>
                <w:color w:val="auto"/>
              </w:rPr>
            </w:pPr>
          </w:p>
        </w:tc>
        <w:tc>
          <w:tcPr>
            <w:tcW w:w="1940" w:type="dxa"/>
            <w:vAlign w:val="bottom"/>
            <w:tcBorders>
              <w:bottom w:val="single" w:sz="8" w:color="D9D9D6"/>
            </w:tcBorders>
          </w:tcPr>
          <w:p>
            <w:pPr>
              <w:spacing w:after="0"/>
              <w:rPr>
                <w:sz w:val="4"/>
                <w:szCs w:val="4"/>
                <w:color w:val="auto"/>
              </w:rPr>
            </w:pPr>
          </w:p>
        </w:tc>
        <w:tc>
          <w:tcPr>
            <w:tcW w:w="680" w:type="dxa"/>
            <w:vAlign w:val="bottom"/>
            <w:tcBorders>
              <w:bottom w:val="single" w:sz="8" w:color="D9D9D6"/>
            </w:tcBorders>
          </w:tcPr>
          <w:p>
            <w:pPr>
              <w:spacing w:after="0"/>
              <w:rPr>
                <w:sz w:val="4"/>
                <w:szCs w:val="4"/>
                <w:color w:val="auto"/>
              </w:rPr>
            </w:pPr>
          </w:p>
        </w:tc>
        <w:tc>
          <w:tcPr>
            <w:tcW w:w="300" w:type="dxa"/>
            <w:vAlign w:val="bottom"/>
            <w:tcBorders>
              <w:bottom w:val="single" w:sz="8" w:color="D9D9D6"/>
            </w:tcBorders>
          </w:tcPr>
          <w:p>
            <w:pPr>
              <w:spacing w:after="0"/>
              <w:rPr>
                <w:sz w:val="4"/>
                <w:szCs w:val="4"/>
                <w:color w:val="auto"/>
              </w:rPr>
            </w:pPr>
          </w:p>
        </w:tc>
        <w:tc>
          <w:tcPr>
            <w:tcW w:w="1260" w:type="dxa"/>
            <w:vAlign w:val="bottom"/>
            <w:tcBorders>
              <w:bottom w:val="single" w:sz="8" w:color="D9D9D6"/>
            </w:tcBorders>
          </w:tcPr>
          <w:p>
            <w:pPr>
              <w:spacing w:after="0"/>
              <w:rPr>
                <w:sz w:val="4"/>
                <w:szCs w:val="4"/>
                <w:color w:val="auto"/>
              </w:rPr>
            </w:pPr>
          </w:p>
        </w:tc>
        <w:tc>
          <w:tcPr>
            <w:tcW w:w="1180" w:type="dxa"/>
            <w:vAlign w:val="bottom"/>
            <w:tcBorders>
              <w:bottom w:val="single" w:sz="8" w:color="D9D9D6"/>
            </w:tcBorders>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2920" w:type="dxa"/>
            <w:vAlign w:val="bottom"/>
          </w:tcPr>
          <w:p>
            <w:pPr>
              <w:ind w:left="60"/>
              <w:spacing w:after="0"/>
              <w:rPr>
                <w:sz w:val="20"/>
                <w:szCs w:val="20"/>
                <w:color w:val="auto"/>
              </w:rPr>
            </w:pPr>
            <w:r>
              <w:rPr>
                <w:rFonts w:ascii="Arial" w:cs="Arial" w:eastAsia="Arial" w:hAnsi="Arial"/>
                <w:sz w:val="16"/>
                <w:szCs w:val="16"/>
                <w:b w:val="1"/>
                <w:bCs w:val="1"/>
                <w:color w:val="0072CE"/>
              </w:rPr>
              <w:t>For Help with Technical Difficulties</w:t>
            </w:r>
          </w:p>
        </w:tc>
        <w:tc>
          <w:tcPr>
            <w:tcW w:w="6160" w:type="dxa"/>
            <w:vAlign w:val="bottom"/>
            <w:gridSpan w:val="7"/>
          </w:tcPr>
          <w:p>
            <w:pPr>
              <w:ind w:left="180"/>
              <w:spacing w:after="0"/>
              <w:rPr>
                <w:sz w:val="20"/>
                <w:szCs w:val="20"/>
                <w:color w:val="auto"/>
              </w:rPr>
            </w:pPr>
            <w:r>
              <w:rPr>
                <w:rFonts w:ascii="Arial" w:cs="Arial" w:eastAsia="Arial" w:hAnsi="Arial"/>
                <w:sz w:val="16"/>
                <w:szCs w:val="16"/>
                <w:color w:val="3D3935"/>
              </w:rPr>
              <w:t>Call (844) 986-0822 (U.S.) or (303) 562-9302 (international) for assistance.</w:t>
            </w:r>
          </w:p>
        </w:tc>
        <w:tc>
          <w:tcPr>
            <w:tcW w:w="0" w:type="dxa"/>
            <w:vAlign w:val="bottom"/>
          </w:tcPr>
          <w:p>
            <w:pPr>
              <w:spacing w:after="0"/>
              <w:rPr>
                <w:sz w:val="1"/>
                <w:szCs w:val="1"/>
                <w:color w:val="auto"/>
              </w:rPr>
            </w:pPr>
          </w:p>
        </w:tc>
      </w:tr>
      <w:tr>
        <w:trPr>
          <w:trHeight w:val="61"/>
        </w:trPr>
        <w:tc>
          <w:tcPr>
            <w:tcW w:w="2920" w:type="dxa"/>
            <w:vAlign w:val="bottom"/>
            <w:tcBorders>
              <w:bottom w:val="single" w:sz="8" w:color="D9D9D6"/>
            </w:tcBorders>
          </w:tcPr>
          <w:p>
            <w:pPr>
              <w:spacing w:after="0"/>
              <w:rPr>
                <w:sz w:val="5"/>
                <w:szCs w:val="5"/>
                <w:color w:val="auto"/>
              </w:rPr>
            </w:pPr>
          </w:p>
        </w:tc>
        <w:tc>
          <w:tcPr>
            <w:tcW w:w="540" w:type="dxa"/>
            <w:vAlign w:val="bottom"/>
            <w:tcBorders>
              <w:bottom w:val="single" w:sz="8" w:color="D9D9D6"/>
            </w:tcBorders>
          </w:tcPr>
          <w:p>
            <w:pPr>
              <w:spacing w:after="0"/>
              <w:rPr>
                <w:sz w:val="5"/>
                <w:szCs w:val="5"/>
                <w:color w:val="auto"/>
              </w:rPr>
            </w:pPr>
          </w:p>
        </w:tc>
        <w:tc>
          <w:tcPr>
            <w:tcW w:w="260" w:type="dxa"/>
            <w:vAlign w:val="bottom"/>
            <w:tcBorders>
              <w:bottom w:val="single" w:sz="8" w:color="D9D9D6"/>
            </w:tcBorders>
          </w:tcPr>
          <w:p>
            <w:pPr>
              <w:spacing w:after="0"/>
              <w:rPr>
                <w:sz w:val="5"/>
                <w:szCs w:val="5"/>
                <w:color w:val="auto"/>
              </w:rPr>
            </w:pPr>
          </w:p>
        </w:tc>
        <w:tc>
          <w:tcPr>
            <w:tcW w:w="1940" w:type="dxa"/>
            <w:vAlign w:val="bottom"/>
            <w:tcBorders>
              <w:bottom w:val="single" w:sz="8" w:color="D9D9D6"/>
            </w:tcBorders>
          </w:tcPr>
          <w:p>
            <w:pPr>
              <w:spacing w:after="0"/>
              <w:rPr>
                <w:sz w:val="5"/>
                <w:szCs w:val="5"/>
                <w:color w:val="auto"/>
              </w:rPr>
            </w:pPr>
          </w:p>
        </w:tc>
        <w:tc>
          <w:tcPr>
            <w:tcW w:w="680" w:type="dxa"/>
            <w:vAlign w:val="bottom"/>
            <w:tcBorders>
              <w:bottom w:val="single" w:sz="8" w:color="D9D9D6"/>
            </w:tcBorders>
          </w:tcPr>
          <w:p>
            <w:pPr>
              <w:spacing w:after="0"/>
              <w:rPr>
                <w:sz w:val="5"/>
                <w:szCs w:val="5"/>
                <w:color w:val="auto"/>
              </w:rPr>
            </w:pPr>
          </w:p>
        </w:tc>
        <w:tc>
          <w:tcPr>
            <w:tcW w:w="300" w:type="dxa"/>
            <w:vAlign w:val="bottom"/>
            <w:tcBorders>
              <w:bottom w:val="single" w:sz="8" w:color="D9D9D6"/>
            </w:tcBorders>
          </w:tcPr>
          <w:p>
            <w:pPr>
              <w:spacing w:after="0"/>
              <w:rPr>
                <w:sz w:val="5"/>
                <w:szCs w:val="5"/>
                <w:color w:val="auto"/>
              </w:rPr>
            </w:pPr>
          </w:p>
        </w:tc>
        <w:tc>
          <w:tcPr>
            <w:tcW w:w="1260" w:type="dxa"/>
            <w:vAlign w:val="bottom"/>
            <w:tcBorders>
              <w:bottom w:val="single" w:sz="8" w:color="D9D9D6"/>
            </w:tcBorders>
          </w:tcPr>
          <w:p>
            <w:pPr>
              <w:spacing w:after="0"/>
              <w:rPr>
                <w:sz w:val="5"/>
                <w:szCs w:val="5"/>
                <w:color w:val="auto"/>
              </w:rPr>
            </w:pPr>
          </w:p>
        </w:tc>
        <w:tc>
          <w:tcPr>
            <w:tcW w:w="1180" w:type="dxa"/>
            <w:vAlign w:val="bottom"/>
            <w:tcBorders>
              <w:bottom w:val="single" w:sz="8" w:color="D9D9D6"/>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920" w:type="dxa"/>
            <w:vAlign w:val="bottom"/>
          </w:tcPr>
          <w:p>
            <w:pPr>
              <w:ind w:left="60"/>
              <w:spacing w:after="0"/>
              <w:rPr>
                <w:sz w:val="20"/>
                <w:szCs w:val="20"/>
                <w:color w:val="auto"/>
              </w:rPr>
            </w:pPr>
            <w:r>
              <w:rPr>
                <w:rFonts w:ascii="Arial" w:cs="Arial" w:eastAsia="Arial" w:hAnsi="Arial"/>
                <w:sz w:val="16"/>
                <w:szCs w:val="16"/>
                <w:b w:val="1"/>
                <w:bCs w:val="1"/>
                <w:color w:val="0072CE"/>
              </w:rPr>
              <w:t>Additional Questions</w:t>
            </w:r>
          </w:p>
        </w:tc>
        <w:tc>
          <w:tcPr>
            <w:tcW w:w="6160" w:type="dxa"/>
            <w:vAlign w:val="bottom"/>
            <w:gridSpan w:val="7"/>
          </w:tcPr>
          <w:p>
            <w:pPr>
              <w:ind w:left="180"/>
              <w:spacing w:after="0"/>
              <w:rPr>
                <w:sz w:val="20"/>
                <w:szCs w:val="20"/>
                <w:color w:val="auto"/>
              </w:rPr>
            </w:pPr>
            <w:r>
              <w:rPr>
                <w:rFonts w:ascii="Arial" w:cs="Arial" w:eastAsia="Arial" w:hAnsi="Arial"/>
                <w:sz w:val="16"/>
                <w:szCs w:val="16"/>
                <w:color w:val="3D3935"/>
              </w:rPr>
              <w:t xml:space="preserve">Email GM Shareholder Relations at </w:t>
            </w:r>
            <w:r>
              <w:rPr>
                <w:rFonts w:ascii="Arial" w:cs="Arial" w:eastAsia="Arial" w:hAnsi="Arial"/>
                <w:sz w:val="16"/>
                <w:szCs w:val="16"/>
                <w:color w:val="0072CE"/>
              </w:rPr>
              <w:t>shareholder.relations@gm.com</w:t>
            </w:r>
            <w:r>
              <w:rPr>
                <w:rFonts w:ascii="Arial" w:cs="Arial" w:eastAsia="Arial" w:hAnsi="Arial"/>
                <w:sz w:val="16"/>
                <w:szCs w:val="16"/>
                <w:color w:val="3D3935"/>
              </w:rPr>
              <w:t xml:space="preserve"> .</w:t>
            </w:r>
          </w:p>
        </w:tc>
        <w:tc>
          <w:tcPr>
            <w:tcW w:w="0" w:type="dxa"/>
            <w:vAlign w:val="bottom"/>
          </w:tcPr>
          <w:p>
            <w:pPr>
              <w:spacing w:after="0"/>
              <w:rPr>
                <w:sz w:val="1"/>
                <w:szCs w:val="1"/>
                <w:color w:val="auto"/>
              </w:rPr>
            </w:pPr>
          </w:p>
        </w:tc>
      </w:tr>
      <w:tr>
        <w:trPr>
          <w:trHeight w:val="88"/>
        </w:trPr>
        <w:tc>
          <w:tcPr>
            <w:tcW w:w="2920" w:type="dxa"/>
            <w:vAlign w:val="bottom"/>
            <w:tcBorders>
              <w:bottom w:val="single" w:sz="8" w:color="0072CE"/>
            </w:tcBorders>
          </w:tcPr>
          <w:p>
            <w:pPr>
              <w:spacing w:after="0"/>
              <w:rPr>
                <w:sz w:val="7"/>
                <w:szCs w:val="7"/>
                <w:color w:val="auto"/>
              </w:rPr>
            </w:pPr>
          </w:p>
        </w:tc>
        <w:tc>
          <w:tcPr>
            <w:tcW w:w="540" w:type="dxa"/>
            <w:vAlign w:val="bottom"/>
            <w:tcBorders>
              <w:bottom w:val="single" w:sz="8" w:color="0072CE"/>
            </w:tcBorders>
          </w:tcPr>
          <w:p>
            <w:pPr>
              <w:spacing w:after="0"/>
              <w:rPr>
                <w:sz w:val="7"/>
                <w:szCs w:val="7"/>
                <w:color w:val="auto"/>
              </w:rPr>
            </w:pPr>
          </w:p>
        </w:tc>
        <w:tc>
          <w:tcPr>
            <w:tcW w:w="260" w:type="dxa"/>
            <w:vAlign w:val="bottom"/>
            <w:tcBorders>
              <w:bottom w:val="single" w:sz="8" w:color="0072CE"/>
            </w:tcBorders>
          </w:tcPr>
          <w:p>
            <w:pPr>
              <w:spacing w:after="0"/>
              <w:rPr>
                <w:sz w:val="7"/>
                <w:szCs w:val="7"/>
                <w:color w:val="auto"/>
              </w:rPr>
            </w:pPr>
          </w:p>
        </w:tc>
        <w:tc>
          <w:tcPr>
            <w:tcW w:w="1940" w:type="dxa"/>
            <w:vAlign w:val="bottom"/>
            <w:tcBorders>
              <w:bottom w:val="single" w:sz="8" w:color="0072CE"/>
            </w:tcBorders>
          </w:tcPr>
          <w:p>
            <w:pPr>
              <w:spacing w:after="0"/>
              <w:rPr>
                <w:sz w:val="7"/>
                <w:szCs w:val="7"/>
                <w:color w:val="auto"/>
              </w:rPr>
            </w:pPr>
          </w:p>
        </w:tc>
        <w:tc>
          <w:tcPr>
            <w:tcW w:w="680" w:type="dxa"/>
            <w:vAlign w:val="bottom"/>
            <w:tcBorders>
              <w:top w:val="single" w:sz="8" w:color="0072CE"/>
              <w:bottom w:val="single" w:sz="8" w:color="0072CE"/>
            </w:tcBorders>
          </w:tcPr>
          <w:p>
            <w:pPr>
              <w:spacing w:after="0"/>
              <w:rPr>
                <w:sz w:val="7"/>
                <w:szCs w:val="7"/>
                <w:color w:val="auto"/>
              </w:rPr>
            </w:pPr>
          </w:p>
        </w:tc>
        <w:tc>
          <w:tcPr>
            <w:tcW w:w="300" w:type="dxa"/>
            <w:vAlign w:val="bottom"/>
            <w:tcBorders>
              <w:top w:val="single" w:sz="8" w:color="0072CE"/>
              <w:bottom w:val="single" w:sz="8" w:color="0072CE"/>
            </w:tcBorders>
          </w:tcPr>
          <w:p>
            <w:pPr>
              <w:spacing w:after="0"/>
              <w:rPr>
                <w:sz w:val="7"/>
                <w:szCs w:val="7"/>
                <w:color w:val="auto"/>
              </w:rPr>
            </w:pPr>
          </w:p>
        </w:tc>
        <w:tc>
          <w:tcPr>
            <w:tcW w:w="1260" w:type="dxa"/>
            <w:vAlign w:val="bottom"/>
            <w:tcBorders>
              <w:top w:val="single" w:sz="8" w:color="0072CE"/>
              <w:bottom w:val="single" w:sz="8" w:color="0072CE"/>
            </w:tcBorders>
          </w:tcPr>
          <w:p>
            <w:pPr>
              <w:spacing w:after="0"/>
              <w:rPr>
                <w:sz w:val="7"/>
                <w:szCs w:val="7"/>
                <w:color w:val="auto"/>
              </w:rPr>
            </w:pPr>
          </w:p>
        </w:tc>
        <w:tc>
          <w:tcPr>
            <w:tcW w:w="1180" w:type="dxa"/>
            <w:vAlign w:val="bottom"/>
            <w:tcBorders>
              <w:bottom w:val="single" w:sz="8" w:color="0072CE"/>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How Can I Submit Questions for the Online Meeting?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20" w:type="dxa"/>
            <w:vAlign w:val="bottom"/>
          </w:tcPr>
          <w:p>
            <w:pPr>
              <w:ind w:left="60"/>
              <w:spacing w:after="0"/>
              <w:rPr>
                <w:sz w:val="20"/>
                <w:szCs w:val="20"/>
                <w:color w:val="auto"/>
              </w:rPr>
            </w:pPr>
            <w:r>
              <w:rPr>
                <w:rFonts w:ascii="Arial" w:cs="Arial" w:eastAsia="Arial" w:hAnsi="Arial"/>
                <w:sz w:val="16"/>
                <w:szCs w:val="16"/>
                <w:b w:val="1"/>
                <w:bCs w:val="1"/>
                <w:color w:val="0072CE"/>
              </w:rPr>
              <w:t>Submitting Questions</w:t>
            </w: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0072CE"/>
              </w:rPr>
              <w:t>1.</w:t>
            </w:r>
          </w:p>
        </w:tc>
        <w:tc>
          <w:tcPr>
            <w:tcW w:w="5720" w:type="dxa"/>
            <w:vAlign w:val="bottom"/>
            <w:gridSpan w:val="5"/>
          </w:tcPr>
          <w:p>
            <w:pPr>
              <w:spacing w:after="0"/>
              <w:rPr>
                <w:sz w:val="20"/>
                <w:szCs w:val="20"/>
                <w:color w:val="auto"/>
              </w:rPr>
            </w:pPr>
            <w:r>
              <w:rPr>
                <w:rFonts w:ascii="Arial" w:cs="Arial" w:eastAsia="Arial" w:hAnsi="Arial"/>
                <w:sz w:val="16"/>
                <w:szCs w:val="16"/>
                <w:color w:val="3D3935"/>
              </w:rPr>
              <w:t xml:space="preserve">Log in to </w:t>
            </w:r>
            <w:r>
              <w:rPr>
                <w:rFonts w:ascii="Arial" w:cs="Arial" w:eastAsia="Arial" w:hAnsi="Arial"/>
                <w:sz w:val="16"/>
                <w:szCs w:val="16"/>
                <w:color w:val="0072CE"/>
              </w:rPr>
              <w:t>proxyvote.com;</w:t>
            </w:r>
          </w:p>
        </w:tc>
      </w:tr>
      <w:tr>
        <w:trPr>
          <w:trHeight w:val="20"/>
        </w:trPr>
        <w:tc>
          <w:tcPr>
            <w:tcW w:w="2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shd w:val="clear" w:color="auto" w:fill="0072C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36"/>
        </w:trPr>
        <w:tc>
          <w:tcPr>
            <w:tcW w:w="2420" w:type="dxa"/>
            <w:vAlign w:val="bottom"/>
          </w:tcPr>
          <w:p>
            <w:pPr>
              <w:ind w:left="60"/>
              <w:spacing w:after="0"/>
              <w:rPr>
                <w:sz w:val="20"/>
                <w:szCs w:val="20"/>
                <w:color w:val="auto"/>
              </w:rPr>
            </w:pPr>
            <w:r>
              <w:rPr>
                <w:rFonts w:ascii="Arial" w:cs="Arial" w:eastAsia="Arial" w:hAnsi="Arial"/>
                <w:sz w:val="16"/>
                <w:szCs w:val="16"/>
                <w:b w:val="1"/>
                <w:bCs w:val="1"/>
                <w:color w:val="0072CE"/>
              </w:rPr>
              <w:t>Before the Meeting</w:t>
            </w: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0072CE"/>
              </w:rPr>
              <w:t>2.</w:t>
            </w:r>
          </w:p>
        </w:tc>
        <w:tc>
          <w:tcPr>
            <w:tcW w:w="5720" w:type="dxa"/>
            <w:vAlign w:val="bottom"/>
            <w:gridSpan w:val="5"/>
          </w:tcPr>
          <w:p>
            <w:pPr>
              <w:spacing w:after="0"/>
              <w:rPr>
                <w:sz w:val="20"/>
                <w:szCs w:val="20"/>
                <w:color w:val="auto"/>
              </w:rPr>
            </w:pPr>
            <w:r>
              <w:rPr>
                <w:rFonts w:ascii="Arial" w:cs="Arial" w:eastAsia="Arial" w:hAnsi="Arial"/>
                <w:sz w:val="16"/>
                <w:szCs w:val="16"/>
                <w:color w:val="3D3935"/>
              </w:rPr>
              <w:t>Enter your 16-digit control number; and</w:t>
            </w:r>
          </w:p>
        </w:tc>
      </w:tr>
      <w:tr>
        <w:trPr>
          <w:trHeight w:val="216"/>
        </w:trPr>
        <w:tc>
          <w:tcPr>
            <w:tcW w:w="242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0072CE"/>
              </w:rPr>
              <w:t>3.</w:t>
            </w:r>
          </w:p>
        </w:tc>
        <w:tc>
          <w:tcPr>
            <w:tcW w:w="5720" w:type="dxa"/>
            <w:vAlign w:val="bottom"/>
            <w:gridSpan w:val="5"/>
          </w:tcPr>
          <w:p>
            <w:pPr>
              <w:spacing w:after="0"/>
              <w:rPr>
                <w:sz w:val="20"/>
                <w:szCs w:val="20"/>
                <w:color w:val="auto"/>
              </w:rPr>
            </w:pPr>
            <w:r>
              <w:rPr>
                <w:rFonts w:ascii="Arial" w:cs="Arial" w:eastAsia="Arial" w:hAnsi="Arial"/>
                <w:sz w:val="16"/>
                <w:szCs w:val="16"/>
                <w:color w:val="3D3935"/>
              </w:rPr>
              <w:t>Once past the login screen, click on “Questions for Management,” type in</w:t>
            </w:r>
          </w:p>
        </w:tc>
      </w:tr>
      <w:tr>
        <w:trPr>
          <w:trHeight w:val="215"/>
        </w:trPr>
        <w:tc>
          <w:tcPr>
            <w:tcW w:w="2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720" w:type="dxa"/>
            <w:vAlign w:val="bottom"/>
            <w:gridSpan w:val="5"/>
          </w:tcPr>
          <w:p>
            <w:pPr>
              <w:spacing w:after="0"/>
              <w:rPr>
                <w:sz w:val="20"/>
                <w:szCs w:val="20"/>
                <w:color w:val="auto"/>
              </w:rPr>
            </w:pPr>
            <w:r>
              <w:rPr>
                <w:rFonts w:ascii="Arial" w:cs="Arial" w:eastAsia="Arial" w:hAnsi="Arial"/>
                <w:sz w:val="16"/>
                <w:szCs w:val="16"/>
                <w:color w:val="3D3935"/>
              </w:rPr>
              <w:t>your question, and click “Submit.”</w:t>
            </w:r>
          </w:p>
        </w:tc>
      </w:tr>
      <w:tr>
        <w:trPr>
          <w:trHeight w:val="56"/>
        </w:trPr>
        <w:tc>
          <w:tcPr>
            <w:tcW w:w="2420" w:type="dxa"/>
            <w:vAlign w:val="bottom"/>
            <w:tcBorders>
              <w:bottom w:val="single" w:sz="8" w:color="D9D9D6"/>
            </w:tcBorders>
          </w:tcPr>
          <w:p>
            <w:pPr>
              <w:spacing w:after="0"/>
              <w:rPr>
                <w:sz w:val="4"/>
                <w:szCs w:val="4"/>
                <w:color w:val="auto"/>
              </w:rPr>
            </w:pPr>
          </w:p>
        </w:tc>
        <w:tc>
          <w:tcPr>
            <w:tcW w:w="940" w:type="dxa"/>
            <w:vAlign w:val="bottom"/>
            <w:tcBorders>
              <w:bottom w:val="single" w:sz="8" w:color="D9D9D6"/>
            </w:tcBorders>
          </w:tcPr>
          <w:p>
            <w:pPr>
              <w:spacing w:after="0"/>
              <w:rPr>
                <w:sz w:val="4"/>
                <w:szCs w:val="4"/>
                <w:color w:val="auto"/>
              </w:rPr>
            </w:pPr>
          </w:p>
        </w:tc>
        <w:tc>
          <w:tcPr>
            <w:tcW w:w="680" w:type="dxa"/>
            <w:vAlign w:val="bottom"/>
            <w:tcBorders>
              <w:bottom w:val="single" w:sz="8" w:color="D9D9D6"/>
            </w:tcBorders>
          </w:tcPr>
          <w:p>
            <w:pPr>
              <w:spacing w:after="0"/>
              <w:rPr>
                <w:sz w:val="4"/>
                <w:szCs w:val="4"/>
                <w:color w:val="auto"/>
              </w:rPr>
            </w:pPr>
          </w:p>
        </w:tc>
        <w:tc>
          <w:tcPr>
            <w:tcW w:w="1100" w:type="dxa"/>
            <w:vAlign w:val="bottom"/>
            <w:tcBorders>
              <w:bottom w:val="single" w:sz="8" w:color="D9D9D6"/>
            </w:tcBorders>
          </w:tcPr>
          <w:p>
            <w:pPr>
              <w:spacing w:after="0"/>
              <w:rPr>
                <w:sz w:val="4"/>
                <w:szCs w:val="4"/>
                <w:color w:val="auto"/>
              </w:rPr>
            </w:pPr>
          </w:p>
        </w:tc>
        <w:tc>
          <w:tcPr>
            <w:tcW w:w="1160" w:type="dxa"/>
            <w:vAlign w:val="bottom"/>
            <w:tcBorders>
              <w:bottom w:val="single" w:sz="8" w:color="D9D9D6"/>
            </w:tcBorders>
          </w:tcPr>
          <w:p>
            <w:pPr>
              <w:spacing w:after="0"/>
              <w:rPr>
                <w:sz w:val="4"/>
                <w:szCs w:val="4"/>
                <w:color w:val="auto"/>
              </w:rPr>
            </w:pPr>
          </w:p>
        </w:tc>
        <w:tc>
          <w:tcPr>
            <w:tcW w:w="2260" w:type="dxa"/>
            <w:vAlign w:val="bottom"/>
            <w:tcBorders>
              <w:bottom w:val="single" w:sz="8" w:color="D9D9D6"/>
            </w:tcBorders>
          </w:tcPr>
          <w:p>
            <w:pPr>
              <w:spacing w:after="0"/>
              <w:rPr>
                <w:sz w:val="4"/>
                <w:szCs w:val="4"/>
                <w:color w:val="auto"/>
              </w:rPr>
            </w:pPr>
          </w:p>
        </w:tc>
        <w:tc>
          <w:tcPr>
            <w:tcW w:w="520" w:type="dxa"/>
            <w:vAlign w:val="bottom"/>
            <w:tcBorders>
              <w:bottom w:val="single" w:sz="8" w:color="D9D9D6"/>
            </w:tcBorders>
          </w:tcPr>
          <w:p>
            <w:pPr>
              <w:spacing w:after="0"/>
              <w:rPr>
                <w:sz w:val="4"/>
                <w:szCs w:val="4"/>
                <w:color w:val="auto"/>
              </w:rPr>
            </w:pPr>
          </w:p>
        </w:tc>
      </w:tr>
      <w:tr>
        <w:trPr>
          <w:trHeight w:val="250"/>
        </w:trPr>
        <w:tc>
          <w:tcPr>
            <w:tcW w:w="2420" w:type="dxa"/>
            <w:vAlign w:val="bottom"/>
          </w:tcPr>
          <w:p>
            <w:pPr>
              <w:ind w:left="60"/>
              <w:spacing w:after="0"/>
              <w:rPr>
                <w:sz w:val="20"/>
                <w:szCs w:val="20"/>
                <w:color w:val="auto"/>
              </w:rPr>
            </w:pPr>
            <w:r>
              <w:rPr>
                <w:rFonts w:ascii="Arial" w:cs="Arial" w:eastAsia="Arial" w:hAnsi="Arial"/>
                <w:sz w:val="16"/>
                <w:szCs w:val="16"/>
                <w:b w:val="1"/>
                <w:bCs w:val="1"/>
                <w:color w:val="0072CE"/>
              </w:rPr>
              <w:t>Submitting Questions</w:t>
            </w: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0072CE"/>
              </w:rPr>
              <w:t>1.</w:t>
            </w:r>
          </w:p>
        </w:tc>
        <w:tc>
          <w:tcPr>
            <w:tcW w:w="5720" w:type="dxa"/>
            <w:vAlign w:val="bottom"/>
            <w:gridSpan w:val="5"/>
          </w:tcPr>
          <w:p>
            <w:pPr>
              <w:spacing w:after="0"/>
              <w:rPr>
                <w:sz w:val="20"/>
                <w:szCs w:val="20"/>
                <w:color w:val="auto"/>
              </w:rPr>
            </w:pPr>
            <w:r>
              <w:rPr>
                <w:rFonts w:ascii="Arial" w:cs="Arial" w:eastAsia="Arial" w:hAnsi="Arial"/>
                <w:sz w:val="16"/>
                <w:szCs w:val="16"/>
                <w:color w:val="3D3935"/>
              </w:rPr>
              <w:t xml:space="preserve">Log in to the online meeting platform at  </w:t>
            </w:r>
            <w:r>
              <w:rPr>
                <w:rFonts w:ascii="Arial" w:cs="Arial" w:eastAsia="Arial" w:hAnsi="Arial"/>
                <w:sz w:val="16"/>
                <w:szCs w:val="16"/>
                <w:color w:val="0072CE"/>
              </w:rPr>
              <w:t>virtualshareholdermeeting.com/</w:t>
            </w:r>
          </w:p>
        </w:tc>
      </w:tr>
      <w:tr>
        <w:trPr>
          <w:trHeight w:val="20"/>
        </w:trPr>
        <w:tc>
          <w:tcPr>
            <w:tcW w:w="2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260" w:type="dxa"/>
            <w:vAlign w:val="bottom"/>
            <w:shd w:val="clear" w:color="auto" w:fill="0072C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2420" w:type="dxa"/>
            <w:vAlign w:val="bottom"/>
          </w:tcPr>
          <w:p>
            <w:pPr>
              <w:ind w:left="60"/>
              <w:spacing w:after="0"/>
              <w:rPr>
                <w:sz w:val="20"/>
                <w:szCs w:val="20"/>
                <w:color w:val="auto"/>
              </w:rPr>
            </w:pPr>
            <w:r>
              <w:rPr>
                <w:rFonts w:ascii="Arial" w:cs="Arial" w:eastAsia="Arial" w:hAnsi="Arial"/>
                <w:sz w:val="16"/>
                <w:szCs w:val="16"/>
                <w:b w:val="1"/>
                <w:bCs w:val="1"/>
                <w:color w:val="0072CE"/>
              </w:rPr>
              <w:t>During the Meeting</w:t>
            </w:r>
          </w:p>
        </w:tc>
        <w:tc>
          <w:tcPr>
            <w:tcW w:w="940" w:type="dxa"/>
            <w:vAlign w:val="bottom"/>
          </w:tcPr>
          <w:p>
            <w:pPr>
              <w:spacing w:after="0"/>
              <w:rPr>
                <w:sz w:val="17"/>
                <w:szCs w:val="17"/>
                <w:color w:val="auto"/>
              </w:rPr>
            </w:pPr>
          </w:p>
        </w:tc>
        <w:tc>
          <w:tcPr>
            <w:tcW w:w="5720" w:type="dxa"/>
            <w:vAlign w:val="bottom"/>
            <w:gridSpan w:val="5"/>
          </w:tcPr>
          <w:p>
            <w:pPr>
              <w:spacing w:after="0"/>
              <w:rPr>
                <w:sz w:val="20"/>
                <w:szCs w:val="20"/>
                <w:color w:val="auto"/>
              </w:rPr>
            </w:pPr>
            <w:r>
              <w:rPr>
                <w:rFonts w:ascii="Arial" w:cs="Arial" w:eastAsia="Arial" w:hAnsi="Arial"/>
                <w:sz w:val="16"/>
                <w:szCs w:val="16"/>
                <w:color w:val="0072CE"/>
              </w:rPr>
              <w:t xml:space="preserve">GM2025, </w:t>
            </w:r>
            <w:r>
              <w:rPr>
                <w:rFonts w:ascii="Arial" w:cs="Arial" w:eastAsia="Arial" w:hAnsi="Arial"/>
                <w:sz w:val="16"/>
                <w:szCs w:val="16"/>
                <w:color w:val="3D3935"/>
              </w:rPr>
              <w:t>type your question in the “Ask a Question” field, and click</w:t>
            </w:r>
          </w:p>
        </w:tc>
      </w:tr>
      <w:tr>
        <w:trPr>
          <w:trHeight w:val="20"/>
        </w:trPr>
        <w:tc>
          <w:tcPr>
            <w:tcW w:w="2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shd w:val="clear" w:color="auto" w:fill="0072CE"/>
          </w:tcPr>
          <w:p>
            <w:pPr>
              <w:spacing w:after="0" w:line="20" w:lineRule="exact"/>
              <w:rPr>
                <w:sz w:val="1"/>
                <w:szCs w:val="1"/>
                <w:color w:val="auto"/>
              </w:rPr>
            </w:pPr>
          </w:p>
        </w:tc>
        <w:tc>
          <w:tcPr>
            <w:tcW w:w="5040" w:type="dxa"/>
            <w:vAlign w:val="bottom"/>
            <w:gridSpan w:val="4"/>
          </w:tcPr>
          <w:p>
            <w:pPr>
              <w:spacing w:after="0" w:line="20" w:lineRule="exact"/>
              <w:rPr>
                <w:sz w:val="1"/>
                <w:szCs w:val="1"/>
                <w:color w:val="auto"/>
              </w:rPr>
            </w:pPr>
          </w:p>
        </w:tc>
      </w:tr>
      <w:tr>
        <w:trPr>
          <w:trHeight w:val="234"/>
        </w:trPr>
        <w:tc>
          <w:tcPr>
            <w:tcW w:w="2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720" w:type="dxa"/>
            <w:vAlign w:val="bottom"/>
            <w:gridSpan w:val="5"/>
          </w:tcPr>
          <w:p>
            <w:pPr>
              <w:spacing w:after="0"/>
              <w:rPr>
                <w:sz w:val="20"/>
                <w:szCs w:val="20"/>
                <w:color w:val="auto"/>
              </w:rPr>
            </w:pPr>
            <w:r>
              <w:rPr>
                <w:rFonts w:ascii="Arial" w:cs="Arial" w:eastAsia="Arial" w:hAnsi="Arial"/>
                <w:sz w:val="16"/>
                <w:szCs w:val="16"/>
                <w:color w:val="3D3935"/>
              </w:rPr>
              <w:t>“Submit”; or</w:t>
            </w:r>
          </w:p>
        </w:tc>
      </w:tr>
      <w:tr>
        <w:trPr>
          <w:trHeight w:val="217"/>
        </w:trPr>
        <w:tc>
          <w:tcPr>
            <w:tcW w:w="242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0072CE"/>
              </w:rPr>
              <w:t>2.</w:t>
            </w:r>
          </w:p>
        </w:tc>
        <w:tc>
          <w:tcPr>
            <w:tcW w:w="5720" w:type="dxa"/>
            <w:vAlign w:val="bottom"/>
            <w:gridSpan w:val="5"/>
          </w:tcPr>
          <w:p>
            <w:pPr>
              <w:spacing w:after="0"/>
              <w:rPr>
                <w:sz w:val="20"/>
                <w:szCs w:val="20"/>
                <w:color w:val="auto"/>
              </w:rPr>
            </w:pPr>
            <w:r>
              <w:rPr>
                <w:rFonts w:ascii="Arial" w:cs="Arial" w:eastAsia="Arial" w:hAnsi="Arial"/>
                <w:sz w:val="16"/>
                <w:szCs w:val="16"/>
                <w:color w:val="3D3935"/>
              </w:rPr>
              <w:t>Call (877) 328-2502 (toll free) or (412) 317-5419 (international) and press *1</w:t>
            </w:r>
          </w:p>
        </w:tc>
      </w:tr>
      <w:tr>
        <w:trPr>
          <w:trHeight w:val="215"/>
        </w:trPr>
        <w:tc>
          <w:tcPr>
            <w:tcW w:w="2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720" w:type="dxa"/>
            <w:vAlign w:val="bottom"/>
            <w:gridSpan w:val="5"/>
          </w:tcPr>
          <w:p>
            <w:pPr>
              <w:spacing w:after="0"/>
              <w:rPr>
                <w:sz w:val="20"/>
                <w:szCs w:val="20"/>
                <w:color w:val="auto"/>
              </w:rPr>
            </w:pPr>
            <w:r>
              <w:rPr>
                <w:rFonts w:ascii="Arial" w:cs="Arial" w:eastAsia="Arial" w:hAnsi="Arial"/>
                <w:sz w:val="16"/>
                <w:szCs w:val="16"/>
                <w:color w:val="3D3935"/>
              </w:rPr>
              <w:t>when we announce the question and answer session has opened.</w:t>
            </w:r>
          </w:p>
        </w:tc>
      </w:tr>
      <w:tr>
        <w:trPr>
          <w:trHeight w:val="56"/>
        </w:trPr>
        <w:tc>
          <w:tcPr>
            <w:tcW w:w="2420" w:type="dxa"/>
            <w:vAlign w:val="bottom"/>
            <w:tcBorders>
              <w:bottom w:val="single" w:sz="8" w:color="0072CE"/>
            </w:tcBorders>
          </w:tcPr>
          <w:p>
            <w:pPr>
              <w:spacing w:after="0"/>
              <w:rPr>
                <w:sz w:val="4"/>
                <w:szCs w:val="4"/>
                <w:color w:val="auto"/>
              </w:rPr>
            </w:pPr>
          </w:p>
        </w:tc>
        <w:tc>
          <w:tcPr>
            <w:tcW w:w="940" w:type="dxa"/>
            <w:vAlign w:val="bottom"/>
            <w:tcBorders>
              <w:bottom w:val="single" w:sz="8" w:color="0072CE"/>
            </w:tcBorders>
          </w:tcPr>
          <w:p>
            <w:pPr>
              <w:spacing w:after="0"/>
              <w:rPr>
                <w:sz w:val="4"/>
                <w:szCs w:val="4"/>
                <w:color w:val="auto"/>
              </w:rPr>
            </w:pPr>
          </w:p>
        </w:tc>
        <w:tc>
          <w:tcPr>
            <w:tcW w:w="680" w:type="dxa"/>
            <w:vAlign w:val="bottom"/>
            <w:tcBorders>
              <w:bottom w:val="single" w:sz="8" w:color="0072CE"/>
            </w:tcBorders>
          </w:tcPr>
          <w:p>
            <w:pPr>
              <w:spacing w:after="0"/>
              <w:rPr>
                <w:sz w:val="4"/>
                <w:szCs w:val="4"/>
                <w:color w:val="auto"/>
              </w:rPr>
            </w:pPr>
          </w:p>
        </w:tc>
        <w:tc>
          <w:tcPr>
            <w:tcW w:w="1100" w:type="dxa"/>
            <w:vAlign w:val="bottom"/>
            <w:tcBorders>
              <w:bottom w:val="single" w:sz="8" w:color="0072CE"/>
            </w:tcBorders>
          </w:tcPr>
          <w:p>
            <w:pPr>
              <w:spacing w:after="0"/>
              <w:rPr>
                <w:sz w:val="4"/>
                <w:szCs w:val="4"/>
                <w:color w:val="auto"/>
              </w:rPr>
            </w:pPr>
          </w:p>
        </w:tc>
        <w:tc>
          <w:tcPr>
            <w:tcW w:w="1160" w:type="dxa"/>
            <w:vAlign w:val="bottom"/>
            <w:tcBorders>
              <w:bottom w:val="single" w:sz="8" w:color="0072CE"/>
            </w:tcBorders>
          </w:tcPr>
          <w:p>
            <w:pPr>
              <w:spacing w:after="0"/>
              <w:rPr>
                <w:sz w:val="4"/>
                <w:szCs w:val="4"/>
                <w:color w:val="auto"/>
              </w:rPr>
            </w:pPr>
          </w:p>
        </w:tc>
        <w:tc>
          <w:tcPr>
            <w:tcW w:w="2260" w:type="dxa"/>
            <w:vAlign w:val="bottom"/>
            <w:tcBorders>
              <w:bottom w:val="single" w:sz="8" w:color="0072CE"/>
            </w:tcBorders>
          </w:tcPr>
          <w:p>
            <w:pPr>
              <w:spacing w:after="0"/>
              <w:rPr>
                <w:sz w:val="4"/>
                <w:szCs w:val="4"/>
                <w:color w:val="auto"/>
              </w:rPr>
            </w:pPr>
          </w:p>
        </w:tc>
        <w:tc>
          <w:tcPr>
            <w:tcW w:w="520" w:type="dxa"/>
            <w:vAlign w:val="bottom"/>
            <w:tcBorders>
              <w:bottom w:val="single" w:sz="8" w:color="0072CE"/>
            </w:tcBorders>
          </w:tcPr>
          <w:p>
            <w:pPr>
              <w:spacing w:after="0"/>
              <w:rPr>
                <w:sz w:val="4"/>
                <w:szCs w:val="4"/>
                <w:color w:val="auto"/>
              </w:rPr>
            </w:pPr>
          </w:p>
        </w:tc>
      </w:tr>
    </w:tbl>
    <w:p>
      <w:pPr>
        <w:spacing w:after="0" w:line="202" w:lineRule="exact"/>
        <w:rPr>
          <w:sz w:val="20"/>
          <w:szCs w:val="20"/>
          <w:color w:val="auto"/>
        </w:rPr>
      </w:pPr>
    </w:p>
    <w:p>
      <w:pPr>
        <w:ind w:right="320"/>
        <w:spacing w:after="0" w:line="321" w:lineRule="auto"/>
        <w:rPr>
          <w:sz w:val="20"/>
          <w:szCs w:val="20"/>
          <w:color w:val="auto"/>
        </w:rPr>
      </w:pPr>
      <w:r>
        <w:rPr>
          <w:rFonts w:ascii="Arial" w:cs="Arial" w:eastAsia="Arial" w:hAnsi="Arial"/>
          <w:sz w:val="16"/>
          <w:szCs w:val="16"/>
          <w:color w:val="3D3935"/>
        </w:rPr>
        <w:t>Only shareholders with a valid control number will be allowed to ask questions. Questions pertinent to meeting matters will be answered during the meeting, subject to time constraints.</w:t>
      </w:r>
    </w:p>
    <w:p>
      <w:pPr>
        <w:sectPr>
          <w:pgSz w:w="11900" w:h="16838" w:orient="portrait"/>
          <w:cols w:equalWidth="0" w:num="1">
            <w:col w:w="9080"/>
          </w:cols>
          <w:pgMar w:left="1400" w:top="184" w:right="1419" w:bottom="0" w:gutter="0" w:footer="0" w:header="0"/>
        </w:sectPr>
      </w:pPr>
    </w:p>
    <w:p>
      <w:pPr>
        <w:spacing w:after="0" w:line="60" w:lineRule="exact"/>
        <w:rPr>
          <w:sz w:val="20"/>
          <w:szCs w:val="20"/>
          <w:color w:val="auto"/>
        </w:rPr>
      </w:pPr>
    </w:p>
    <w:p>
      <w:pPr>
        <w:spacing w:after="0"/>
        <w:rPr>
          <w:sz w:val="20"/>
          <w:szCs w:val="20"/>
          <w:color w:val="auto"/>
        </w:rPr>
      </w:pPr>
      <w:r>
        <w:rPr>
          <w:rFonts w:ascii="Arial" w:cs="Arial" w:eastAsia="Arial" w:hAnsi="Arial"/>
          <w:sz w:val="21"/>
          <w:szCs w:val="21"/>
          <w:b w:val="1"/>
          <w:bCs w:val="1"/>
          <w:color w:val="3D3935"/>
        </w:rPr>
        <w:t>How Do I Vote at the Annual Meeting?</w:t>
      </w:r>
    </w:p>
    <w:p>
      <w:pPr>
        <w:sectPr>
          <w:pgSz w:w="11900" w:h="16838" w:orient="portrait"/>
          <w:cols w:equalWidth="0" w:num="1">
            <w:col w:w="9080"/>
          </w:cols>
          <w:pgMar w:left="1400" w:top="184" w:right="1419" w:bottom="0" w:gutter="0" w:footer="0" w:header="0"/>
          <w:type w:val="continuous"/>
        </w:sectPr>
      </w:pPr>
    </w:p>
    <w:bookmarkStart w:id="84" w:name="page85"/>
    <w:bookmarkEnd w:id="84"/>
    <w:p>
      <w:pPr>
        <w:ind w:right="240"/>
        <w:spacing w:after="0" w:line="245" w:lineRule="auto"/>
        <w:rPr>
          <w:sz w:val="20"/>
          <w:szCs w:val="20"/>
          <w:color w:val="auto"/>
        </w:rPr>
      </w:pPr>
      <w:r>
        <w:rPr>
          <w:rFonts w:ascii="Arial" w:cs="Arial" w:eastAsia="Arial" w:hAnsi="Arial"/>
          <w:sz w:val="16"/>
          <w:szCs w:val="16"/>
          <w:color w:val="3D3935"/>
        </w:rPr>
        <w:t>Shareholders of record and beneficial owners who join the Annual Meeting online will be able to vote their shares electronically during the meeting. However, even if you plan to participate in the Annual Meeting online, we recommend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-220345</wp:posOffset>
            </wp:positionV>
            <wp:extent cx="6810375" cy="17506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10375" cy="175069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3D3935"/>
        </w:rPr>
        <w:t>you also vote by proxy so that your votes will be counted if you later decide not to participate in the Annual Meeting.</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What Is a Quorum?</w:t>
      </w:r>
    </w:p>
    <w:p>
      <w:pPr>
        <w:spacing w:after="0" w:line="99" w:lineRule="exact"/>
        <w:rPr>
          <w:sz w:val="20"/>
          <w:szCs w:val="20"/>
          <w:color w:val="auto"/>
        </w:rPr>
      </w:pPr>
    </w:p>
    <w:p>
      <w:pPr>
        <w:ind w:right="660"/>
        <w:spacing w:after="0" w:line="301" w:lineRule="auto"/>
        <w:rPr>
          <w:sz w:val="20"/>
          <w:szCs w:val="20"/>
          <w:color w:val="auto"/>
        </w:rPr>
      </w:pPr>
      <w:r>
        <w:rPr>
          <w:rFonts w:ascii="Arial" w:cs="Arial" w:eastAsia="Arial" w:hAnsi="Arial"/>
          <w:sz w:val="16"/>
          <w:szCs w:val="16"/>
          <w:color w:val="3D3935"/>
        </w:rPr>
        <w:t>The presence of the holders of a majority of the outstanding shares of our common stock, in person or by proxy, will constitute a quorum for transacting business at the Annual Meeting. Abstentions and broker non-votes are counted as present for purposes of establishing a quorum at the meeting.</w:t>
      </w: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86829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10375" cy="868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General Information About the Annual Meeting</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Who Are the Proxies for the Annual Meeting?</w:t>
      </w:r>
    </w:p>
    <w:p>
      <w:pPr>
        <w:spacing w:after="0" w:line="99" w:lineRule="exact"/>
        <w:rPr>
          <w:sz w:val="20"/>
          <w:szCs w:val="20"/>
          <w:color w:val="auto"/>
        </w:rPr>
      </w:pPr>
    </w:p>
    <w:p>
      <w:pPr>
        <w:ind w:right="340"/>
        <w:spacing w:after="0" w:line="295" w:lineRule="auto"/>
        <w:rPr>
          <w:sz w:val="20"/>
          <w:szCs w:val="20"/>
          <w:color w:val="auto"/>
        </w:rPr>
      </w:pPr>
      <w:r>
        <w:rPr>
          <w:rFonts w:ascii="Arial" w:cs="Arial" w:eastAsia="Arial" w:hAnsi="Arial"/>
          <w:sz w:val="16"/>
          <w:szCs w:val="16"/>
          <w:color w:val="3D3935"/>
        </w:rPr>
        <w:t>The Board appointed the following officers to act as Proxies: Mary T. Barra, Grant Dixton, and John S. Kim. If you sign and return your proxy card or voting instruction form with voting instructions, one or more of the Proxies will vote your shares as you direct on the matters described in this Proxy Statement. If you sign and return your proxy card or voting instruction form without voting instructions, one or more of the Proxies will vote your shares as recommended by the Board.</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Who Can Vote at the Annual Meeting?</w:t>
      </w:r>
    </w:p>
    <w:p>
      <w:pPr>
        <w:spacing w:after="0" w:line="99" w:lineRule="exact"/>
        <w:rPr>
          <w:sz w:val="20"/>
          <w:szCs w:val="20"/>
          <w:color w:val="auto"/>
        </w:rPr>
      </w:pPr>
    </w:p>
    <w:p>
      <w:pPr>
        <w:ind w:right="380"/>
        <w:spacing w:after="0" w:line="257" w:lineRule="auto"/>
        <w:rPr>
          <w:sz w:val="20"/>
          <w:szCs w:val="20"/>
          <w:color w:val="auto"/>
        </w:rPr>
      </w:pPr>
      <w:r>
        <w:rPr>
          <w:rFonts w:ascii="Arial" w:cs="Arial" w:eastAsia="Arial" w:hAnsi="Arial"/>
          <w:sz w:val="16"/>
          <w:szCs w:val="16"/>
          <w:color w:val="3D3935"/>
        </w:rPr>
        <w:t>If you are a holder of the Company’s common stock as of the close of business on April 4, 2025, or you hold a valid proxy, you are entitled to vote at the Annual Meeting. On that date, the Company had 966,280,490 shares of common stock outstanding and entitled to vote. Each share of our common stock entitles the holder to one vote.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Can I Vote Without Attending the Annual Meeting?</w:t>
      </w:r>
    </w:p>
    <w:p>
      <w:pPr>
        <w:spacing w:after="0" w:line="99" w:lineRule="exact"/>
        <w:rPr>
          <w:sz w:val="20"/>
          <w:szCs w:val="20"/>
          <w:color w:val="auto"/>
        </w:rPr>
      </w:pPr>
    </w:p>
    <w:p>
      <w:pPr>
        <w:ind w:right="300"/>
        <w:spacing w:after="0" w:line="289" w:lineRule="auto"/>
        <w:rPr>
          <w:sz w:val="20"/>
          <w:szCs w:val="20"/>
          <w:color w:val="auto"/>
        </w:rPr>
      </w:pPr>
      <w:r>
        <w:rPr>
          <w:rFonts w:ascii="Arial" w:cs="Arial" w:eastAsia="Arial" w:hAnsi="Arial"/>
          <w:sz w:val="16"/>
          <w:szCs w:val="16"/>
          <w:color w:val="3D3935"/>
        </w:rPr>
        <w:t>To vote your shares without attending the Annual Meeting, please follow the instructions for voting provided on the Notice, on your proxy card, or on the voting instructions form. When you timely submit your proxy or voting instructions in the proper form, your shares will be voted according to your instructions. If you sign, date, and return the proxy card or voting instructions form without specifying how you wish to cast your vote, your shares will be voted by the Proxies according to the recommendations of the Board, as indicated above. Internet and telephone voting are available 24 hours a day through 11:59 p.m. Eastern Time on Monday, June 2, 2025.</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Can I Revoke My Proxy?</w:t>
      </w:r>
    </w:p>
    <w:p>
      <w:pPr>
        <w:spacing w:after="0" w:line="99" w:lineRule="exact"/>
        <w:rPr>
          <w:sz w:val="20"/>
          <w:szCs w:val="20"/>
          <w:color w:val="auto"/>
        </w:rPr>
      </w:pPr>
    </w:p>
    <w:p>
      <w:pPr>
        <w:ind w:right="380"/>
        <w:spacing w:after="0" w:line="301" w:lineRule="auto"/>
        <w:rPr>
          <w:sz w:val="20"/>
          <w:szCs w:val="20"/>
          <w:color w:val="auto"/>
        </w:rPr>
      </w:pPr>
      <w:r>
        <w:rPr>
          <w:rFonts w:ascii="Arial" w:cs="Arial" w:eastAsia="Arial" w:hAnsi="Arial"/>
          <w:sz w:val="16"/>
          <w:szCs w:val="16"/>
          <w:color w:val="3D3935"/>
        </w:rPr>
        <w:t>After you have submitted your proxy or voting instructions by internet, telephone, or mail, you may revoke it at any time until it is voted at the Annual Meeting. Your attendance at the Annual Meeting will not cause your previously granted proxy to be revoked unless you specifically make that request or vote your shares electronically during the meeting.</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3D3935"/>
        </w:rPr>
        <w:t>To revoke your proxy, follow the instructions below.</w:t>
      </w:r>
    </w:p>
    <w:p>
      <w:pPr>
        <w:sectPr>
          <w:pgSz w:w="11900" w:h="16838" w:orient="portrait"/>
          <w:cols w:equalWidth="0" w:num="1">
            <w:col w:w="9100"/>
          </w:cols>
          <w:pgMar w:left="1400" w:top="111" w:right="1399" w:bottom="0" w:gutter="0" w:footer="0" w:header="0"/>
        </w:sectPr>
      </w:pPr>
    </w:p>
    <w:p>
      <w:pPr>
        <w:spacing w:after="0" w:line="200" w:lineRule="exact"/>
        <w:rPr>
          <w:sz w:val="20"/>
          <w:szCs w:val="20"/>
          <w:color w:val="auto"/>
        </w:rPr>
      </w:pPr>
    </w:p>
    <w:p>
      <w:pPr>
        <w:spacing w:after="0" w:line="210"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0072CE"/>
        </w:rPr>
        <w:t>Shareholders of Record</w:t>
      </w:r>
    </w:p>
    <w:p>
      <w:pPr>
        <w:spacing w:after="0" w:line="86" w:lineRule="exact"/>
        <w:rPr>
          <w:sz w:val="20"/>
          <w:szCs w:val="20"/>
          <w:color w:val="auto"/>
        </w:rPr>
      </w:pPr>
    </w:p>
    <w:p>
      <w:pPr>
        <w:ind w:left="440" w:right="373" w:hanging="190"/>
        <w:spacing w:after="0" w:line="316" w:lineRule="auto"/>
        <w:tabs>
          <w:tab w:leader="none" w:pos="440" w:val="left"/>
        </w:tabs>
        <w:numPr>
          <w:ilvl w:val="0"/>
          <w:numId w:val="123"/>
        </w:numPr>
        <w:rPr>
          <w:rFonts w:ascii="Arial" w:cs="Arial" w:eastAsia="Arial" w:hAnsi="Arial"/>
          <w:sz w:val="16"/>
          <w:szCs w:val="16"/>
          <w:color w:val="0072CE"/>
        </w:rPr>
      </w:pPr>
      <w:r>
        <w:rPr>
          <w:rFonts w:ascii="Arial" w:cs="Arial" w:eastAsia="Arial" w:hAnsi="Arial"/>
          <w:sz w:val="16"/>
          <w:szCs w:val="16"/>
          <w:color w:val="3D3935"/>
        </w:rPr>
        <w:t>Grant a new proxy bearing a later date (which automatically revokes the earlier proxy);</w:t>
      </w:r>
    </w:p>
    <w:p>
      <w:pPr>
        <w:spacing w:after="0" w:line="1" w:lineRule="exact"/>
        <w:rPr>
          <w:rFonts w:ascii="Arial" w:cs="Arial" w:eastAsia="Arial" w:hAnsi="Arial"/>
          <w:sz w:val="16"/>
          <w:szCs w:val="16"/>
          <w:color w:val="0072CE"/>
        </w:rPr>
      </w:pPr>
    </w:p>
    <w:p>
      <w:pPr>
        <w:ind w:left="440" w:right="113" w:hanging="190"/>
        <w:spacing w:after="0" w:line="295" w:lineRule="auto"/>
        <w:tabs>
          <w:tab w:leader="none" w:pos="440" w:val="left"/>
        </w:tabs>
        <w:numPr>
          <w:ilvl w:val="0"/>
          <w:numId w:val="123"/>
        </w:numPr>
        <w:rPr>
          <w:rFonts w:ascii="Arial" w:cs="Arial" w:eastAsia="Arial" w:hAnsi="Arial"/>
          <w:sz w:val="16"/>
          <w:szCs w:val="16"/>
          <w:color w:val="0072CE"/>
        </w:rPr>
      </w:pPr>
      <w:r>
        <w:rPr>
          <w:rFonts w:ascii="Arial" w:cs="Arial" w:eastAsia="Arial" w:hAnsi="Arial"/>
          <w:sz w:val="16"/>
          <w:szCs w:val="16"/>
          <w:color w:val="3D3935"/>
        </w:rPr>
        <w:t>Send a written notice of revocation to the General Motors Company Corporate Secretary at Mail Code 482-C24-A68, 300 Renaissance Center, Detroit, Michigan 48265;</w:t>
      </w:r>
    </w:p>
    <w:p>
      <w:pPr>
        <w:spacing w:after="0" w:line="13" w:lineRule="exact"/>
        <w:rPr>
          <w:rFonts w:ascii="Arial" w:cs="Arial" w:eastAsia="Arial" w:hAnsi="Arial"/>
          <w:sz w:val="16"/>
          <w:szCs w:val="16"/>
          <w:color w:val="0072CE"/>
        </w:rPr>
      </w:pPr>
    </w:p>
    <w:p>
      <w:pPr>
        <w:ind w:left="440" w:right="213" w:hanging="190"/>
        <w:spacing w:after="0" w:line="316" w:lineRule="auto"/>
        <w:tabs>
          <w:tab w:leader="none" w:pos="440" w:val="left"/>
        </w:tabs>
        <w:numPr>
          <w:ilvl w:val="0"/>
          <w:numId w:val="123"/>
        </w:numPr>
        <w:rPr>
          <w:rFonts w:ascii="Arial" w:cs="Arial" w:eastAsia="Arial" w:hAnsi="Arial"/>
          <w:sz w:val="16"/>
          <w:szCs w:val="16"/>
          <w:color w:val="0072CE"/>
        </w:rPr>
      </w:pPr>
      <w:r>
        <w:rPr>
          <w:rFonts w:ascii="Arial" w:cs="Arial" w:eastAsia="Arial" w:hAnsi="Arial"/>
          <w:sz w:val="16"/>
          <w:szCs w:val="16"/>
          <w:color w:val="3D3935"/>
        </w:rPr>
        <w:t xml:space="preserve">Email the General Motors Company Corporate Secretary at </w:t>
      </w:r>
      <w:r>
        <w:rPr>
          <w:rFonts w:ascii="Arial" w:cs="Arial" w:eastAsia="Arial" w:hAnsi="Arial"/>
          <w:sz w:val="16"/>
          <w:szCs w:val="16"/>
          <w:u w:val="single" w:color="auto"/>
          <w:color w:val="0072CE"/>
        </w:rPr>
        <w:t>shareholder.relations@gm.com;</w:t>
      </w:r>
      <w:r>
        <w:rPr>
          <w:rFonts w:ascii="Arial" w:cs="Arial" w:eastAsia="Arial" w:hAnsi="Arial"/>
          <w:sz w:val="16"/>
          <w:szCs w:val="16"/>
          <w:color w:val="3D3935"/>
        </w:rPr>
        <w:t xml:space="preserve"> or</w:t>
      </w:r>
    </w:p>
    <w:p>
      <w:pPr>
        <w:spacing w:after="0" w:line="1" w:lineRule="exact"/>
        <w:rPr>
          <w:rFonts w:ascii="Arial" w:cs="Arial" w:eastAsia="Arial" w:hAnsi="Arial"/>
          <w:sz w:val="16"/>
          <w:szCs w:val="16"/>
          <w:color w:val="0072CE"/>
        </w:rPr>
      </w:pPr>
    </w:p>
    <w:p>
      <w:pPr>
        <w:ind w:left="440" w:right="253" w:hanging="190"/>
        <w:spacing w:after="0" w:line="321" w:lineRule="auto"/>
        <w:tabs>
          <w:tab w:leader="none" w:pos="440" w:val="left"/>
        </w:tabs>
        <w:numPr>
          <w:ilvl w:val="0"/>
          <w:numId w:val="123"/>
        </w:numPr>
        <w:rPr>
          <w:rFonts w:ascii="Arial" w:cs="Arial" w:eastAsia="Arial" w:hAnsi="Arial"/>
          <w:sz w:val="16"/>
          <w:szCs w:val="16"/>
          <w:color w:val="0072CE"/>
        </w:rPr>
      </w:pPr>
      <w:r>
        <w:rPr>
          <w:rFonts w:ascii="Arial" w:cs="Arial" w:eastAsia="Arial" w:hAnsi="Arial"/>
          <w:sz w:val="16"/>
          <w:szCs w:val="16"/>
          <w:color w:val="3D3935"/>
        </w:rPr>
        <w:t>Participate in the Annual Meeting and vote your shares electronically during the meeting.</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072CE"/>
        </w:rPr>
        <w:t>Street Name Shareholders</w:t>
      </w:r>
    </w:p>
    <w:p>
      <w:pPr>
        <w:spacing w:after="0" w:line="86" w:lineRule="exact"/>
        <w:rPr>
          <w:sz w:val="20"/>
          <w:szCs w:val="20"/>
          <w:color w:val="auto"/>
        </w:rPr>
      </w:pPr>
    </w:p>
    <w:p>
      <w:pPr>
        <w:ind w:left="187" w:right="980" w:hanging="187"/>
        <w:spacing w:after="0" w:line="301" w:lineRule="auto"/>
        <w:tabs>
          <w:tab w:leader="none" w:pos="187" w:val="left"/>
        </w:tabs>
        <w:numPr>
          <w:ilvl w:val="0"/>
          <w:numId w:val="124"/>
        </w:numPr>
        <w:rPr>
          <w:rFonts w:ascii="Arial" w:cs="Arial" w:eastAsia="Arial" w:hAnsi="Arial"/>
          <w:sz w:val="16"/>
          <w:szCs w:val="16"/>
          <w:color w:val="0072CE"/>
        </w:rPr>
      </w:pPr>
      <w:r>
        <w:rPr>
          <w:rFonts w:ascii="Arial" w:cs="Arial" w:eastAsia="Arial" w:hAnsi="Arial"/>
          <w:sz w:val="16"/>
          <w:szCs w:val="16"/>
          <w:color w:val="3D3935"/>
        </w:rPr>
        <w:t>Notify your broker, bank, or nominee in accordance with that entity’s procedures for revoking your voting instructions; or</w:t>
      </w:r>
    </w:p>
    <w:p>
      <w:pPr>
        <w:spacing w:after="0" w:line="9" w:lineRule="exact"/>
        <w:rPr>
          <w:rFonts w:ascii="Arial" w:cs="Arial" w:eastAsia="Arial" w:hAnsi="Arial"/>
          <w:sz w:val="16"/>
          <w:szCs w:val="16"/>
          <w:color w:val="0072CE"/>
        </w:rPr>
      </w:pPr>
    </w:p>
    <w:p>
      <w:pPr>
        <w:ind w:left="187" w:right="680" w:hanging="187"/>
        <w:spacing w:after="0" w:line="321" w:lineRule="auto"/>
        <w:tabs>
          <w:tab w:leader="none" w:pos="187" w:val="left"/>
        </w:tabs>
        <w:numPr>
          <w:ilvl w:val="0"/>
          <w:numId w:val="124"/>
        </w:numPr>
        <w:rPr>
          <w:rFonts w:ascii="Arial" w:cs="Arial" w:eastAsia="Arial" w:hAnsi="Arial"/>
          <w:sz w:val="16"/>
          <w:szCs w:val="16"/>
          <w:color w:val="0072CE"/>
        </w:rPr>
      </w:pPr>
      <w:r>
        <w:rPr>
          <w:rFonts w:ascii="Arial" w:cs="Arial" w:eastAsia="Arial" w:hAnsi="Arial"/>
          <w:sz w:val="16"/>
          <w:szCs w:val="16"/>
          <w:color w:val="3D3935"/>
        </w:rPr>
        <w:t>Participate in the Annual Meeting and vote your shares electronically during the meeting.</w:t>
      </w:r>
    </w:p>
    <w:p>
      <w:pPr>
        <w:spacing w:after="0" w:line="1387" w:lineRule="exact"/>
        <w:rPr>
          <w:sz w:val="20"/>
          <w:szCs w:val="20"/>
          <w:color w:val="auto"/>
        </w:rPr>
      </w:pPr>
    </w:p>
    <w:p>
      <w:pPr>
        <w:sectPr>
          <w:pgSz w:w="11900" w:h="16838" w:orient="portrait"/>
          <w:cols w:equalWidth="0" w:num="2">
            <w:col w:w="4093" w:space="720"/>
            <w:col w:w="4287"/>
          </w:cols>
          <w:pgMar w:left="1400" w:top="111" w:right="1399" w:bottom="0" w:gutter="0" w:footer="0" w:header="0"/>
          <w:type w:val="continuous"/>
        </w:sectPr>
      </w:pP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How Do I the View Annual Meeting Voting Results After the Meeting?</w:t>
      </w:r>
    </w:p>
    <w:p>
      <w:pPr>
        <w:spacing w:after="0" w:line="99"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3D3935"/>
        </w:rPr>
        <w:t>Our independent inspector of elections, Broadridge Financial Services, Inc., will tabulate the vote at the Annual Meeting. We will provide voting results on our website and in a Current Report on Form 8-K filed with the SEC.</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What Is a “Shareholder of Record” and “Beneficial Shareholder”?</w:t>
      </w:r>
    </w:p>
    <w:p>
      <w:pPr>
        <w:spacing w:after="0" w:line="99"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3D3935"/>
        </w:rPr>
        <w:t>If your shares are owned directly in your name in an account with GM’s stock transfer agent, Computershare Trust Company, N.A., you are considered the “shareholder of record” of those shares in your account. If your shares are held in an account with a broker, bank, or other nominee as a custodian on your behalf, you are considered a “beneficial shareholder” of those shares, which are held in street name. The broker, bank, or other nominee is considered the shareholder of record for those shares. As the beneficial owner, you have the right to instruct the broker, bank, or other nominee on how to vote the shares in your account. In order for your shares to be voted in the way you would like, you must provide voting instructions to your broker, bank, or other nominee by the deadline provided in the proxy materials you receive from your broker, bank, or other nominee. If you do not provide voting instructions to your broker, bank, or other nominee, whether your shares can be voted</w:t>
      </w:r>
    </w:p>
    <w:p>
      <w:pPr>
        <w:sectPr>
          <w:pgSz w:w="11900" w:h="16838" w:orient="portrait"/>
          <w:cols w:equalWidth="0" w:num="1">
            <w:col w:w="9100"/>
          </w:cols>
          <w:pgMar w:left="1400" w:top="111" w:right="1399" w:bottom="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ind w:left="7000"/>
        <w:spacing w:after="0"/>
        <w:tabs>
          <w:tab w:leader="none" w:pos="8840" w:val="left"/>
        </w:tabs>
        <w:rPr>
          <w:sz w:val="20"/>
          <w:szCs w:val="20"/>
          <w:color w:val="auto"/>
        </w:rPr>
      </w:pPr>
      <w:r>
        <w:rPr>
          <w:rFonts w:ascii="Arial" w:cs="Arial" w:eastAsia="Arial" w:hAnsi="Arial"/>
          <w:sz w:val="14"/>
          <w:szCs w:val="14"/>
          <w:b w:val="1"/>
          <w:bCs w:val="1"/>
          <w:color w:val="0072CE"/>
        </w:rPr>
        <w:t>2025 Proxy Statement</w:t>
      </w:r>
      <w:r>
        <w:rPr>
          <w:sz w:val="20"/>
          <w:szCs w:val="20"/>
          <w:color w:val="auto"/>
        </w:rPr>
        <w:tab/>
      </w:r>
      <w:r>
        <w:rPr>
          <w:rFonts w:ascii="Arial" w:cs="Arial" w:eastAsia="Arial" w:hAnsi="Arial"/>
          <w:sz w:val="14"/>
          <w:szCs w:val="14"/>
          <w:b w:val="1"/>
          <w:bCs w:val="1"/>
          <w:color w:val="3D3935"/>
        </w:rPr>
        <w:t>93</w:t>
      </w:r>
    </w:p>
    <w:p>
      <w:pPr>
        <w:sectPr>
          <w:pgSz w:w="11900" w:h="16838" w:orient="portrait"/>
          <w:cols w:equalWidth="0" w:num="1">
            <w:col w:w="9100"/>
          </w:cols>
          <w:pgMar w:left="1400" w:top="111" w:right="1399" w:bottom="0" w:gutter="0" w:footer="0" w:header="0"/>
          <w:type w:val="continuous"/>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91230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10375" cy="91230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0072CE"/>
        </w:rPr>
        <w:t>General Information About the Annual Meeting</w:t>
      </w:r>
    </w:p>
    <w:p>
      <w:pPr>
        <w:spacing w:after="0" w:line="200" w:lineRule="exact"/>
        <w:rPr>
          <w:sz w:val="20"/>
          <w:szCs w:val="20"/>
          <w:color w:val="auto"/>
        </w:rPr>
      </w:pPr>
    </w:p>
    <w:p>
      <w:pPr>
        <w:spacing w:after="0" w:line="37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3D3935"/>
        </w:rPr>
        <w:t xml:space="preserve">on your behalf depends on the type of item being considered for vote. Under NYSE rules, brokers are permitted to exercise discretionary voting authority only on “routine” matters. Therefore, your broker may vote on Item No. 2 (“Proposal to Ratify the Selection of Ernst &amp; Young LLP as the Company’s Independent Registered Public Accounting Firm for 2025”) even if you do not provide voting instructions because it is considered a routine matter. </w:t>
      </w:r>
      <w:r>
        <w:rPr>
          <w:rFonts w:ascii="Arial" w:cs="Arial" w:eastAsia="Arial" w:hAnsi="Arial"/>
          <w:sz w:val="16"/>
          <w:szCs w:val="16"/>
          <w:b w:val="1"/>
          <w:bCs w:val="1"/>
          <w:color w:val="3D3935"/>
        </w:rPr>
        <w:t>Your broker is not permitted to vote on the</w:t>
      </w:r>
      <w:r>
        <w:rPr>
          <w:rFonts w:ascii="Arial" w:cs="Arial" w:eastAsia="Arial" w:hAnsi="Arial"/>
          <w:sz w:val="16"/>
          <w:szCs w:val="16"/>
          <w:color w:val="3D3935"/>
        </w:rPr>
        <w:t xml:space="preserve"> </w:t>
      </w:r>
      <w:r>
        <w:rPr>
          <w:rFonts w:ascii="Arial" w:cs="Arial" w:eastAsia="Arial" w:hAnsi="Arial"/>
          <w:sz w:val="16"/>
          <w:szCs w:val="16"/>
          <w:b w:val="1"/>
          <w:bCs w:val="1"/>
          <w:color w:val="3D3935"/>
        </w:rPr>
        <w:t>other agenda items if you do not provide voting instructions because those items involve matters that are considered non-routine.</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What Is Householding?</w:t>
      </w:r>
    </w:p>
    <w:p>
      <w:pPr>
        <w:spacing w:after="0" w:line="112"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3D3935"/>
        </w:rPr>
        <w:t>SEC rules permit companies to send a single Proxy Statement and Annual Report or Notice to two or more shareholders that share the same address, subject to certain conditions. Each shareholder will continue to receive a separate proxy card or voting instruction form, and it will include the unique 16-digit control number that is needed to vote those shares and to access and vote during the Annual Meeting. This “householding” rule will benefit both the shareholders and GM by reducing the volume of duplicate information shareholders receive and reducing GM’s printing and mailing costs.</w:t>
      </w:r>
    </w:p>
    <w:p>
      <w:pPr>
        <w:spacing w:after="0" w:line="74" w:lineRule="exact"/>
        <w:rPr>
          <w:sz w:val="20"/>
          <w:szCs w:val="20"/>
          <w:color w:val="auto"/>
        </w:rPr>
      </w:pPr>
    </w:p>
    <w:p>
      <w:pPr>
        <w:ind w:right="520"/>
        <w:spacing w:after="0" w:line="291" w:lineRule="auto"/>
        <w:rPr>
          <w:sz w:val="20"/>
          <w:szCs w:val="20"/>
          <w:color w:val="auto"/>
        </w:rPr>
      </w:pPr>
      <w:r>
        <w:rPr>
          <w:rFonts w:ascii="Arial" w:cs="Arial" w:eastAsia="Arial" w:hAnsi="Arial"/>
          <w:sz w:val="16"/>
          <w:szCs w:val="16"/>
          <w:color w:val="3D3935"/>
        </w:rPr>
        <w:t>If one set of these documents was sent to your household for the use of all GM shareholders in your household and one or more of you would prefer to receive additional sets, or if multiple copies of these documents were sent to your household and you want to receive one set in the future, please contact Broadridge Financial Solutions, Inc., by calling toll-free at (866) 540-7095 or by writing to Broadridge Financial Solutions, Inc., Householding Department, 51 Mercedes Way, Edgewood, New York 11717.</w:t>
      </w:r>
    </w:p>
    <w:p>
      <w:pPr>
        <w:spacing w:after="0" w:line="73" w:lineRule="exact"/>
        <w:rPr>
          <w:sz w:val="20"/>
          <w:szCs w:val="20"/>
          <w:color w:val="auto"/>
        </w:rPr>
      </w:pPr>
    </w:p>
    <w:p>
      <w:pPr>
        <w:jc w:val="both"/>
        <w:ind w:right="480"/>
        <w:spacing w:after="0" w:line="301" w:lineRule="auto"/>
        <w:rPr>
          <w:sz w:val="20"/>
          <w:szCs w:val="20"/>
          <w:color w:val="auto"/>
        </w:rPr>
      </w:pPr>
      <w:r>
        <w:rPr>
          <w:rFonts w:ascii="Arial" w:cs="Arial" w:eastAsia="Arial" w:hAnsi="Arial"/>
          <w:sz w:val="16"/>
          <w:szCs w:val="16"/>
          <w:color w:val="3D3935"/>
        </w:rPr>
        <w:t>If a broker, bank, or other nominee holds your shares, please contact your broker, bank, or other nominee directly if you have questions about delivery of materials, require additional copies of the Proxy Statement or Annual Report, or wish to receive multiple copies of proxy materials, which would require you to state that you do not consent to householding.</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Where Can I Find the Annual Report and Other Investor Materials?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40" w:type="dxa"/>
            <w:vAlign w:val="bottom"/>
            <w:gridSpan w:val="3"/>
          </w:tcPr>
          <w:p>
            <w:pPr>
              <w:spacing w:after="0"/>
              <w:rPr>
                <w:sz w:val="20"/>
                <w:szCs w:val="20"/>
                <w:color w:val="auto"/>
              </w:rPr>
            </w:pPr>
            <w:r>
              <w:rPr>
                <w:rFonts w:ascii="Arial" w:cs="Arial" w:eastAsia="Arial" w:hAnsi="Arial"/>
                <w:sz w:val="16"/>
                <w:szCs w:val="16"/>
                <w:color w:val="3D3935"/>
              </w:rPr>
              <w:t>You may download a copy of our 2024 Annual Report and 2025 Proxy Statement at</w:t>
            </w:r>
          </w:p>
        </w:tc>
        <w:tc>
          <w:tcPr>
            <w:tcW w:w="2520" w:type="dxa"/>
            <w:vAlign w:val="bottom"/>
            <w:gridSpan w:val="2"/>
          </w:tcPr>
          <w:p>
            <w:pPr>
              <w:spacing w:after="0"/>
              <w:rPr>
                <w:sz w:val="20"/>
                <w:szCs w:val="20"/>
                <w:color w:val="auto"/>
              </w:rPr>
            </w:pPr>
            <w:r>
              <w:rPr>
                <w:rFonts w:ascii="Arial" w:cs="Arial" w:eastAsia="Arial" w:hAnsi="Arial"/>
                <w:sz w:val="16"/>
                <w:szCs w:val="16"/>
                <w:color w:val="0072CE"/>
              </w:rPr>
              <w:t xml:space="preserve">investor.gm.com/shareholder.  </w:t>
            </w:r>
            <w:r>
              <w:rPr>
                <w:rFonts w:ascii="Arial" w:cs="Arial" w:eastAsia="Arial" w:hAnsi="Arial"/>
                <w:sz w:val="16"/>
                <w:szCs w:val="16"/>
                <w:color w:val="3D3935"/>
              </w:rPr>
              <w:t>Our</w:t>
            </w:r>
          </w:p>
        </w:tc>
      </w:tr>
      <w:tr>
        <w:trPr>
          <w:trHeight w:val="20"/>
        </w:trPr>
        <w:tc>
          <w:tcPr>
            <w:tcW w:w="2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00" w:type="dxa"/>
            <w:vAlign w:val="bottom"/>
            <w:shd w:val="clear" w:color="auto" w:fill="0072C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2640" w:type="dxa"/>
            <w:vAlign w:val="bottom"/>
          </w:tcPr>
          <w:p>
            <w:pPr>
              <w:spacing w:after="0"/>
              <w:rPr>
                <w:sz w:val="20"/>
                <w:szCs w:val="20"/>
                <w:color w:val="auto"/>
              </w:rPr>
            </w:pPr>
            <w:r>
              <w:rPr>
                <w:rFonts w:ascii="Arial" w:cs="Arial" w:eastAsia="Arial" w:hAnsi="Arial"/>
                <w:sz w:val="16"/>
                <w:szCs w:val="16"/>
                <w:color w:val="3D3935"/>
              </w:rPr>
              <w:t>other SEC filings are available at</w:t>
            </w:r>
          </w:p>
        </w:tc>
        <w:tc>
          <w:tcPr>
            <w:tcW w:w="6420" w:type="dxa"/>
            <w:vAlign w:val="bottom"/>
            <w:gridSpan w:val="4"/>
          </w:tcPr>
          <w:p>
            <w:pPr>
              <w:spacing w:after="0"/>
              <w:rPr>
                <w:sz w:val="20"/>
                <w:szCs w:val="20"/>
                <w:color w:val="auto"/>
              </w:rPr>
            </w:pPr>
            <w:r>
              <w:rPr>
                <w:rFonts w:ascii="Arial" w:cs="Arial" w:eastAsia="Arial" w:hAnsi="Arial"/>
                <w:sz w:val="16"/>
                <w:szCs w:val="16"/>
                <w:color w:val="0072CE"/>
              </w:rPr>
              <w:t xml:space="preserve">investor.gm.com/sec-filings.  </w:t>
            </w:r>
            <w:r>
              <w:rPr>
                <w:rFonts w:ascii="Arial" w:cs="Arial" w:eastAsia="Arial" w:hAnsi="Arial"/>
                <w:sz w:val="16"/>
                <w:szCs w:val="16"/>
                <w:color w:val="3D3935"/>
              </w:rPr>
              <w:t>Alternatively, you may request a printed copy of these</w:t>
            </w:r>
          </w:p>
        </w:tc>
      </w:tr>
      <w:tr>
        <w:trPr>
          <w:trHeight w:val="20"/>
        </w:trPr>
        <w:tc>
          <w:tcPr>
            <w:tcW w:w="2640" w:type="dxa"/>
            <w:vAlign w:val="bottom"/>
          </w:tcPr>
          <w:p>
            <w:pPr>
              <w:spacing w:after="0" w:line="20" w:lineRule="exact"/>
              <w:rPr>
                <w:sz w:val="1"/>
                <w:szCs w:val="1"/>
                <w:color w:val="auto"/>
              </w:rPr>
            </w:pPr>
          </w:p>
        </w:tc>
        <w:tc>
          <w:tcPr>
            <w:tcW w:w="2000" w:type="dxa"/>
            <w:vAlign w:val="bottom"/>
            <w:shd w:val="clear" w:color="auto" w:fill="0072C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3D3935"/>
        </w:rPr>
        <w:t>publications by writing to Shareholder Relations at General Motors Company, Mail Code 482-C24-A68, 300 Renaissance</w:t>
      </w:r>
    </w:p>
    <w:p>
      <w:pPr>
        <w:spacing w:after="0" w:line="32"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3D3935"/>
        </w:rPr>
        <w:t xml:space="preserve">Center, Detroit, Michigan 48265 or by email to </w:t>
      </w:r>
      <w:r>
        <w:rPr>
          <w:rFonts w:ascii="Arial" w:cs="Arial" w:eastAsia="Arial" w:hAnsi="Arial"/>
          <w:sz w:val="16"/>
          <w:szCs w:val="16"/>
          <w:u w:val="single" w:color="auto"/>
          <w:color w:val="0072CE"/>
        </w:rPr>
        <w:t>shareholder.relations@gm.com.</w:t>
      </w:r>
      <w:r>
        <w:rPr>
          <w:rFonts w:ascii="Arial" w:cs="Arial" w:eastAsia="Arial" w:hAnsi="Arial"/>
          <w:sz w:val="16"/>
          <w:szCs w:val="16"/>
          <w:color w:val="3D3935"/>
        </w:rPr>
        <w:t xml:space="preserve"> Our 2024 Sustainability Report, when published, and our sustainability policies, compliance documents, and political contributions and lobbying disclosures can be found at </w:t>
      </w:r>
      <w:r>
        <w:rPr>
          <w:rFonts w:ascii="Arial" w:cs="Arial" w:eastAsia="Arial" w:hAnsi="Arial"/>
          <w:sz w:val="16"/>
          <w:szCs w:val="16"/>
          <w:u w:val="single" w:color="auto"/>
          <w:color w:val="0072CE"/>
        </w:rPr>
        <w:t>gmsustainability.com.</w:t>
      </w:r>
      <w:r>
        <w:rPr>
          <w:rFonts w:ascii="Arial" w:cs="Arial" w:eastAsia="Arial" w:hAnsi="Arial"/>
          <w:sz w:val="16"/>
          <w:szCs w:val="16"/>
          <w:color w:val="3D3935"/>
        </w:rPr>
        <w:t xml:space="preserve"> The reports and information contained in, or that can be accessed from, our websites are not incorporated by reference into, and are not part of, this Proxy Statement.</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color w:val="3D3935"/>
        </w:rPr>
        <w:t>Who Is Soliciting My Proxy and Who Bears the Cost of the Solicitation?</w:t>
      </w:r>
    </w:p>
    <w:p>
      <w:pPr>
        <w:spacing w:after="0" w:line="99" w:lineRule="exact"/>
        <w:rPr>
          <w:sz w:val="20"/>
          <w:szCs w:val="20"/>
          <w:color w:val="auto"/>
        </w:rPr>
      </w:pPr>
    </w:p>
    <w:p>
      <w:pPr>
        <w:ind w:right="240"/>
        <w:spacing w:after="0" w:line="289" w:lineRule="auto"/>
        <w:rPr>
          <w:sz w:val="20"/>
          <w:szCs w:val="20"/>
          <w:color w:val="auto"/>
        </w:rPr>
      </w:pPr>
      <w:r>
        <w:rPr>
          <w:rFonts w:ascii="Arial" w:cs="Arial" w:eastAsia="Arial" w:hAnsi="Arial"/>
          <w:sz w:val="16"/>
          <w:szCs w:val="16"/>
          <w:color w:val="3D3935"/>
        </w:rPr>
        <w:t>We will pay our cost for soliciting proxies for the Annual Meeting. The Company will distribute proxy materials and follow-up reminders, if any, by mail and electronic means. We have engaged Innisfree M&amp;A Incorporated, a professional proxy solicitation firm located at 501 Madison Avenue, 20th Floor, New York, New York 10022, to assist with the solicitation of proxies and to provide related advice and informational support for a service fee, plus customary disbursements. We expect to pay Innisfree a base fee of $20,000, plus expenses for these services. GM directors, officers, and employees may also solicit proxies by mail, telephone, or personal visits. They will not receive any additional compensation for their services.</w:t>
      </w:r>
    </w:p>
    <w:p>
      <w:pPr>
        <w:spacing w:after="0" w:line="102" w:lineRule="exact"/>
        <w:rPr>
          <w:sz w:val="20"/>
          <w:szCs w:val="20"/>
          <w:color w:val="auto"/>
        </w:rPr>
      </w:pPr>
    </w:p>
    <w:p>
      <w:pPr>
        <w:ind w:right="560"/>
        <w:spacing w:after="0" w:line="295" w:lineRule="auto"/>
        <w:rPr>
          <w:sz w:val="20"/>
          <w:szCs w:val="20"/>
          <w:color w:val="auto"/>
        </w:rPr>
      </w:pPr>
      <w:r>
        <w:rPr>
          <w:rFonts w:ascii="Arial" w:cs="Arial" w:eastAsia="Arial" w:hAnsi="Arial"/>
          <w:sz w:val="16"/>
          <w:szCs w:val="16"/>
          <w:color w:val="3D3935"/>
        </w:rPr>
        <w:t>GM will provide copies of these proxy materials to banks, brokerage houses, fiduciaries, and custodians holding in their names shares of our common stock beneficially owned by others so that they may forward these proxy materials to the beneficial owners. As usual, we will reimburse brokers, banks, and other nominees for their reasonable expenses in forwarding proxy materials to beneficial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13106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10375" cy="131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General Information About the Annual Meeting</w:t>
      </w:r>
    </w:p>
    <w:p>
      <w:pPr>
        <w:spacing w:after="0" w:line="200" w:lineRule="exact"/>
        <w:rPr>
          <w:sz w:val="20"/>
          <w:szCs w:val="20"/>
          <w:color w:val="auto"/>
        </w:rPr>
      </w:pPr>
    </w:p>
    <w:p>
      <w:pPr>
        <w:spacing w:after="0" w:line="362" w:lineRule="exact"/>
        <w:rPr>
          <w:sz w:val="20"/>
          <w:szCs w:val="20"/>
          <w:color w:val="auto"/>
        </w:rPr>
      </w:pPr>
    </w:p>
    <w:p>
      <w:pPr>
        <w:ind w:right="860"/>
        <w:spacing w:after="0" w:line="285" w:lineRule="auto"/>
        <w:rPr>
          <w:sz w:val="20"/>
          <w:szCs w:val="20"/>
          <w:color w:val="auto"/>
        </w:rPr>
      </w:pPr>
      <w:r>
        <w:rPr>
          <w:rFonts w:ascii="Arial" w:cs="Arial" w:eastAsia="Arial" w:hAnsi="Arial"/>
          <w:sz w:val="22"/>
          <w:szCs w:val="22"/>
          <w:b w:val="1"/>
          <w:bCs w:val="1"/>
          <w:color w:val="3D3935"/>
        </w:rPr>
        <w:t>How Can I Submit Shareholder Proposals and Director Nominations for the 2026 Annual Meeting?</w:t>
      </w:r>
    </w:p>
    <w:p>
      <w:pPr>
        <w:sectPr>
          <w:pgSz w:w="11900" w:h="16858" w:orient="portrait"/>
          <w:cols w:equalWidth="0" w:num="1">
            <w:col w:w="9100"/>
          </w:cols>
          <w:pgMar w:left="1400" w:top="927" w:right="1399" w:bottom="0" w:gutter="0" w:footer="0" w:header="0"/>
        </w:sectPr>
      </w:pPr>
    </w:p>
    <w:p>
      <w:pPr>
        <w:spacing w:after="0" w:line="129" w:lineRule="exact"/>
        <w:rPr>
          <w:sz w:val="20"/>
          <w:szCs w:val="20"/>
          <w:color w:val="auto"/>
        </w:rPr>
      </w:pPr>
    </w:p>
    <w:p>
      <w:pPr>
        <w:ind w:left="60"/>
        <w:spacing w:after="0"/>
        <w:tabs>
          <w:tab w:leader="none" w:pos="1920" w:val="left"/>
          <w:tab w:leader="none" w:pos="4320" w:val="left"/>
          <w:tab w:leader="none" w:pos="6700" w:val="left"/>
        </w:tabs>
        <w:rPr>
          <w:sz w:val="20"/>
          <w:szCs w:val="20"/>
          <w:color w:val="auto"/>
        </w:rPr>
      </w:pPr>
      <w:r>
        <w:rPr>
          <w:rFonts w:ascii="Arial" w:cs="Arial" w:eastAsia="Arial" w:hAnsi="Arial"/>
          <w:sz w:val="16"/>
          <w:szCs w:val="16"/>
          <w:b w:val="1"/>
          <w:bCs w:val="1"/>
          <w:color w:val="0072CE"/>
        </w:rPr>
        <w:t>Type of Proposal</w:t>
      </w:r>
      <w:r>
        <w:rPr>
          <w:sz w:val="20"/>
          <w:szCs w:val="20"/>
          <w:color w:val="auto"/>
        </w:rPr>
        <w:tab/>
      </w:r>
      <w:r>
        <w:rPr>
          <w:rFonts w:ascii="Arial" w:cs="Arial" w:eastAsia="Arial" w:hAnsi="Arial"/>
          <w:sz w:val="16"/>
          <w:szCs w:val="16"/>
          <w:color w:val="3D3935"/>
        </w:rPr>
        <w:t>Rule 14a-8 Proposals by</w:t>
      </w:r>
      <w:r>
        <w:rPr>
          <w:sz w:val="20"/>
          <w:szCs w:val="20"/>
          <w:color w:val="auto"/>
        </w:rPr>
        <w:tab/>
      </w:r>
      <w:r>
        <w:rPr>
          <w:rFonts w:ascii="Arial" w:cs="Arial" w:eastAsia="Arial" w:hAnsi="Arial"/>
          <w:sz w:val="16"/>
          <w:szCs w:val="16"/>
          <w:color w:val="3D3935"/>
        </w:rPr>
        <w:t>Director Nominees for</w:t>
      </w:r>
      <w:r>
        <w:rPr>
          <w:sz w:val="20"/>
          <w:szCs w:val="20"/>
          <w:color w:val="auto"/>
        </w:rPr>
        <w:tab/>
      </w:r>
      <w:r>
        <w:rPr>
          <w:rFonts w:ascii="Arial" w:cs="Arial" w:eastAsia="Arial" w:hAnsi="Arial"/>
          <w:sz w:val="16"/>
          <w:szCs w:val="16"/>
          <w:color w:val="3D3935"/>
        </w:rPr>
        <w:t>Other Proposals or Nominees</w:t>
      </w:r>
    </w:p>
    <w:p>
      <w:pPr>
        <w:sectPr>
          <w:pgSz w:w="11900" w:h="16858" w:orient="portrait"/>
          <w:cols w:equalWidth="0" w:num="1">
            <w:col w:w="9100"/>
          </w:cols>
          <w:pgMar w:left="1400" w:top="927" w:right="1399" w:bottom="0" w:gutter="0" w:footer="0" w:header="0"/>
          <w:type w:val="continuous"/>
        </w:sectPr>
      </w:pPr>
    </w:p>
    <w:bookmarkStart w:id="86" w:name="page87"/>
    <w:bookmarkEnd w:id="86"/>
    <w:tbl>
      <w:tblPr>
        <w:tblLayout w:type="fixed"/>
        <w:tblInd w:w="0" w:type="dxa"/>
        <w:tblCellMar>
          <w:top w:w="0" w:type="dxa"/>
          <w:left w:w="0" w:type="dxa"/>
          <w:bottom w:w="0" w:type="dxa"/>
          <w:right w:w="0" w:type="dxa"/>
        </w:tblCellMar>
      </w:tblPr>
      <w:tr>
        <w:trPr>
          <w:trHeight w:val="188"/>
        </w:trPr>
        <w:tc>
          <w:tcPr>
            <w:tcW w:w="1820" w:type="dxa"/>
            <w:vAlign w:val="bottom"/>
            <w:tcBorders>
              <w:top w:val="single" w:sz="8" w:color="0072CE"/>
            </w:tcBorders>
          </w:tcPr>
          <w:p>
            <w:pPr>
              <w:spacing w:after="0"/>
              <w:rPr>
                <w:sz w:val="16"/>
                <w:szCs w:val="16"/>
                <w:color w:val="auto"/>
              </w:rPr>
            </w:pPr>
          </w:p>
        </w:tc>
        <w:tc>
          <w:tcPr>
            <w:tcW w:w="2520" w:type="dxa"/>
            <w:vAlign w:val="bottom"/>
            <w:tcBorders>
              <w:top w:val="single" w:sz="8" w:color="0072CE"/>
            </w:tcBorders>
          </w:tcPr>
          <w:p>
            <w:pPr>
              <w:ind w:left="120"/>
              <w:spacing w:after="0"/>
              <w:rPr>
                <w:sz w:val="20"/>
                <w:szCs w:val="20"/>
                <w:color w:val="auto"/>
              </w:rPr>
            </w:pPr>
            <w:r>
              <w:rPr>
                <w:rFonts w:ascii="Arial" w:cs="Arial" w:eastAsia="Arial" w:hAnsi="Arial"/>
                <w:sz w:val="16"/>
                <w:szCs w:val="16"/>
                <w:color w:val="3D3935"/>
              </w:rPr>
              <w:t>Shareholders for Inclusion in</w:t>
            </w:r>
          </w:p>
        </w:tc>
        <w:tc>
          <w:tcPr>
            <w:tcW w:w="2160" w:type="dxa"/>
            <w:vAlign w:val="bottom"/>
            <w:tcBorders>
              <w:top w:val="single" w:sz="8" w:color="0072CE"/>
            </w:tcBorders>
            <w:gridSpan w:val="3"/>
          </w:tcPr>
          <w:p>
            <w:pPr>
              <w:spacing w:after="0"/>
              <w:rPr>
                <w:sz w:val="20"/>
                <w:szCs w:val="20"/>
                <w:color w:val="auto"/>
              </w:rPr>
            </w:pPr>
            <w:r>
              <w:rPr>
                <w:rFonts w:ascii="Arial" w:cs="Arial" w:eastAsia="Arial" w:hAnsi="Arial"/>
                <w:sz w:val="16"/>
                <w:szCs w:val="16"/>
                <w:color w:val="3D3935"/>
              </w:rPr>
              <w:t>Inclusion in Next Year’s Proxy</w:t>
            </w:r>
          </w:p>
        </w:tc>
        <w:tc>
          <w:tcPr>
            <w:tcW w:w="2560" w:type="dxa"/>
            <w:vAlign w:val="bottom"/>
            <w:tcBorders>
              <w:top w:val="single" w:sz="8" w:color="0072CE"/>
            </w:tcBorders>
            <w:gridSpan w:val="4"/>
          </w:tcPr>
          <w:p>
            <w:pPr>
              <w:ind w:left="220"/>
              <w:spacing w:after="0"/>
              <w:rPr>
                <w:sz w:val="20"/>
                <w:szCs w:val="20"/>
                <w:color w:val="auto"/>
              </w:rPr>
            </w:pPr>
            <w:r>
              <w:rPr>
                <w:rFonts w:ascii="Arial" w:cs="Arial" w:eastAsia="Arial" w:hAnsi="Arial"/>
                <w:sz w:val="16"/>
                <w:szCs w:val="16"/>
                <w:color w:val="3D3935"/>
              </w:rPr>
              <w:t>for Presentation at Next Year’s</w:t>
            </w:r>
          </w:p>
        </w:tc>
      </w:tr>
      <w:tr>
        <w:trPr>
          <w:trHeight w:val="215"/>
        </w:trPr>
        <w:tc>
          <w:tcPr>
            <w:tcW w:w="1820" w:type="dxa"/>
            <w:vAlign w:val="bottom"/>
          </w:tcPr>
          <w:p>
            <w:pPr>
              <w:spacing w:after="0"/>
              <w:rPr>
                <w:sz w:val="18"/>
                <w:szCs w:val="18"/>
                <w:color w:val="auto"/>
              </w:rPr>
            </w:pPr>
          </w:p>
        </w:tc>
        <w:tc>
          <w:tcPr>
            <w:tcW w:w="2520" w:type="dxa"/>
            <w:vAlign w:val="bottom"/>
          </w:tcPr>
          <w:p>
            <w:pPr>
              <w:ind w:left="120"/>
              <w:spacing w:after="0"/>
              <w:rPr>
                <w:sz w:val="20"/>
                <w:szCs w:val="20"/>
                <w:color w:val="auto"/>
              </w:rPr>
            </w:pPr>
            <w:r>
              <w:rPr>
                <w:rFonts w:ascii="Arial" w:cs="Arial" w:eastAsia="Arial" w:hAnsi="Arial"/>
                <w:sz w:val="16"/>
                <w:szCs w:val="16"/>
                <w:color w:val="3D3935"/>
              </w:rPr>
              <w:t>Next Year’s Proxy Statement</w:t>
            </w:r>
          </w:p>
        </w:tc>
        <w:tc>
          <w:tcPr>
            <w:tcW w:w="2160" w:type="dxa"/>
            <w:vAlign w:val="bottom"/>
            <w:gridSpan w:val="3"/>
          </w:tcPr>
          <w:p>
            <w:pPr>
              <w:spacing w:after="0"/>
              <w:rPr>
                <w:sz w:val="20"/>
                <w:szCs w:val="20"/>
                <w:color w:val="auto"/>
              </w:rPr>
            </w:pPr>
            <w:r>
              <w:rPr>
                <w:rFonts w:ascii="Arial" w:cs="Arial" w:eastAsia="Arial" w:hAnsi="Arial"/>
                <w:sz w:val="16"/>
                <w:szCs w:val="16"/>
                <w:color w:val="3D3935"/>
              </w:rPr>
              <w:t>Statement (Proxy Access)</w:t>
            </w:r>
          </w:p>
        </w:tc>
        <w:tc>
          <w:tcPr>
            <w:tcW w:w="2560" w:type="dxa"/>
            <w:vAlign w:val="bottom"/>
            <w:gridSpan w:val="4"/>
          </w:tcPr>
          <w:p>
            <w:pPr>
              <w:ind w:left="220"/>
              <w:spacing w:after="0"/>
              <w:rPr>
                <w:sz w:val="20"/>
                <w:szCs w:val="20"/>
                <w:color w:val="auto"/>
              </w:rPr>
            </w:pPr>
            <w:r>
              <w:rPr>
                <w:rFonts w:ascii="Arial" w:cs="Arial" w:eastAsia="Arial" w:hAnsi="Arial"/>
                <w:sz w:val="16"/>
                <w:szCs w:val="16"/>
                <w:color w:val="3D3935"/>
              </w:rPr>
              <w:t>Annual Meeting (including</w:t>
            </w:r>
          </w:p>
        </w:tc>
      </w:tr>
      <w:tr>
        <w:trPr>
          <w:trHeight w:val="216"/>
        </w:trPr>
        <w:tc>
          <w:tcPr>
            <w:tcW w:w="18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60" w:type="dxa"/>
            <w:vAlign w:val="bottom"/>
            <w:gridSpan w:val="4"/>
          </w:tcPr>
          <w:p>
            <w:pPr>
              <w:ind w:left="220"/>
              <w:spacing w:after="0"/>
              <w:rPr>
                <w:sz w:val="20"/>
                <w:szCs w:val="20"/>
                <w:color w:val="auto"/>
              </w:rPr>
            </w:pPr>
            <w:r>
              <w:rPr>
                <w:rFonts w:ascii="Arial" w:cs="Arial" w:eastAsia="Arial" w:hAnsi="Arial"/>
                <w:sz w:val="16"/>
                <w:szCs w:val="16"/>
                <w:color w:val="3D3935"/>
              </w:rPr>
              <w:t>under Rule 14a-19)</w:t>
            </w:r>
          </w:p>
        </w:tc>
      </w:tr>
      <w:tr>
        <w:trPr>
          <w:trHeight w:val="373"/>
        </w:trPr>
        <w:tc>
          <w:tcPr>
            <w:tcW w:w="1820" w:type="dxa"/>
            <w:vAlign w:val="bottom"/>
          </w:tcPr>
          <w:p>
            <w:pPr>
              <w:ind w:left="60"/>
              <w:spacing w:after="0"/>
              <w:rPr>
                <w:sz w:val="20"/>
                <w:szCs w:val="20"/>
                <w:color w:val="auto"/>
              </w:rPr>
            </w:pPr>
            <w:r>
              <w:rPr>
                <w:rFonts w:ascii="Arial" w:cs="Arial" w:eastAsia="Arial" w:hAnsi="Arial"/>
                <w:sz w:val="16"/>
                <w:szCs w:val="16"/>
                <w:b w:val="1"/>
                <w:bCs w:val="1"/>
                <w:color w:val="0072CE"/>
              </w:rPr>
              <w:t>Rules/Provisions</w:t>
            </w:r>
          </w:p>
        </w:tc>
        <w:tc>
          <w:tcPr>
            <w:tcW w:w="2520" w:type="dxa"/>
            <w:vAlign w:val="bottom"/>
          </w:tcPr>
          <w:p>
            <w:pPr>
              <w:ind w:left="120"/>
              <w:spacing w:after="0"/>
              <w:rPr>
                <w:sz w:val="20"/>
                <w:szCs w:val="20"/>
                <w:color w:val="auto"/>
              </w:rPr>
            </w:pPr>
            <w:r>
              <w:rPr>
                <w:rFonts w:ascii="Arial" w:cs="Arial" w:eastAsia="Arial" w:hAnsi="Arial"/>
                <w:sz w:val="16"/>
                <w:szCs w:val="16"/>
                <w:color w:val="3D3935"/>
              </w:rPr>
              <w:t>SEC rules and our Bylaws</w:t>
            </w:r>
          </w:p>
        </w:tc>
        <w:tc>
          <w:tcPr>
            <w:tcW w:w="2160" w:type="dxa"/>
            <w:vAlign w:val="bottom"/>
            <w:gridSpan w:val="3"/>
          </w:tcPr>
          <w:p>
            <w:pPr>
              <w:spacing w:after="0"/>
              <w:rPr>
                <w:sz w:val="20"/>
                <w:szCs w:val="20"/>
                <w:color w:val="auto"/>
              </w:rPr>
            </w:pPr>
            <w:r>
              <w:rPr>
                <w:rFonts w:ascii="Arial" w:cs="Arial" w:eastAsia="Arial" w:hAnsi="Arial"/>
                <w:sz w:val="16"/>
                <w:szCs w:val="16"/>
                <w:color w:val="3D3935"/>
              </w:rPr>
              <w:t>Our Bylaws permit a</w:t>
            </w:r>
          </w:p>
        </w:tc>
        <w:tc>
          <w:tcPr>
            <w:tcW w:w="2560" w:type="dxa"/>
            <w:vAlign w:val="bottom"/>
            <w:gridSpan w:val="4"/>
          </w:tcPr>
          <w:p>
            <w:pPr>
              <w:ind w:left="220"/>
              <w:spacing w:after="0"/>
              <w:rPr>
                <w:sz w:val="20"/>
                <w:szCs w:val="20"/>
                <w:color w:val="auto"/>
              </w:rPr>
            </w:pPr>
            <w:r>
              <w:rPr>
                <w:rFonts w:ascii="Arial" w:cs="Arial" w:eastAsia="Arial" w:hAnsi="Arial"/>
                <w:sz w:val="16"/>
                <w:szCs w:val="16"/>
                <w:color w:val="3D3935"/>
              </w:rPr>
              <w:t>Our Bylaws require that any</w:t>
            </w:r>
          </w:p>
        </w:tc>
      </w:tr>
      <w:tr>
        <w:trPr>
          <w:trHeight w:val="21"/>
        </w:trPr>
        <w:tc>
          <w:tcPr>
            <w:tcW w:w="1820" w:type="dxa"/>
            <w:vAlign w:val="bottom"/>
            <w:tcBorders>
              <w:bottom w:val="single" w:sz="8" w:color="D9D9D6"/>
            </w:tcBorders>
          </w:tcPr>
          <w:p>
            <w:pPr>
              <w:spacing w:after="0" w:line="20" w:lineRule="exact"/>
              <w:rPr>
                <w:sz w:val="1"/>
                <w:szCs w:val="1"/>
                <w:color w:val="auto"/>
              </w:rPr>
            </w:pPr>
          </w:p>
        </w:tc>
        <w:tc>
          <w:tcPr>
            <w:tcW w:w="2520" w:type="dxa"/>
            <w:vAlign w:val="bottom"/>
            <w:tcBorders>
              <w:bottom w:val="single" w:sz="8" w:color="D9D9D6"/>
            </w:tcBorders>
          </w:tcPr>
          <w:p>
            <w:pPr>
              <w:spacing w:after="0" w:line="20" w:lineRule="exact"/>
              <w:rPr>
                <w:sz w:val="1"/>
                <w:szCs w:val="1"/>
                <w:color w:val="auto"/>
              </w:rPr>
            </w:pPr>
          </w:p>
        </w:tc>
        <w:tc>
          <w:tcPr>
            <w:tcW w:w="1600" w:type="dxa"/>
            <w:vAlign w:val="bottom"/>
            <w:tcBorders>
              <w:bottom w:val="single" w:sz="8" w:color="D9D9D6"/>
            </w:tcBorders>
          </w:tcPr>
          <w:p>
            <w:pPr>
              <w:spacing w:after="0" w:line="20" w:lineRule="exact"/>
              <w:rPr>
                <w:sz w:val="1"/>
                <w:szCs w:val="1"/>
                <w:color w:val="auto"/>
              </w:rPr>
            </w:pPr>
          </w:p>
        </w:tc>
        <w:tc>
          <w:tcPr>
            <w:tcW w:w="480" w:type="dxa"/>
            <w:vAlign w:val="bottom"/>
            <w:tcBorders>
              <w:bottom w:val="single" w:sz="8" w:color="D9D9D6"/>
            </w:tcBorders>
          </w:tcPr>
          <w:p>
            <w:pPr>
              <w:spacing w:after="0" w:line="20" w:lineRule="exact"/>
              <w:rPr>
                <w:sz w:val="1"/>
                <w:szCs w:val="1"/>
                <w:color w:val="auto"/>
              </w:rPr>
            </w:pPr>
          </w:p>
        </w:tc>
        <w:tc>
          <w:tcPr>
            <w:tcW w:w="80" w:type="dxa"/>
            <w:vAlign w:val="bottom"/>
            <w:tcBorders>
              <w:bottom w:val="single" w:sz="8" w:color="D9D9D6"/>
            </w:tcBorders>
          </w:tcPr>
          <w:p>
            <w:pPr>
              <w:spacing w:after="0" w:line="20" w:lineRule="exact"/>
              <w:rPr>
                <w:sz w:val="1"/>
                <w:szCs w:val="1"/>
                <w:color w:val="auto"/>
              </w:rPr>
            </w:pPr>
          </w:p>
        </w:tc>
        <w:tc>
          <w:tcPr>
            <w:tcW w:w="560" w:type="dxa"/>
            <w:vAlign w:val="bottom"/>
            <w:tcBorders>
              <w:bottom w:val="single" w:sz="8" w:color="D9D9D6"/>
            </w:tcBorders>
          </w:tcPr>
          <w:p>
            <w:pPr>
              <w:spacing w:after="0" w:line="20" w:lineRule="exact"/>
              <w:rPr>
                <w:sz w:val="1"/>
                <w:szCs w:val="1"/>
                <w:color w:val="auto"/>
              </w:rPr>
            </w:pPr>
          </w:p>
        </w:tc>
        <w:tc>
          <w:tcPr>
            <w:tcW w:w="1160" w:type="dxa"/>
            <w:vAlign w:val="bottom"/>
            <w:tcBorders>
              <w:bottom w:val="single" w:sz="8" w:color="D9D9D6"/>
            </w:tcBorders>
          </w:tcPr>
          <w:p>
            <w:pPr>
              <w:spacing w:after="0" w:line="20" w:lineRule="exact"/>
              <w:rPr>
                <w:sz w:val="1"/>
                <w:szCs w:val="1"/>
                <w:color w:val="auto"/>
              </w:rPr>
            </w:pPr>
          </w:p>
        </w:tc>
        <w:tc>
          <w:tcPr>
            <w:tcW w:w="60" w:type="dxa"/>
            <w:vAlign w:val="bottom"/>
            <w:tcBorders>
              <w:bottom w:val="single" w:sz="8" w:color="D9D9D6"/>
            </w:tcBorders>
          </w:tcPr>
          <w:p>
            <w:pPr>
              <w:spacing w:after="0" w:line="20" w:lineRule="exact"/>
              <w:rPr>
                <w:sz w:val="1"/>
                <w:szCs w:val="1"/>
                <w:color w:val="auto"/>
              </w:rPr>
            </w:pPr>
          </w:p>
        </w:tc>
        <w:tc>
          <w:tcPr>
            <w:tcW w:w="780" w:type="dxa"/>
            <w:vAlign w:val="bottom"/>
            <w:tcBorders>
              <w:bottom w:val="single" w:sz="8" w:color="D9D9D6"/>
            </w:tcBorders>
          </w:tcPr>
          <w:p>
            <w:pPr>
              <w:spacing w:after="0" w:line="20" w:lineRule="exact"/>
              <w:rPr>
                <w:sz w:val="1"/>
                <w:szCs w:val="1"/>
                <w:color w:val="auto"/>
              </w:rPr>
            </w:pPr>
          </w:p>
        </w:tc>
      </w:tr>
      <w:tr>
        <w:trPr>
          <w:trHeight w:val="168"/>
        </w:trPr>
        <w:tc>
          <w:tcPr>
            <w:tcW w:w="1820" w:type="dxa"/>
            <w:vAlign w:val="bottom"/>
          </w:tcPr>
          <w:p>
            <w:pPr>
              <w:spacing w:after="0"/>
              <w:rPr>
                <w:sz w:val="14"/>
                <w:szCs w:val="14"/>
                <w:color w:val="auto"/>
              </w:rPr>
            </w:pPr>
          </w:p>
        </w:tc>
        <w:tc>
          <w:tcPr>
            <w:tcW w:w="2520" w:type="dxa"/>
            <w:vAlign w:val="bottom"/>
          </w:tcPr>
          <w:p>
            <w:pPr>
              <w:ind w:left="120"/>
              <w:spacing w:after="0" w:line="168" w:lineRule="exact"/>
              <w:rPr>
                <w:sz w:val="20"/>
                <w:szCs w:val="20"/>
                <w:color w:val="auto"/>
              </w:rPr>
            </w:pPr>
            <w:r>
              <w:rPr>
                <w:rFonts w:ascii="Arial" w:cs="Arial" w:eastAsia="Arial" w:hAnsi="Arial"/>
                <w:sz w:val="16"/>
                <w:szCs w:val="16"/>
                <w:color w:val="3D3935"/>
              </w:rPr>
              <w:t>permit shareholders to</w:t>
            </w:r>
          </w:p>
        </w:tc>
        <w:tc>
          <w:tcPr>
            <w:tcW w:w="2160" w:type="dxa"/>
            <w:vAlign w:val="bottom"/>
            <w:gridSpan w:val="3"/>
          </w:tcPr>
          <w:p>
            <w:pPr>
              <w:spacing w:after="0" w:line="168" w:lineRule="exact"/>
              <w:rPr>
                <w:sz w:val="20"/>
                <w:szCs w:val="20"/>
                <w:color w:val="auto"/>
              </w:rPr>
            </w:pPr>
            <w:r>
              <w:rPr>
                <w:rFonts w:ascii="Arial" w:cs="Arial" w:eastAsia="Arial" w:hAnsi="Arial"/>
                <w:sz w:val="16"/>
                <w:szCs w:val="16"/>
                <w:color w:val="3D3935"/>
              </w:rPr>
              <w:t>shareholder or group of</w:t>
            </w:r>
          </w:p>
        </w:tc>
        <w:tc>
          <w:tcPr>
            <w:tcW w:w="2560" w:type="dxa"/>
            <w:vAlign w:val="bottom"/>
            <w:gridSpan w:val="4"/>
          </w:tcPr>
          <w:p>
            <w:pPr>
              <w:ind w:left="220"/>
              <w:spacing w:after="0" w:line="168" w:lineRule="exact"/>
              <w:rPr>
                <w:sz w:val="20"/>
                <w:szCs w:val="20"/>
                <w:color w:val="auto"/>
              </w:rPr>
            </w:pPr>
            <w:r>
              <w:rPr>
                <w:rFonts w:ascii="Arial" w:cs="Arial" w:eastAsia="Arial" w:hAnsi="Arial"/>
                <w:sz w:val="16"/>
                <w:szCs w:val="16"/>
                <w:color w:val="3D3935"/>
              </w:rPr>
              <w:t>shareholder proposal, including</w:t>
            </w:r>
          </w:p>
        </w:tc>
      </w:tr>
      <w:tr>
        <w:trPr>
          <w:trHeight w:val="215"/>
        </w:trPr>
        <w:tc>
          <w:tcPr>
            <w:tcW w:w="1820" w:type="dxa"/>
            <w:vAlign w:val="bottom"/>
          </w:tcPr>
          <w:p>
            <w:pPr>
              <w:spacing w:after="0"/>
              <w:rPr>
                <w:sz w:val="18"/>
                <w:szCs w:val="18"/>
                <w:color w:val="auto"/>
              </w:rPr>
            </w:pPr>
          </w:p>
        </w:tc>
        <w:tc>
          <w:tcPr>
            <w:tcW w:w="2520" w:type="dxa"/>
            <w:vAlign w:val="bottom"/>
          </w:tcPr>
          <w:p>
            <w:pPr>
              <w:ind w:left="120"/>
              <w:spacing w:after="0"/>
              <w:rPr>
                <w:sz w:val="20"/>
                <w:szCs w:val="20"/>
                <w:color w:val="auto"/>
              </w:rPr>
            </w:pPr>
            <w:r>
              <w:rPr>
                <w:rFonts w:ascii="Arial" w:cs="Arial" w:eastAsia="Arial" w:hAnsi="Arial"/>
                <w:sz w:val="16"/>
                <w:szCs w:val="16"/>
                <w:color w:val="3D3935"/>
              </w:rPr>
              <w:t>submit proposals for</w:t>
            </w:r>
          </w:p>
        </w:tc>
        <w:tc>
          <w:tcPr>
            <w:tcW w:w="2160" w:type="dxa"/>
            <w:vAlign w:val="bottom"/>
            <w:gridSpan w:val="3"/>
          </w:tcPr>
          <w:p>
            <w:pPr>
              <w:spacing w:after="0"/>
              <w:rPr>
                <w:sz w:val="20"/>
                <w:szCs w:val="20"/>
                <w:color w:val="auto"/>
              </w:rPr>
            </w:pPr>
            <w:r>
              <w:rPr>
                <w:rFonts w:ascii="Arial" w:cs="Arial" w:eastAsia="Arial" w:hAnsi="Arial"/>
                <w:sz w:val="16"/>
                <w:szCs w:val="16"/>
                <w:color w:val="3D3935"/>
              </w:rPr>
              <w:t>shareholders (up to 20) who</w:t>
            </w:r>
          </w:p>
        </w:tc>
        <w:tc>
          <w:tcPr>
            <w:tcW w:w="2560" w:type="dxa"/>
            <w:vAlign w:val="bottom"/>
            <w:gridSpan w:val="4"/>
          </w:tcPr>
          <w:p>
            <w:pPr>
              <w:ind w:left="220"/>
              <w:spacing w:after="0"/>
              <w:rPr>
                <w:sz w:val="20"/>
                <w:szCs w:val="20"/>
                <w:color w:val="auto"/>
              </w:rPr>
            </w:pPr>
            <w:r>
              <w:rPr>
                <w:rFonts w:ascii="Arial" w:cs="Arial" w:eastAsia="Arial" w:hAnsi="Arial"/>
                <w:sz w:val="16"/>
                <w:szCs w:val="16"/>
                <w:color w:val="3D3935"/>
              </w:rPr>
              <w:t>a director nomination, that is</w:t>
            </w:r>
          </w:p>
        </w:tc>
      </w:tr>
      <w:tr>
        <w:trPr>
          <w:trHeight w:val="216"/>
        </w:trPr>
        <w:tc>
          <w:tcPr>
            <w:tcW w:w="1820" w:type="dxa"/>
            <w:vAlign w:val="bottom"/>
          </w:tcPr>
          <w:p>
            <w:pPr>
              <w:spacing w:after="0"/>
              <w:rPr>
                <w:sz w:val="18"/>
                <w:szCs w:val="18"/>
                <w:color w:val="auto"/>
              </w:rPr>
            </w:pPr>
          </w:p>
        </w:tc>
        <w:tc>
          <w:tcPr>
            <w:tcW w:w="2520" w:type="dxa"/>
            <w:vAlign w:val="bottom"/>
          </w:tcPr>
          <w:p>
            <w:pPr>
              <w:ind w:left="120"/>
              <w:spacing w:after="0"/>
              <w:rPr>
                <w:sz w:val="20"/>
                <w:szCs w:val="20"/>
                <w:color w:val="auto"/>
              </w:rPr>
            </w:pPr>
            <w:r>
              <w:rPr>
                <w:rFonts w:ascii="Arial" w:cs="Arial" w:eastAsia="Arial" w:hAnsi="Arial"/>
                <w:sz w:val="16"/>
                <w:szCs w:val="16"/>
                <w:color w:val="3D3935"/>
              </w:rPr>
              <w:t>inclusion in our Proxy</w:t>
            </w:r>
          </w:p>
        </w:tc>
        <w:tc>
          <w:tcPr>
            <w:tcW w:w="2160" w:type="dxa"/>
            <w:vAlign w:val="bottom"/>
            <w:gridSpan w:val="3"/>
          </w:tcPr>
          <w:p>
            <w:pPr>
              <w:spacing w:after="0"/>
              <w:rPr>
                <w:sz w:val="20"/>
                <w:szCs w:val="20"/>
                <w:color w:val="auto"/>
              </w:rPr>
            </w:pPr>
            <w:r>
              <w:rPr>
                <w:rFonts w:ascii="Arial" w:cs="Arial" w:eastAsia="Arial" w:hAnsi="Arial"/>
                <w:sz w:val="16"/>
                <w:szCs w:val="16"/>
                <w:color w:val="3D3935"/>
              </w:rPr>
              <w:t>have owned a significant</w:t>
            </w:r>
          </w:p>
        </w:tc>
        <w:tc>
          <w:tcPr>
            <w:tcW w:w="2560" w:type="dxa"/>
            <w:vAlign w:val="bottom"/>
            <w:gridSpan w:val="4"/>
          </w:tcPr>
          <w:p>
            <w:pPr>
              <w:ind w:left="220"/>
              <w:spacing w:after="0"/>
              <w:rPr>
                <w:sz w:val="20"/>
                <w:szCs w:val="20"/>
                <w:color w:val="auto"/>
              </w:rPr>
            </w:pPr>
            <w:r>
              <w:rPr>
                <w:rFonts w:ascii="Arial" w:cs="Arial" w:eastAsia="Arial" w:hAnsi="Arial"/>
                <w:sz w:val="16"/>
                <w:szCs w:val="16"/>
                <w:color w:val="3D3935"/>
              </w:rPr>
              <w:t>not submitted for inclusion in</w:t>
            </w:r>
          </w:p>
        </w:tc>
      </w:tr>
      <w:tr>
        <w:trPr>
          <w:trHeight w:val="216"/>
        </w:trPr>
        <w:tc>
          <w:tcPr>
            <w:tcW w:w="1820" w:type="dxa"/>
            <w:vAlign w:val="bottom"/>
          </w:tcPr>
          <w:p>
            <w:pPr>
              <w:spacing w:after="0"/>
              <w:rPr>
                <w:sz w:val="18"/>
                <w:szCs w:val="18"/>
                <w:color w:val="auto"/>
              </w:rPr>
            </w:pPr>
          </w:p>
        </w:tc>
        <w:tc>
          <w:tcPr>
            <w:tcW w:w="2520" w:type="dxa"/>
            <w:vAlign w:val="bottom"/>
          </w:tcPr>
          <w:p>
            <w:pPr>
              <w:ind w:left="120"/>
              <w:spacing w:after="0"/>
              <w:rPr>
                <w:sz w:val="20"/>
                <w:szCs w:val="20"/>
                <w:color w:val="auto"/>
              </w:rPr>
            </w:pPr>
            <w:r>
              <w:rPr>
                <w:rFonts w:ascii="Arial" w:cs="Arial" w:eastAsia="Arial" w:hAnsi="Arial"/>
                <w:sz w:val="16"/>
                <w:szCs w:val="16"/>
                <w:color w:val="3D3935"/>
              </w:rPr>
              <w:t>Statement if the shareholder</w:t>
            </w:r>
          </w:p>
        </w:tc>
        <w:tc>
          <w:tcPr>
            <w:tcW w:w="2160" w:type="dxa"/>
            <w:vAlign w:val="bottom"/>
            <w:gridSpan w:val="3"/>
          </w:tcPr>
          <w:p>
            <w:pPr>
              <w:spacing w:after="0"/>
              <w:rPr>
                <w:sz w:val="20"/>
                <w:szCs w:val="20"/>
                <w:color w:val="auto"/>
              </w:rPr>
            </w:pPr>
            <w:r>
              <w:rPr>
                <w:rFonts w:ascii="Arial" w:cs="Arial" w:eastAsia="Arial" w:hAnsi="Arial"/>
                <w:sz w:val="16"/>
                <w:szCs w:val="16"/>
                <w:color w:val="3D3935"/>
              </w:rPr>
              <w:t>amount of common stock</w:t>
            </w:r>
          </w:p>
        </w:tc>
        <w:tc>
          <w:tcPr>
            <w:tcW w:w="2560" w:type="dxa"/>
            <w:vAlign w:val="bottom"/>
            <w:gridSpan w:val="4"/>
          </w:tcPr>
          <w:p>
            <w:pPr>
              <w:ind w:left="220"/>
              <w:spacing w:after="0"/>
              <w:rPr>
                <w:sz w:val="20"/>
                <w:szCs w:val="20"/>
                <w:color w:val="auto"/>
              </w:rPr>
            </w:pPr>
            <w:r>
              <w:rPr>
                <w:rFonts w:ascii="Arial" w:cs="Arial" w:eastAsia="Arial" w:hAnsi="Arial"/>
                <w:sz w:val="16"/>
                <w:szCs w:val="16"/>
                <w:color w:val="3D3935"/>
              </w:rPr>
              <w:t>next year’s Proxy Statement</w:t>
            </w:r>
          </w:p>
        </w:tc>
      </w:tr>
      <w:tr>
        <w:trPr>
          <w:trHeight w:val="216"/>
        </w:trPr>
        <w:tc>
          <w:tcPr>
            <w:tcW w:w="1820" w:type="dxa"/>
            <w:vAlign w:val="bottom"/>
          </w:tcPr>
          <w:p>
            <w:pPr>
              <w:spacing w:after="0"/>
              <w:rPr>
                <w:sz w:val="18"/>
                <w:szCs w:val="18"/>
                <w:color w:val="auto"/>
              </w:rPr>
            </w:pPr>
          </w:p>
        </w:tc>
        <w:tc>
          <w:tcPr>
            <w:tcW w:w="2520" w:type="dxa"/>
            <w:vAlign w:val="bottom"/>
          </w:tcPr>
          <w:p>
            <w:pPr>
              <w:ind w:left="120"/>
              <w:spacing w:after="0"/>
              <w:rPr>
                <w:sz w:val="20"/>
                <w:szCs w:val="20"/>
                <w:color w:val="auto"/>
              </w:rPr>
            </w:pPr>
            <w:r>
              <w:rPr>
                <w:rFonts w:ascii="Arial" w:cs="Arial" w:eastAsia="Arial" w:hAnsi="Arial"/>
                <w:sz w:val="16"/>
                <w:szCs w:val="16"/>
                <w:color w:val="3D3935"/>
              </w:rPr>
              <w:t>and the proposal meet the</w:t>
            </w:r>
          </w:p>
        </w:tc>
        <w:tc>
          <w:tcPr>
            <w:tcW w:w="2160" w:type="dxa"/>
            <w:vAlign w:val="bottom"/>
            <w:gridSpan w:val="3"/>
          </w:tcPr>
          <w:p>
            <w:pPr>
              <w:spacing w:after="0"/>
              <w:rPr>
                <w:sz w:val="20"/>
                <w:szCs w:val="20"/>
                <w:color w:val="auto"/>
              </w:rPr>
            </w:pPr>
            <w:r>
              <w:rPr>
                <w:rFonts w:ascii="Arial" w:cs="Arial" w:eastAsia="Arial" w:hAnsi="Arial"/>
                <w:sz w:val="16"/>
                <w:szCs w:val="16"/>
                <w:color w:val="3D3935"/>
              </w:rPr>
              <w:t>(at least 3 percent) for a</w:t>
            </w:r>
          </w:p>
        </w:tc>
        <w:tc>
          <w:tcPr>
            <w:tcW w:w="2560" w:type="dxa"/>
            <w:vAlign w:val="bottom"/>
            <w:gridSpan w:val="4"/>
          </w:tcPr>
          <w:p>
            <w:pPr>
              <w:ind w:left="220"/>
              <w:spacing w:after="0"/>
              <w:rPr>
                <w:sz w:val="20"/>
                <w:szCs w:val="20"/>
                <w:color w:val="auto"/>
              </w:rPr>
            </w:pPr>
            <w:r>
              <w:rPr>
                <w:rFonts w:ascii="Arial" w:cs="Arial" w:eastAsia="Arial" w:hAnsi="Arial"/>
                <w:sz w:val="16"/>
                <w:szCs w:val="16"/>
                <w:color w:val="3D3935"/>
              </w:rPr>
              <w:t>(either under SEC Rule 14a-8</w:t>
            </w:r>
          </w:p>
        </w:tc>
      </w:tr>
      <w:tr>
        <w:trPr>
          <w:trHeight w:val="216"/>
        </w:trPr>
        <w:tc>
          <w:tcPr>
            <w:tcW w:w="1820" w:type="dxa"/>
            <w:vAlign w:val="bottom"/>
          </w:tcPr>
          <w:p>
            <w:pPr>
              <w:spacing w:after="0"/>
              <w:rPr>
                <w:sz w:val="18"/>
                <w:szCs w:val="18"/>
                <w:color w:val="auto"/>
              </w:rPr>
            </w:pPr>
          </w:p>
        </w:tc>
        <w:tc>
          <w:tcPr>
            <w:tcW w:w="2520" w:type="dxa"/>
            <w:vAlign w:val="bottom"/>
          </w:tcPr>
          <w:p>
            <w:pPr>
              <w:ind w:left="120"/>
              <w:spacing w:after="0"/>
              <w:rPr>
                <w:sz w:val="20"/>
                <w:szCs w:val="20"/>
                <w:color w:val="auto"/>
              </w:rPr>
            </w:pPr>
            <w:r>
              <w:rPr>
                <w:rFonts w:ascii="Arial" w:cs="Arial" w:eastAsia="Arial" w:hAnsi="Arial"/>
                <w:sz w:val="16"/>
                <w:szCs w:val="16"/>
                <w:color w:val="3D3935"/>
              </w:rPr>
              <w:t>requirements specified in</w:t>
            </w:r>
          </w:p>
        </w:tc>
        <w:tc>
          <w:tcPr>
            <w:tcW w:w="2160" w:type="dxa"/>
            <w:vAlign w:val="bottom"/>
            <w:gridSpan w:val="3"/>
          </w:tcPr>
          <w:p>
            <w:pPr>
              <w:spacing w:after="0"/>
              <w:rPr>
                <w:sz w:val="20"/>
                <w:szCs w:val="20"/>
                <w:color w:val="auto"/>
              </w:rPr>
            </w:pPr>
            <w:r>
              <w:rPr>
                <w:rFonts w:ascii="Arial" w:cs="Arial" w:eastAsia="Arial" w:hAnsi="Arial"/>
                <w:sz w:val="16"/>
                <w:szCs w:val="16"/>
                <w:color w:val="3D3935"/>
              </w:rPr>
              <w:t>significant amount of time</w:t>
            </w:r>
          </w:p>
        </w:tc>
        <w:tc>
          <w:tcPr>
            <w:tcW w:w="2560" w:type="dxa"/>
            <w:vAlign w:val="bottom"/>
            <w:gridSpan w:val="4"/>
          </w:tcPr>
          <w:p>
            <w:pPr>
              <w:ind w:left="220"/>
              <w:spacing w:after="0"/>
              <w:rPr>
                <w:sz w:val="20"/>
                <w:szCs w:val="20"/>
                <w:color w:val="auto"/>
              </w:rPr>
            </w:pPr>
            <w:r>
              <w:rPr>
                <w:rFonts w:ascii="Arial" w:cs="Arial" w:eastAsia="Arial" w:hAnsi="Arial"/>
                <w:sz w:val="16"/>
                <w:szCs w:val="16"/>
                <w:color w:val="3D3935"/>
              </w:rPr>
              <w:t>or our proxy access bylaw), but</w:t>
            </w:r>
          </w:p>
        </w:tc>
      </w:tr>
      <w:tr>
        <w:trPr>
          <w:trHeight w:val="216"/>
        </w:trPr>
        <w:tc>
          <w:tcPr>
            <w:tcW w:w="1820" w:type="dxa"/>
            <w:vAlign w:val="bottom"/>
          </w:tcPr>
          <w:p>
            <w:pPr>
              <w:spacing w:after="0"/>
              <w:rPr>
                <w:sz w:val="18"/>
                <w:szCs w:val="18"/>
                <w:color w:val="auto"/>
              </w:rPr>
            </w:pPr>
          </w:p>
        </w:tc>
        <w:tc>
          <w:tcPr>
            <w:tcW w:w="2520" w:type="dxa"/>
            <w:vAlign w:val="bottom"/>
          </w:tcPr>
          <w:p>
            <w:pPr>
              <w:ind w:left="120"/>
              <w:spacing w:after="0"/>
              <w:rPr>
                <w:sz w:val="20"/>
                <w:szCs w:val="20"/>
                <w:color w:val="auto"/>
              </w:rPr>
            </w:pPr>
            <w:r>
              <w:rPr>
                <w:rFonts w:ascii="Arial" w:cs="Arial" w:eastAsia="Arial" w:hAnsi="Arial"/>
                <w:sz w:val="16"/>
                <w:szCs w:val="16"/>
                <w:color w:val="3D3935"/>
              </w:rPr>
              <w:t>SEC Rule 14a-8.</w:t>
            </w:r>
          </w:p>
        </w:tc>
        <w:tc>
          <w:tcPr>
            <w:tcW w:w="2160" w:type="dxa"/>
            <w:vAlign w:val="bottom"/>
            <w:gridSpan w:val="3"/>
          </w:tcPr>
          <w:p>
            <w:pPr>
              <w:spacing w:after="0"/>
              <w:rPr>
                <w:sz w:val="20"/>
                <w:szCs w:val="20"/>
                <w:color w:val="auto"/>
              </w:rPr>
            </w:pPr>
            <w:r>
              <w:rPr>
                <w:rFonts w:ascii="Arial" w:cs="Arial" w:eastAsia="Arial" w:hAnsi="Arial"/>
                <w:sz w:val="16"/>
                <w:szCs w:val="16"/>
                <w:color w:val="3D3935"/>
              </w:rPr>
              <w:t>(at least three years) to</w:t>
            </w:r>
          </w:p>
        </w:tc>
        <w:tc>
          <w:tcPr>
            <w:tcW w:w="2560" w:type="dxa"/>
            <w:vAlign w:val="bottom"/>
            <w:gridSpan w:val="4"/>
          </w:tcPr>
          <w:p>
            <w:pPr>
              <w:ind w:left="220"/>
              <w:spacing w:after="0"/>
              <w:rPr>
                <w:sz w:val="20"/>
                <w:szCs w:val="20"/>
                <w:color w:val="auto"/>
              </w:rPr>
            </w:pPr>
            <w:r>
              <w:rPr>
                <w:rFonts w:ascii="Arial" w:cs="Arial" w:eastAsia="Arial" w:hAnsi="Arial"/>
                <w:sz w:val="16"/>
                <w:szCs w:val="16"/>
                <w:color w:val="3D3935"/>
              </w:rPr>
              <w:t>is instead sought to be</w:t>
            </w:r>
          </w:p>
        </w:tc>
      </w:tr>
      <w:tr>
        <w:trPr>
          <w:trHeight w:val="216"/>
        </w:trPr>
        <w:tc>
          <w:tcPr>
            <w:tcW w:w="18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6"/>
                <w:szCs w:val="16"/>
                <w:color w:val="3D3935"/>
              </w:rPr>
              <w:t>submit director nominees</w:t>
            </w:r>
          </w:p>
        </w:tc>
        <w:tc>
          <w:tcPr>
            <w:tcW w:w="2560" w:type="dxa"/>
            <w:vAlign w:val="bottom"/>
            <w:gridSpan w:val="4"/>
          </w:tcPr>
          <w:p>
            <w:pPr>
              <w:ind w:left="220"/>
              <w:spacing w:after="0"/>
              <w:rPr>
                <w:sz w:val="20"/>
                <w:szCs w:val="20"/>
                <w:color w:val="auto"/>
              </w:rPr>
            </w:pPr>
            <w:r>
              <w:rPr>
                <w:rFonts w:ascii="Arial" w:cs="Arial" w:eastAsia="Arial" w:hAnsi="Arial"/>
                <w:sz w:val="16"/>
                <w:szCs w:val="16"/>
                <w:color w:val="3D3935"/>
              </w:rPr>
              <w:t>presented directly at next</w:t>
            </w:r>
          </w:p>
        </w:tc>
      </w:tr>
      <w:tr>
        <w:trPr>
          <w:trHeight w:val="216"/>
        </w:trPr>
        <w:tc>
          <w:tcPr>
            <w:tcW w:w="18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6"/>
                <w:szCs w:val="16"/>
                <w:color w:val="3D3935"/>
              </w:rPr>
              <w:t>(up to 20 percent of the Board</w:t>
            </w:r>
          </w:p>
        </w:tc>
        <w:tc>
          <w:tcPr>
            <w:tcW w:w="2560" w:type="dxa"/>
            <w:vAlign w:val="bottom"/>
            <w:gridSpan w:val="4"/>
          </w:tcPr>
          <w:p>
            <w:pPr>
              <w:ind w:left="220"/>
              <w:spacing w:after="0"/>
              <w:rPr>
                <w:sz w:val="20"/>
                <w:szCs w:val="20"/>
                <w:color w:val="auto"/>
              </w:rPr>
            </w:pPr>
            <w:r>
              <w:rPr>
                <w:rFonts w:ascii="Arial" w:cs="Arial" w:eastAsia="Arial" w:hAnsi="Arial"/>
                <w:sz w:val="16"/>
                <w:szCs w:val="16"/>
                <w:color w:val="3D3935"/>
              </w:rPr>
              <w:t>year’s annual meeting must be</w:t>
            </w:r>
          </w:p>
        </w:tc>
      </w:tr>
      <w:tr>
        <w:trPr>
          <w:trHeight w:val="216"/>
        </w:trPr>
        <w:tc>
          <w:tcPr>
            <w:tcW w:w="18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6"/>
                <w:szCs w:val="16"/>
                <w:color w:val="3D3935"/>
              </w:rPr>
              <w:t>or two directors, whichever is</w:t>
            </w:r>
          </w:p>
        </w:tc>
        <w:tc>
          <w:tcPr>
            <w:tcW w:w="2560" w:type="dxa"/>
            <w:vAlign w:val="bottom"/>
            <w:gridSpan w:val="4"/>
          </w:tcPr>
          <w:p>
            <w:pPr>
              <w:ind w:left="220"/>
              <w:spacing w:after="0"/>
              <w:rPr>
                <w:sz w:val="20"/>
                <w:szCs w:val="20"/>
                <w:color w:val="auto"/>
              </w:rPr>
            </w:pPr>
            <w:r>
              <w:rPr>
                <w:rFonts w:ascii="Arial" w:cs="Arial" w:eastAsia="Arial" w:hAnsi="Arial"/>
                <w:sz w:val="16"/>
                <w:szCs w:val="16"/>
                <w:color w:val="3D3935"/>
              </w:rPr>
              <w:t>received at our principal</w:t>
            </w:r>
          </w:p>
        </w:tc>
      </w:tr>
      <w:tr>
        <w:trPr>
          <w:trHeight w:val="216"/>
        </w:trPr>
        <w:tc>
          <w:tcPr>
            <w:tcW w:w="18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6"/>
                <w:szCs w:val="16"/>
                <w:color w:val="3D3935"/>
              </w:rPr>
              <w:t>greater) for inclusion in our</w:t>
            </w:r>
          </w:p>
        </w:tc>
        <w:tc>
          <w:tcPr>
            <w:tcW w:w="2560" w:type="dxa"/>
            <w:vAlign w:val="bottom"/>
            <w:gridSpan w:val="4"/>
          </w:tcPr>
          <w:p>
            <w:pPr>
              <w:ind w:left="220"/>
              <w:spacing w:after="0"/>
              <w:rPr>
                <w:sz w:val="20"/>
                <w:szCs w:val="20"/>
                <w:color w:val="auto"/>
              </w:rPr>
            </w:pPr>
            <w:r>
              <w:rPr>
                <w:rFonts w:ascii="Arial" w:cs="Arial" w:eastAsia="Arial" w:hAnsi="Arial"/>
                <w:sz w:val="16"/>
                <w:szCs w:val="16"/>
                <w:color w:val="3D3935"/>
              </w:rPr>
              <w:t>executive offices no earlier</w:t>
            </w:r>
          </w:p>
        </w:tc>
      </w:tr>
      <w:tr>
        <w:trPr>
          <w:trHeight w:val="216"/>
        </w:trPr>
        <w:tc>
          <w:tcPr>
            <w:tcW w:w="18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6"/>
                <w:szCs w:val="16"/>
                <w:color w:val="3D3935"/>
              </w:rPr>
              <w:t>Proxy Statement if the</w:t>
            </w:r>
          </w:p>
        </w:tc>
        <w:tc>
          <w:tcPr>
            <w:tcW w:w="2560" w:type="dxa"/>
            <w:vAlign w:val="bottom"/>
            <w:gridSpan w:val="4"/>
          </w:tcPr>
          <w:p>
            <w:pPr>
              <w:ind w:left="220"/>
              <w:spacing w:after="0"/>
              <w:rPr>
                <w:sz w:val="20"/>
                <w:szCs w:val="20"/>
                <w:color w:val="auto"/>
              </w:rPr>
            </w:pPr>
            <w:r>
              <w:rPr>
                <w:rFonts w:ascii="Arial" w:cs="Arial" w:eastAsia="Arial" w:hAnsi="Arial"/>
                <w:sz w:val="16"/>
                <w:szCs w:val="16"/>
                <w:color w:val="3D3935"/>
              </w:rPr>
              <w:t>than 180 days and no later than</w:t>
            </w:r>
          </w:p>
        </w:tc>
      </w:tr>
      <w:tr>
        <w:trPr>
          <w:trHeight w:val="216"/>
        </w:trPr>
        <w:tc>
          <w:tcPr>
            <w:tcW w:w="18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6"/>
                <w:szCs w:val="16"/>
                <w:color w:val="3D3935"/>
              </w:rPr>
              <w:t>shareholder(s) and the</w:t>
            </w:r>
          </w:p>
        </w:tc>
        <w:tc>
          <w:tcPr>
            <w:tcW w:w="2560" w:type="dxa"/>
            <w:vAlign w:val="bottom"/>
            <w:gridSpan w:val="4"/>
          </w:tcPr>
          <w:p>
            <w:pPr>
              <w:ind w:left="220"/>
              <w:spacing w:after="0"/>
              <w:rPr>
                <w:sz w:val="20"/>
                <w:szCs w:val="20"/>
                <w:color w:val="auto"/>
              </w:rPr>
            </w:pPr>
            <w:r>
              <w:rPr>
                <w:rFonts w:ascii="Arial" w:cs="Arial" w:eastAsia="Arial" w:hAnsi="Arial"/>
                <w:sz w:val="16"/>
                <w:szCs w:val="16"/>
                <w:color w:val="3D3935"/>
              </w:rPr>
              <w:t>120 days before the first</w:t>
            </w:r>
          </w:p>
        </w:tc>
      </w:tr>
      <w:tr>
        <w:trPr>
          <w:trHeight w:val="216"/>
        </w:trPr>
        <w:tc>
          <w:tcPr>
            <w:tcW w:w="18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6"/>
                <w:szCs w:val="16"/>
                <w:color w:val="3D3935"/>
              </w:rPr>
              <w:t>nominee(s) satisfy the</w:t>
            </w:r>
          </w:p>
        </w:tc>
        <w:tc>
          <w:tcPr>
            <w:tcW w:w="2560" w:type="dxa"/>
            <w:vAlign w:val="bottom"/>
            <w:gridSpan w:val="4"/>
          </w:tcPr>
          <w:p>
            <w:pPr>
              <w:ind w:left="220"/>
              <w:spacing w:after="0"/>
              <w:rPr>
                <w:sz w:val="20"/>
                <w:szCs w:val="20"/>
                <w:color w:val="auto"/>
              </w:rPr>
            </w:pPr>
            <w:r>
              <w:rPr>
                <w:rFonts w:ascii="Arial" w:cs="Arial" w:eastAsia="Arial" w:hAnsi="Arial"/>
                <w:sz w:val="16"/>
                <w:szCs w:val="16"/>
                <w:color w:val="3D3935"/>
              </w:rPr>
              <w:t>anniversary of this year’s</w:t>
            </w:r>
          </w:p>
        </w:tc>
      </w:tr>
      <w:tr>
        <w:trPr>
          <w:trHeight w:val="216"/>
        </w:trPr>
        <w:tc>
          <w:tcPr>
            <w:tcW w:w="18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6"/>
                <w:szCs w:val="16"/>
                <w:color w:val="3D3935"/>
              </w:rPr>
              <w:t>requirements specified in</w:t>
            </w:r>
          </w:p>
        </w:tc>
        <w:tc>
          <w:tcPr>
            <w:tcW w:w="2560" w:type="dxa"/>
            <w:vAlign w:val="bottom"/>
            <w:gridSpan w:val="4"/>
          </w:tcPr>
          <w:p>
            <w:pPr>
              <w:ind w:left="220"/>
              <w:spacing w:after="0"/>
              <w:rPr>
                <w:sz w:val="20"/>
                <w:szCs w:val="20"/>
                <w:color w:val="auto"/>
              </w:rPr>
            </w:pPr>
            <w:r>
              <w:rPr>
                <w:rFonts w:ascii="Arial" w:cs="Arial" w:eastAsia="Arial" w:hAnsi="Arial"/>
                <w:sz w:val="16"/>
                <w:szCs w:val="16"/>
                <w:color w:val="3D3935"/>
              </w:rPr>
              <w:t>Annual Meeting.</w:t>
            </w:r>
          </w:p>
        </w:tc>
      </w:tr>
      <w:tr>
        <w:trPr>
          <w:trHeight w:val="216"/>
        </w:trPr>
        <w:tc>
          <w:tcPr>
            <w:tcW w:w="18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6"/>
                <w:szCs w:val="16"/>
                <w:color w:val="3D3935"/>
              </w:rPr>
              <w:t>our Bylaws.</w:t>
            </w: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73"/>
        </w:trPr>
        <w:tc>
          <w:tcPr>
            <w:tcW w:w="1820" w:type="dxa"/>
            <w:vAlign w:val="bottom"/>
          </w:tcPr>
          <w:p>
            <w:pPr>
              <w:ind w:left="60"/>
              <w:spacing w:after="0"/>
              <w:rPr>
                <w:sz w:val="20"/>
                <w:szCs w:val="20"/>
                <w:color w:val="auto"/>
              </w:rPr>
            </w:pPr>
            <w:r>
              <w:rPr>
                <w:rFonts w:ascii="Arial" w:cs="Arial" w:eastAsia="Arial" w:hAnsi="Arial"/>
                <w:sz w:val="16"/>
                <w:szCs w:val="16"/>
                <w:b w:val="1"/>
                <w:bCs w:val="1"/>
                <w:color w:val="0072CE"/>
              </w:rPr>
              <w:t>Deadline for</w:t>
            </w:r>
          </w:p>
        </w:tc>
        <w:tc>
          <w:tcPr>
            <w:tcW w:w="2520" w:type="dxa"/>
            <w:vAlign w:val="bottom"/>
          </w:tcPr>
          <w:p>
            <w:pPr>
              <w:ind w:left="120"/>
              <w:spacing w:after="0"/>
              <w:rPr>
                <w:sz w:val="20"/>
                <w:szCs w:val="20"/>
                <w:color w:val="auto"/>
              </w:rPr>
            </w:pPr>
            <w:r>
              <w:rPr>
                <w:rFonts w:ascii="Arial" w:cs="Arial" w:eastAsia="Arial" w:hAnsi="Arial"/>
                <w:sz w:val="16"/>
                <w:szCs w:val="16"/>
                <w:color w:val="3D3935"/>
              </w:rPr>
              <w:t>Proposals must be received</w:t>
            </w:r>
          </w:p>
        </w:tc>
        <w:tc>
          <w:tcPr>
            <w:tcW w:w="4720" w:type="dxa"/>
            <w:vAlign w:val="bottom"/>
            <w:gridSpan w:val="7"/>
          </w:tcPr>
          <w:p>
            <w:pPr>
              <w:spacing w:after="0"/>
              <w:rPr>
                <w:sz w:val="20"/>
                <w:szCs w:val="20"/>
                <w:color w:val="auto"/>
              </w:rPr>
            </w:pPr>
            <w:r>
              <w:rPr>
                <w:rFonts w:ascii="Arial" w:cs="Arial" w:eastAsia="Arial" w:hAnsi="Arial"/>
                <w:sz w:val="16"/>
                <w:szCs w:val="16"/>
                <w:color w:val="3D3935"/>
              </w:rPr>
              <w:t>Proposals must be received at our principal executive offices no</w:t>
            </w:r>
          </w:p>
        </w:tc>
      </w:tr>
      <w:tr>
        <w:trPr>
          <w:trHeight w:val="21"/>
        </w:trPr>
        <w:tc>
          <w:tcPr>
            <w:tcW w:w="1820" w:type="dxa"/>
            <w:vAlign w:val="bottom"/>
            <w:tcBorders>
              <w:bottom w:val="single" w:sz="8" w:color="D9D9D6"/>
            </w:tcBorders>
          </w:tcPr>
          <w:p>
            <w:pPr>
              <w:spacing w:after="0" w:line="20" w:lineRule="exact"/>
              <w:rPr>
                <w:sz w:val="1"/>
                <w:szCs w:val="1"/>
                <w:color w:val="auto"/>
              </w:rPr>
            </w:pPr>
          </w:p>
        </w:tc>
        <w:tc>
          <w:tcPr>
            <w:tcW w:w="2520" w:type="dxa"/>
            <w:vAlign w:val="bottom"/>
            <w:tcBorders>
              <w:bottom w:val="single" w:sz="8" w:color="D9D9D6"/>
            </w:tcBorders>
          </w:tcPr>
          <w:p>
            <w:pPr>
              <w:spacing w:after="0" w:line="20" w:lineRule="exact"/>
              <w:rPr>
                <w:sz w:val="1"/>
                <w:szCs w:val="1"/>
                <w:color w:val="auto"/>
              </w:rPr>
            </w:pPr>
          </w:p>
        </w:tc>
        <w:tc>
          <w:tcPr>
            <w:tcW w:w="1600" w:type="dxa"/>
            <w:vAlign w:val="bottom"/>
            <w:tcBorders>
              <w:bottom w:val="single" w:sz="8" w:color="D9D9D6"/>
            </w:tcBorders>
          </w:tcPr>
          <w:p>
            <w:pPr>
              <w:spacing w:after="0" w:line="20" w:lineRule="exact"/>
              <w:rPr>
                <w:sz w:val="1"/>
                <w:szCs w:val="1"/>
                <w:color w:val="auto"/>
              </w:rPr>
            </w:pPr>
          </w:p>
        </w:tc>
        <w:tc>
          <w:tcPr>
            <w:tcW w:w="480" w:type="dxa"/>
            <w:vAlign w:val="bottom"/>
            <w:tcBorders>
              <w:bottom w:val="single" w:sz="8" w:color="D9D9D6"/>
            </w:tcBorders>
          </w:tcPr>
          <w:p>
            <w:pPr>
              <w:spacing w:after="0" w:line="20" w:lineRule="exact"/>
              <w:rPr>
                <w:sz w:val="1"/>
                <w:szCs w:val="1"/>
                <w:color w:val="auto"/>
              </w:rPr>
            </w:pPr>
          </w:p>
        </w:tc>
        <w:tc>
          <w:tcPr>
            <w:tcW w:w="640" w:type="dxa"/>
            <w:vAlign w:val="bottom"/>
            <w:tcBorders>
              <w:bottom w:val="single" w:sz="8" w:color="D9D9D6"/>
            </w:tcBorders>
            <w:gridSpan w:val="2"/>
          </w:tcPr>
          <w:p>
            <w:pPr>
              <w:spacing w:after="0" w:line="20" w:lineRule="exact"/>
              <w:rPr>
                <w:sz w:val="1"/>
                <w:szCs w:val="1"/>
                <w:color w:val="auto"/>
              </w:rPr>
            </w:pPr>
          </w:p>
        </w:tc>
        <w:tc>
          <w:tcPr>
            <w:tcW w:w="1160" w:type="dxa"/>
            <w:vAlign w:val="bottom"/>
            <w:tcBorders>
              <w:bottom w:val="single" w:sz="8" w:color="D9D9D6"/>
            </w:tcBorders>
          </w:tcPr>
          <w:p>
            <w:pPr>
              <w:spacing w:after="0" w:line="20" w:lineRule="exact"/>
              <w:rPr>
                <w:sz w:val="1"/>
                <w:szCs w:val="1"/>
                <w:color w:val="auto"/>
              </w:rPr>
            </w:pPr>
          </w:p>
        </w:tc>
        <w:tc>
          <w:tcPr>
            <w:tcW w:w="60" w:type="dxa"/>
            <w:vAlign w:val="bottom"/>
            <w:tcBorders>
              <w:bottom w:val="single" w:sz="8" w:color="D9D9D6"/>
            </w:tcBorders>
          </w:tcPr>
          <w:p>
            <w:pPr>
              <w:spacing w:after="0" w:line="20" w:lineRule="exact"/>
              <w:rPr>
                <w:sz w:val="1"/>
                <w:szCs w:val="1"/>
                <w:color w:val="auto"/>
              </w:rPr>
            </w:pPr>
          </w:p>
        </w:tc>
        <w:tc>
          <w:tcPr>
            <w:tcW w:w="780" w:type="dxa"/>
            <w:vAlign w:val="bottom"/>
            <w:tcBorders>
              <w:bottom w:val="single" w:sz="8" w:color="D9D9D6"/>
            </w:tcBorders>
          </w:tcPr>
          <w:p>
            <w:pPr>
              <w:spacing w:after="0" w:line="20" w:lineRule="exact"/>
              <w:rPr>
                <w:sz w:val="1"/>
                <w:szCs w:val="1"/>
                <w:color w:val="auto"/>
              </w:rPr>
            </w:pPr>
          </w:p>
        </w:tc>
      </w:tr>
      <w:tr>
        <w:trPr>
          <w:trHeight w:val="168"/>
        </w:trPr>
        <w:tc>
          <w:tcPr>
            <w:tcW w:w="1820" w:type="dxa"/>
            <w:vAlign w:val="bottom"/>
          </w:tcPr>
          <w:p>
            <w:pPr>
              <w:ind w:left="60"/>
              <w:spacing w:after="0" w:line="168" w:lineRule="exact"/>
              <w:rPr>
                <w:sz w:val="20"/>
                <w:szCs w:val="20"/>
                <w:color w:val="auto"/>
              </w:rPr>
            </w:pPr>
            <w:r>
              <w:rPr>
                <w:rFonts w:ascii="Arial" w:cs="Arial" w:eastAsia="Arial" w:hAnsi="Arial"/>
                <w:sz w:val="16"/>
                <w:szCs w:val="16"/>
                <w:b w:val="1"/>
                <w:bCs w:val="1"/>
                <w:color w:val="0072CE"/>
              </w:rPr>
              <w:t>Submitting These</w:t>
            </w:r>
          </w:p>
        </w:tc>
        <w:tc>
          <w:tcPr>
            <w:tcW w:w="2520" w:type="dxa"/>
            <w:vAlign w:val="bottom"/>
          </w:tcPr>
          <w:p>
            <w:pPr>
              <w:ind w:left="120"/>
              <w:spacing w:after="0" w:line="168" w:lineRule="exact"/>
              <w:rPr>
                <w:sz w:val="20"/>
                <w:szCs w:val="20"/>
                <w:color w:val="auto"/>
              </w:rPr>
            </w:pPr>
            <w:r>
              <w:rPr>
                <w:rFonts w:ascii="Arial" w:cs="Arial" w:eastAsia="Arial" w:hAnsi="Arial"/>
                <w:sz w:val="16"/>
                <w:szCs w:val="16"/>
                <w:color w:val="3D3935"/>
              </w:rPr>
              <w:t>at our principal executive</w:t>
            </w:r>
          </w:p>
        </w:tc>
        <w:tc>
          <w:tcPr>
            <w:tcW w:w="4720" w:type="dxa"/>
            <w:vAlign w:val="bottom"/>
            <w:gridSpan w:val="7"/>
          </w:tcPr>
          <w:p>
            <w:pPr>
              <w:spacing w:after="0" w:line="168" w:lineRule="exact"/>
              <w:rPr>
                <w:sz w:val="20"/>
                <w:szCs w:val="20"/>
                <w:color w:val="auto"/>
              </w:rPr>
            </w:pPr>
            <w:r>
              <w:rPr>
                <w:rFonts w:ascii="Arial" w:cs="Arial" w:eastAsia="Arial" w:hAnsi="Arial"/>
                <w:sz w:val="16"/>
                <w:szCs w:val="16"/>
                <w:color w:val="3D3935"/>
              </w:rPr>
              <w:t xml:space="preserve">earlier than </w:t>
            </w:r>
            <w:r>
              <w:rPr>
                <w:rFonts w:ascii="Arial" w:cs="Arial" w:eastAsia="Arial" w:hAnsi="Arial"/>
                <w:sz w:val="16"/>
                <w:szCs w:val="16"/>
                <w:b w:val="1"/>
                <w:bCs w:val="1"/>
                <w:color w:val="3D3935"/>
              </w:rPr>
              <w:t>December 5, 2025</w:t>
            </w:r>
            <w:r>
              <w:rPr>
                <w:rFonts w:ascii="Arial" w:cs="Arial" w:eastAsia="Arial" w:hAnsi="Arial"/>
                <w:sz w:val="16"/>
                <w:szCs w:val="16"/>
                <w:color w:val="3D3935"/>
              </w:rPr>
              <w:t xml:space="preserve"> , and no later than 11:59 p.m.</w:t>
            </w:r>
          </w:p>
        </w:tc>
      </w:tr>
      <w:tr>
        <w:trPr>
          <w:trHeight w:val="216"/>
        </w:trPr>
        <w:tc>
          <w:tcPr>
            <w:tcW w:w="1820" w:type="dxa"/>
            <w:vAlign w:val="bottom"/>
          </w:tcPr>
          <w:p>
            <w:pPr>
              <w:ind w:left="60"/>
              <w:spacing w:after="0"/>
              <w:rPr>
                <w:sz w:val="20"/>
                <w:szCs w:val="20"/>
                <w:color w:val="auto"/>
              </w:rPr>
            </w:pPr>
            <w:r>
              <w:rPr>
                <w:rFonts w:ascii="Arial" w:cs="Arial" w:eastAsia="Arial" w:hAnsi="Arial"/>
                <w:sz w:val="16"/>
                <w:szCs w:val="16"/>
                <w:b w:val="1"/>
                <w:bCs w:val="1"/>
                <w:color w:val="0072CE"/>
              </w:rPr>
              <w:t>Proposals</w:t>
            </w:r>
          </w:p>
        </w:tc>
        <w:tc>
          <w:tcPr>
            <w:tcW w:w="2520" w:type="dxa"/>
            <w:vAlign w:val="bottom"/>
          </w:tcPr>
          <w:p>
            <w:pPr>
              <w:ind w:left="120"/>
              <w:spacing w:after="0"/>
              <w:rPr>
                <w:sz w:val="20"/>
                <w:szCs w:val="20"/>
                <w:color w:val="auto"/>
              </w:rPr>
            </w:pPr>
            <w:r>
              <w:rPr>
                <w:rFonts w:ascii="Arial" w:cs="Arial" w:eastAsia="Arial" w:hAnsi="Arial"/>
                <w:sz w:val="16"/>
                <w:szCs w:val="16"/>
                <w:color w:val="3D3935"/>
              </w:rPr>
              <w:t>offices no later than 11:59</w:t>
            </w:r>
          </w:p>
        </w:tc>
        <w:tc>
          <w:tcPr>
            <w:tcW w:w="4720" w:type="dxa"/>
            <w:vAlign w:val="bottom"/>
            <w:gridSpan w:val="7"/>
          </w:tcPr>
          <w:p>
            <w:pPr>
              <w:spacing w:after="0"/>
              <w:rPr>
                <w:sz w:val="20"/>
                <w:szCs w:val="20"/>
                <w:color w:val="auto"/>
              </w:rPr>
            </w:pPr>
            <w:r>
              <w:rPr>
                <w:rFonts w:ascii="Arial" w:cs="Arial" w:eastAsia="Arial" w:hAnsi="Arial"/>
                <w:sz w:val="16"/>
                <w:szCs w:val="16"/>
                <w:color w:val="3D3935"/>
              </w:rPr>
              <w:t xml:space="preserve">Eastern Time on </w:t>
            </w:r>
            <w:r>
              <w:rPr>
                <w:rFonts w:ascii="Arial" w:cs="Arial" w:eastAsia="Arial" w:hAnsi="Arial"/>
                <w:sz w:val="16"/>
                <w:szCs w:val="16"/>
                <w:b w:val="1"/>
                <w:bCs w:val="1"/>
                <w:color w:val="3D3935"/>
              </w:rPr>
              <w:t>February 3, 2026</w:t>
            </w:r>
            <w:r>
              <w:rPr>
                <w:rFonts w:ascii="Arial" w:cs="Arial" w:eastAsia="Arial" w:hAnsi="Arial"/>
                <w:sz w:val="16"/>
                <w:szCs w:val="16"/>
                <w:color w:val="3D3935"/>
              </w:rPr>
              <w:t xml:space="preserve"> .</w:t>
            </w:r>
          </w:p>
        </w:tc>
      </w:tr>
      <w:tr>
        <w:trPr>
          <w:trHeight w:val="215"/>
        </w:trPr>
        <w:tc>
          <w:tcPr>
            <w:tcW w:w="1820" w:type="dxa"/>
            <w:vAlign w:val="bottom"/>
          </w:tcPr>
          <w:p>
            <w:pPr>
              <w:spacing w:after="0"/>
              <w:rPr>
                <w:sz w:val="18"/>
                <w:szCs w:val="18"/>
                <w:color w:val="auto"/>
              </w:rPr>
            </w:pPr>
          </w:p>
        </w:tc>
        <w:tc>
          <w:tcPr>
            <w:tcW w:w="2520" w:type="dxa"/>
            <w:vAlign w:val="bottom"/>
          </w:tcPr>
          <w:p>
            <w:pPr>
              <w:ind w:left="120"/>
              <w:spacing w:after="0"/>
              <w:rPr>
                <w:sz w:val="20"/>
                <w:szCs w:val="20"/>
                <w:color w:val="auto"/>
              </w:rPr>
            </w:pPr>
            <w:r>
              <w:rPr>
                <w:rFonts w:ascii="Arial" w:cs="Arial" w:eastAsia="Arial" w:hAnsi="Arial"/>
                <w:sz w:val="16"/>
                <w:szCs w:val="16"/>
                <w:color w:val="3D3935"/>
              </w:rPr>
              <w:t>p.m. Eastern Time on</w:t>
            </w:r>
          </w:p>
        </w:tc>
        <w:tc>
          <w:tcPr>
            <w:tcW w:w="1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4"/>
        </w:trPr>
        <w:tc>
          <w:tcPr>
            <w:tcW w:w="1820" w:type="dxa"/>
            <w:vAlign w:val="bottom"/>
          </w:tcPr>
          <w:p>
            <w:pPr>
              <w:spacing w:after="0"/>
              <w:rPr>
                <w:sz w:val="19"/>
                <w:szCs w:val="19"/>
                <w:color w:val="auto"/>
              </w:rPr>
            </w:pPr>
          </w:p>
        </w:tc>
        <w:tc>
          <w:tcPr>
            <w:tcW w:w="2520" w:type="dxa"/>
            <w:vAlign w:val="bottom"/>
          </w:tcPr>
          <w:p>
            <w:pPr>
              <w:ind w:left="120"/>
              <w:spacing w:after="0"/>
              <w:rPr>
                <w:sz w:val="20"/>
                <w:szCs w:val="20"/>
                <w:color w:val="auto"/>
              </w:rPr>
            </w:pPr>
            <w:r>
              <w:rPr>
                <w:rFonts w:ascii="Arial" w:cs="Arial" w:eastAsia="Arial" w:hAnsi="Arial"/>
                <w:sz w:val="16"/>
                <w:szCs w:val="16"/>
                <w:b w:val="1"/>
                <w:bCs w:val="1"/>
                <w:color w:val="3D3935"/>
              </w:rPr>
              <w:t xml:space="preserve">December 22, 2025 </w:t>
            </w:r>
            <w:r>
              <w:rPr>
                <w:rFonts w:ascii="Arial" w:cs="Arial" w:eastAsia="Arial" w:hAnsi="Arial"/>
                <w:sz w:val="16"/>
                <w:szCs w:val="16"/>
                <w:color w:val="3D3935"/>
              </w:rPr>
              <w:t>.</w:t>
            </w:r>
          </w:p>
        </w:tc>
        <w:tc>
          <w:tcPr>
            <w:tcW w:w="1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64"/>
        </w:trPr>
        <w:tc>
          <w:tcPr>
            <w:tcW w:w="1820" w:type="dxa"/>
            <w:vAlign w:val="bottom"/>
          </w:tcPr>
          <w:p>
            <w:pPr>
              <w:ind w:left="60"/>
              <w:spacing w:after="0"/>
              <w:rPr>
                <w:sz w:val="20"/>
                <w:szCs w:val="20"/>
                <w:color w:val="auto"/>
              </w:rPr>
            </w:pPr>
            <w:r>
              <w:rPr>
                <w:rFonts w:ascii="Arial" w:cs="Arial" w:eastAsia="Arial" w:hAnsi="Arial"/>
                <w:sz w:val="16"/>
                <w:szCs w:val="16"/>
                <w:b w:val="1"/>
                <w:bCs w:val="1"/>
                <w:color w:val="0072CE"/>
              </w:rPr>
              <w:t>Where to Send These</w:t>
            </w:r>
          </w:p>
        </w:tc>
        <w:tc>
          <w:tcPr>
            <w:tcW w:w="7240" w:type="dxa"/>
            <w:vAlign w:val="bottom"/>
            <w:gridSpan w:val="8"/>
          </w:tcPr>
          <w:p>
            <w:pPr>
              <w:ind w:left="120"/>
              <w:spacing w:after="0"/>
              <w:rPr>
                <w:sz w:val="20"/>
                <w:szCs w:val="20"/>
                <w:color w:val="auto"/>
              </w:rPr>
            </w:pPr>
            <w:r>
              <w:rPr>
                <w:rFonts w:ascii="Arial" w:cs="Arial" w:eastAsia="Arial" w:hAnsi="Arial"/>
                <w:sz w:val="16"/>
                <w:szCs w:val="16"/>
                <w:color w:val="3D3935"/>
              </w:rPr>
              <w:t>Mail proposals to our Corporate Secretary at Mail Code 482-C24-A68, 300 Renaissance Center,</w:t>
            </w:r>
          </w:p>
        </w:tc>
      </w:tr>
      <w:tr>
        <w:trPr>
          <w:trHeight w:val="21"/>
        </w:trPr>
        <w:tc>
          <w:tcPr>
            <w:tcW w:w="1820" w:type="dxa"/>
            <w:vAlign w:val="bottom"/>
            <w:tcBorders>
              <w:bottom w:val="single" w:sz="8" w:color="D9D9D6"/>
            </w:tcBorders>
          </w:tcPr>
          <w:p>
            <w:pPr>
              <w:spacing w:after="0" w:line="20" w:lineRule="exact"/>
              <w:rPr>
                <w:sz w:val="1"/>
                <w:szCs w:val="1"/>
                <w:color w:val="auto"/>
              </w:rPr>
            </w:pPr>
          </w:p>
        </w:tc>
        <w:tc>
          <w:tcPr>
            <w:tcW w:w="4120" w:type="dxa"/>
            <w:vAlign w:val="bottom"/>
            <w:tcBorders>
              <w:bottom w:val="single" w:sz="8" w:color="D9D9D6"/>
            </w:tcBorders>
            <w:gridSpan w:val="2"/>
          </w:tcPr>
          <w:p>
            <w:pPr>
              <w:spacing w:after="0" w:line="20" w:lineRule="exact"/>
              <w:rPr>
                <w:sz w:val="1"/>
                <w:szCs w:val="1"/>
                <w:color w:val="auto"/>
              </w:rPr>
            </w:pPr>
          </w:p>
        </w:tc>
        <w:tc>
          <w:tcPr>
            <w:tcW w:w="480" w:type="dxa"/>
            <w:vAlign w:val="bottom"/>
            <w:tcBorders>
              <w:bottom w:val="single" w:sz="8" w:color="D9D9D6"/>
            </w:tcBorders>
          </w:tcPr>
          <w:p>
            <w:pPr>
              <w:spacing w:after="0" w:line="20" w:lineRule="exact"/>
              <w:rPr>
                <w:sz w:val="1"/>
                <w:szCs w:val="1"/>
                <w:color w:val="auto"/>
              </w:rPr>
            </w:pPr>
          </w:p>
        </w:tc>
        <w:tc>
          <w:tcPr>
            <w:tcW w:w="640" w:type="dxa"/>
            <w:vAlign w:val="bottom"/>
            <w:tcBorders>
              <w:bottom w:val="single" w:sz="8" w:color="D9D9D6"/>
            </w:tcBorders>
            <w:gridSpan w:val="2"/>
          </w:tcPr>
          <w:p>
            <w:pPr>
              <w:spacing w:after="0" w:line="20" w:lineRule="exact"/>
              <w:rPr>
                <w:sz w:val="1"/>
                <w:szCs w:val="1"/>
                <w:color w:val="auto"/>
              </w:rPr>
            </w:pPr>
          </w:p>
        </w:tc>
        <w:tc>
          <w:tcPr>
            <w:tcW w:w="1160" w:type="dxa"/>
            <w:vAlign w:val="bottom"/>
            <w:tcBorders>
              <w:bottom w:val="single" w:sz="8" w:color="D9D9D6"/>
            </w:tcBorders>
          </w:tcPr>
          <w:p>
            <w:pPr>
              <w:spacing w:after="0" w:line="20" w:lineRule="exact"/>
              <w:rPr>
                <w:sz w:val="1"/>
                <w:szCs w:val="1"/>
                <w:color w:val="auto"/>
              </w:rPr>
            </w:pPr>
          </w:p>
        </w:tc>
        <w:tc>
          <w:tcPr>
            <w:tcW w:w="60" w:type="dxa"/>
            <w:vAlign w:val="bottom"/>
            <w:tcBorders>
              <w:bottom w:val="single" w:sz="8" w:color="D9D9D6"/>
            </w:tcBorders>
          </w:tcPr>
          <w:p>
            <w:pPr>
              <w:spacing w:after="0" w:line="20" w:lineRule="exact"/>
              <w:rPr>
                <w:sz w:val="1"/>
                <w:szCs w:val="1"/>
                <w:color w:val="auto"/>
              </w:rPr>
            </w:pPr>
          </w:p>
        </w:tc>
        <w:tc>
          <w:tcPr>
            <w:tcW w:w="780" w:type="dxa"/>
            <w:vAlign w:val="bottom"/>
            <w:tcBorders>
              <w:bottom w:val="single" w:sz="8" w:color="D9D9D6"/>
            </w:tcBorders>
          </w:tcPr>
          <w:p>
            <w:pPr>
              <w:spacing w:after="0" w:line="20" w:lineRule="exact"/>
              <w:rPr>
                <w:sz w:val="1"/>
                <w:szCs w:val="1"/>
                <w:color w:val="auto"/>
              </w:rPr>
            </w:pPr>
          </w:p>
        </w:tc>
      </w:tr>
      <w:tr>
        <w:trPr>
          <w:trHeight w:val="128"/>
        </w:trPr>
        <w:tc>
          <w:tcPr>
            <w:tcW w:w="1820" w:type="dxa"/>
            <w:vAlign w:val="bottom"/>
          </w:tcPr>
          <w:p>
            <w:pPr>
              <w:ind w:left="60"/>
              <w:spacing w:after="0" w:line="129" w:lineRule="exact"/>
              <w:rPr>
                <w:sz w:val="20"/>
                <w:szCs w:val="20"/>
                <w:color w:val="auto"/>
              </w:rPr>
            </w:pPr>
            <w:r>
              <w:rPr>
                <w:rFonts w:ascii="Arial" w:cs="Arial" w:eastAsia="Arial" w:hAnsi="Arial"/>
                <w:sz w:val="14"/>
                <w:szCs w:val="14"/>
                <w:b w:val="1"/>
                <w:bCs w:val="1"/>
                <w:color w:val="0072CE"/>
              </w:rPr>
              <w:t>Proposals</w:t>
            </w:r>
          </w:p>
        </w:tc>
        <w:tc>
          <w:tcPr>
            <w:tcW w:w="7240" w:type="dxa"/>
            <w:vAlign w:val="bottom"/>
            <w:gridSpan w:val="8"/>
          </w:tcPr>
          <w:p>
            <w:pPr>
              <w:ind w:left="120"/>
              <w:spacing w:after="0" w:line="129" w:lineRule="exact"/>
              <w:rPr>
                <w:sz w:val="20"/>
                <w:szCs w:val="20"/>
                <w:color w:val="auto"/>
              </w:rPr>
            </w:pPr>
            <w:r>
              <w:rPr>
                <w:rFonts w:ascii="Arial" w:cs="Arial" w:eastAsia="Arial" w:hAnsi="Arial"/>
                <w:sz w:val="14"/>
                <w:szCs w:val="14"/>
                <w:color w:val="3D3935"/>
              </w:rPr>
              <w:t xml:space="preserve">Detroit, Michigan 48265 or send proposals by email to  </w:t>
            </w:r>
            <w:r>
              <w:rPr>
                <w:rFonts w:ascii="Arial" w:cs="Arial" w:eastAsia="Arial" w:hAnsi="Arial"/>
                <w:sz w:val="14"/>
                <w:szCs w:val="14"/>
                <w:color w:val="0072CE"/>
              </w:rPr>
              <w:t>shareholder.relations@gm.com.</w:t>
            </w:r>
          </w:p>
        </w:tc>
      </w:tr>
      <w:tr>
        <w:trPr>
          <w:trHeight w:val="20"/>
        </w:trPr>
        <w:tc>
          <w:tcPr>
            <w:tcW w:w="18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shd w:val="clear" w:color="auto" w:fill="0072CE"/>
          </w:tcPr>
          <w:p>
            <w:pPr>
              <w:spacing w:after="0" w:line="20" w:lineRule="exact"/>
              <w:rPr>
                <w:sz w:val="1"/>
                <w:szCs w:val="1"/>
                <w:color w:val="auto"/>
              </w:rPr>
            </w:pPr>
          </w:p>
        </w:tc>
        <w:tc>
          <w:tcPr>
            <w:tcW w:w="640" w:type="dxa"/>
            <w:vAlign w:val="bottom"/>
            <w:gridSpan w:val="2"/>
            <w:shd w:val="clear" w:color="auto" w:fill="0072CE"/>
          </w:tcPr>
          <w:p>
            <w:pPr>
              <w:spacing w:after="0" w:line="20" w:lineRule="exact"/>
              <w:rPr>
                <w:sz w:val="1"/>
                <w:szCs w:val="1"/>
                <w:color w:val="auto"/>
              </w:rPr>
            </w:pPr>
          </w:p>
        </w:tc>
        <w:tc>
          <w:tcPr>
            <w:tcW w:w="1160" w:type="dxa"/>
            <w:vAlign w:val="bottom"/>
            <w:shd w:val="clear" w:color="auto" w:fill="0072C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91"/>
        </w:trPr>
        <w:tc>
          <w:tcPr>
            <w:tcW w:w="1820" w:type="dxa"/>
            <w:vAlign w:val="bottom"/>
          </w:tcPr>
          <w:p>
            <w:pPr>
              <w:ind w:left="60"/>
              <w:spacing w:after="0"/>
              <w:rPr>
                <w:sz w:val="20"/>
                <w:szCs w:val="20"/>
                <w:color w:val="auto"/>
              </w:rPr>
            </w:pPr>
            <w:r>
              <w:rPr>
                <w:rFonts w:ascii="Arial" w:cs="Arial" w:eastAsia="Arial" w:hAnsi="Arial"/>
                <w:sz w:val="16"/>
                <w:szCs w:val="16"/>
                <w:b w:val="1"/>
                <w:bCs w:val="1"/>
                <w:color w:val="0072CE"/>
              </w:rPr>
              <w:t>What to Include</w:t>
            </w:r>
          </w:p>
        </w:tc>
        <w:tc>
          <w:tcPr>
            <w:tcW w:w="2520" w:type="dxa"/>
            <w:vAlign w:val="bottom"/>
          </w:tcPr>
          <w:p>
            <w:pPr>
              <w:ind w:left="120"/>
              <w:spacing w:after="0"/>
              <w:rPr>
                <w:sz w:val="20"/>
                <w:szCs w:val="20"/>
                <w:color w:val="auto"/>
              </w:rPr>
            </w:pPr>
            <w:r>
              <w:rPr>
                <w:rFonts w:ascii="Arial" w:cs="Arial" w:eastAsia="Arial" w:hAnsi="Arial"/>
                <w:sz w:val="16"/>
                <w:szCs w:val="16"/>
                <w:color w:val="3D3935"/>
              </w:rPr>
              <w:t>Proposals must conform to</w:t>
            </w:r>
          </w:p>
        </w:tc>
        <w:tc>
          <w:tcPr>
            <w:tcW w:w="4720" w:type="dxa"/>
            <w:vAlign w:val="bottom"/>
            <w:gridSpan w:val="7"/>
          </w:tcPr>
          <w:p>
            <w:pPr>
              <w:spacing w:after="0"/>
              <w:rPr>
                <w:sz w:val="20"/>
                <w:szCs w:val="20"/>
                <w:color w:val="auto"/>
              </w:rPr>
            </w:pPr>
            <w:r>
              <w:rPr>
                <w:rFonts w:ascii="Arial" w:cs="Arial" w:eastAsia="Arial" w:hAnsi="Arial"/>
                <w:sz w:val="16"/>
                <w:szCs w:val="16"/>
                <w:color w:val="3D3935"/>
              </w:rPr>
              <w:t>Proposals must include information required by our Bylaws,</w:t>
            </w:r>
          </w:p>
        </w:tc>
      </w:tr>
      <w:tr>
        <w:trPr>
          <w:trHeight w:val="21"/>
        </w:trPr>
        <w:tc>
          <w:tcPr>
            <w:tcW w:w="1820" w:type="dxa"/>
            <w:vAlign w:val="bottom"/>
            <w:tcBorders>
              <w:bottom w:val="single" w:sz="8" w:color="D9D9D6"/>
            </w:tcBorders>
          </w:tcPr>
          <w:p>
            <w:pPr>
              <w:spacing w:after="0" w:line="20" w:lineRule="exact"/>
              <w:rPr>
                <w:sz w:val="1"/>
                <w:szCs w:val="1"/>
                <w:color w:val="auto"/>
              </w:rPr>
            </w:pPr>
          </w:p>
        </w:tc>
        <w:tc>
          <w:tcPr>
            <w:tcW w:w="2520" w:type="dxa"/>
            <w:vAlign w:val="bottom"/>
            <w:tcBorders>
              <w:bottom w:val="single" w:sz="8" w:color="D9D9D6"/>
            </w:tcBorders>
          </w:tcPr>
          <w:p>
            <w:pPr>
              <w:spacing w:after="0" w:line="20" w:lineRule="exact"/>
              <w:rPr>
                <w:sz w:val="1"/>
                <w:szCs w:val="1"/>
                <w:color w:val="auto"/>
              </w:rPr>
            </w:pPr>
          </w:p>
        </w:tc>
        <w:tc>
          <w:tcPr>
            <w:tcW w:w="1600" w:type="dxa"/>
            <w:vAlign w:val="bottom"/>
            <w:tcBorders>
              <w:bottom w:val="single" w:sz="8" w:color="D9D9D6"/>
            </w:tcBorders>
          </w:tcPr>
          <w:p>
            <w:pPr>
              <w:spacing w:after="0" w:line="20" w:lineRule="exact"/>
              <w:rPr>
                <w:sz w:val="1"/>
                <w:szCs w:val="1"/>
                <w:color w:val="auto"/>
              </w:rPr>
            </w:pPr>
          </w:p>
        </w:tc>
        <w:tc>
          <w:tcPr>
            <w:tcW w:w="480" w:type="dxa"/>
            <w:vAlign w:val="bottom"/>
            <w:tcBorders>
              <w:bottom w:val="single" w:sz="8" w:color="D9D9D6"/>
            </w:tcBorders>
          </w:tcPr>
          <w:p>
            <w:pPr>
              <w:spacing w:after="0" w:line="20" w:lineRule="exact"/>
              <w:rPr>
                <w:sz w:val="1"/>
                <w:szCs w:val="1"/>
                <w:color w:val="auto"/>
              </w:rPr>
            </w:pPr>
          </w:p>
        </w:tc>
        <w:tc>
          <w:tcPr>
            <w:tcW w:w="640" w:type="dxa"/>
            <w:vAlign w:val="bottom"/>
            <w:tcBorders>
              <w:bottom w:val="single" w:sz="8" w:color="D9D9D6"/>
            </w:tcBorders>
            <w:gridSpan w:val="2"/>
          </w:tcPr>
          <w:p>
            <w:pPr>
              <w:spacing w:after="0" w:line="20" w:lineRule="exact"/>
              <w:rPr>
                <w:sz w:val="1"/>
                <w:szCs w:val="1"/>
                <w:color w:val="auto"/>
              </w:rPr>
            </w:pPr>
          </w:p>
        </w:tc>
        <w:tc>
          <w:tcPr>
            <w:tcW w:w="1160" w:type="dxa"/>
            <w:vAlign w:val="bottom"/>
            <w:tcBorders>
              <w:bottom w:val="single" w:sz="8" w:color="D9D9D6"/>
            </w:tcBorders>
          </w:tcPr>
          <w:p>
            <w:pPr>
              <w:spacing w:after="0" w:line="20" w:lineRule="exact"/>
              <w:rPr>
                <w:sz w:val="1"/>
                <w:szCs w:val="1"/>
                <w:color w:val="auto"/>
              </w:rPr>
            </w:pPr>
          </w:p>
        </w:tc>
        <w:tc>
          <w:tcPr>
            <w:tcW w:w="60" w:type="dxa"/>
            <w:vAlign w:val="bottom"/>
            <w:tcBorders>
              <w:bottom w:val="single" w:sz="8" w:color="D9D9D6"/>
            </w:tcBorders>
          </w:tcPr>
          <w:p>
            <w:pPr>
              <w:spacing w:after="0" w:line="20" w:lineRule="exact"/>
              <w:rPr>
                <w:sz w:val="1"/>
                <w:szCs w:val="1"/>
                <w:color w:val="auto"/>
              </w:rPr>
            </w:pPr>
          </w:p>
        </w:tc>
        <w:tc>
          <w:tcPr>
            <w:tcW w:w="780" w:type="dxa"/>
            <w:vAlign w:val="bottom"/>
            <w:tcBorders>
              <w:bottom w:val="single" w:sz="8" w:color="D9D9D6"/>
            </w:tcBorders>
          </w:tcPr>
          <w:p>
            <w:pPr>
              <w:spacing w:after="0" w:line="20" w:lineRule="exact"/>
              <w:rPr>
                <w:sz w:val="1"/>
                <w:szCs w:val="1"/>
                <w:color w:val="auto"/>
              </w:rPr>
            </w:pPr>
          </w:p>
        </w:tc>
      </w:tr>
      <w:tr>
        <w:trPr>
          <w:trHeight w:val="129"/>
        </w:trPr>
        <w:tc>
          <w:tcPr>
            <w:tcW w:w="1820" w:type="dxa"/>
            <w:vAlign w:val="bottom"/>
          </w:tcPr>
          <w:p>
            <w:pPr>
              <w:spacing w:after="0"/>
              <w:rPr>
                <w:sz w:val="11"/>
                <w:szCs w:val="11"/>
                <w:color w:val="auto"/>
              </w:rPr>
            </w:pPr>
          </w:p>
        </w:tc>
        <w:tc>
          <w:tcPr>
            <w:tcW w:w="2520" w:type="dxa"/>
            <w:vAlign w:val="bottom"/>
          </w:tcPr>
          <w:p>
            <w:pPr>
              <w:ind w:left="120"/>
              <w:spacing w:after="0" w:line="129" w:lineRule="exact"/>
              <w:rPr>
                <w:sz w:val="20"/>
                <w:szCs w:val="20"/>
                <w:color w:val="auto"/>
              </w:rPr>
            </w:pPr>
            <w:r>
              <w:rPr>
                <w:rFonts w:ascii="Arial" w:cs="Arial" w:eastAsia="Arial" w:hAnsi="Arial"/>
                <w:sz w:val="14"/>
                <w:szCs w:val="14"/>
                <w:color w:val="3D3935"/>
              </w:rPr>
              <w:t>and include the information</w:t>
            </w:r>
          </w:p>
        </w:tc>
        <w:tc>
          <w:tcPr>
            <w:tcW w:w="4720" w:type="dxa"/>
            <w:vAlign w:val="bottom"/>
            <w:gridSpan w:val="7"/>
          </w:tcPr>
          <w:p>
            <w:pPr>
              <w:spacing w:after="0" w:line="129" w:lineRule="exact"/>
              <w:rPr>
                <w:sz w:val="20"/>
                <w:szCs w:val="20"/>
                <w:color w:val="auto"/>
              </w:rPr>
            </w:pPr>
            <w:r>
              <w:rPr>
                <w:rFonts w:ascii="Arial" w:cs="Arial" w:eastAsia="Arial" w:hAnsi="Arial"/>
                <w:sz w:val="14"/>
                <w:szCs w:val="14"/>
                <w:color w:val="3D3935"/>
              </w:rPr>
              <w:t xml:space="preserve">which are available on our website at </w:t>
            </w:r>
            <w:r>
              <w:rPr>
                <w:rFonts w:ascii="Arial" w:cs="Arial" w:eastAsia="Arial" w:hAnsi="Arial"/>
                <w:sz w:val="14"/>
                <w:szCs w:val="14"/>
                <w:color w:val="0072CE"/>
              </w:rPr>
              <w:t>investor.gm.com/</w:t>
            </w:r>
          </w:p>
        </w:tc>
      </w:tr>
      <w:tr>
        <w:trPr>
          <w:trHeight w:val="20"/>
        </w:trPr>
        <w:tc>
          <w:tcPr>
            <w:tcW w:w="18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gridSpan w:val="2"/>
            <w:shd w:val="clear" w:color="auto" w:fill="0072C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820" w:type="dxa"/>
            <w:vAlign w:val="bottom"/>
          </w:tcPr>
          <w:p>
            <w:pPr>
              <w:spacing w:after="0"/>
              <w:rPr>
                <w:sz w:val="17"/>
                <w:szCs w:val="17"/>
                <w:color w:val="auto"/>
              </w:rPr>
            </w:pPr>
          </w:p>
        </w:tc>
        <w:tc>
          <w:tcPr>
            <w:tcW w:w="2520" w:type="dxa"/>
            <w:vAlign w:val="bottom"/>
          </w:tcPr>
          <w:p>
            <w:pPr>
              <w:ind w:left="120"/>
              <w:spacing w:after="0"/>
              <w:rPr>
                <w:sz w:val="20"/>
                <w:szCs w:val="20"/>
                <w:color w:val="auto"/>
              </w:rPr>
            </w:pPr>
            <w:r>
              <w:rPr>
                <w:rFonts w:ascii="Arial" w:cs="Arial" w:eastAsia="Arial" w:hAnsi="Arial"/>
                <w:sz w:val="16"/>
                <w:szCs w:val="16"/>
                <w:color w:val="3D3935"/>
              </w:rPr>
              <w:t>required by SEC Rule 14a-8.</w:t>
            </w:r>
          </w:p>
        </w:tc>
        <w:tc>
          <w:tcPr>
            <w:tcW w:w="2080" w:type="dxa"/>
            <w:vAlign w:val="bottom"/>
            <w:tcBorders>
              <w:bottom w:val="single" w:sz="8" w:color="0072CE"/>
            </w:tcBorders>
            <w:gridSpan w:val="2"/>
          </w:tcPr>
          <w:p>
            <w:pPr>
              <w:spacing w:after="0"/>
              <w:rPr>
                <w:sz w:val="20"/>
                <w:szCs w:val="20"/>
                <w:color w:val="auto"/>
              </w:rPr>
            </w:pPr>
            <w:r>
              <w:rPr>
                <w:rFonts w:ascii="Arial" w:cs="Arial" w:eastAsia="Arial" w:hAnsi="Arial"/>
                <w:sz w:val="16"/>
                <w:szCs w:val="16"/>
                <w:color w:val="0072CE"/>
                <w:w w:val="99"/>
              </w:rPr>
              <w:t>governanceandsustainability,</w:t>
            </w:r>
          </w:p>
        </w:tc>
        <w:tc>
          <w:tcPr>
            <w:tcW w:w="80" w:type="dxa"/>
            <w:vAlign w:val="bottom"/>
          </w:tcPr>
          <w:p>
            <w:pPr>
              <w:spacing w:after="0"/>
              <w:rPr>
                <w:sz w:val="17"/>
                <w:szCs w:val="17"/>
                <w:color w:val="auto"/>
              </w:rPr>
            </w:pPr>
          </w:p>
        </w:tc>
        <w:tc>
          <w:tcPr>
            <w:tcW w:w="2560" w:type="dxa"/>
            <w:vAlign w:val="bottom"/>
            <w:gridSpan w:val="4"/>
          </w:tcPr>
          <w:p>
            <w:pPr>
              <w:ind w:left="20"/>
              <w:spacing w:after="0"/>
              <w:rPr>
                <w:sz w:val="20"/>
                <w:szCs w:val="20"/>
                <w:color w:val="auto"/>
              </w:rPr>
            </w:pPr>
            <w:r>
              <w:rPr>
                <w:rFonts w:ascii="Arial" w:cs="Arial" w:eastAsia="Arial" w:hAnsi="Arial"/>
                <w:sz w:val="16"/>
                <w:szCs w:val="16"/>
                <w:color w:val="3D3935"/>
              </w:rPr>
              <w:t>and all requirements in Rule</w:t>
            </w:r>
          </w:p>
        </w:tc>
      </w:tr>
      <w:tr>
        <w:trPr>
          <w:trHeight w:val="235"/>
        </w:trPr>
        <w:tc>
          <w:tcPr>
            <w:tcW w:w="18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160" w:type="dxa"/>
            <w:vAlign w:val="bottom"/>
            <w:gridSpan w:val="3"/>
          </w:tcPr>
          <w:p>
            <w:pPr>
              <w:spacing w:after="0"/>
              <w:rPr>
                <w:sz w:val="20"/>
                <w:szCs w:val="20"/>
                <w:color w:val="auto"/>
              </w:rPr>
            </w:pPr>
            <w:r>
              <w:rPr>
                <w:rFonts w:ascii="Arial" w:cs="Arial" w:eastAsia="Arial" w:hAnsi="Arial"/>
                <w:sz w:val="16"/>
                <w:szCs w:val="16"/>
                <w:color w:val="3D3935"/>
              </w:rPr>
              <w:t>14a-19(b), if applicable.</w:t>
            </w:r>
          </w:p>
        </w:tc>
        <w:tc>
          <w:tcPr>
            <w:tcW w:w="5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93"/>
        </w:trPr>
        <w:tc>
          <w:tcPr>
            <w:tcW w:w="1820" w:type="dxa"/>
            <w:vAlign w:val="bottom"/>
            <w:tcBorders>
              <w:bottom w:val="single" w:sz="8" w:color="0072CE"/>
            </w:tcBorders>
          </w:tcPr>
          <w:p>
            <w:pPr>
              <w:spacing w:after="0"/>
              <w:rPr>
                <w:sz w:val="24"/>
                <w:szCs w:val="24"/>
                <w:color w:val="auto"/>
              </w:rPr>
            </w:pPr>
          </w:p>
        </w:tc>
        <w:tc>
          <w:tcPr>
            <w:tcW w:w="2520" w:type="dxa"/>
            <w:vAlign w:val="bottom"/>
            <w:tcBorders>
              <w:bottom w:val="single" w:sz="8" w:color="0072CE"/>
            </w:tcBorders>
          </w:tcPr>
          <w:p>
            <w:pPr>
              <w:spacing w:after="0"/>
              <w:rPr>
                <w:sz w:val="24"/>
                <w:szCs w:val="24"/>
                <w:color w:val="auto"/>
              </w:rPr>
            </w:pPr>
          </w:p>
        </w:tc>
        <w:tc>
          <w:tcPr>
            <w:tcW w:w="1600" w:type="dxa"/>
            <w:vAlign w:val="bottom"/>
            <w:tcBorders>
              <w:bottom w:val="single" w:sz="8" w:color="0072CE"/>
            </w:tcBorders>
          </w:tcPr>
          <w:p>
            <w:pPr>
              <w:spacing w:after="0"/>
              <w:rPr>
                <w:sz w:val="24"/>
                <w:szCs w:val="24"/>
                <w:color w:val="auto"/>
              </w:rPr>
            </w:pPr>
          </w:p>
        </w:tc>
        <w:tc>
          <w:tcPr>
            <w:tcW w:w="480" w:type="dxa"/>
            <w:vAlign w:val="bottom"/>
            <w:tcBorders>
              <w:bottom w:val="single" w:sz="8" w:color="0072CE"/>
            </w:tcBorders>
          </w:tcPr>
          <w:p>
            <w:pPr>
              <w:spacing w:after="0"/>
              <w:rPr>
                <w:sz w:val="24"/>
                <w:szCs w:val="24"/>
                <w:color w:val="auto"/>
              </w:rPr>
            </w:pPr>
          </w:p>
        </w:tc>
        <w:tc>
          <w:tcPr>
            <w:tcW w:w="80" w:type="dxa"/>
            <w:vAlign w:val="bottom"/>
            <w:tcBorders>
              <w:bottom w:val="single" w:sz="8" w:color="0072CE"/>
            </w:tcBorders>
          </w:tcPr>
          <w:p>
            <w:pPr>
              <w:spacing w:after="0"/>
              <w:rPr>
                <w:sz w:val="24"/>
                <w:szCs w:val="24"/>
                <w:color w:val="auto"/>
              </w:rPr>
            </w:pPr>
          </w:p>
        </w:tc>
        <w:tc>
          <w:tcPr>
            <w:tcW w:w="560" w:type="dxa"/>
            <w:vAlign w:val="bottom"/>
            <w:tcBorders>
              <w:bottom w:val="single" w:sz="8" w:color="0072CE"/>
            </w:tcBorders>
          </w:tcPr>
          <w:p>
            <w:pPr>
              <w:spacing w:after="0"/>
              <w:rPr>
                <w:sz w:val="24"/>
                <w:szCs w:val="24"/>
                <w:color w:val="auto"/>
              </w:rPr>
            </w:pPr>
          </w:p>
        </w:tc>
        <w:tc>
          <w:tcPr>
            <w:tcW w:w="1160" w:type="dxa"/>
            <w:vAlign w:val="bottom"/>
            <w:tcBorders>
              <w:bottom w:val="single" w:sz="8" w:color="0072CE"/>
            </w:tcBorders>
          </w:tcPr>
          <w:p>
            <w:pPr>
              <w:spacing w:after="0"/>
              <w:rPr>
                <w:sz w:val="24"/>
                <w:szCs w:val="24"/>
                <w:color w:val="auto"/>
              </w:rPr>
            </w:pPr>
          </w:p>
        </w:tc>
        <w:tc>
          <w:tcPr>
            <w:tcW w:w="60" w:type="dxa"/>
            <w:vAlign w:val="bottom"/>
            <w:tcBorders>
              <w:bottom w:val="single" w:sz="8" w:color="0072CE"/>
            </w:tcBorders>
          </w:tcPr>
          <w:p>
            <w:pPr>
              <w:spacing w:after="0"/>
              <w:rPr>
                <w:sz w:val="24"/>
                <w:szCs w:val="24"/>
                <w:color w:val="auto"/>
              </w:rPr>
            </w:pPr>
          </w:p>
        </w:tc>
        <w:tc>
          <w:tcPr>
            <w:tcW w:w="780" w:type="dxa"/>
            <w:vAlign w:val="bottom"/>
            <w:tcBorders>
              <w:bottom w:val="single" w:sz="8" w:color="0072CE"/>
            </w:tcBorders>
          </w:tcPr>
          <w:p>
            <w:pPr>
              <w:spacing w:after="0"/>
              <w:rPr>
                <w:sz w:val="24"/>
                <w:szCs w:val="2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75457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10375" cy="7545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3D3935"/>
              </w:rPr>
              <w:t>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28879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10375" cy="288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0" w:right="1520"/>
        <w:spacing w:after="0" w:line="270" w:lineRule="auto"/>
        <w:rPr>
          <w:sz w:val="20"/>
          <w:szCs w:val="20"/>
          <w:color w:val="auto"/>
        </w:rPr>
      </w:pPr>
      <w:r>
        <w:rPr>
          <w:rFonts w:ascii="Arial" w:cs="Arial" w:eastAsia="Arial" w:hAnsi="Arial"/>
          <w:sz w:val="49"/>
          <w:szCs w:val="49"/>
          <w:b w:val="1"/>
          <w:bCs w:val="1"/>
          <w:color w:val="3D3935"/>
        </w:rPr>
        <w:t>Defined Terms, Commonly Used Acronyms, and Cautionary Statements</w:t>
      </w:r>
    </w:p>
    <w:p>
      <w:pPr>
        <w:sectPr>
          <w:pgSz w:w="11900" w:h="16838" w:orient="portrait"/>
          <w:cols w:equalWidth="0" w:num="1">
            <w:col w:w="9060"/>
          </w:cols>
          <w:pgMar w:left="1400" w:top="120" w:right="14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tabs>
          <w:tab w:leader="none" w:pos="2740" w:val="left"/>
        </w:tabs>
        <w:rPr>
          <w:sz w:val="20"/>
          <w:szCs w:val="20"/>
          <w:color w:val="auto"/>
        </w:rPr>
      </w:pPr>
      <w:r>
        <w:rPr>
          <w:rFonts w:ascii="Arial" w:cs="Arial" w:eastAsia="Arial" w:hAnsi="Arial"/>
          <w:sz w:val="16"/>
          <w:szCs w:val="16"/>
          <w:b w:val="1"/>
          <w:bCs w:val="1"/>
          <w:color w:val="3D3935"/>
        </w:rPr>
        <w:t>2024 Form 10-K</w:t>
      </w:r>
      <w:r>
        <w:rPr>
          <w:sz w:val="20"/>
          <w:szCs w:val="20"/>
          <w:color w:val="auto"/>
        </w:rPr>
        <w:tab/>
      </w:r>
      <w:r>
        <w:rPr>
          <w:rFonts w:ascii="Arial" w:cs="Arial" w:eastAsia="Arial" w:hAnsi="Arial"/>
          <w:sz w:val="16"/>
          <w:szCs w:val="16"/>
          <w:color w:val="3D3935"/>
        </w:rPr>
        <w:t>GM’s Annual Report on Form 10-K for the year ended December 31, 2024</w:t>
      </w:r>
    </w:p>
    <w:p>
      <w:pPr>
        <w:spacing w:after="0" w:line="86" w:lineRule="exact"/>
        <w:rPr>
          <w:sz w:val="20"/>
          <w:szCs w:val="20"/>
          <w:color w:val="auto"/>
        </w:rPr>
      </w:pPr>
    </w:p>
    <w:p>
      <w:pPr>
        <w:ind w:left="60"/>
        <w:spacing w:after="0"/>
        <w:tabs>
          <w:tab w:leader="none" w:pos="2740" w:val="left"/>
        </w:tabs>
        <w:rPr>
          <w:sz w:val="20"/>
          <w:szCs w:val="20"/>
          <w:color w:val="auto"/>
        </w:rPr>
      </w:pPr>
      <w:r>
        <w:rPr>
          <w:rFonts w:ascii="Arial" w:cs="Arial" w:eastAsia="Arial" w:hAnsi="Arial"/>
          <w:sz w:val="16"/>
          <w:szCs w:val="16"/>
          <w:b w:val="1"/>
          <w:bCs w:val="1"/>
          <w:color w:val="3D3935"/>
        </w:rPr>
        <w:t>AAFCF</w:t>
      </w:r>
      <w:r>
        <w:rPr>
          <w:sz w:val="20"/>
          <w:szCs w:val="20"/>
          <w:color w:val="auto"/>
        </w:rPr>
        <w:tab/>
      </w:r>
      <w:r>
        <w:rPr>
          <w:rFonts w:ascii="Arial" w:cs="Arial" w:eastAsia="Arial" w:hAnsi="Arial"/>
          <w:sz w:val="16"/>
          <w:szCs w:val="16"/>
          <w:color w:val="3D3935"/>
        </w:rPr>
        <w:t>Adjusted Automotive Free Cash Flow</w:t>
      </w:r>
    </w:p>
    <w:p>
      <w:pPr>
        <w:spacing w:after="0" w:line="86" w:lineRule="exact"/>
        <w:rPr>
          <w:sz w:val="20"/>
          <w:szCs w:val="20"/>
          <w:color w:val="auto"/>
        </w:rPr>
      </w:pPr>
    </w:p>
    <w:p>
      <w:pPr>
        <w:ind w:left="60"/>
        <w:spacing w:after="0"/>
        <w:tabs>
          <w:tab w:leader="none" w:pos="2740" w:val="left"/>
        </w:tabs>
        <w:rPr>
          <w:sz w:val="20"/>
          <w:szCs w:val="20"/>
          <w:color w:val="auto"/>
        </w:rPr>
      </w:pPr>
      <w:r>
        <w:rPr>
          <w:rFonts w:ascii="Arial" w:cs="Arial" w:eastAsia="Arial" w:hAnsi="Arial"/>
          <w:sz w:val="16"/>
          <w:szCs w:val="16"/>
          <w:b w:val="1"/>
          <w:bCs w:val="1"/>
          <w:color w:val="3D3935"/>
        </w:rPr>
        <w:t>Annual Meeting</w:t>
      </w:r>
      <w:r>
        <w:rPr>
          <w:sz w:val="20"/>
          <w:szCs w:val="20"/>
          <w:color w:val="auto"/>
        </w:rPr>
        <w:tab/>
      </w:r>
      <w:r>
        <w:rPr>
          <w:rFonts w:ascii="Arial" w:cs="Arial" w:eastAsia="Arial" w:hAnsi="Arial"/>
          <w:sz w:val="16"/>
          <w:szCs w:val="16"/>
          <w:color w:val="3D3935"/>
        </w:rPr>
        <w:t>GM’s Annual Meeting of Shareholders to be held on June 3, 2025</w:t>
      </w:r>
    </w:p>
    <w:p>
      <w:pPr>
        <w:sectPr>
          <w:pgSz w:w="11900" w:h="16838" w:orient="portrait"/>
          <w:cols w:equalWidth="0" w:num="1">
            <w:col w:w="9060"/>
          </w:cols>
          <w:pgMar w:left="1400" w:top="120" w:right="1439" w:bottom="0" w:gutter="0" w:footer="0" w:header="0"/>
          <w:type w:val="continuous"/>
        </w:sectPr>
      </w:pPr>
    </w:p>
    <w:bookmarkStart w:id="87" w:name="page88"/>
    <w:bookmarkEnd w:id="87"/>
    <w:tbl>
      <w:tblPr>
        <w:tblLayout w:type="fixed"/>
        <w:tblInd w:w="10" w:type="dxa"/>
        <w:tblCellMar>
          <w:top w:w="0" w:type="dxa"/>
          <w:left w:w="0" w:type="dxa"/>
          <w:bottom w:w="0" w:type="dxa"/>
          <w:right w:w="0" w:type="dxa"/>
        </w:tblCellMar>
      </w:tblPr>
      <w:tr>
        <w:trPr>
          <w:trHeight w:val="202"/>
        </w:trPr>
        <w:tc>
          <w:tcPr>
            <w:tcW w:w="820" w:type="dxa"/>
            <w:vAlign w:val="bottom"/>
            <w:tcBorders>
              <w:left w:val="single" w:sz="8" w:color="CCCCCC"/>
            </w:tcBorders>
          </w:tcPr>
          <w:p>
            <w:pPr>
              <w:spacing w:after="0"/>
              <w:rPr>
                <w:sz w:val="17"/>
                <w:szCs w:val="17"/>
                <w:color w:val="auto"/>
              </w:rPr>
            </w:pPr>
          </w:p>
        </w:tc>
        <w:tc>
          <w:tcPr>
            <w:tcW w:w="2500" w:type="dxa"/>
            <w:vAlign w:val="bottom"/>
            <w:tcBorders>
              <w:top w:val="single" w:sz="8" w:color="0072CE"/>
            </w:tcBorders>
          </w:tcPr>
          <w:p>
            <w:pPr>
              <w:ind w:left="60"/>
              <w:spacing w:after="0"/>
              <w:rPr>
                <w:sz w:val="20"/>
                <w:szCs w:val="20"/>
                <w:color w:val="auto"/>
              </w:rPr>
            </w:pPr>
            <w:r>
              <w:rPr>
                <w:rFonts w:ascii="Arial" w:cs="Arial" w:eastAsia="Arial" w:hAnsi="Arial"/>
                <w:sz w:val="16"/>
                <w:szCs w:val="16"/>
                <w:b w:val="1"/>
                <w:bCs w:val="1"/>
                <w:color w:val="3D3935"/>
              </w:rPr>
              <w:t>AAOCF</w:t>
            </w:r>
          </w:p>
        </w:tc>
        <w:tc>
          <w:tcPr>
            <w:tcW w:w="6580" w:type="dxa"/>
            <w:vAlign w:val="bottom"/>
            <w:tcBorders>
              <w:top w:val="single" w:sz="8" w:color="0072CE"/>
            </w:tcBorders>
          </w:tcPr>
          <w:p>
            <w:pPr>
              <w:ind w:left="260"/>
              <w:spacing w:after="0"/>
              <w:rPr>
                <w:sz w:val="20"/>
                <w:szCs w:val="20"/>
                <w:color w:val="auto"/>
              </w:rPr>
            </w:pPr>
            <w:r>
              <w:rPr>
                <w:rFonts w:ascii="Arial" w:cs="Arial" w:eastAsia="Arial" w:hAnsi="Arial"/>
                <w:sz w:val="16"/>
                <w:szCs w:val="16"/>
                <w:color w:val="3D3935"/>
              </w:rPr>
              <w:t>Adjusted Automotive Operating Cash Flow</w:t>
            </w:r>
          </w:p>
        </w:tc>
        <w:tc>
          <w:tcPr>
            <w:tcW w:w="820" w:type="dxa"/>
            <w:vAlign w:val="bottom"/>
            <w:tcBorders>
              <w:right w:val="single" w:sz="8" w:color="CCCCCC"/>
            </w:tcBorders>
          </w:tcPr>
          <w:p>
            <w:pPr>
              <w:spacing w:after="0"/>
              <w:rPr>
                <w:sz w:val="17"/>
                <w:szCs w:val="17"/>
                <w:color w:val="auto"/>
              </w:rPr>
            </w:pPr>
          </w:p>
        </w:tc>
      </w:tr>
      <w:tr>
        <w:trPr>
          <w:trHeight w:val="223"/>
        </w:trPr>
        <w:tc>
          <w:tcPr>
            <w:tcW w:w="820" w:type="dxa"/>
            <w:vAlign w:val="bottom"/>
            <w:tcBorders>
              <w:left w:val="single" w:sz="8" w:color="CCCCCC"/>
            </w:tcBorders>
          </w:tcPr>
          <w:p>
            <w:pPr>
              <w:spacing w:after="0"/>
              <w:rPr>
                <w:sz w:val="19"/>
                <w:szCs w:val="19"/>
                <w:color w:val="auto"/>
              </w:rPr>
            </w:pPr>
          </w:p>
        </w:tc>
        <w:tc>
          <w:tcPr>
            <w:tcW w:w="2500" w:type="dxa"/>
            <w:vAlign w:val="bottom"/>
          </w:tcPr>
          <w:p>
            <w:pPr>
              <w:ind w:left="60"/>
              <w:spacing w:after="0"/>
              <w:rPr>
                <w:sz w:val="20"/>
                <w:szCs w:val="20"/>
                <w:color w:val="auto"/>
              </w:rPr>
            </w:pPr>
            <w:r>
              <w:rPr>
                <w:rFonts w:ascii="Arial" w:cs="Arial" w:eastAsia="Arial" w:hAnsi="Arial"/>
                <w:sz w:val="16"/>
                <w:szCs w:val="16"/>
                <w:b w:val="1"/>
                <w:bCs w:val="1"/>
                <w:color w:val="3D3935"/>
              </w:rPr>
              <w:t>AV</w:t>
            </w:r>
          </w:p>
        </w:tc>
        <w:tc>
          <w:tcPr>
            <w:tcW w:w="6580" w:type="dxa"/>
            <w:vAlign w:val="bottom"/>
          </w:tcPr>
          <w:p>
            <w:pPr>
              <w:ind w:left="260"/>
              <w:spacing w:after="0"/>
              <w:rPr>
                <w:sz w:val="20"/>
                <w:szCs w:val="20"/>
                <w:color w:val="auto"/>
              </w:rPr>
            </w:pPr>
            <w:r>
              <w:rPr>
                <w:rFonts w:ascii="Arial" w:cs="Arial" w:eastAsia="Arial" w:hAnsi="Arial"/>
                <w:sz w:val="16"/>
                <w:szCs w:val="16"/>
                <w:color w:val="3D3935"/>
              </w:rPr>
              <w:t>Autonomous Vehicle</w:t>
            </w:r>
          </w:p>
        </w:tc>
        <w:tc>
          <w:tcPr>
            <w:tcW w:w="820" w:type="dxa"/>
            <w:vAlign w:val="bottom"/>
            <w:tcBorders>
              <w:right w:val="single" w:sz="8" w:color="CCCCCC"/>
            </w:tcBorders>
          </w:tcPr>
          <w:p>
            <w:pPr>
              <w:spacing w:after="0"/>
              <w:rPr>
                <w:sz w:val="19"/>
                <w:szCs w:val="19"/>
                <w:color w:val="auto"/>
              </w:rPr>
            </w:pPr>
          </w:p>
        </w:tc>
      </w:tr>
      <w:tr>
        <w:trPr>
          <w:trHeight w:val="270"/>
        </w:trPr>
        <w:tc>
          <w:tcPr>
            <w:tcW w:w="820" w:type="dxa"/>
            <w:vAlign w:val="bottom"/>
            <w:tcBorders>
              <w:left w:val="single" w:sz="8" w:color="CCCCCC"/>
            </w:tcBorders>
          </w:tcPr>
          <w:p>
            <w:pPr>
              <w:spacing w:after="0"/>
              <w:rPr>
                <w:sz w:val="23"/>
                <w:szCs w:val="23"/>
                <w:color w:val="auto"/>
              </w:rPr>
            </w:pPr>
          </w:p>
        </w:tc>
        <w:tc>
          <w:tcPr>
            <w:tcW w:w="2500" w:type="dxa"/>
            <w:vAlign w:val="bottom"/>
          </w:tcPr>
          <w:p>
            <w:pPr>
              <w:ind w:left="60"/>
              <w:spacing w:after="0"/>
              <w:rPr>
                <w:sz w:val="20"/>
                <w:szCs w:val="20"/>
                <w:color w:val="auto"/>
              </w:rPr>
            </w:pPr>
            <w:r>
              <w:rPr>
                <w:rFonts w:ascii="Arial" w:cs="Arial" w:eastAsia="Arial" w:hAnsi="Arial"/>
                <w:sz w:val="16"/>
                <w:szCs w:val="16"/>
                <w:b w:val="1"/>
                <w:bCs w:val="1"/>
                <w:color w:val="3D3935"/>
              </w:rPr>
              <w:t>Board</w:t>
            </w:r>
          </w:p>
        </w:tc>
        <w:tc>
          <w:tcPr>
            <w:tcW w:w="6580" w:type="dxa"/>
            <w:vAlign w:val="bottom"/>
          </w:tcPr>
          <w:p>
            <w:pPr>
              <w:ind w:left="260"/>
              <w:spacing w:after="0"/>
              <w:rPr>
                <w:sz w:val="20"/>
                <w:szCs w:val="20"/>
                <w:color w:val="auto"/>
              </w:rPr>
            </w:pPr>
            <w:r>
              <w:rPr>
                <w:rFonts w:ascii="Arial" w:cs="Arial" w:eastAsia="Arial" w:hAnsi="Arial"/>
                <w:sz w:val="16"/>
                <w:szCs w:val="16"/>
                <w:color w:val="3D3935"/>
              </w:rPr>
              <w:t>GM’s Board of Directors</w:t>
            </w:r>
          </w:p>
        </w:tc>
        <w:tc>
          <w:tcPr>
            <w:tcW w:w="820" w:type="dxa"/>
            <w:vAlign w:val="bottom"/>
            <w:tcBorders>
              <w:right w:val="single" w:sz="8" w:color="CCCCCC"/>
            </w:tcBorders>
          </w:tcPr>
          <w:p>
            <w:pPr>
              <w:spacing w:after="0"/>
              <w:rPr>
                <w:sz w:val="23"/>
                <w:szCs w:val="23"/>
                <w:color w:val="auto"/>
              </w:rPr>
            </w:pPr>
          </w:p>
        </w:tc>
      </w:tr>
      <w:tr>
        <w:trPr>
          <w:trHeight w:val="270"/>
        </w:trPr>
        <w:tc>
          <w:tcPr>
            <w:tcW w:w="820" w:type="dxa"/>
            <w:vAlign w:val="bottom"/>
            <w:tcBorders>
              <w:left w:val="single" w:sz="8" w:color="CCCCCC"/>
            </w:tcBorders>
          </w:tcPr>
          <w:p>
            <w:pPr>
              <w:spacing w:after="0"/>
              <w:rPr>
                <w:sz w:val="23"/>
                <w:szCs w:val="23"/>
                <w:color w:val="auto"/>
              </w:rPr>
            </w:pPr>
          </w:p>
        </w:tc>
        <w:tc>
          <w:tcPr>
            <w:tcW w:w="2500" w:type="dxa"/>
            <w:vAlign w:val="bottom"/>
          </w:tcPr>
          <w:p>
            <w:pPr>
              <w:ind w:left="60"/>
              <w:spacing w:after="0"/>
              <w:rPr>
                <w:sz w:val="20"/>
                <w:szCs w:val="20"/>
                <w:color w:val="auto"/>
              </w:rPr>
            </w:pPr>
            <w:r>
              <w:rPr>
                <w:rFonts w:ascii="Arial" w:cs="Arial" w:eastAsia="Arial" w:hAnsi="Arial"/>
                <w:sz w:val="16"/>
                <w:szCs w:val="16"/>
                <w:b w:val="1"/>
                <w:bCs w:val="1"/>
                <w:color w:val="3D3935"/>
              </w:rPr>
              <w:t>Bylaws</w:t>
            </w:r>
          </w:p>
        </w:tc>
        <w:tc>
          <w:tcPr>
            <w:tcW w:w="6580" w:type="dxa"/>
            <w:vAlign w:val="bottom"/>
          </w:tcPr>
          <w:p>
            <w:pPr>
              <w:ind w:left="260"/>
              <w:spacing w:after="0"/>
              <w:rPr>
                <w:sz w:val="20"/>
                <w:szCs w:val="20"/>
                <w:color w:val="auto"/>
              </w:rPr>
            </w:pPr>
            <w:r>
              <w:rPr>
                <w:rFonts w:ascii="Arial" w:cs="Arial" w:eastAsia="Arial" w:hAnsi="Arial"/>
                <w:sz w:val="16"/>
                <w:szCs w:val="16"/>
                <w:color w:val="3D3935"/>
              </w:rPr>
              <w:t>GM’s Amended and Restated Bylaws, dated as of April 20, 2023</w:t>
            </w:r>
          </w:p>
        </w:tc>
        <w:tc>
          <w:tcPr>
            <w:tcW w:w="820" w:type="dxa"/>
            <w:vAlign w:val="bottom"/>
            <w:tcBorders>
              <w:right w:val="single" w:sz="8" w:color="CCCCCC"/>
            </w:tcBorders>
          </w:tcPr>
          <w:p>
            <w:pPr>
              <w:spacing w:after="0"/>
              <w:rPr>
                <w:sz w:val="23"/>
                <w:szCs w:val="23"/>
                <w:color w:val="auto"/>
              </w:rPr>
            </w:pPr>
          </w:p>
        </w:tc>
      </w:tr>
      <w:tr>
        <w:trPr>
          <w:trHeight w:val="270"/>
        </w:trPr>
        <w:tc>
          <w:tcPr>
            <w:tcW w:w="820" w:type="dxa"/>
            <w:vAlign w:val="bottom"/>
            <w:tcBorders>
              <w:left w:val="single" w:sz="8" w:color="CCCCCC"/>
            </w:tcBorders>
          </w:tcPr>
          <w:p>
            <w:pPr>
              <w:spacing w:after="0"/>
              <w:rPr>
                <w:sz w:val="23"/>
                <w:szCs w:val="23"/>
                <w:color w:val="auto"/>
              </w:rPr>
            </w:pPr>
          </w:p>
        </w:tc>
        <w:tc>
          <w:tcPr>
            <w:tcW w:w="2500" w:type="dxa"/>
            <w:vAlign w:val="bottom"/>
          </w:tcPr>
          <w:p>
            <w:pPr>
              <w:ind w:left="60"/>
              <w:spacing w:after="0"/>
              <w:rPr>
                <w:sz w:val="20"/>
                <w:szCs w:val="20"/>
                <w:color w:val="auto"/>
              </w:rPr>
            </w:pPr>
            <w:r>
              <w:rPr>
                <w:rFonts w:ascii="Arial" w:cs="Arial" w:eastAsia="Arial" w:hAnsi="Arial"/>
                <w:sz w:val="16"/>
                <w:szCs w:val="16"/>
                <w:b w:val="1"/>
                <w:bCs w:val="1"/>
                <w:color w:val="3D3935"/>
              </w:rPr>
              <w:t>CAGR</w:t>
            </w:r>
          </w:p>
        </w:tc>
        <w:tc>
          <w:tcPr>
            <w:tcW w:w="6580" w:type="dxa"/>
            <w:vAlign w:val="bottom"/>
          </w:tcPr>
          <w:p>
            <w:pPr>
              <w:ind w:left="260"/>
              <w:spacing w:after="0"/>
              <w:rPr>
                <w:sz w:val="20"/>
                <w:szCs w:val="20"/>
                <w:color w:val="auto"/>
              </w:rPr>
            </w:pPr>
            <w:r>
              <w:rPr>
                <w:rFonts w:ascii="Arial" w:cs="Arial" w:eastAsia="Arial" w:hAnsi="Arial"/>
                <w:sz w:val="16"/>
                <w:szCs w:val="16"/>
                <w:color w:val="3D3935"/>
              </w:rPr>
              <w:t>Compound Annual Growth Rate</w:t>
            </w:r>
          </w:p>
        </w:tc>
        <w:tc>
          <w:tcPr>
            <w:tcW w:w="820" w:type="dxa"/>
            <w:vAlign w:val="bottom"/>
            <w:tcBorders>
              <w:right w:val="single" w:sz="8" w:color="CCCCCC"/>
            </w:tcBorders>
          </w:tcPr>
          <w:p>
            <w:pPr>
              <w:spacing w:after="0"/>
              <w:rPr>
                <w:sz w:val="23"/>
                <w:szCs w:val="23"/>
                <w:color w:val="auto"/>
              </w:rPr>
            </w:pPr>
          </w:p>
        </w:tc>
      </w:tr>
      <w:tr>
        <w:trPr>
          <w:trHeight w:val="270"/>
        </w:trPr>
        <w:tc>
          <w:tcPr>
            <w:tcW w:w="820" w:type="dxa"/>
            <w:vAlign w:val="bottom"/>
            <w:tcBorders>
              <w:left w:val="single" w:sz="8" w:color="CCCCCC"/>
            </w:tcBorders>
          </w:tcPr>
          <w:p>
            <w:pPr>
              <w:spacing w:after="0"/>
              <w:rPr>
                <w:sz w:val="23"/>
                <w:szCs w:val="23"/>
                <w:color w:val="auto"/>
              </w:rPr>
            </w:pPr>
          </w:p>
        </w:tc>
        <w:tc>
          <w:tcPr>
            <w:tcW w:w="2500" w:type="dxa"/>
            <w:vAlign w:val="bottom"/>
          </w:tcPr>
          <w:p>
            <w:pPr>
              <w:ind w:left="60"/>
              <w:spacing w:after="0"/>
              <w:rPr>
                <w:sz w:val="20"/>
                <w:szCs w:val="20"/>
                <w:color w:val="auto"/>
              </w:rPr>
            </w:pPr>
            <w:r>
              <w:rPr>
                <w:rFonts w:ascii="Arial" w:cs="Arial" w:eastAsia="Arial" w:hAnsi="Arial"/>
                <w:sz w:val="16"/>
                <w:szCs w:val="16"/>
                <w:b w:val="1"/>
                <w:bCs w:val="1"/>
                <w:color w:val="3D3935"/>
              </w:rPr>
              <w:t>CAP</w:t>
            </w:r>
          </w:p>
        </w:tc>
        <w:tc>
          <w:tcPr>
            <w:tcW w:w="6580" w:type="dxa"/>
            <w:vAlign w:val="bottom"/>
          </w:tcPr>
          <w:p>
            <w:pPr>
              <w:ind w:left="260"/>
              <w:spacing w:after="0"/>
              <w:rPr>
                <w:sz w:val="20"/>
                <w:szCs w:val="20"/>
                <w:color w:val="auto"/>
              </w:rPr>
            </w:pPr>
            <w:r>
              <w:rPr>
                <w:rFonts w:ascii="Arial" w:cs="Arial" w:eastAsia="Arial" w:hAnsi="Arial"/>
                <w:sz w:val="16"/>
                <w:szCs w:val="16"/>
                <w:color w:val="3D3935"/>
              </w:rPr>
              <w:t>Compensation Actually Paid</w:t>
            </w:r>
          </w:p>
        </w:tc>
        <w:tc>
          <w:tcPr>
            <w:tcW w:w="820" w:type="dxa"/>
            <w:vAlign w:val="bottom"/>
            <w:tcBorders>
              <w:right w:val="single" w:sz="8" w:color="CCCCCC"/>
            </w:tcBorders>
          </w:tcPr>
          <w:p>
            <w:pPr>
              <w:spacing w:after="0"/>
              <w:rPr>
                <w:sz w:val="23"/>
                <w:szCs w:val="23"/>
                <w:color w:val="auto"/>
              </w:rPr>
            </w:pPr>
          </w:p>
        </w:tc>
      </w:tr>
      <w:tr>
        <w:trPr>
          <w:trHeight w:val="270"/>
        </w:trPr>
        <w:tc>
          <w:tcPr>
            <w:tcW w:w="820" w:type="dxa"/>
            <w:vAlign w:val="bottom"/>
            <w:tcBorders>
              <w:left w:val="single" w:sz="8" w:color="CCCCCC"/>
            </w:tcBorders>
          </w:tcPr>
          <w:p>
            <w:pPr>
              <w:spacing w:after="0"/>
              <w:rPr>
                <w:sz w:val="23"/>
                <w:szCs w:val="23"/>
                <w:color w:val="auto"/>
              </w:rPr>
            </w:pPr>
          </w:p>
        </w:tc>
        <w:tc>
          <w:tcPr>
            <w:tcW w:w="2500" w:type="dxa"/>
            <w:vAlign w:val="bottom"/>
          </w:tcPr>
          <w:p>
            <w:pPr>
              <w:ind w:left="60"/>
              <w:spacing w:after="0"/>
              <w:rPr>
                <w:sz w:val="20"/>
                <w:szCs w:val="20"/>
                <w:color w:val="auto"/>
              </w:rPr>
            </w:pPr>
            <w:r>
              <w:rPr>
                <w:rFonts w:ascii="Arial" w:cs="Arial" w:eastAsia="Arial" w:hAnsi="Arial"/>
                <w:sz w:val="16"/>
                <w:szCs w:val="16"/>
                <w:b w:val="1"/>
                <w:bCs w:val="1"/>
                <w:color w:val="3D3935"/>
              </w:rPr>
              <w:t>CEO</w:t>
            </w:r>
          </w:p>
        </w:tc>
        <w:tc>
          <w:tcPr>
            <w:tcW w:w="6580" w:type="dxa"/>
            <w:vAlign w:val="bottom"/>
          </w:tcPr>
          <w:p>
            <w:pPr>
              <w:ind w:left="260"/>
              <w:spacing w:after="0"/>
              <w:rPr>
                <w:sz w:val="20"/>
                <w:szCs w:val="20"/>
                <w:color w:val="auto"/>
              </w:rPr>
            </w:pPr>
            <w:r>
              <w:rPr>
                <w:rFonts w:ascii="Arial" w:cs="Arial" w:eastAsia="Arial" w:hAnsi="Arial"/>
                <w:sz w:val="16"/>
                <w:szCs w:val="16"/>
                <w:color w:val="3D3935"/>
              </w:rPr>
              <w:t>Chief Executive Officer</w:t>
            </w:r>
          </w:p>
        </w:tc>
        <w:tc>
          <w:tcPr>
            <w:tcW w:w="820" w:type="dxa"/>
            <w:vAlign w:val="bottom"/>
            <w:tcBorders>
              <w:right w:val="single" w:sz="8" w:color="CCCCCC"/>
            </w:tcBorders>
          </w:tcPr>
          <w:p>
            <w:pPr>
              <w:spacing w:after="0"/>
              <w:rPr>
                <w:sz w:val="23"/>
                <w:szCs w:val="23"/>
                <w:color w:val="auto"/>
              </w:rPr>
            </w:pPr>
          </w:p>
        </w:tc>
      </w:tr>
      <w:tr>
        <w:trPr>
          <w:trHeight w:val="270"/>
        </w:trPr>
        <w:tc>
          <w:tcPr>
            <w:tcW w:w="820" w:type="dxa"/>
            <w:vAlign w:val="bottom"/>
            <w:tcBorders>
              <w:left w:val="single" w:sz="8" w:color="CCCCCC"/>
            </w:tcBorders>
          </w:tcPr>
          <w:p>
            <w:pPr>
              <w:spacing w:after="0"/>
              <w:rPr>
                <w:sz w:val="23"/>
                <w:szCs w:val="23"/>
                <w:color w:val="auto"/>
              </w:rPr>
            </w:pPr>
          </w:p>
        </w:tc>
        <w:tc>
          <w:tcPr>
            <w:tcW w:w="2500" w:type="dxa"/>
            <w:vAlign w:val="bottom"/>
          </w:tcPr>
          <w:p>
            <w:pPr>
              <w:ind w:left="60"/>
              <w:spacing w:after="0"/>
              <w:rPr>
                <w:sz w:val="20"/>
                <w:szCs w:val="20"/>
                <w:color w:val="auto"/>
              </w:rPr>
            </w:pPr>
            <w:r>
              <w:rPr>
                <w:rFonts w:ascii="Arial" w:cs="Arial" w:eastAsia="Arial" w:hAnsi="Arial"/>
                <w:sz w:val="16"/>
                <w:szCs w:val="16"/>
                <w:b w:val="1"/>
                <w:bCs w:val="1"/>
                <w:color w:val="3D3935"/>
              </w:rPr>
              <w:t>CFO</w:t>
            </w:r>
          </w:p>
        </w:tc>
        <w:tc>
          <w:tcPr>
            <w:tcW w:w="6580" w:type="dxa"/>
            <w:vAlign w:val="bottom"/>
          </w:tcPr>
          <w:p>
            <w:pPr>
              <w:ind w:left="260"/>
              <w:spacing w:after="0"/>
              <w:rPr>
                <w:sz w:val="20"/>
                <w:szCs w:val="20"/>
                <w:color w:val="auto"/>
              </w:rPr>
            </w:pPr>
            <w:r>
              <w:rPr>
                <w:rFonts w:ascii="Arial" w:cs="Arial" w:eastAsia="Arial" w:hAnsi="Arial"/>
                <w:sz w:val="16"/>
                <w:szCs w:val="16"/>
                <w:color w:val="3D3935"/>
              </w:rPr>
              <w:t>Chief Financial Officer</w:t>
            </w:r>
          </w:p>
        </w:tc>
        <w:tc>
          <w:tcPr>
            <w:tcW w:w="820" w:type="dxa"/>
            <w:vAlign w:val="bottom"/>
            <w:tcBorders>
              <w:right w:val="single" w:sz="8" w:color="CCCCCC"/>
            </w:tcBorders>
          </w:tcPr>
          <w:p>
            <w:pPr>
              <w:spacing w:after="0"/>
              <w:rPr>
                <w:sz w:val="23"/>
                <w:szCs w:val="23"/>
                <w:color w:val="auto"/>
              </w:rPr>
            </w:pPr>
          </w:p>
        </w:tc>
      </w:tr>
      <w:tr>
        <w:trPr>
          <w:trHeight w:val="270"/>
        </w:trPr>
        <w:tc>
          <w:tcPr>
            <w:tcW w:w="820" w:type="dxa"/>
            <w:vAlign w:val="bottom"/>
            <w:tcBorders>
              <w:left w:val="single" w:sz="8" w:color="CCCCCC"/>
            </w:tcBorders>
          </w:tcPr>
          <w:p>
            <w:pPr>
              <w:spacing w:after="0"/>
              <w:rPr>
                <w:sz w:val="23"/>
                <w:szCs w:val="23"/>
                <w:color w:val="auto"/>
              </w:rPr>
            </w:pPr>
          </w:p>
        </w:tc>
        <w:tc>
          <w:tcPr>
            <w:tcW w:w="2500" w:type="dxa"/>
            <w:vAlign w:val="bottom"/>
          </w:tcPr>
          <w:p>
            <w:pPr>
              <w:ind w:left="60"/>
              <w:spacing w:after="0"/>
              <w:rPr>
                <w:sz w:val="20"/>
                <w:szCs w:val="20"/>
                <w:color w:val="auto"/>
              </w:rPr>
            </w:pPr>
            <w:r>
              <w:rPr>
                <w:rFonts w:ascii="Arial" w:cs="Arial" w:eastAsia="Arial" w:hAnsi="Arial"/>
                <w:sz w:val="16"/>
                <w:szCs w:val="16"/>
                <w:b w:val="1"/>
                <w:bCs w:val="1"/>
                <w:color w:val="3D3935"/>
              </w:rPr>
              <w:t>Code of Conduct</w:t>
            </w:r>
          </w:p>
        </w:tc>
        <w:tc>
          <w:tcPr>
            <w:tcW w:w="6580" w:type="dxa"/>
            <w:vAlign w:val="bottom"/>
          </w:tcPr>
          <w:p>
            <w:pPr>
              <w:ind w:left="260"/>
              <w:spacing w:after="0"/>
              <w:rPr>
                <w:sz w:val="20"/>
                <w:szCs w:val="20"/>
                <w:color w:val="auto"/>
              </w:rPr>
            </w:pPr>
            <w:r>
              <w:rPr>
                <w:rFonts w:ascii="Arial" w:cs="Arial" w:eastAsia="Arial" w:hAnsi="Arial"/>
                <w:sz w:val="16"/>
                <w:szCs w:val="16"/>
                <w:color w:val="3D3935"/>
              </w:rPr>
              <w:t>GM’s Code of Conduct: “Winning with Integrity”</w:t>
            </w:r>
          </w:p>
        </w:tc>
        <w:tc>
          <w:tcPr>
            <w:tcW w:w="820" w:type="dxa"/>
            <w:vAlign w:val="bottom"/>
            <w:tcBorders>
              <w:right w:val="single" w:sz="8" w:color="CCCCCC"/>
            </w:tcBorders>
          </w:tcPr>
          <w:p>
            <w:pPr>
              <w:spacing w:after="0"/>
              <w:rPr>
                <w:sz w:val="23"/>
                <w:szCs w:val="23"/>
                <w:color w:val="auto"/>
              </w:rPr>
            </w:pPr>
          </w:p>
        </w:tc>
      </w:tr>
      <w:tr>
        <w:trPr>
          <w:trHeight w:val="270"/>
        </w:trPr>
        <w:tc>
          <w:tcPr>
            <w:tcW w:w="820" w:type="dxa"/>
            <w:vAlign w:val="bottom"/>
            <w:tcBorders>
              <w:left w:val="single" w:sz="8" w:color="CCCCCC"/>
            </w:tcBorders>
          </w:tcPr>
          <w:p>
            <w:pPr>
              <w:spacing w:after="0"/>
              <w:rPr>
                <w:sz w:val="23"/>
                <w:szCs w:val="23"/>
                <w:color w:val="auto"/>
              </w:rPr>
            </w:pPr>
          </w:p>
        </w:tc>
        <w:tc>
          <w:tcPr>
            <w:tcW w:w="2500" w:type="dxa"/>
            <w:vAlign w:val="bottom"/>
          </w:tcPr>
          <w:p>
            <w:pPr>
              <w:ind w:left="60"/>
              <w:spacing w:after="0"/>
              <w:rPr>
                <w:sz w:val="20"/>
                <w:szCs w:val="20"/>
                <w:color w:val="auto"/>
              </w:rPr>
            </w:pPr>
            <w:r>
              <w:rPr>
                <w:rFonts w:ascii="Arial" w:cs="Arial" w:eastAsia="Arial" w:hAnsi="Arial"/>
                <w:sz w:val="16"/>
                <w:szCs w:val="16"/>
                <w:b w:val="1"/>
                <w:bCs w:val="1"/>
                <w:color w:val="3D3935"/>
              </w:rPr>
              <w:t>Compensation Committee</w:t>
            </w:r>
          </w:p>
        </w:tc>
        <w:tc>
          <w:tcPr>
            <w:tcW w:w="6580" w:type="dxa"/>
            <w:vAlign w:val="bottom"/>
          </w:tcPr>
          <w:p>
            <w:pPr>
              <w:ind w:left="260"/>
              <w:spacing w:after="0"/>
              <w:rPr>
                <w:sz w:val="20"/>
                <w:szCs w:val="20"/>
                <w:color w:val="auto"/>
              </w:rPr>
            </w:pPr>
            <w:r>
              <w:rPr>
                <w:rFonts w:ascii="Arial" w:cs="Arial" w:eastAsia="Arial" w:hAnsi="Arial"/>
                <w:sz w:val="16"/>
                <w:szCs w:val="16"/>
                <w:color w:val="3D3935"/>
              </w:rPr>
              <w:t>Executive Compensation Committee</w:t>
            </w:r>
          </w:p>
        </w:tc>
        <w:tc>
          <w:tcPr>
            <w:tcW w:w="820" w:type="dxa"/>
            <w:vAlign w:val="bottom"/>
            <w:tcBorders>
              <w:right w:val="single" w:sz="8" w:color="CCCCCC"/>
            </w:tcBorders>
          </w:tcPr>
          <w:p>
            <w:pPr>
              <w:spacing w:after="0"/>
              <w:rPr>
                <w:sz w:val="23"/>
                <w:szCs w:val="23"/>
                <w:color w:val="auto"/>
              </w:rPr>
            </w:pPr>
          </w:p>
        </w:tc>
      </w:tr>
      <w:tr>
        <w:trPr>
          <w:trHeight w:val="270"/>
        </w:trPr>
        <w:tc>
          <w:tcPr>
            <w:tcW w:w="820" w:type="dxa"/>
            <w:vAlign w:val="bottom"/>
            <w:tcBorders>
              <w:left w:val="single" w:sz="8" w:color="CCCCCC"/>
            </w:tcBorders>
          </w:tcPr>
          <w:p>
            <w:pPr>
              <w:spacing w:after="0"/>
              <w:rPr>
                <w:sz w:val="23"/>
                <w:szCs w:val="23"/>
                <w:color w:val="auto"/>
              </w:rPr>
            </w:pPr>
          </w:p>
        </w:tc>
        <w:tc>
          <w:tcPr>
            <w:tcW w:w="2500" w:type="dxa"/>
            <w:vAlign w:val="bottom"/>
          </w:tcPr>
          <w:p>
            <w:pPr>
              <w:ind w:left="60"/>
              <w:spacing w:after="0"/>
              <w:rPr>
                <w:sz w:val="20"/>
                <w:szCs w:val="20"/>
                <w:color w:val="auto"/>
              </w:rPr>
            </w:pPr>
            <w:r>
              <w:rPr>
                <w:rFonts w:ascii="Arial" w:cs="Arial" w:eastAsia="Arial" w:hAnsi="Arial"/>
                <w:sz w:val="16"/>
                <w:szCs w:val="16"/>
                <w:b w:val="1"/>
                <w:bCs w:val="1"/>
                <w:color w:val="3D3935"/>
              </w:rPr>
              <w:t>DB</w:t>
            </w:r>
          </w:p>
        </w:tc>
        <w:tc>
          <w:tcPr>
            <w:tcW w:w="6580" w:type="dxa"/>
            <w:vAlign w:val="bottom"/>
          </w:tcPr>
          <w:p>
            <w:pPr>
              <w:ind w:left="260"/>
              <w:spacing w:after="0"/>
              <w:rPr>
                <w:sz w:val="20"/>
                <w:szCs w:val="20"/>
                <w:color w:val="auto"/>
              </w:rPr>
            </w:pPr>
            <w:r>
              <w:rPr>
                <w:rFonts w:ascii="Arial" w:cs="Arial" w:eastAsia="Arial" w:hAnsi="Arial"/>
                <w:sz w:val="16"/>
                <w:szCs w:val="16"/>
                <w:color w:val="3D3935"/>
              </w:rPr>
              <w:t>Defined Benefit</w:t>
            </w:r>
          </w:p>
        </w:tc>
        <w:tc>
          <w:tcPr>
            <w:tcW w:w="820" w:type="dxa"/>
            <w:vAlign w:val="bottom"/>
            <w:tcBorders>
              <w:right w:val="single" w:sz="8" w:color="CCCCCC"/>
            </w:tcBorders>
          </w:tcPr>
          <w:p>
            <w:pPr>
              <w:spacing w:after="0"/>
              <w:rPr>
                <w:sz w:val="23"/>
                <w:szCs w:val="23"/>
                <w:color w:val="auto"/>
              </w:rPr>
            </w:pPr>
          </w:p>
        </w:tc>
      </w:tr>
      <w:tr>
        <w:trPr>
          <w:trHeight w:val="270"/>
        </w:trPr>
        <w:tc>
          <w:tcPr>
            <w:tcW w:w="820" w:type="dxa"/>
            <w:vAlign w:val="bottom"/>
            <w:tcBorders>
              <w:left w:val="single" w:sz="8" w:color="CCCCCC"/>
            </w:tcBorders>
          </w:tcPr>
          <w:p>
            <w:pPr>
              <w:spacing w:after="0"/>
              <w:rPr>
                <w:sz w:val="23"/>
                <w:szCs w:val="23"/>
                <w:color w:val="auto"/>
              </w:rPr>
            </w:pPr>
          </w:p>
        </w:tc>
        <w:tc>
          <w:tcPr>
            <w:tcW w:w="2500" w:type="dxa"/>
            <w:vAlign w:val="bottom"/>
          </w:tcPr>
          <w:p>
            <w:pPr>
              <w:ind w:left="60"/>
              <w:spacing w:after="0"/>
              <w:rPr>
                <w:sz w:val="20"/>
                <w:szCs w:val="20"/>
                <w:color w:val="auto"/>
              </w:rPr>
            </w:pPr>
            <w:r>
              <w:rPr>
                <w:rFonts w:ascii="Arial" w:cs="Arial" w:eastAsia="Arial" w:hAnsi="Arial"/>
                <w:sz w:val="16"/>
                <w:szCs w:val="16"/>
                <w:b w:val="1"/>
                <w:bCs w:val="1"/>
                <w:color w:val="3D3935"/>
              </w:rPr>
              <w:t>DC</w:t>
            </w:r>
          </w:p>
        </w:tc>
        <w:tc>
          <w:tcPr>
            <w:tcW w:w="6580" w:type="dxa"/>
            <w:vAlign w:val="bottom"/>
          </w:tcPr>
          <w:p>
            <w:pPr>
              <w:ind w:left="260"/>
              <w:spacing w:after="0"/>
              <w:rPr>
                <w:sz w:val="20"/>
                <w:szCs w:val="20"/>
                <w:color w:val="auto"/>
              </w:rPr>
            </w:pPr>
            <w:r>
              <w:rPr>
                <w:rFonts w:ascii="Arial" w:cs="Arial" w:eastAsia="Arial" w:hAnsi="Arial"/>
                <w:sz w:val="16"/>
                <w:szCs w:val="16"/>
                <w:color w:val="3D3935"/>
              </w:rPr>
              <w:t>Defined Contribution</w:t>
            </w:r>
          </w:p>
        </w:tc>
        <w:tc>
          <w:tcPr>
            <w:tcW w:w="820" w:type="dxa"/>
            <w:vAlign w:val="bottom"/>
            <w:tcBorders>
              <w:right w:val="single" w:sz="8" w:color="CCCCCC"/>
            </w:tcBorders>
          </w:tcPr>
          <w:p>
            <w:pPr>
              <w:spacing w:after="0"/>
              <w:rPr>
                <w:sz w:val="23"/>
                <w:szCs w:val="23"/>
                <w:color w:val="auto"/>
              </w:rPr>
            </w:pPr>
          </w:p>
        </w:tc>
      </w:tr>
      <w:tr>
        <w:trPr>
          <w:trHeight w:val="270"/>
        </w:trPr>
        <w:tc>
          <w:tcPr>
            <w:tcW w:w="820" w:type="dxa"/>
            <w:vAlign w:val="bottom"/>
            <w:tcBorders>
              <w:left w:val="single" w:sz="8" w:color="CCCCCC"/>
            </w:tcBorders>
          </w:tcPr>
          <w:p>
            <w:pPr>
              <w:spacing w:after="0"/>
              <w:rPr>
                <w:sz w:val="23"/>
                <w:szCs w:val="23"/>
                <w:color w:val="auto"/>
              </w:rPr>
            </w:pPr>
          </w:p>
        </w:tc>
        <w:tc>
          <w:tcPr>
            <w:tcW w:w="2500" w:type="dxa"/>
            <w:vAlign w:val="bottom"/>
          </w:tcPr>
          <w:p>
            <w:pPr>
              <w:ind w:left="60"/>
              <w:spacing w:after="0"/>
              <w:rPr>
                <w:sz w:val="20"/>
                <w:szCs w:val="20"/>
                <w:color w:val="auto"/>
              </w:rPr>
            </w:pPr>
            <w:r>
              <w:rPr>
                <w:rFonts w:ascii="Arial" w:cs="Arial" w:eastAsia="Arial" w:hAnsi="Arial"/>
                <w:sz w:val="16"/>
                <w:szCs w:val="16"/>
                <w:b w:val="1"/>
                <w:bCs w:val="1"/>
                <w:color w:val="3D3935"/>
              </w:rPr>
              <w:t>Director Compensation Plan</w:t>
            </w:r>
          </w:p>
        </w:tc>
        <w:tc>
          <w:tcPr>
            <w:tcW w:w="6580" w:type="dxa"/>
            <w:vAlign w:val="bottom"/>
          </w:tcPr>
          <w:p>
            <w:pPr>
              <w:ind w:left="260"/>
              <w:spacing w:after="0"/>
              <w:rPr>
                <w:sz w:val="20"/>
                <w:szCs w:val="20"/>
                <w:color w:val="auto"/>
              </w:rPr>
            </w:pPr>
            <w:r>
              <w:rPr>
                <w:rFonts w:ascii="Arial" w:cs="Arial" w:eastAsia="Arial" w:hAnsi="Arial"/>
                <w:sz w:val="16"/>
                <w:szCs w:val="16"/>
                <w:color w:val="3D3935"/>
              </w:rPr>
              <w:t>General Motors Company Deferred Compensation Plan for Non-Employee Directors</w:t>
            </w:r>
          </w:p>
        </w:tc>
        <w:tc>
          <w:tcPr>
            <w:tcW w:w="820" w:type="dxa"/>
            <w:vAlign w:val="bottom"/>
            <w:tcBorders>
              <w:right w:val="single" w:sz="8" w:color="CCCCCC"/>
            </w:tcBorders>
          </w:tcPr>
          <w:p>
            <w:pPr>
              <w:spacing w:after="0"/>
              <w:rPr>
                <w:sz w:val="23"/>
                <w:szCs w:val="23"/>
                <w:color w:val="auto"/>
              </w:rPr>
            </w:pPr>
          </w:p>
        </w:tc>
      </w:tr>
      <w:tr>
        <w:trPr>
          <w:trHeight w:val="270"/>
        </w:trPr>
        <w:tc>
          <w:tcPr>
            <w:tcW w:w="820" w:type="dxa"/>
            <w:vAlign w:val="bottom"/>
            <w:tcBorders>
              <w:left w:val="single" w:sz="8" w:color="CCCCCC"/>
            </w:tcBorders>
          </w:tcPr>
          <w:p>
            <w:pPr>
              <w:spacing w:after="0"/>
              <w:rPr>
                <w:sz w:val="23"/>
                <w:szCs w:val="23"/>
                <w:color w:val="auto"/>
              </w:rPr>
            </w:pPr>
          </w:p>
        </w:tc>
        <w:tc>
          <w:tcPr>
            <w:tcW w:w="2500" w:type="dxa"/>
            <w:vAlign w:val="bottom"/>
          </w:tcPr>
          <w:p>
            <w:pPr>
              <w:ind w:left="60"/>
              <w:spacing w:after="0"/>
              <w:rPr>
                <w:sz w:val="20"/>
                <w:szCs w:val="20"/>
                <w:color w:val="auto"/>
              </w:rPr>
            </w:pPr>
            <w:r>
              <w:rPr>
                <w:rFonts w:ascii="Arial" w:cs="Arial" w:eastAsia="Arial" w:hAnsi="Arial"/>
                <w:sz w:val="16"/>
                <w:szCs w:val="16"/>
                <w:b w:val="1"/>
                <w:bCs w:val="1"/>
                <w:color w:val="3D3935"/>
              </w:rPr>
              <w:t>DSU</w:t>
            </w:r>
          </w:p>
        </w:tc>
        <w:tc>
          <w:tcPr>
            <w:tcW w:w="6580" w:type="dxa"/>
            <w:vAlign w:val="bottom"/>
          </w:tcPr>
          <w:p>
            <w:pPr>
              <w:ind w:left="260"/>
              <w:spacing w:after="0"/>
              <w:rPr>
                <w:sz w:val="20"/>
                <w:szCs w:val="20"/>
                <w:color w:val="auto"/>
              </w:rPr>
            </w:pPr>
            <w:r>
              <w:rPr>
                <w:rFonts w:ascii="Arial" w:cs="Arial" w:eastAsia="Arial" w:hAnsi="Arial"/>
                <w:sz w:val="16"/>
                <w:szCs w:val="16"/>
                <w:color w:val="3D3935"/>
              </w:rPr>
              <w:t>Deferred Share Unit</w:t>
            </w:r>
          </w:p>
        </w:tc>
        <w:tc>
          <w:tcPr>
            <w:tcW w:w="820" w:type="dxa"/>
            <w:vAlign w:val="bottom"/>
            <w:tcBorders>
              <w:right w:val="single" w:sz="8" w:color="CCCCCC"/>
            </w:tcBorders>
          </w:tcPr>
          <w:p>
            <w:pPr>
              <w:spacing w:after="0"/>
              <w:rPr>
                <w:sz w:val="23"/>
                <w:szCs w:val="23"/>
                <w:color w:val="auto"/>
              </w:rPr>
            </w:pPr>
          </w:p>
        </w:tc>
      </w:tr>
      <w:tr>
        <w:trPr>
          <w:trHeight w:val="270"/>
        </w:trPr>
        <w:tc>
          <w:tcPr>
            <w:tcW w:w="820" w:type="dxa"/>
            <w:vAlign w:val="bottom"/>
            <w:tcBorders>
              <w:left w:val="single" w:sz="8" w:color="CCCCCC"/>
            </w:tcBorders>
          </w:tcPr>
          <w:p>
            <w:pPr>
              <w:spacing w:after="0"/>
              <w:rPr>
                <w:sz w:val="23"/>
                <w:szCs w:val="23"/>
                <w:color w:val="auto"/>
              </w:rPr>
            </w:pPr>
          </w:p>
        </w:tc>
        <w:tc>
          <w:tcPr>
            <w:tcW w:w="2500" w:type="dxa"/>
            <w:vAlign w:val="bottom"/>
          </w:tcPr>
          <w:p>
            <w:pPr>
              <w:ind w:left="60"/>
              <w:spacing w:after="0"/>
              <w:rPr>
                <w:sz w:val="20"/>
                <w:szCs w:val="20"/>
                <w:color w:val="auto"/>
              </w:rPr>
            </w:pPr>
            <w:r>
              <w:rPr>
                <w:rFonts w:ascii="Arial" w:cs="Arial" w:eastAsia="Arial" w:hAnsi="Arial"/>
                <w:sz w:val="16"/>
                <w:szCs w:val="16"/>
                <w:b w:val="1"/>
                <w:bCs w:val="1"/>
                <w:color w:val="3D3935"/>
              </w:rPr>
              <w:t>EBIT</w:t>
            </w:r>
          </w:p>
        </w:tc>
        <w:tc>
          <w:tcPr>
            <w:tcW w:w="6580" w:type="dxa"/>
            <w:vAlign w:val="bottom"/>
          </w:tcPr>
          <w:p>
            <w:pPr>
              <w:ind w:left="260"/>
              <w:spacing w:after="0"/>
              <w:rPr>
                <w:sz w:val="20"/>
                <w:szCs w:val="20"/>
                <w:color w:val="auto"/>
              </w:rPr>
            </w:pPr>
            <w:r>
              <w:rPr>
                <w:rFonts w:ascii="Arial" w:cs="Arial" w:eastAsia="Arial" w:hAnsi="Arial"/>
                <w:sz w:val="16"/>
                <w:szCs w:val="16"/>
                <w:color w:val="3D3935"/>
              </w:rPr>
              <w:t>Earnings Before Interest and Taxes</w:t>
            </w:r>
          </w:p>
        </w:tc>
        <w:tc>
          <w:tcPr>
            <w:tcW w:w="820" w:type="dxa"/>
            <w:vAlign w:val="bottom"/>
            <w:tcBorders>
              <w:right w:val="single" w:sz="8" w:color="CCCCCC"/>
            </w:tcBorders>
          </w:tcPr>
          <w:p>
            <w:pPr>
              <w:spacing w:after="0"/>
              <w:rPr>
                <w:sz w:val="23"/>
                <w:szCs w:val="23"/>
                <w:color w:val="auto"/>
              </w:rPr>
            </w:pPr>
          </w:p>
        </w:tc>
      </w:tr>
      <w:tr>
        <w:trPr>
          <w:trHeight w:val="270"/>
        </w:trPr>
        <w:tc>
          <w:tcPr>
            <w:tcW w:w="820" w:type="dxa"/>
            <w:vAlign w:val="bottom"/>
            <w:tcBorders>
              <w:left w:val="single" w:sz="8" w:color="CCCCCC"/>
            </w:tcBorders>
          </w:tcPr>
          <w:p>
            <w:pPr>
              <w:spacing w:after="0"/>
              <w:rPr>
                <w:sz w:val="23"/>
                <w:szCs w:val="23"/>
                <w:color w:val="auto"/>
              </w:rPr>
            </w:pPr>
          </w:p>
        </w:tc>
        <w:tc>
          <w:tcPr>
            <w:tcW w:w="2500" w:type="dxa"/>
            <w:vAlign w:val="bottom"/>
          </w:tcPr>
          <w:p>
            <w:pPr>
              <w:ind w:left="60"/>
              <w:spacing w:after="0"/>
              <w:rPr>
                <w:sz w:val="20"/>
                <w:szCs w:val="20"/>
                <w:color w:val="auto"/>
              </w:rPr>
            </w:pPr>
            <w:r>
              <w:rPr>
                <w:rFonts w:ascii="Arial" w:cs="Arial" w:eastAsia="Arial" w:hAnsi="Arial"/>
                <w:sz w:val="16"/>
                <w:szCs w:val="16"/>
                <w:b w:val="1"/>
                <w:bCs w:val="1"/>
                <w:color w:val="3D3935"/>
              </w:rPr>
              <w:t>EBT</w:t>
            </w:r>
          </w:p>
        </w:tc>
        <w:tc>
          <w:tcPr>
            <w:tcW w:w="7400" w:type="dxa"/>
            <w:vAlign w:val="bottom"/>
            <w:tcBorders>
              <w:right w:val="single" w:sz="8" w:color="CCCCCC"/>
            </w:tcBorders>
            <w:gridSpan w:val="2"/>
          </w:tcPr>
          <w:p>
            <w:pPr>
              <w:ind w:left="260"/>
              <w:spacing w:after="0"/>
              <w:rPr>
                <w:sz w:val="20"/>
                <w:szCs w:val="20"/>
                <w:color w:val="auto"/>
              </w:rPr>
            </w:pPr>
            <w:r>
              <w:rPr>
                <w:rFonts w:ascii="Arial" w:cs="Arial" w:eastAsia="Arial" w:hAnsi="Arial"/>
                <w:sz w:val="16"/>
                <w:szCs w:val="16"/>
                <w:color w:val="3D3935"/>
              </w:rPr>
              <w:t>Earnings Before Taxes</w:t>
            </w:r>
          </w:p>
        </w:tc>
      </w:tr>
      <w:tr>
        <w:trPr>
          <w:trHeight w:val="270"/>
        </w:trPr>
        <w:tc>
          <w:tcPr>
            <w:tcW w:w="820" w:type="dxa"/>
            <w:vAlign w:val="bottom"/>
            <w:tcBorders>
              <w:left w:val="single" w:sz="8" w:color="CCCCCC"/>
            </w:tcBorders>
          </w:tcPr>
          <w:p>
            <w:pPr>
              <w:spacing w:after="0"/>
              <w:rPr>
                <w:sz w:val="23"/>
                <w:szCs w:val="23"/>
                <w:color w:val="auto"/>
              </w:rPr>
            </w:pPr>
          </w:p>
        </w:tc>
        <w:tc>
          <w:tcPr>
            <w:tcW w:w="2500" w:type="dxa"/>
            <w:vAlign w:val="bottom"/>
          </w:tcPr>
          <w:p>
            <w:pPr>
              <w:ind w:left="60"/>
              <w:spacing w:after="0"/>
              <w:rPr>
                <w:sz w:val="20"/>
                <w:szCs w:val="20"/>
                <w:color w:val="auto"/>
              </w:rPr>
            </w:pPr>
            <w:r>
              <w:rPr>
                <w:rFonts w:ascii="Arial" w:cs="Arial" w:eastAsia="Arial" w:hAnsi="Arial"/>
                <w:sz w:val="16"/>
                <w:szCs w:val="16"/>
                <w:b w:val="1"/>
                <w:bCs w:val="1"/>
                <w:color w:val="3D3935"/>
              </w:rPr>
              <w:t>EPS</w:t>
            </w:r>
          </w:p>
        </w:tc>
        <w:tc>
          <w:tcPr>
            <w:tcW w:w="6580" w:type="dxa"/>
            <w:vAlign w:val="bottom"/>
          </w:tcPr>
          <w:p>
            <w:pPr>
              <w:ind w:left="260"/>
              <w:spacing w:after="0"/>
              <w:rPr>
                <w:sz w:val="20"/>
                <w:szCs w:val="20"/>
                <w:color w:val="auto"/>
              </w:rPr>
            </w:pPr>
            <w:r>
              <w:rPr>
                <w:rFonts w:ascii="Arial" w:cs="Arial" w:eastAsia="Arial" w:hAnsi="Arial"/>
                <w:sz w:val="16"/>
                <w:szCs w:val="16"/>
                <w:color w:val="3D3935"/>
              </w:rPr>
              <w:t>Earnings Per Share</w:t>
            </w:r>
          </w:p>
        </w:tc>
        <w:tc>
          <w:tcPr>
            <w:tcW w:w="820" w:type="dxa"/>
            <w:vAlign w:val="bottom"/>
            <w:tcBorders>
              <w:right w:val="single" w:sz="8" w:color="CCCCCC"/>
            </w:tcBorders>
          </w:tcPr>
          <w:p>
            <w:pPr>
              <w:spacing w:after="0"/>
              <w:rPr>
                <w:sz w:val="23"/>
                <w:szCs w:val="23"/>
                <w:color w:val="auto"/>
              </w:rPr>
            </w:pPr>
          </w:p>
        </w:tc>
      </w:tr>
      <w:tr>
        <w:trPr>
          <w:trHeight w:val="270"/>
        </w:trPr>
        <w:tc>
          <w:tcPr>
            <w:tcW w:w="820" w:type="dxa"/>
            <w:vAlign w:val="bottom"/>
            <w:tcBorders>
              <w:left w:val="single" w:sz="8" w:color="CCCCCC"/>
            </w:tcBorders>
          </w:tcPr>
          <w:p>
            <w:pPr>
              <w:spacing w:after="0"/>
              <w:rPr>
                <w:sz w:val="23"/>
                <w:szCs w:val="23"/>
                <w:color w:val="auto"/>
              </w:rPr>
            </w:pPr>
          </w:p>
        </w:tc>
        <w:tc>
          <w:tcPr>
            <w:tcW w:w="2500" w:type="dxa"/>
            <w:vAlign w:val="bottom"/>
          </w:tcPr>
          <w:p>
            <w:pPr>
              <w:ind w:left="60"/>
              <w:spacing w:after="0"/>
              <w:rPr>
                <w:sz w:val="20"/>
                <w:szCs w:val="20"/>
                <w:color w:val="auto"/>
              </w:rPr>
            </w:pPr>
            <w:r>
              <w:rPr>
                <w:rFonts w:ascii="Arial" w:cs="Arial" w:eastAsia="Arial" w:hAnsi="Arial"/>
                <w:sz w:val="16"/>
                <w:szCs w:val="16"/>
                <w:b w:val="1"/>
                <w:bCs w:val="1"/>
                <w:color w:val="3D3935"/>
              </w:rPr>
              <w:t>ESG</w:t>
            </w:r>
          </w:p>
        </w:tc>
        <w:tc>
          <w:tcPr>
            <w:tcW w:w="6580" w:type="dxa"/>
            <w:vAlign w:val="bottom"/>
          </w:tcPr>
          <w:p>
            <w:pPr>
              <w:ind w:left="260"/>
              <w:spacing w:after="0"/>
              <w:rPr>
                <w:sz w:val="20"/>
                <w:szCs w:val="20"/>
                <w:color w:val="auto"/>
              </w:rPr>
            </w:pPr>
            <w:r>
              <w:rPr>
                <w:rFonts w:ascii="Arial" w:cs="Arial" w:eastAsia="Arial" w:hAnsi="Arial"/>
                <w:sz w:val="16"/>
                <w:szCs w:val="16"/>
                <w:color w:val="3D3935"/>
              </w:rPr>
              <w:t>Environmental, Social, and Governance</w:t>
            </w:r>
          </w:p>
        </w:tc>
        <w:tc>
          <w:tcPr>
            <w:tcW w:w="820" w:type="dxa"/>
            <w:vAlign w:val="bottom"/>
            <w:tcBorders>
              <w:right w:val="single" w:sz="8" w:color="CCCCCC"/>
            </w:tcBorders>
          </w:tcPr>
          <w:p>
            <w:pPr>
              <w:spacing w:after="0"/>
              <w:rPr>
                <w:sz w:val="23"/>
                <w:szCs w:val="23"/>
                <w:color w:val="auto"/>
              </w:rPr>
            </w:pPr>
          </w:p>
        </w:tc>
      </w:tr>
      <w:tr>
        <w:trPr>
          <w:trHeight w:val="270"/>
        </w:trPr>
        <w:tc>
          <w:tcPr>
            <w:tcW w:w="820" w:type="dxa"/>
            <w:vAlign w:val="bottom"/>
            <w:tcBorders>
              <w:left w:val="single" w:sz="8" w:color="CCCCCC"/>
            </w:tcBorders>
          </w:tcPr>
          <w:p>
            <w:pPr>
              <w:spacing w:after="0"/>
              <w:rPr>
                <w:sz w:val="23"/>
                <w:szCs w:val="23"/>
                <w:color w:val="auto"/>
              </w:rPr>
            </w:pPr>
          </w:p>
        </w:tc>
        <w:tc>
          <w:tcPr>
            <w:tcW w:w="2500" w:type="dxa"/>
            <w:vAlign w:val="bottom"/>
          </w:tcPr>
          <w:p>
            <w:pPr>
              <w:ind w:left="60"/>
              <w:spacing w:after="0"/>
              <w:rPr>
                <w:sz w:val="20"/>
                <w:szCs w:val="20"/>
                <w:color w:val="auto"/>
              </w:rPr>
            </w:pPr>
            <w:r>
              <w:rPr>
                <w:rFonts w:ascii="Arial" w:cs="Arial" w:eastAsia="Arial" w:hAnsi="Arial"/>
                <w:sz w:val="16"/>
                <w:szCs w:val="16"/>
                <w:b w:val="1"/>
                <w:bCs w:val="1"/>
                <w:color w:val="3D3935"/>
              </w:rPr>
              <w:t>EV</w:t>
            </w:r>
          </w:p>
        </w:tc>
        <w:tc>
          <w:tcPr>
            <w:tcW w:w="6580" w:type="dxa"/>
            <w:vAlign w:val="bottom"/>
          </w:tcPr>
          <w:p>
            <w:pPr>
              <w:ind w:left="260"/>
              <w:spacing w:after="0"/>
              <w:rPr>
                <w:sz w:val="20"/>
                <w:szCs w:val="20"/>
                <w:color w:val="auto"/>
              </w:rPr>
            </w:pPr>
            <w:r>
              <w:rPr>
                <w:rFonts w:ascii="Arial" w:cs="Arial" w:eastAsia="Arial" w:hAnsi="Arial"/>
                <w:sz w:val="16"/>
                <w:szCs w:val="16"/>
                <w:color w:val="3D3935"/>
              </w:rPr>
              <w:t>Electric Vehicle</w:t>
            </w:r>
          </w:p>
        </w:tc>
        <w:tc>
          <w:tcPr>
            <w:tcW w:w="820" w:type="dxa"/>
            <w:vAlign w:val="bottom"/>
            <w:tcBorders>
              <w:right w:val="single" w:sz="8" w:color="CCCCCC"/>
            </w:tcBorders>
          </w:tcPr>
          <w:p>
            <w:pPr>
              <w:spacing w:after="0"/>
              <w:rPr>
                <w:sz w:val="23"/>
                <w:szCs w:val="23"/>
                <w:color w:val="auto"/>
              </w:rPr>
            </w:pPr>
          </w:p>
        </w:tc>
      </w:tr>
      <w:tr>
        <w:trPr>
          <w:trHeight w:val="270"/>
        </w:trPr>
        <w:tc>
          <w:tcPr>
            <w:tcW w:w="820" w:type="dxa"/>
            <w:vAlign w:val="bottom"/>
            <w:tcBorders>
              <w:left w:val="single" w:sz="8" w:color="CCCCCC"/>
            </w:tcBorders>
          </w:tcPr>
          <w:p>
            <w:pPr>
              <w:spacing w:after="0"/>
              <w:rPr>
                <w:sz w:val="23"/>
                <w:szCs w:val="23"/>
                <w:color w:val="auto"/>
              </w:rPr>
            </w:pPr>
          </w:p>
        </w:tc>
        <w:tc>
          <w:tcPr>
            <w:tcW w:w="2500" w:type="dxa"/>
            <w:vAlign w:val="bottom"/>
          </w:tcPr>
          <w:p>
            <w:pPr>
              <w:ind w:left="60"/>
              <w:spacing w:after="0"/>
              <w:rPr>
                <w:sz w:val="20"/>
                <w:szCs w:val="20"/>
                <w:color w:val="auto"/>
              </w:rPr>
            </w:pPr>
            <w:r>
              <w:rPr>
                <w:rFonts w:ascii="Arial" w:cs="Arial" w:eastAsia="Arial" w:hAnsi="Arial"/>
                <w:sz w:val="16"/>
                <w:szCs w:val="16"/>
                <w:b w:val="1"/>
                <w:bCs w:val="1"/>
                <w:color w:val="3D3935"/>
              </w:rPr>
              <w:t>EY</w:t>
            </w:r>
          </w:p>
        </w:tc>
        <w:tc>
          <w:tcPr>
            <w:tcW w:w="6580" w:type="dxa"/>
            <w:vAlign w:val="bottom"/>
          </w:tcPr>
          <w:p>
            <w:pPr>
              <w:ind w:left="260"/>
              <w:spacing w:after="0"/>
              <w:rPr>
                <w:sz w:val="20"/>
                <w:szCs w:val="20"/>
                <w:color w:val="auto"/>
              </w:rPr>
            </w:pPr>
            <w:r>
              <w:rPr>
                <w:rFonts w:ascii="Arial" w:cs="Arial" w:eastAsia="Arial" w:hAnsi="Arial"/>
                <w:sz w:val="16"/>
                <w:szCs w:val="16"/>
                <w:color w:val="3D3935"/>
              </w:rPr>
              <w:t>Ernst &amp; Young LLP</w:t>
            </w:r>
          </w:p>
        </w:tc>
        <w:tc>
          <w:tcPr>
            <w:tcW w:w="820" w:type="dxa"/>
            <w:vAlign w:val="bottom"/>
            <w:tcBorders>
              <w:right w:val="single" w:sz="8" w:color="CCCCCC"/>
            </w:tcBorders>
          </w:tcPr>
          <w:p>
            <w:pPr>
              <w:spacing w:after="0"/>
              <w:rPr>
                <w:sz w:val="23"/>
                <w:szCs w:val="23"/>
                <w:color w:val="auto"/>
              </w:rPr>
            </w:pPr>
          </w:p>
        </w:tc>
      </w:tr>
      <w:tr>
        <w:trPr>
          <w:trHeight w:val="270"/>
        </w:trPr>
        <w:tc>
          <w:tcPr>
            <w:tcW w:w="820" w:type="dxa"/>
            <w:vAlign w:val="bottom"/>
            <w:tcBorders>
              <w:left w:val="single" w:sz="8" w:color="CCCCCC"/>
            </w:tcBorders>
          </w:tcPr>
          <w:p>
            <w:pPr>
              <w:spacing w:after="0"/>
              <w:rPr>
                <w:sz w:val="23"/>
                <w:szCs w:val="23"/>
                <w:color w:val="auto"/>
              </w:rPr>
            </w:pPr>
          </w:p>
        </w:tc>
        <w:tc>
          <w:tcPr>
            <w:tcW w:w="2500" w:type="dxa"/>
            <w:vAlign w:val="bottom"/>
          </w:tcPr>
          <w:p>
            <w:pPr>
              <w:ind w:left="60"/>
              <w:spacing w:after="0"/>
              <w:rPr>
                <w:sz w:val="20"/>
                <w:szCs w:val="20"/>
                <w:color w:val="auto"/>
              </w:rPr>
            </w:pPr>
            <w:r>
              <w:rPr>
                <w:rFonts w:ascii="Arial" w:cs="Arial" w:eastAsia="Arial" w:hAnsi="Arial"/>
                <w:sz w:val="16"/>
                <w:szCs w:val="16"/>
                <w:b w:val="1"/>
                <w:bCs w:val="1"/>
                <w:color w:val="3D3935"/>
              </w:rPr>
              <w:t>GAAP</w:t>
            </w:r>
          </w:p>
        </w:tc>
        <w:tc>
          <w:tcPr>
            <w:tcW w:w="6580" w:type="dxa"/>
            <w:vAlign w:val="bottom"/>
          </w:tcPr>
          <w:p>
            <w:pPr>
              <w:ind w:left="260"/>
              <w:spacing w:after="0"/>
              <w:rPr>
                <w:sz w:val="20"/>
                <w:szCs w:val="20"/>
                <w:color w:val="auto"/>
              </w:rPr>
            </w:pPr>
            <w:r>
              <w:rPr>
                <w:rFonts w:ascii="Arial" w:cs="Arial" w:eastAsia="Arial" w:hAnsi="Arial"/>
                <w:sz w:val="16"/>
                <w:szCs w:val="16"/>
                <w:color w:val="3D3935"/>
              </w:rPr>
              <w:t>U.S. Generally Accepted Accounting Principles</w:t>
            </w:r>
          </w:p>
        </w:tc>
        <w:tc>
          <w:tcPr>
            <w:tcW w:w="820" w:type="dxa"/>
            <w:vAlign w:val="bottom"/>
            <w:tcBorders>
              <w:right w:val="single" w:sz="8" w:color="CCCCCC"/>
            </w:tcBorders>
          </w:tcPr>
          <w:p>
            <w:pPr>
              <w:spacing w:after="0"/>
              <w:rPr>
                <w:sz w:val="23"/>
                <w:szCs w:val="23"/>
                <w:color w:val="auto"/>
              </w:rPr>
            </w:pPr>
          </w:p>
        </w:tc>
      </w:tr>
      <w:tr>
        <w:trPr>
          <w:trHeight w:val="270"/>
        </w:trPr>
        <w:tc>
          <w:tcPr>
            <w:tcW w:w="820" w:type="dxa"/>
            <w:vAlign w:val="bottom"/>
            <w:tcBorders>
              <w:left w:val="single" w:sz="8" w:color="CCCCCC"/>
            </w:tcBorders>
          </w:tcPr>
          <w:p>
            <w:pPr>
              <w:spacing w:after="0"/>
              <w:rPr>
                <w:sz w:val="23"/>
                <w:szCs w:val="23"/>
                <w:color w:val="auto"/>
              </w:rPr>
            </w:pPr>
          </w:p>
        </w:tc>
        <w:tc>
          <w:tcPr>
            <w:tcW w:w="2500" w:type="dxa"/>
            <w:vAlign w:val="bottom"/>
          </w:tcPr>
          <w:p>
            <w:pPr>
              <w:ind w:left="60"/>
              <w:spacing w:after="0"/>
              <w:rPr>
                <w:sz w:val="20"/>
                <w:szCs w:val="20"/>
                <w:color w:val="auto"/>
              </w:rPr>
            </w:pPr>
            <w:r>
              <w:rPr>
                <w:rFonts w:ascii="Arial" w:cs="Arial" w:eastAsia="Arial" w:hAnsi="Arial"/>
                <w:sz w:val="16"/>
                <w:szCs w:val="16"/>
                <w:b w:val="1"/>
                <w:bCs w:val="1"/>
                <w:color w:val="3D3935"/>
              </w:rPr>
              <w:t>GHG</w:t>
            </w:r>
          </w:p>
        </w:tc>
        <w:tc>
          <w:tcPr>
            <w:tcW w:w="6580" w:type="dxa"/>
            <w:vAlign w:val="bottom"/>
          </w:tcPr>
          <w:p>
            <w:pPr>
              <w:ind w:left="260"/>
              <w:spacing w:after="0"/>
              <w:rPr>
                <w:sz w:val="20"/>
                <w:szCs w:val="20"/>
                <w:color w:val="auto"/>
              </w:rPr>
            </w:pPr>
            <w:r>
              <w:rPr>
                <w:rFonts w:ascii="Arial" w:cs="Arial" w:eastAsia="Arial" w:hAnsi="Arial"/>
                <w:sz w:val="16"/>
                <w:szCs w:val="16"/>
                <w:color w:val="3D3935"/>
              </w:rPr>
              <w:t>Greenhouse Gas</w:t>
            </w:r>
          </w:p>
        </w:tc>
        <w:tc>
          <w:tcPr>
            <w:tcW w:w="820" w:type="dxa"/>
            <w:vAlign w:val="bottom"/>
            <w:tcBorders>
              <w:right w:val="single" w:sz="8" w:color="CCCCCC"/>
            </w:tcBorders>
          </w:tcPr>
          <w:p>
            <w:pPr>
              <w:spacing w:after="0"/>
              <w:rPr>
                <w:sz w:val="23"/>
                <w:szCs w:val="23"/>
                <w:color w:val="auto"/>
              </w:rPr>
            </w:pPr>
          </w:p>
        </w:tc>
      </w:tr>
      <w:tr>
        <w:trPr>
          <w:trHeight w:val="270"/>
        </w:trPr>
        <w:tc>
          <w:tcPr>
            <w:tcW w:w="820" w:type="dxa"/>
            <w:vAlign w:val="bottom"/>
            <w:tcBorders>
              <w:left w:val="single" w:sz="8" w:color="CCCCCC"/>
            </w:tcBorders>
          </w:tcPr>
          <w:p>
            <w:pPr>
              <w:spacing w:after="0"/>
              <w:rPr>
                <w:sz w:val="23"/>
                <w:szCs w:val="23"/>
                <w:color w:val="auto"/>
              </w:rPr>
            </w:pPr>
          </w:p>
        </w:tc>
        <w:tc>
          <w:tcPr>
            <w:tcW w:w="2500" w:type="dxa"/>
            <w:vAlign w:val="bottom"/>
          </w:tcPr>
          <w:p>
            <w:pPr>
              <w:ind w:left="60"/>
              <w:spacing w:after="0"/>
              <w:rPr>
                <w:sz w:val="20"/>
                <w:szCs w:val="20"/>
                <w:color w:val="auto"/>
              </w:rPr>
            </w:pPr>
            <w:r>
              <w:rPr>
                <w:rFonts w:ascii="Arial" w:cs="Arial" w:eastAsia="Arial" w:hAnsi="Arial"/>
                <w:sz w:val="16"/>
                <w:szCs w:val="16"/>
                <w:b w:val="1"/>
                <w:bCs w:val="1"/>
                <w:color w:val="3D3935"/>
              </w:rPr>
              <w:t>GICS</w:t>
            </w:r>
          </w:p>
        </w:tc>
        <w:tc>
          <w:tcPr>
            <w:tcW w:w="6580" w:type="dxa"/>
            <w:vAlign w:val="bottom"/>
          </w:tcPr>
          <w:p>
            <w:pPr>
              <w:ind w:left="260"/>
              <w:spacing w:after="0"/>
              <w:rPr>
                <w:sz w:val="20"/>
                <w:szCs w:val="20"/>
                <w:color w:val="auto"/>
              </w:rPr>
            </w:pPr>
            <w:r>
              <w:rPr>
                <w:rFonts w:ascii="Arial" w:cs="Arial" w:eastAsia="Arial" w:hAnsi="Arial"/>
                <w:sz w:val="16"/>
                <w:szCs w:val="16"/>
                <w:color w:val="3D3935"/>
              </w:rPr>
              <w:t>Global Industry Classification Standard</w:t>
            </w:r>
          </w:p>
        </w:tc>
        <w:tc>
          <w:tcPr>
            <w:tcW w:w="820" w:type="dxa"/>
            <w:vAlign w:val="bottom"/>
            <w:tcBorders>
              <w:right w:val="single" w:sz="8" w:color="CCCCCC"/>
            </w:tcBorders>
          </w:tcPr>
          <w:p>
            <w:pPr>
              <w:spacing w:after="0"/>
              <w:rPr>
                <w:sz w:val="23"/>
                <w:szCs w:val="23"/>
                <w:color w:val="auto"/>
              </w:rPr>
            </w:pPr>
          </w:p>
        </w:tc>
      </w:tr>
      <w:tr>
        <w:trPr>
          <w:trHeight w:val="263"/>
        </w:trPr>
        <w:tc>
          <w:tcPr>
            <w:tcW w:w="820" w:type="dxa"/>
            <w:vAlign w:val="bottom"/>
            <w:tcBorders>
              <w:left w:val="single" w:sz="8" w:color="CCCCCC"/>
            </w:tcBorders>
          </w:tcPr>
          <w:p>
            <w:pPr>
              <w:spacing w:after="0"/>
              <w:rPr>
                <w:sz w:val="22"/>
                <w:szCs w:val="22"/>
                <w:color w:val="auto"/>
              </w:rPr>
            </w:pPr>
          </w:p>
        </w:tc>
        <w:tc>
          <w:tcPr>
            <w:tcW w:w="2500" w:type="dxa"/>
            <w:vAlign w:val="bottom"/>
          </w:tcPr>
          <w:p>
            <w:pPr>
              <w:ind w:left="60"/>
              <w:spacing w:after="0"/>
              <w:rPr>
                <w:sz w:val="20"/>
                <w:szCs w:val="20"/>
                <w:color w:val="auto"/>
              </w:rPr>
            </w:pPr>
            <w:r>
              <w:rPr>
                <w:rFonts w:ascii="Arial" w:cs="Arial" w:eastAsia="Arial" w:hAnsi="Arial"/>
                <w:sz w:val="16"/>
                <w:szCs w:val="16"/>
                <w:b w:val="1"/>
                <w:bCs w:val="1"/>
                <w:color w:val="3D3935"/>
              </w:rPr>
              <w:t>GM, General Motors, or</w:t>
            </w:r>
          </w:p>
        </w:tc>
        <w:tc>
          <w:tcPr>
            <w:tcW w:w="6580" w:type="dxa"/>
            <w:vAlign w:val="bottom"/>
          </w:tcPr>
          <w:p>
            <w:pPr>
              <w:ind w:left="260"/>
              <w:spacing w:after="0"/>
              <w:rPr>
                <w:sz w:val="20"/>
                <w:szCs w:val="20"/>
                <w:color w:val="auto"/>
              </w:rPr>
            </w:pPr>
            <w:r>
              <w:rPr>
                <w:rFonts w:ascii="Arial" w:cs="Arial" w:eastAsia="Arial" w:hAnsi="Arial"/>
                <w:sz w:val="16"/>
                <w:szCs w:val="16"/>
                <w:color w:val="3D3935"/>
              </w:rPr>
              <w:t>General Motors Company</w:t>
            </w:r>
          </w:p>
        </w:tc>
        <w:tc>
          <w:tcPr>
            <w:tcW w:w="820" w:type="dxa"/>
            <w:vAlign w:val="bottom"/>
            <w:tcBorders>
              <w:right w:val="single" w:sz="8" w:color="CCCCCC"/>
            </w:tcBorders>
          </w:tcPr>
          <w:p>
            <w:pPr>
              <w:spacing w:after="0"/>
              <w:rPr>
                <w:sz w:val="22"/>
                <w:szCs w:val="22"/>
                <w:color w:val="auto"/>
              </w:rPr>
            </w:pPr>
          </w:p>
        </w:tc>
      </w:tr>
      <w:tr>
        <w:trPr>
          <w:trHeight w:val="223"/>
        </w:trPr>
        <w:tc>
          <w:tcPr>
            <w:tcW w:w="820" w:type="dxa"/>
            <w:vAlign w:val="bottom"/>
            <w:tcBorders>
              <w:left w:val="single" w:sz="8" w:color="CCCCCC"/>
            </w:tcBorders>
          </w:tcPr>
          <w:p>
            <w:pPr>
              <w:spacing w:after="0"/>
              <w:rPr>
                <w:sz w:val="19"/>
                <w:szCs w:val="19"/>
                <w:color w:val="auto"/>
              </w:rPr>
            </w:pPr>
          </w:p>
        </w:tc>
        <w:tc>
          <w:tcPr>
            <w:tcW w:w="2500" w:type="dxa"/>
            <w:vAlign w:val="bottom"/>
          </w:tcPr>
          <w:p>
            <w:pPr>
              <w:ind w:left="60"/>
              <w:spacing w:after="0"/>
              <w:rPr>
                <w:sz w:val="20"/>
                <w:szCs w:val="20"/>
                <w:color w:val="auto"/>
              </w:rPr>
            </w:pPr>
            <w:r>
              <w:rPr>
                <w:rFonts w:ascii="Arial" w:cs="Arial" w:eastAsia="Arial" w:hAnsi="Arial"/>
                <w:sz w:val="16"/>
                <w:szCs w:val="16"/>
                <w:b w:val="1"/>
                <w:bCs w:val="1"/>
                <w:color w:val="3D3935"/>
              </w:rPr>
              <w:t>the Company</w:t>
            </w:r>
          </w:p>
        </w:tc>
        <w:tc>
          <w:tcPr>
            <w:tcW w:w="6580" w:type="dxa"/>
            <w:vAlign w:val="bottom"/>
          </w:tcPr>
          <w:p>
            <w:pPr>
              <w:spacing w:after="0"/>
              <w:rPr>
                <w:sz w:val="19"/>
                <w:szCs w:val="19"/>
                <w:color w:val="auto"/>
              </w:rPr>
            </w:pPr>
          </w:p>
        </w:tc>
        <w:tc>
          <w:tcPr>
            <w:tcW w:w="820" w:type="dxa"/>
            <w:vAlign w:val="bottom"/>
            <w:tcBorders>
              <w:right w:val="single" w:sz="8" w:color="CCCCCC"/>
            </w:tcBorders>
          </w:tcPr>
          <w:p>
            <w:pPr>
              <w:spacing w:after="0"/>
              <w:rPr>
                <w:sz w:val="19"/>
                <w:szCs w:val="19"/>
                <w:color w:val="auto"/>
              </w:rPr>
            </w:pPr>
          </w:p>
        </w:tc>
      </w:tr>
      <w:tr>
        <w:trPr>
          <w:trHeight w:val="256"/>
        </w:trPr>
        <w:tc>
          <w:tcPr>
            <w:tcW w:w="820" w:type="dxa"/>
            <w:vAlign w:val="bottom"/>
            <w:tcBorders>
              <w:left w:val="single" w:sz="8" w:color="CCCCCC"/>
            </w:tcBorders>
          </w:tcPr>
          <w:p>
            <w:pPr>
              <w:spacing w:after="0"/>
              <w:rPr>
                <w:sz w:val="22"/>
                <w:szCs w:val="22"/>
                <w:color w:val="auto"/>
              </w:rPr>
            </w:pPr>
          </w:p>
        </w:tc>
        <w:tc>
          <w:tcPr>
            <w:tcW w:w="2500" w:type="dxa"/>
            <w:vAlign w:val="bottom"/>
          </w:tcPr>
          <w:p>
            <w:pPr>
              <w:ind w:left="60"/>
              <w:spacing w:after="0"/>
              <w:rPr>
                <w:sz w:val="20"/>
                <w:szCs w:val="20"/>
                <w:color w:val="auto"/>
              </w:rPr>
            </w:pPr>
            <w:r>
              <w:rPr>
                <w:rFonts w:ascii="Arial" w:cs="Arial" w:eastAsia="Arial" w:hAnsi="Arial"/>
                <w:sz w:val="16"/>
                <w:szCs w:val="16"/>
                <w:b w:val="1"/>
                <w:bCs w:val="1"/>
                <w:color w:val="3D3935"/>
              </w:rPr>
              <w:t>GM Financial</w:t>
            </w:r>
          </w:p>
        </w:tc>
        <w:tc>
          <w:tcPr>
            <w:tcW w:w="6580" w:type="dxa"/>
            <w:vAlign w:val="bottom"/>
          </w:tcPr>
          <w:p>
            <w:pPr>
              <w:ind w:left="260"/>
              <w:spacing w:after="0"/>
              <w:rPr>
                <w:sz w:val="20"/>
                <w:szCs w:val="20"/>
                <w:color w:val="auto"/>
              </w:rPr>
            </w:pPr>
            <w:r>
              <w:rPr>
                <w:rFonts w:ascii="Arial" w:cs="Arial" w:eastAsia="Arial" w:hAnsi="Arial"/>
                <w:sz w:val="16"/>
                <w:szCs w:val="16"/>
                <w:color w:val="3D3935"/>
              </w:rPr>
              <w:t>General Motors Financial Company, Inc.</w:t>
            </w:r>
          </w:p>
        </w:tc>
        <w:tc>
          <w:tcPr>
            <w:tcW w:w="820" w:type="dxa"/>
            <w:vAlign w:val="bottom"/>
            <w:tcBorders>
              <w:right w:val="single" w:sz="8" w:color="CCCCCC"/>
            </w:tcBorders>
          </w:tcPr>
          <w:p>
            <w:pPr>
              <w:spacing w:after="0"/>
              <w:rPr>
                <w:sz w:val="22"/>
                <w:szCs w:val="22"/>
                <w:color w:val="auto"/>
              </w:rPr>
            </w:pPr>
          </w:p>
        </w:tc>
      </w:tr>
      <w:tr>
        <w:trPr>
          <w:trHeight w:val="270"/>
        </w:trPr>
        <w:tc>
          <w:tcPr>
            <w:tcW w:w="820" w:type="dxa"/>
            <w:vAlign w:val="bottom"/>
            <w:tcBorders>
              <w:left w:val="single" w:sz="8" w:color="CCCCCC"/>
            </w:tcBorders>
          </w:tcPr>
          <w:p>
            <w:pPr>
              <w:spacing w:after="0"/>
              <w:rPr>
                <w:sz w:val="23"/>
                <w:szCs w:val="23"/>
                <w:color w:val="auto"/>
              </w:rPr>
            </w:pPr>
          </w:p>
        </w:tc>
        <w:tc>
          <w:tcPr>
            <w:tcW w:w="2500" w:type="dxa"/>
            <w:vAlign w:val="bottom"/>
          </w:tcPr>
          <w:p>
            <w:pPr>
              <w:ind w:left="60"/>
              <w:spacing w:after="0"/>
              <w:rPr>
                <w:sz w:val="20"/>
                <w:szCs w:val="20"/>
                <w:color w:val="auto"/>
              </w:rPr>
            </w:pPr>
            <w:r>
              <w:rPr>
                <w:rFonts w:ascii="Arial" w:cs="Arial" w:eastAsia="Arial" w:hAnsi="Arial"/>
                <w:sz w:val="16"/>
                <w:szCs w:val="16"/>
                <w:b w:val="1"/>
                <w:bCs w:val="1"/>
                <w:color w:val="3D3935"/>
              </w:rPr>
              <w:t>GMI</w:t>
            </w:r>
          </w:p>
        </w:tc>
        <w:tc>
          <w:tcPr>
            <w:tcW w:w="6580" w:type="dxa"/>
            <w:vAlign w:val="bottom"/>
          </w:tcPr>
          <w:p>
            <w:pPr>
              <w:ind w:left="260"/>
              <w:spacing w:after="0"/>
              <w:rPr>
                <w:sz w:val="20"/>
                <w:szCs w:val="20"/>
                <w:color w:val="auto"/>
              </w:rPr>
            </w:pPr>
            <w:r>
              <w:rPr>
                <w:rFonts w:ascii="Arial" w:cs="Arial" w:eastAsia="Arial" w:hAnsi="Arial"/>
                <w:sz w:val="16"/>
                <w:szCs w:val="16"/>
                <w:color w:val="3D3935"/>
              </w:rPr>
              <w:t>GM International</w:t>
            </w:r>
          </w:p>
        </w:tc>
        <w:tc>
          <w:tcPr>
            <w:tcW w:w="820" w:type="dxa"/>
            <w:vAlign w:val="bottom"/>
            <w:tcBorders>
              <w:right w:val="single" w:sz="8" w:color="CCCCCC"/>
            </w:tcBorders>
          </w:tcPr>
          <w:p>
            <w:pPr>
              <w:spacing w:after="0"/>
              <w:rPr>
                <w:sz w:val="23"/>
                <w:szCs w:val="23"/>
                <w:color w:val="auto"/>
              </w:rPr>
            </w:pPr>
          </w:p>
        </w:tc>
      </w:tr>
      <w:tr>
        <w:trPr>
          <w:trHeight w:val="270"/>
        </w:trPr>
        <w:tc>
          <w:tcPr>
            <w:tcW w:w="820" w:type="dxa"/>
            <w:vAlign w:val="bottom"/>
            <w:tcBorders>
              <w:left w:val="single" w:sz="8" w:color="CCCCCC"/>
            </w:tcBorders>
          </w:tcPr>
          <w:p>
            <w:pPr>
              <w:spacing w:after="0"/>
              <w:rPr>
                <w:sz w:val="23"/>
                <w:szCs w:val="23"/>
                <w:color w:val="auto"/>
              </w:rPr>
            </w:pPr>
          </w:p>
        </w:tc>
        <w:tc>
          <w:tcPr>
            <w:tcW w:w="2500" w:type="dxa"/>
            <w:vAlign w:val="bottom"/>
          </w:tcPr>
          <w:p>
            <w:pPr>
              <w:ind w:left="60"/>
              <w:spacing w:after="0"/>
              <w:rPr>
                <w:sz w:val="20"/>
                <w:szCs w:val="20"/>
                <w:color w:val="auto"/>
              </w:rPr>
            </w:pPr>
            <w:r>
              <w:rPr>
                <w:rFonts w:ascii="Arial" w:cs="Arial" w:eastAsia="Arial" w:hAnsi="Arial"/>
                <w:sz w:val="16"/>
                <w:szCs w:val="16"/>
                <w:b w:val="1"/>
                <w:bCs w:val="1"/>
                <w:color w:val="3D3935"/>
              </w:rPr>
              <w:t>GMNA</w:t>
            </w:r>
          </w:p>
        </w:tc>
        <w:tc>
          <w:tcPr>
            <w:tcW w:w="7400" w:type="dxa"/>
            <w:vAlign w:val="bottom"/>
            <w:tcBorders>
              <w:right w:val="single" w:sz="8" w:color="CCCCCC"/>
            </w:tcBorders>
            <w:gridSpan w:val="2"/>
          </w:tcPr>
          <w:p>
            <w:pPr>
              <w:ind w:left="260"/>
              <w:spacing w:after="0"/>
              <w:rPr>
                <w:sz w:val="20"/>
                <w:szCs w:val="20"/>
                <w:color w:val="auto"/>
              </w:rPr>
            </w:pPr>
            <w:r>
              <w:rPr>
                <w:rFonts w:ascii="Arial" w:cs="Arial" w:eastAsia="Arial" w:hAnsi="Arial"/>
                <w:sz w:val="16"/>
                <w:szCs w:val="16"/>
                <w:color w:val="3D3935"/>
              </w:rPr>
              <w:t>GM North America</w:t>
            </w:r>
          </w:p>
        </w:tc>
      </w:tr>
      <w:tr>
        <w:trPr>
          <w:trHeight w:val="270"/>
        </w:trPr>
        <w:tc>
          <w:tcPr>
            <w:tcW w:w="820" w:type="dxa"/>
            <w:vAlign w:val="bottom"/>
            <w:tcBorders>
              <w:left w:val="single" w:sz="8" w:color="CCCCCC"/>
            </w:tcBorders>
          </w:tcPr>
          <w:p>
            <w:pPr>
              <w:spacing w:after="0"/>
              <w:rPr>
                <w:sz w:val="23"/>
                <w:szCs w:val="23"/>
                <w:color w:val="auto"/>
              </w:rPr>
            </w:pPr>
          </w:p>
        </w:tc>
        <w:tc>
          <w:tcPr>
            <w:tcW w:w="2500" w:type="dxa"/>
            <w:vAlign w:val="bottom"/>
          </w:tcPr>
          <w:p>
            <w:pPr>
              <w:ind w:left="60"/>
              <w:spacing w:after="0"/>
              <w:rPr>
                <w:sz w:val="20"/>
                <w:szCs w:val="20"/>
                <w:color w:val="auto"/>
              </w:rPr>
            </w:pPr>
            <w:r>
              <w:rPr>
                <w:rFonts w:ascii="Arial" w:cs="Arial" w:eastAsia="Arial" w:hAnsi="Arial"/>
                <w:sz w:val="16"/>
                <w:szCs w:val="16"/>
                <w:b w:val="1"/>
                <w:bCs w:val="1"/>
                <w:color w:val="3D3935"/>
              </w:rPr>
              <w:t>Governance Committee</w:t>
            </w:r>
          </w:p>
        </w:tc>
        <w:tc>
          <w:tcPr>
            <w:tcW w:w="6580" w:type="dxa"/>
            <w:vAlign w:val="bottom"/>
          </w:tcPr>
          <w:p>
            <w:pPr>
              <w:ind w:left="260"/>
              <w:spacing w:after="0"/>
              <w:rPr>
                <w:sz w:val="20"/>
                <w:szCs w:val="20"/>
                <w:color w:val="auto"/>
              </w:rPr>
            </w:pPr>
            <w:r>
              <w:rPr>
                <w:rFonts w:ascii="Arial" w:cs="Arial" w:eastAsia="Arial" w:hAnsi="Arial"/>
                <w:sz w:val="16"/>
                <w:szCs w:val="16"/>
                <w:color w:val="3D3935"/>
              </w:rPr>
              <w:t>Governance and Corporate Responsibility Committee</w:t>
            </w:r>
          </w:p>
        </w:tc>
        <w:tc>
          <w:tcPr>
            <w:tcW w:w="820" w:type="dxa"/>
            <w:vAlign w:val="bottom"/>
            <w:tcBorders>
              <w:right w:val="single" w:sz="8" w:color="CCCCCC"/>
            </w:tcBorders>
          </w:tcPr>
          <w:p>
            <w:pPr>
              <w:spacing w:after="0"/>
              <w:rPr>
                <w:sz w:val="23"/>
                <w:szCs w:val="23"/>
                <w:color w:val="auto"/>
              </w:rPr>
            </w:pPr>
          </w:p>
        </w:tc>
      </w:tr>
      <w:tr>
        <w:trPr>
          <w:trHeight w:val="270"/>
        </w:trPr>
        <w:tc>
          <w:tcPr>
            <w:tcW w:w="820" w:type="dxa"/>
            <w:vAlign w:val="bottom"/>
            <w:tcBorders>
              <w:left w:val="single" w:sz="8" w:color="CCCCCC"/>
            </w:tcBorders>
          </w:tcPr>
          <w:p>
            <w:pPr>
              <w:spacing w:after="0"/>
              <w:rPr>
                <w:sz w:val="23"/>
                <w:szCs w:val="23"/>
                <w:color w:val="auto"/>
              </w:rPr>
            </w:pPr>
          </w:p>
        </w:tc>
        <w:tc>
          <w:tcPr>
            <w:tcW w:w="2500" w:type="dxa"/>
            <w:vAlign w:val="bottom"/>
          </w:tcPr>
          <w:p>
            <w:pPr>
              <w:ind w:left="60"/>
              <w:spacing w:after="0"/>
              <w:rPr>
                <w:sz w:val="20"/>
                <w:szCs w:val="20"/>
                <w:color w:val="auto"/>
              </w:rPr>
            </w:pPr>
            <w:r>
              <w:rPr>
                <w:rFonts w:ascii="Arial" w:cs="Arial" w:eastAsia="Arial" w:hAnsi="Arial"/>
                <w:sz w:val="16"/>
                <w:szCs w:val="16"/>
                <w:b w:val="1"/>
                <w:bCs w:val="1"/>
                <w:color w:val="3D3935"/>
              </w:rPr>
              <w:t>ICE</w:t>
            </w:r>
          </w:p>
        </w:tc>
        <w:tc>
          <w:tcPr>
            <w:tcW w:w="6580" w:type="dxa"/>
            <w:vAlign w:val="bottom"/>
          </w:tcPr>
          <w:p>
            <w:pPr>
              <w:ind w:left="260"/>
              <w:spacing w:after="0"/>
              <w:rPr>
                <w:sz w:val="20"/>
                <w:szCs w:val="20"/>
                <w:color w:val="auto"/>
              </w:rPr>
            </w:pPr>
            <w:r>
              <w:rPr>
                <w:rFonts w:ascii="Arial" w:cs="Arial" w:eastAsia="Arial" w:hAnsi="Arial"/>
                <w:sz w:val="16"/>
                <w:szCs w:val="16"/>
                <w:color w:val="3D3935"/>
              </w:rPr>
              <w:t>Internal Combustion Engine</w:t>
            </w:r>
          </w:p>
        </w:tc>
        <w:tc>
          <w:tcPr>
            <w:tcW w:w="820" w:type="dxa"/>
            <w:vAlign w:val="bottom"/>
            <w:tcBorders>
              <w:right w:val="single" w:sz="8" w:color="CCCCCC"/>
            </w:tcBorders>
          </w:tcPr>
          <w:p>
            <w:pPr>
              <w:spacing w:after="0"/>
              <w:rPr>
                <w:sz w:val="23"/>
                <w:szCs w:val="23"/>
                <w:color w:val="auto"/>
              </w:rPr>
            </w:pPr>
          </w:p>
        </w:tc>
      </w:tr>
      <w:tr>
        <w:trPr>
          <w:trHeight w:val="270"/>
        </w:trPr>
        <w:tc>
          <w:tcPr>
            <w:tcW w:w="820" w:type="dxa"/>
            <w:vAlign w:val="bottom"/>
            <w:tcBorders>
              <w:left w:val="single" w:sz="8" w:color="CCCCCC"/>
            </w:tcBorders>
          </w:tcPr>
          <w:p>
            <w:pPr>
              <w:spacing w:after="0"/>
              <w:rPr>
                <w:sz w:val="23"/>
                <w:szCs w:val="23"/>
                <w:color w:val="auto"/>
              </w:rPr>
            </w:pPr>
          </w:p>
        </w:tc>
        <w:tc>
          <w:tcPr>
            <w:tcW w:w="2500" w:type="dxa"/>
            <w:vAlign w:val="bottom"/>
          </w:tcPr>
          <w:p>
            <w:pPr>
              <w:ind w:left="60"/>
              <w:spacing w:after="0"/>
              <w:rPr>
                <w:sz w:val="20"/>
                <w:szCs w:val="20"/>
                <w:color w:val="auto"/>
              </w:rPr>
            </w:pPr>
            <w:r>
              <w:rPr>
                <w:rFonts w:ascii="Arial" w:cs="Arial" w:eastAsia="Arial" w:hAnsi="Arial"/>
                <w:sz w:val="16"/>
                <w:szCs w:val="16"/>
                <w:b w:val="1"/>
                <w:bCs w:val="1"/>
                <w:color w:val="3D3935"/>
              </w:rPr>
              <w:t>IRC</w:t>
            </w:r>
          </w:p>
        </w:tc>
        <w:tc>
          <w:tcPr>
            <w:tcW w:w="6580" w:type="dxa"/>
            <w:vAlign w:val="bottom"/>
          </w:tcPr>
          <w:p>
            <w:pPr>
              <w:ind w:left="260"/>
              <w:spacing w:after="0"/>
              <w:rPr>
                <w:sz w:val="20"/>
                <w:szCs w:val="20"/>
                <w:color w:val="auto"/>
              </w:rPr>
            </w:pPr>
            <w:r>
              <w:rPr>
                <w:rFonts w:ascii="Arial" w:cs="Arial" w:eastAsia="Arial" w:hAnsi="Arial"/>
                <w:sz w:val="16"/>
                <w:szCs w:val="16"/>
                <w:color w:val="3D3935"/>
              </w:rPr>
              <w:t>Internal Revenue Code</w:t>
            </w:r>
          </w:p>
        </w:tc>
        <w:tc>
          <w:tcPr>
            <w:tcW w:w="820" w:type="dxa"/>
            <w:vAlign w:val="bottom"/>
            <w:tcBorders>
              <w:right w:val="single" w:sz="8" w:color="CCCCCC"/>
            </w:tcBorders>
          </w:tcPr>
          <w:p>
            <w:pPr>
              <w:spacing w:after="0"/>
              <w:rPr>
                <w:sz w:val="23"/>
                <w:szCs w:val="23"/>
                <w:color w:val="auto"/>
              </w:rPr>
            </w:pPr>
          </w:p>
        </w:tc>
      </w:tr>
      <w:tr>
        <w:trPr>
          <w:trHeight w:val="115"/>
        </w:trPr>
        <w:tc>
          <w:tcPr>
            <w:tcW w:w="3320" w:type="dxa"/>
            <w:vAlign w:val="bottom"/>
            <w:tcBorders>
              <w:left w:val="single" w:sz="8" w:color="CCCCCC"/>
            </w:tcBorders>
            <w:gridSpan w:val="2"/>
          </w:tcPr>
          <w:p>
            <w:pPr>
              <w:spacing w:after="0"/>
              <w:rPr>
                <w:sz w:val="10"/>
                <w:szCs w:val="10"/>
                <w:color w:val="auto"/>
              </w:rPr>
            </w:pPr>
          </w:p>
        </w:tc>
        <w:tc>
          <w:tcPr>
            <w:tcW w:w="6580" w:type="dxa"/>
            <w:vAlign w:val="bottom"/>
          </w:tcPr>
          <w:p>
            <w:pPr>
              <w:spacing w:after="0"/>
              <w:rPr>
                <w:sz w:val="10"/>
                <w:szCs w:val="10"/>
                <w:color w:val="auto"/>
              </w:rPr>
            </w:pPr>
          </w:p>
        </w:tc>
        <w:tc>
          <w:tcPr>
            <w:tcW w:w="820" w:type="dxa"/>
            <w:vAlign w:val="bottom"/>
            <w:tcBorders>
              <w:right w:val="single" w:sz="8" w:color="CCCCCC"/>
            </w:tcBorders>
          </w:tcPr>
          <w:p>
            <w:pPr>
              <w:spacing w:after="0"/>
              <w:rPr>
                <w:sz w:val="10"/>
                <w:szCs w:val="10"/>
                <w:color w:val="auto"/>
              </w:rPr>
            </w:pPr>
          </w:p>
        </w:tc>
      </w:tr>
      <w:tr>
        <w:trPr>
          <w:trHeight w:val="250"/>
        </w:trPr>
        <w:tc>
          <w:tcPr>
            <w:tcW w:w="820" w:type="dxa"/>
            <w:vAlign w:val="bottom"/>
            <w:tcBorders>
              <w:left w:val="single" w:sz="8" w:color="CCCCCC"/>
            </w:tcBorders>
          </w:tcPr>
          <w:p>
            <w:pPr>
              <w:spacing w:after="0"/>
              <w:rPr>
                <w:sz w:val="21"/>
                <w:szCs w:val="21"/>
                <w:color w:val="auto"/>
              </w:rPr>
            </w:pPr>
          </w:p>
        </w:tc>
        <w:tc>
          <w:tcPr>
            <w:tcW w:w="2500" w:type="dxa"/>
            <w:vAlign w:val="bottom"/>
            <w:tcBorders>
              <w:top w:val="single" w:sz="8" w:color="D9D9D6"/>
              <w:bottom w:val="single" w:sz="8" w:color="D9D9D6"/>
            </w:tcBorders>
          </w:tcPr>
          <w:p>
            <w:pPr>
              <w:spacing w:after="0"/>
              <w:rPr>
                <w:sz w:val="21"/>
                <w:szCs w:val="21"/>
                <w:color w:val="auto"/>
              </w:rPr>
            </w:pPr>
          </w:p>
        </w:tc>
        <w:tc>
          <w:tcPr>
            <w:tcW w:w="6580" w:type="dxa"/>
            <w:vAlign w:val="bottom"/>
            <w:tcBorders>
              <w:top w:val="single" w:sz="8" w:color="D9D9D6"/>
              <w:bottom w:val="single" w:sz="8" w:color="D9D9D6"/>
            </w:tcBorders>
          </w:tcPr>
          <w:p>
            <w:pPr>
              <w:spacing w:after="0"/>
              <w:rPr>
                <w:sz w:val="21"/>
                <w:szCs w:val="21"/>
                <w:color w:val="auto"/>
              </w:rPr>
            </w:pPr>
          </w:p>
        </w:tc>
        <w:tc>
          <w:tcPr>
            <w:tcW w:w="820" w:type="dxa"/>
            <w:vAlign w:val="bottom"/>
            <w:tcBorders>
              <w:right w:val="single" w:sz="8" w:color="CCCCCC"/>
            </w:tcBorders>
          </w:tcPr>
          <w:p>
            <w:pPr>
              <w:spacing w:after="0"/>
              <w:rPr>
                <w:sz w:val="21"/>
                <w:szCs w:val="21"/>
                <w:color w:val="auto"/>
              </w:rPr>
            </w:pPr>
          </w:p>
        </w:tc>
      </w:tr>
      <w:tr>
        <w:trPr>
          <w:trHeight w:val="250"/>
        </w:trPr>
        <w:tc>
          <w:tcPr>
            <w:tcW w:w="820" w:type="dxa"/>
            <w:vAlign w:val="bottom"/>
            <w:tcBorders>
              <w:left w:val="single" w:sz="8" w:color="CCCCCC"/>
            </w:tcBorders>
          </w:tcPr>
          <w:p>
            <w:pPr>
              <w:spacing w:after="0"/>
              <w:rPr>
                <w:sz w:val="21"/>
                <w:szCs w:val="21"/>
                <w:color w:val="auto"/>
              </w:rPr>
            </w:pPr>
          </w:p>
        </w:tc>
        <w:tc>
          <w:tcPr>
            <w:tcW w:w="2500" w:type="dxa"/>
            <w:vAlign w:val="bottom"/>
            <w:tcBorders>
              <w:bottom w:val="single" w:sz="8" w:color="D9D9D6"/>
            </w:tcBorders>
          </w:tcPr>
          <w:p>
            <w:pPr>
              <w:spacing w:after="0"/>
              <w:rPr>
                <w:sz w:val="21"/>
                <w:szCs w:val="21"/>
                <w:color w:val="auto"/>
              </w:rPr>
            </w:pPr>
          </w:p>
        </w:tc>
        <w:tc>
          <w:tcPr>
            <w:tcW w:w="6580" w:type="dxa"/>
            <w:vAlign w:val="bottom"/>
            <w:tcBorders>
              <w:bottom w:val="single" w:sz="8" w:color="D9D9D6"/>
            </w:tcBorders>
          </w:tcPr>
          <w:p>
            <w:pPr>
              <w:spacing w:after="0"/>
              <w:rPr>
                <w:sz w:val="21"/>
                <w:szCs w:val="21"/>
                <w:color w:val="auto"/>
              </w:rPr>
            </w:pPr>
          </w:p>
        </w:tc>
        <w:tc>
          <w:tcPr>
            <w:tcW w:w="820" w:type="dxa"/>
            <w:vAlign w:val="bottom"/>
            <w:tcBorders>
              <w:right w:val="single" w:sz="8" w:color="CCCCCC"/>
            </w:tcBorders>
          </w:tcPr>
          <w:p>
            <w:pPr>
              <w:spacing w:after="0"/>
              <w:rPr>
                <w:sz w:val="21"/>
                <w:szCs w:val="21"/>
                <w:color w:val="auto"/>
              </w:rPr>
            </w:pPr>
          </w:p>
        </w:tc>
      </w:tr>
      <w:tr>
        <w:trPr>
          <w:trHeight w:val="190"/>
        </w:trPr>
        <w:tc>
          <w:tcPr>
            <w:tcW w:w="820" w:type="dxa"/>
            <w:vAlign w:val="bottom"/>
            <w:tcBorders>
              <w:left w:val="single" w:sz="8" w:color="CCCCCC"/>
            </w:tcBorders>
          </w:tcPr>
          <w:p>
            <w:pPr>
              <w:spacing w:after="0"/>
              <w:rPr>
                <w:sz w:val="16"/>
                <w:szCs w:val="16"/>
                <w:color w:val="auto"/>
              </w:rPr>
            </w:pPr>
          </w:p>
        </w:tc>
        <w:tc>
          <w:tcPr>
            <w:tcW w:w="2500" w:type="dxa"/>
            <w:vAlign w:val="bottom"/>
          </w:tcPr>
          <w:p>
            <w:pPr>
              <w:ind w:left="60"/>
              <w:spacing w:after="0"/>
              <w:rPr>
                <w:sz w:val="20"/>
                <w:szCs w:val="20"/>
                <w:color w:val="auto"/>
              </w:rPr>
            </w:pPr>
            <w:r>
              <w:rPr>
                <w:rFonts w:ascii="Arial" w:cs="Arial" w:eastAsia="Arial" w:hAnsi="Arial"/>
                <w:sz w:val="14"/>
                <w:szCs w:val="14"/>
                <w:b w:val="1"/>
                <w:bCs w:val="1"/>
                <w:color w:val="3D3935"/>
              </w:rPr>
              <w:t>96</w:t>
            </w:r>
          </w:p>
        </w:tc>
        <w:tc>
          <w:tcPr>
            <w:tcW w:w="6580" w:type="dxa"/>
            <w:vAlign w:val="bottom"/>
          </w:tcPr>
          <w:p>
            <w:pPr>
              <w:spacing w:after="0"/>
              <w:rPr>
                <w:sz w:val="16"/>
                <w:szCs w:val="16"/>
                <w:color w:val="auto"/>
              </w:rPr>
            </w:pPr>
          </w:p>
        </w:tc>
        <w:tc>
          <w:tcPr>
            <w:tcW w:w="820" w:type="dxa"/>
            <w:vAlign w:val="bottom"/>
            <w:tcBorders>
              <w:right w:val="single" w:sz="8" w:color="CCCCCC"/>
            </w:tcBorders>
          </w:tcPr>
          <w:p>
            <w:pPr>
              <w:spacing w:after="0"/>
              <w:rPr>
                <w:sz w:val="16"/>
                <w:szCs w:val="16"/>
                <w:color w:val="auto"/>
              </w:rPr>
            </w:pPr>
          </w:p>
        </w:tc>
      </w:tr>
      <w:tr>
        <w:trPr>
          <w:trHeight w:val="60"/>
        </w:trPr>
        <w:tc>
          <w:tcPr>
            <w:tcW w:w="820" w:type="dxa"/>
            <w:vAlign w:val="bottom"/>
            <w:tcBorders>
              <w:left w:val="single" w:sz="8" w:color="CCCCCC"/>
            </w:tcBorders>
          </w:tcPr>
          <w:p>
            <w:pPr>
              <w:spacing w:after="0"/>
              <w:rPr>
                <w:sz w:val="5"/>
                <w:szCs w:val="5"/>
                <w:color w:val="auto"/>
              </w:rPr>
            </w:pPr>
          </w:p>
        </w:tc>
        <w:tc>
          <w:tcPr>
            <w:tcW w:w="2500" w:type="dxa"/>
            <w:vAlign w:val="bottom"/>
            <w:tcBorders>
              <w:bottom w:val="single" w:sz="8" w:color="D9D9D6"/>
            </w:tcBorders>
          </w:tcPr>
          <w:p>
            <w:pPr>
              <w:spacing w:after="0"/>
              <w:rPr>
                <w:sz w:val="5"/>
                <w:szCs w:val="5"/>
                <w:color w:val="auto"/>
              </w:rPr>
            </w:pPr>
          </w:p>
        </w:tc>
        <w:tc>
          <w:tcPr>
            <w:tcW w:w="6580" w:type="dxa"/>
            <w:vAlign w:val="bottom"/>
            <w:tcBorders>
              <w:bottom w:val="single" w:sz="8" w:color="D9D9D6"/>
            </w:tcBorders>
          </w:tcPr>
          <w:p>
            <w:pPr>
              <w:spacing w:after="0"/>
              <w:rPr>
                <w:sz w:val="5"/>
                <w:szCs w:val="5"/>
                <w:color w:val="auto"/>
              </w:rPr>
            </w:pPr>
          </w:p>
        </w:tc>
        <w:tc>
          <w:tcPr>
            <w:tcW w:w="820" w:type="dxa"/>
            <w:vAlign w:val="bottom"/>
            <w:tcBorders>
              <w:right w:val="single" w:sz="8" w:color="CCCCCC"/>
            </w:tcBorders>
          </w:tcPr>
          <w:p>
            <w:pPr>
              <w:spacing w:after="0"/>
              <w:rPr>
                <w:sz w:val="5"/>
                <w:szCs w:val="5"/>
                <w:color w:val="auto"/>
              </w:rPr>
            </w:pPr>
          </w:p>
        </w:tc>
      </w:tr>
      <w:tr>
        <w:trPr>
          <w:trHeight w:val="247"/>
        </w:trPr>
        <w:tc>
          <w:tcPr>
            <w:tcW w:w="820" w:type="dxa"/>
            <w:vAlign w:val="bottom"/>
            <w:tcBorders>
              <w:left w:val="single" w:sz="8" w:color="CCCCCC"/>
              <w:bottom w:val="single" w:sz="8" w:color="CCCCCC"/>
            </w:tcBorders>
          </w:tcPr>
          <w:p>
            <w:pPr>
              <w:spacing w:after="0"/>
              <w:rPr>
                <w:sz w:val="21"/>
                <w:szCs w:val="21"/>
                <w:color w:val="auto"/>
              </w:rPr>
            </w:pPr>
          </w:p>
        </w:tc>
        <w:tc>
          <w:tcPr>
            <w:tcW w:w="2500" w:type="dxa"/>
            <w:vAlign w:val="bottom"/>
            <w:tcBorders>
              <w:bottom w:val="single" w:sz="8" w:color="CCCCCC"/>
            </w:tcBorders>
          </w:tcPr>
          <w:p>
            <w:pPr>
              <w:spacing w:after="0"/>
              <w:rPr>
                <w:sz w:val="21"/>
                <w:szCs w:val="21"/>
                <w:color w:val="auto"/>
              </w:rPr>
            </w:pPr>
          </w:p>
        </w:tc>
        <w:tc>
          <w:tcPr>
            <w:tcW w:w="6580" w:type="dxa"/>
            <w:vAlign w:val="bottom"/>
            <w:tcBorders>
              <w:bottom w:val="single" w:sz="8" w:color="CCCCCC"/>
            </w:tcBorders>
          </w:tcPr>
          <w:p>
            <w:pPr>
              <w:spacing w:after="0"/>
              <w:rPr>
                <w:sz w:val="21"/>
                <w:szCs w:val="21"/>
                <w:color w:val="auto"/>
              </w:rPr>
            </w:pPr>
          </w:p>
        </w:tc>
        <w:tc>
          <w:tcPr>
            <w:tcW w:w="820" w:type="dxa"/>
            <w:vAlign w:val="bottom"/>
            <w:tcBorders>
              <w:bottom w:val="single" w:sz="8" w:color="CCCCCC"/>
              <w:right w:val="single" w:sz="8" w:color="CCCCCC"/>
            </w:tcBorders>
          </w:tcPr>
          <w:p>
            <w:pPr>
              <w:spacing w:after="0"/>
              <w:rPr>
                <w:sz w:val="21"/>
                <w:szCs w:val="21"/>
                <w:color w:val="auto"/>
              </w:rPr>
            </w:pPr>
          </w:p>
        </w:tc>
      </w:tr>
      <w:tr>
        <w:trPr>
          <w:trHeight w:val="129"/>
        </w:trPr>
        <w:tc>
          <w:tcPr>
            <w:tcW w:w="820" w:type="dxa"/>
            <w:vAlign w:val="bottom"/>
            <w:tcBorders>
              <w:bottom w:val="single" w:sz="8" w:color="CCCCCC"/>
            </w:tcBorders>
          </w:tcPr>
          <w:p>
            <w:pPr>
              <w:spacing w:after="0"/>
              <w:rPr>
                <w:sz w:val="11"/>
                <w:szCs w:val="11"/>
                <w:color w:val="auto"/>
              </w:rPr>
            </w:pPr>
          </w:p>
        </w:tc>
        <w:tc>
          <w:tcPr>
            <w:tcW w:w="2500" w:type="dxa"/>
            <w:vAlign w:val="bottom"/>
            <w:tcBorders>
              <w:bottom w:val="single" w:sz="8" w:color="CCCCCC"/>
            </w:tcBorders>
          </w:tcPr>
          <w:p>
            <w:pPr>
              <w:spacing w:after="0"/>
              <w:rPr>
                <w:sz w:val="11"/>
                <w:szCs w:val="11"/>
                <w:color w:val="auto"/>
              </w:rPr>
            </w:pPr>
          </w:p>
        </w:tc>
        <w:tc>
          <w:tcPr>
            <w:tcW w:w="7400" w:type="dxa"/>
            <w:vAlign w:val="bottom"/>
            <w:tcBorders>
              <w:bottom w:val="single" w:sz="8" w:color="CCCCCC"/>
            </w:tcBorders>
            <w:gridSpan w:val="2"/>
          </w:tcPr>
          <w:p>
            <w:pPr>
              <w:spacing w:after="0"/>
              <w:rPr>
                <w:sz w:val="11"/>
                <w:szCs w:val="11"/>
                <w:color w:val="auto"/>
              </w:rPr>
            </w:pPr>
          </w:p>
        </w:tc>
      </w:tr>
      <w:tr>
        <w:trPr>
          <w:trHeight w:val="562"/>
        </w:trPr>
        <w:tc>
          <w:tcPr>
            <w:tcW w:w="8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400" w:type="dxa"/>
            <w:vAlign w:val="bottom"/>
            <w:gridSpan w:val="2"/>
          </w:tcPr>
          <w:p>
            <w:pPr>
              <w:ind w:left="3420"/>
              <w:spacing w:after="0"/>
              <w:rPr>
                <w:sz w:val="20"/>
                <w:szCs w:val="20"/>
                <w:color w:val="auto"/>
              </w:rPr>
            </w:pPr>
            <w:r>
              <w:rPr>
                <w:rFonts w:ascii="Arial" w:cs="Arial" w:eastAsia="Arial" w:hAnsi="Arial"/>
                <w:sz w:val="14"/>
                <w:szCs w:val="14"/>
                <w:b w:val="1"/>
                <w:bCs w:val="1"/>
                <w:color w:val="0072CE"/>
              </w:rPr>
              <w:t>Defined Terms And Commonly Used Acronyms</w:t>
            </w:r>
          </w:p>
        </w:tc>
      </w:tr>
      <w:tr>
        <w:trPr>
          <w:trHeight w:val="569"/>
        </w:trPr>
        <w:tc>
          <w:tcPr>
            <w:tcW w:w="820" w:type="dxa"/>
            <w:vAlign w:val="bottom"/>
          </w:tcPr>
          <w:p>
            <w:pPr>
              <w:spacing w:after="0"/>
              <w:rPr>
                <w:sz w:val="24"/>
                <w:szCs w:val="24"/>
                <w:color w:val="auto"/>
              </w:rPr>
            </w:pPr>
          </w:p>
        </w:tc>
        <w:tc>
          <w:tcPr>
            <w:tcW w:w="2500" w:type="dxa"/>
            <w:vAlign w:val="bottom"/>
            <w:tcBorders>
              <w:bottom w:val="single" w:sz="8" w:color="D9D9D6"/>
            </w:tcBorders>
          </w:tcPr>
          <w:p>
            <w:pPr>
              <w:spacing w:after="0"/>
              <w:rPr>
                <w:sz w:val="24"/>
                <w:szCs w:val="24"/>
                <w:color w:val="auto"/>
              </w:rPr>
            </w:pPr>
          </w:p>
        </w:tc>
        <w:tc>
          <w:tcPr>
            <w:tcW w:w="6580" w:type="dxa"/>
            <w:vAlign w:val="bottom"/>
            <w:tcBorders>
              <w:bottom w:val="single" w:sz="8" w:color="D9D9D6"/>
            </w:tcBorders>
          </w:tcPr>
          <w:p>
            <w:pPr>
              <w:spacing w:after="0"/>
              <w:rPr>
                <w:sz w:val="24"/>
                <w:szCs w:val="24"/>
                <w:color w:val="auto"/>
              </w:rPr>
            </w:pPr>
          </w:p>
        </w:tc>
        <w:tc>
          <w:tcPr>
            <w:tcW w:w="820" w:type="dxa"/>
            <w:vAlign w:val="bottom"/>
          </w:tcPr>
          <w:p>
            <w:pPr>
              <w:spacing w:after="0"/>
              <w:rPr>
                <w:sz w:val="24"/>
                <w:szCs w:val="24"/>
                <w:color w:val="auto"/>
              </w:rPr>
            </w:pPr>
          </w:p>
        </w:tc>
      </w:tr>
      <w:tr>
        <w:trPr>
          <w:trHeight w:val="246"/>
        </w:trPr>
        <w:tc>
          <w:tcPr>
            <w:tcW w:w="820" w:type="dxa"/>
            <w:vAlign w:val="bottom"/>
          </w:tcPr>
          <w:p>
            <w:pPr>
              <w:spacing w:after="0"/>
              <w:rPr>
                <w:sz w:val="21"/>
                <w:szCs w:val="21"/>
                <w:color w:val="auto"/>
              </w:rPr>
            </w:pPr>
          </w:p>
        </w:tc>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IRS</w:t>
            </w:r>
          </w:p>
        </w:tc>
        <w:tc>
          <w:tcPr>
            <w:tcW w:w="658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Internal Revenue Service</w:t>
            </w:r>
          </w:p>
        </w:tc>
        <w:tc>
          <w:tcPr>
            <w:tcW w:w="820" w:type="dxa"/>
            <w:vAlign w:val="bottom"/>
          </w:tcPr>
          <w:p>
            <w:pPr>
              <w:spacing w:after="0"/>
              <w:rPr>
                <w:sz w:val="21"/>
                <w:szCs w:val="21"/>
                <w:color w:val="auto"/>
              </w:rPr>
            </w:pPr>
          </w:p>
        </w:tc>
      </w:tr>
      <w:tr>
        <w:trPr>
          <w:trHeight w:val="250"/>
        </w:trPr>
        <w:tc>
          <w:tcPr>
            <w:tcW w:w="820" w:type="dxa"/>
            <w:vAlign w:val="bottom"/>
          </w:tcPr>
          <w:p>
            <w:pPr>
              <w:spacing w:after="0"/>
              <w:rPr>
                <w:sz w:val="21"/>
                <w:szCs w:val="21"/>
                <w:color w:val="auto"/>
              </w:rPr>
            </w:pPr>
          </w:p>
        </w:tc>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LTIP</w:t>
            </w:r>
          </w:p>
        </w:tc>
        <w:tc>
          <w:tcPr>
            <w:tcW w:w="658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Long-Term Incentive Plan</w:t>
            </w:r>
          </w:p>
        </w:tc>
        <w:tc>
          <w:tcPr>
            <w:tcW w:w="820" w:type="dxa"/>
            <w:vAlign w:val="bottom"/>
          </w:tcPr>
          <w:p>
            <w:pPr>
              <w:spacing w:after="0"/>
              <w:rPr>
                <w:sz w:val="21"/>
                <w:szCs w:val="21"/>
                <w:color w:val="auto"/>
              </w:rPr>
            </w:pPr>
          </w:p>
        </w:tc>
      </w:tr>
      <w:tr>
        <w:trPr>
          <w:trHeight w:val="250"/>
        </w:trPr>
        <w:tc>
          <w:tcPr>
            <w:tcW w:w="820" w:type="dxa"/>
            <w:vAlign w:val="bottom"/>
          </w:tcPr>
          <w:p>
            <w:pPr>
              <w:spacing w:after="0"/>
              <w:rPr>
                <w:sz w:val="21"/>
                <w:szCs w:val="21"/>
                <w:color w:val="auto"/>
              </w:rPr>
            </w:pPr>
          </w:p>
        </w:tc>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M&amp;A</w:t>
            </w:r>
          </w:p>
        </w:tc>
        <w:tc>
          <w:tcPr>
            <w:tcW w:w="658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Mergers and Acquisitions</w:t>
            </w:r>
          </w:p>
        </w:tc>
        <w:tc>
          <w:tcPr>
            <w:tcW w:w="820" w:type="dxa"/>
            <w:vAlign w:val="bottom"/>
          </w:tcPr>
          <w:p>
            <w:pPr>
              <w:spacing w:after="0"/>
              <w:rPr>
                <w:sz w:val="21"/>
                <w:szCs w:val="21"/>
                <w:color w:val="auto"/>
              </w:rPr>
            </w:pPr>
          </w:p>
        </w:tc>
      </w:tr>
      <w:tr>
        <w:trPr>
          <w:trHeight w:val="250"/>
        </w:trPr>
        <w:tc>
          <w:tcPr>
            <w:tcW w:w="820" w:type="dxa"/>
            <w:vAlign w:val="bottom"/>
          </w:tcPr>
          <w:p>
            <w:pPr>
              <w:spacing w:after="0"/>
              <w:rPr>
                <w:sz w:val="21"/>
                <w:szCs w:val="21"/>
                <w:color w:val="auto"/>
              </w:rPr>
            </w:pPr>
          </w:p>
        </w:tc>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NEO</w:t>
            </w:r>
          </w:p>
        </w:tc>
        <w:tc>
          <w:tcPr>
            <w:tcW w:w="658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Named Executive Officer</w:t>
            </w:r>
          </w:p>
        </w:tc>
        <w:tc>
          <w:tcPr>
            <w:tcW w:w="820" w:type="dxa"/>
            <w:vAlign w:val="bottom"/>
          </w:tcPr>
          <w:p>
            <w:pPr>
              <w:spacing w:after="0"/>
              <w:rPr>
                <w:sz w:val="21"/>
                <w:szCs w:val="21"/>
                <w:color w:val="auto"/>
              </w:rPr>
            </w:pPr>
          </w:p>
        </w:tc>
      </w:tr>
      <w:tr>
        <w:trPr>
          <w:trHeight w:val="250"/>
        </w:trPr>
        <w:tc>
          <w:tcPr>
            <w:tcW w:w="820" w:type="dxa"/>
            <w:vAlign w:val="bottom"/>
          </w:tcPr>
          <w:p>
            <w:pPr>
              <w:spacing w:after="0"/>
              <w:rPr>
                <w:sz w:val="21"/>
                <w:szCs w:val="21"/>
                <w:color w:val="auto"/>
              </w:rPr>
            </w:pPr>
          </w:p>
        </w:tc>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Notice</w:t>
            </w:r>
          </w:p>
        </w:tc>
        <w:tc>
          <w:tcPr>
            <w:tcW w:w="658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Notice Regarding the Availability of Proxy Materials</w:t>
            </w:r>
          </w:p>
        </w:tc>
        <w:tc>
          <w:tcPr>
            <w:tcW w:w="820" w:type="dxa"/>
            <w:vAlign w:val="bottom"/>
          </w:tcPr>
          <w:p>
            <w:pPr>
              <w:spacing w:after="0"/>
              <w:rPr>
                <w:sz w:val="21"/>
                <w:szCs w:val="21"/>
                <w:color w:val="auto"/>
              </w:rPr>
            </w:pPr>
          </w:p>
        </w:tc>
      </w:tr>
      <w:tr>
        <w:trPr>
          <w:trHeight w:val="250"/>
        </w:trPr>
        <w:tc>
          <w:tcPr>
            <w:tcW w:w="820" w:type="dxa"/>
            <w:vAlign w:val="bottom"/>
          </w:tcPr>
          <w:p>
            <w:pPr>
              <w:spacing w:after="0"/>
              <w:rPr>
                <w:sz w:val="21"/>
                <w:szCs w:val="21"/>
                <w:color w:val="auto"/>
              </w:rPr>
            </w:pPr>
          </w:p>
        </w:tc>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NQ</w:t>
            </w:r>
          </w:p>
        </w:tc>
        <w:tc>
          <w:tcPr>
            <w:tcW w:w="658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Nonqualified</w:t>
            </w:r>
          </w:p>
        </w:tc>
        <w:tc>
          <w:tcPr>
            <w:tcW w:w="820" w:type="dxa"/>
            <w:vAlign w:val="bottom"/>
          </w:tcPr>
          <w:p>
            <w:pPr>
              <w:spacing w:after="0"/>
              <w:rPr>
                <w:sz w:val="21"/>
                <w:szCs w:val="21"/>
                <w:color w:val="auto"/>
              </w:rPr>
            </w:pPr>
          </w:p>
        </w:tc>
      </w:tr>
      <w:tr>
        <w:trPr>
          <w:trHeight w:val="250"/>
        </w:trPr>
        <w:tc>
          <w:tcPr>
            <w:tcW w:w="820" w:type="dxa"/>
            <w:vAlign w:val="bottom"/>
          </w:tcPr>
          <w:p>
            <w:pPr>
              <w:spacing w:after="0"/>
              <w:rPr>
                <w:sz w:val="21"/>
                <w:szCs w:val="21"/>
                <w:color w:val="auto"/>
              </w:rPr>
            </w:pPr>
          </w:p>
        </w:tc>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NYSE</w:t>
            </w:r>
          </w:p>
        </w:tc>
        <w:tc>
          <w:tcPr>
            <w:tcW w:w="658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New York Stock Exchange</w:t>
            </w:r>
          </w:p>
        </w:tc>
        <w:tc>
          <w:tcPr>
            <w:tcW w:w="820" w:type="dxa"/>
            <w:vAlign w:val="bottom"/>
          </w:tcPr>
          <w:p>
            <w:pPr>
              <w:spacing w:after="0"/>
              <w:rPr>
                <w:sz w:val="21"/>
                <w:szCs w:val="21"/>
                <w:color w:val="auto"/>
              </w:rPr>
            </w:pPr>
          </w:p>
        </w:tc>
      </w:tr>
      <w:tr>
        <w:trPr>
          <w:trHeight w:val="250"/>
        </w:trPr>
        <w:tc>
          <w:tcPr>
            <w:tcW w:w="820" w:type="dxa"/>
            <w:vAlign w:val="bottom"/>
          </w:tcPr>
          <w:p>
            <w:pPr>
              <w:spacing w:after="0"/>
              <w:rPr>
                <w:sz w:val="21"/>
                <w:szCs w:val="21"/>
                <w:color w:val="auto"/>
              </w:rPr>
            </w:pPr>
          </w:p>
        </w:tc>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OEM</w:t>
            </w:r>
          </w:p>
        </w:tc>
        <w:tc>
          <w:tcPr>
            <w:tcW w:w="658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Original Equipment Manufacturer</w:t>
            </w:r>
          </w:p>
        </w:tc>
        <w:tc>
          <w:tcPr>
            <w:tcW w:w="820" w:type="dxa"/>
            <w:vAlign w:val="bottom"/>
          </w:tcPr>
          <w:p>
            <w:pPr>
              <w:spacing w:after="0"/>
              <w:rPr>
                <w:sz w:val="21"/>
                <w:szCs w:val="21"/>
                <w:color w:val="auto"/>
              </w:rPr>
            </w:pPr>
          </w:p>
        </w:tc>
      </w:tr>
      <w:tr>
        <w:trPr>
          <w:trHeight w:val="250"/>
        </w:trPr>
        <w:tc>
          <w:tcPr>
            <w:tcW w:w="820" w:type="dxa"/>
            <w:vAlign w:val="bottom"/>
          </w:tcPr>
          <w:p>
            <w:pPr>
              <w:spacing w:after="0"/>
              <w:rPr>
                <w:sz w:val="21"/>
                <w:szCs w:val="21"/>
                <w:color w:val="auto"/>
              </w:rPr>
            </w:pPr>
          </w:p>
        </w:tc>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PAC</w:t>
            </w:r>
          </w:p>
        </w:tc>
        <w:tc>
          <w:tcPr>
            <w:tcW w:w="658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Political Action Committee</w:t>
            </w:r>
          </w:p>
        </w:tc>
        <w:tc>
          <w:tcPr>
            <w:tcW w:w="820" w:type="dxa"/>
            <w:vAlign w:val="bottom"/>
          </w:tcPr>
          <w:p>
            <w:pPr>
              <w:spacing w:after="0"/>
              <w:rPr>
                <w:sz w:val="21"/>
                <w:szCs w:val="21"/>
                <w:color w:val="auto"/>
              </w:rPr>
            </w:pPr>
          </w:p>
        </w:tc>
      </w:tr>
      <w:tr>
        <w:trPr>
          <w:trHeight w:val="250"/>
        </w:trPr>
        <w:tc>
          <w:tcPr>
            <w:tcW w:w="820" w:type="dxa"/>
            <w:vAlign w:val="bottom"/>
          </w:tcPr>
          <w:p>
            <w:pPr>
              <w:spacing w:after="0"/>
              <w:rPr>
                <w:sz w:val="21"/>
                <w:szCs w:val="21"/>
                <w:color w:val="auto"/>
              </w:rPr>
            </w:pPr>
          </w:p>
        </w:tc>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Proxies</w:t>
            </w:r>
          </w:p>
        </w:tc>
        <w:tc>
          <w:tcPr>
            <w:tcW w:w="658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Mary T. Barra, Grant Dixton, and John S. Kim</w:t>
            </w:r>
          </w:p>
        </w:tc>
        <w:tc>
          <w:tcPr>
            <w:tcW w:w="820" w:type="dxa"/>
            <w:vAlign w:val="bottom"/>
          </w:tcPr>
          <w:p>
            <w:pPr>
              <w:spacing w:after="0"/>
              <w:rPr>
                <w:sz w:val="21"/>
                <w:szCs w:val="21"/>
                <w:color w:val="auto"/>
              </w:rPr>
            </w:pPr>
          </w:p>
        </w:tc>
      </w:tr>
      <w:tr>
        <w:trPr>
          <w:trHeight w:val="250"/>
        </w:trPr>
        <w:tc>
          <w:tcPr>
            <w:tcW w:w="820" w:type="dxa"/>
            <w:vAlign w:val="bottom"/>
          </w:tcPr>
          <w:p>
            <w:pPr>
              <w:spacing w:after="0"/>
              <w:rPr>
                <w:sz w:val="21"/>
                <w:szCs w:val="21"/>
                <w:color w:val="auto"/>
              </w:rPr>
            </w:pPr>
          </w:p>
        </w:tc>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PSU</w:t>
            </w:r>
          </w:p>
        </w:tc>
        <w:tc>
          <w:tcPr>
            <w:tcW w:w="658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Performance Share Unit</w:t>
            </w:r>
          </w:p>
        </w:tc>
        <w:tc>
          <w:tcPr>
            <w:tcW w:w="820" w:type="dxa"/>
            <w:vAlign w:val="bottom"/>
          </w:tcPr>
          <w:p>
            <w:pPr>
              <w:spacing w:after="0"/>
              <w:rPr>
                <w:sz w:val="21"/>
                <w:szCs w:val="21"/>
                <w:color w:val="auto"/>
              </w:rPr>
            </w:pPr>
          </w:p>
        </w:tc>
      </w:tr>
      <w:tr>
        <w:trPr>
          <w:trHeight w:val="250"/>
        </w:trPr>
        <w:tc>
          <w:tcPr>
            <w:tcW w:w="820" w:type="dxa"/>
            <w:vAlign w:val="bottom"/>
          </w:tcPr>
          <w:p>
            <w:pPr>
              <w:spacing w:after="0"/>
              <w:rPr>
                <w:sz w:val="21"/>
                <w:szCs w:val="21"/>
                <w:color w:val="auto"/>
              </w:rPr>
            </w:pPr>
          </w:p>
        </w:tc>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R&amp;D</w:t>
            </w:r>
          </w:p>
        </w:tc>
        <w:tc>
          <w:tcPr>
            <w:tcW w:w="658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Research and Development</w:t>
            </w:r>
          </w:p>
        </w:tc>
        <w:tc>
          <w:tcPr>
            <w:tcW w:w="820" w:type="dxa"/>
            <w:vAlign w:val="bottom"/>
          </w:tcPr>
          <w:p>
            <w:pPr>
              <w:spacing w:after="0"/>
              <w:rPr>
                <w:sz w:val="21"/>
                <w:szCs w:val="21"/>
                <w:color w:val="auto"/>
              </w:rPr>
            </w:pPr>
          </w:p>
        </w:tc>
      </w:tr>
      <w:tr>
        <w:trPr>
          <w:trHeight w:val="250"/>
        </w:trPr>
        <w:tc>
          <w:tcPr>
            <w:tcW w:w="820" w:type="dxa"/>
            <w:vAlign w:val="bottom"/>
          </w:tcPr>
          <w:p>
            <w:pPr>
              <w:spacing w:after="0"/>
              <w:rPr>
                <w:sz w:val="21"/>
                <w:szCs w:val="21"/>
                <w:color w:val="auto"/>
              </w:rPr>
            </w:pPr>
          </w:p>
        </w:tc>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ROIC</w:t>
            </w:r>
          </w:p>
        </w:tc>
        <w:tc>
          <w:tcPr>
            <w:tcW w:w="658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Return on Invested Capital</w:t>
            </w:r>
          </w:p>
        </w:tc>
        <w:tc>
          <w:tcPr>
            <w:tcW w:w="820" w:type="dxa"/>
            <w:vAlign w:val="bottom"/>
          </w:tcPr>
          <w:p>
            <w:pPr>
              <w:spacing w:after="0"/>
              <w:rPr>
                <w:sz w:val="21"/>
                <w:szCs w:val="21"/>
                <w:color w:val="auto"/>
              </w:rPr>
            </w:pPr>
          </w:p>
        </w:tc>
      </w:tr>
      <w:tr>
        <w:trPr>
          <w:trHeight w:val="250"/>
        </w:trPr>
        <w:tc>
          <w:tcPr>
            <w:tcW w:w="820" w:type="dxa"/>
            <w:vAlign w:val="bottom"/>
          </w:tcPr>
          <w:p>
            <w:pPr>
              <w:spacing w:after="0"/>
              <w:rPr>
                <w:sz w:val="21"/>
                <w:szCs w:val="21"/>
                <w:color w:val="auto"/>
              </w:rPr>
            </w:pPr>
          </w:p>
        </w:tc>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RSU</w:t>
            </w:r>
          </w:p>
        </w:tc>
        <w:tc>
          <w:tcPr>
            <w:tcW w:w="658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Restricted Stock Unit</w:t>
            </w:r>
          </w:p>
        </w:tc>
        <w:tc>
          <w:tcPr>
            <w:tcW w:w="820" w:type="dxa"/>
            <w:vAlign w:val="bottom"/>
          </w:tcPr>
          <w:p>
            <w:pPr>
              <w:spacing w:after="0"/>
              <w:rPr>
                <w:sz w:val="21"/>
                <w:szCs w:val="21"/>
                <w:color w:val="auto"/>
              </w:rPr>
            </w:pPr>
          </w:p>
        </w:tc>
      </w:tr>
      <w:tr>
        <w:trPr>
          <w:trHeight w:val="250"/>
        </w:trPr>
        <w:tc>
          <w:tcPr>
            <w:tcW w:w="820" w:type="dxa"/>
            <w:vAlign w:val="bottom"/>
          </w:tcPr>
          <w:p>
            <w:pPr>
              <w:spacing w:after="0"/>
              <w:rPr>
                <w:sz w:val="21"/>
                <w:szCs w:val="21"/>
                <w:color w:val="auto"/>
              </w:rPr>
            </w:pPr>
          </w:p>
        </w:tc>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SCT</w:t>
            </w:r>
          </w:p>
        </w:tc>
        <w:tc>
          <w:tcPr>
            <w:tcW w:w="658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Summary Compensation Table</w:t>
            </w:r>
          </w:p>
        </w:tc>
        <w:tc>
          <w:tcPr>
            <w:tcW w:w="820" w:type="dxa"/>
            <w:vAlign w:val="bottom"/>
          </w:tcPr>
          <w:p>
            <w:pPr>
              <w:spacing w:after="0"/>
              <w:rPr>
                <w:sz w:val="21"/>
                <w:szCs w:val="21"/>
                <w:color w:val="auto"/>
              </w:rPr>
            </w:pPr>
          </w:p>
        </w:tc>
      </w:tr>
      <w:tr>
        <w:trPr>
          <w:trHeight w:val="250"/>
        </w:trPr>
        <w:tc>
          <w:tcPr>
            <w:tcW w:w="820" w:type="dxa"/>
            <w:vAlign w:val="bottom"/>
          </w:tcPr>
          <w:p>
            <w:pPr>
              <w:spacing w:after="0"/>
              <w:rPr>
                <w:sz w:val="21"/>
                <w:szCs w:val="21"/>
                <w:color w:val="auto"/>
              </w:rPr>
            </w:pPr>
          </w:p>
        </w:tc>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SEC</w:t>
            </w:r>
          </w:p>
        </w:tc>
        <w:tc>
          <w:tcPr>
            <w:tcW w:w="658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U.S. Securities and Exchange Commission</w:t>
            </w:r>
          </w:p>
        </w:tc>
        <w:tc>
          <w:tcPr>
            <w:tcW w:w="820" w:type="dxa"/>
            <w:vAlign w:val="bottom"/>
          </w:tcPr>
          <w:p>
            <w:pPr>
              <w:spacing w:after="0"/>
              <w:rPr>
                <w:sz w:val="21"/>
                <w:szCs w:val="21"/>
                <w:color w:val="auto"/>
              </w:rPr>
            </w:pPr>
          </w:p>
        </w:tc>
      </w:tr>
      <w:tr>
        <w:trPr>
          <w:trHeight w:val="250"/>
        </w:trPr>
        <w:tc>
          <w:tcPr>
            <w:tcW w:w="820" w:type="dxa"/>
            <w:vAlign w:val="bottom"/>
          </w:tcPr>
          <w:p>
            <w:pPr>
              <w:spacing w:after="0"/>
              <w:rPr>
                <w:sz w:val="21"/>
                <w:szCs w:val="21"/>
                <w:color w:val="auto"/>
              </w:rPr>
            </w:pPr>
          </w:p>
        </w:tc>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Senior Leadership Team</w:t>
            </w:r>
          </w:p>
        </w:tc>
        <w:tc>
          <w:tcPr>
            <w:tcW w:w="658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Certain members of management who report directly to the CEO or the President</w:t>
            </w:r>
          </w:p>
        </w:tc>
        <w:tc>
          <w:tcPr>
            <w:tcW w:w="820" w:type="dxa"/>
            <w:vAlign w:val="bottom"/>
          </w:tcPr>
          <w:p>
            <w:pPr>
              <w:spacing w:after="0"/>
              <w:rPr>
                <w:sz w:val="21"/>
                <w:szCs w:val="21"/>
                <w:color w:val="auto"/>
              </w:rPr>
            </w:pPr>
          </w:p>
        </w:tc>
      </w:tr>
      <w:tr>
        <w:trPr>
          <w:trHeight w:val="250"/>
        </w:trPr>
        <w:tc>
          <w:tcPr>
            <w:tcW w:w="820" w:type="dxa"/>
            <w:vAlign w:val="bottom"/>
          </w:tcPr>
          <w:p>
            <w:pPr>
              <w:spacing w:after="0"/>
              <w:rPr>
                <w:sz w:val="21"/>
                <w:szCs w:val="21"/>
                <w:color w:val="auto"/>
              </w:rPr>
            </w:pPr>
          </w:p>
        </w:tc>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Shares</w:t>
            </w:r>
          </w:p>
        </w:tc>
        <w:tc>
          <w:tcPr>
            <w:tcW w:w="658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3D3935"/>
              </w:rPr>
              <w:t>Unless otherwise indicated, GM’s Common Stock, $0.01 par value per share</w:t>
            </w:r>
          </w:p>
        </w:tc>
        <w:tc>
          <w:tcPr>
            <w:tcW w:w="820" w:type="dxa"/>
            <w:vAlign w:val="bottom"/>
          </w:tcPr>
          <w:p>
            <w:pPr>
              <w:spacing w:after="0"/>
              <w:rPr>
                <w:sz w:val="21"/>
                <w:szCs w:val="21"/>
                <w:color w:val="auto"/>
              </w:rPr>
            </w:pPr>
          </w:p>
        </w:tc>
      </w:tr>
      <w:tr>
        <w:trPr>
          <w:trHeight w:val="246"/>
        </w:trPr>
        <w:tc>
          <w:tcPr>
            <w:tcW w:w="820" w:type="dxa"/>
            <w:vAlign w:val="bottom"/>
          </w:tcPr>
          <w:p>
            <w:pPr>
              <w:spacing w:after="0"/>
              <w:rPr>
                <w:sz w:val="21"/>
                <w:szCs w:val="21"/>
                <w:color w:val="auto"/>
              </w:rPr>
            </w:pPr>
          </w:p>
        </w:tc>
        <w:tc>
          <w:tcPr>
            <w:tcW w:w="2500" w:type="dxa"/>
            <w:vAlign w:val="bottom"/>
          </w:tcPr>
          <w:p>
            <w:pPr>
              <w:ind w:left="60"/>
              <w:spacing w:after="0"/>
              <w:rPr>
                <w:sz w:val="20"/>
                <w:szCs w:val="20"/>
                <w:color w:val="auto"/>
              </w:rPr>
            </w:pPr>
            <w:r>
              <w:rPr>
                <w:rFonts w:ascii="Arial" w:cs="Arial" w:eastAsia="Arial" w:hAnsi="Arial"/>
                <w:sz w:val="16"/>
                <w:szCs w:val="16"/>
                <w:b w:val="1"/>
                <w:bCs w:val="1"/>
                <w:color w:val="3D3935"/>
              </w:rPr>
              <w:t>STIP</w:t>
            </w:r>
          </w:p>
        </w:tc>
        <w:tc>
          <w:tcPr>
            <w:tcW w:w="7400" w:type="dxa"/>
            <w:vAlign w:val="bottom"/>
            <w:gridSpan w:val="2"/>
          </w:tcPr>
          <w:p>
            <w:pPr>
              <w:ind w:left="260"/>
              <w:spacing w:after="0"/>
              <w:rPr>
                <w:sz w:val="20"/>
                <w:szCs w:val="20"/>
                <w:color w:val="auto"/>
              </w:rPr>
            </w:pPr>
            <w:r>
              <w:rPr>
                <w:rFonts w:ascii="Arial" w:cs="Arial" w:eastAsia="Arial" w:hAnsi="Arial"/>
                <w:sz w:val="16"/>
                <w:szCs w:val="16"/>
                <w:color w:val="3D3935"/>
              </w:rPr>
              <w:t>Short-Term Incentive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-4401185</wp:posOffset>
            </wp:positionV>
            <wp:extent cx="711200" cy="857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1200" cy="85725"/>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-4932680</wp:posOffset>
            </wp:positionV>
            <wp:extent cx="57607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-5104130</wp:posOffset>
            </wp:positionV>
            <wp:extent cx="57607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-5275580</wp:posOffset>
            </wp:positionV>
            <wp:extent cx="57607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-5575300</wp:posOffset>
            </wp:positionV>
            <wp:extent cx="57607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-5746750</wp:posOffset>
            </wp:positionV>
            <wp:extent cx="57607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-5918200</wp:posOffset>
            </wp:positionV>
            <wp:extent cx="57607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-6089650</wp:posOffset>
            </wp:positionV>
            <wp:extent cx="57607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-6261100</wp:posOffset>
            </wp:positionV>
            <wp:extent cx="57607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-6432550</wp:posOffset>
            </wp:positionV>
            <wp:extent cx="57607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-6604000</wp:posOffset>
            </wp:positionV>
            <wp:extent cx="57607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-6775450</wp:posOffset>
            </wp:positionV>
            <wp:extent cx="57607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-6946900</wp:posOffset>
            </wp:positionV>
            <wp:extent cx="57607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-7118350</wp:posOffset>
            </wp:positionV>
            <wp:extent cx="57607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-7289800</wp:posOffset>
            </wp:positionV>
            <wp:extent cx="57607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-7632700</wp:posOffset>
            </wp:positionV>
            <wp:extent cx="57607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-7804150</wp:posOffset>
            </wp:positionV>
            <wp:extent cx="57607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-7975600</wp:posOffset>
            </wp:positionV>
            <wp:extent cx="57607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-8147050</wp:posOffset>
            </wp:positionV>
            <wp:extent cx="57607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-8318500</wp:posOffset>
            </wp:positionV>
            <wp:extent cx="57607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-8489950</wp:posOffset>
            </wp:positionV>
            <wp:extent cx="57607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-8661400</wp:posOffset>
            </wp:positionV>
            <wp:extent cx="57607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-8832850</wp:posOffset>
            </wp:positionV>
            <wp:extent cx="57607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-9004300</wp:posOffset>
            </wp:positionV>
            <wp:extent cx="57607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-9175750</wp:posOffset>
            </wp:positionV>
            <wp:extent cx="57607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-9347200</wp:posOffset>
            </wp:positionV>
            <wp:extent cx="57607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-9518650</wp:posOffset>
            </wp:positionV>
            <wp:extent cx="57607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-9690100</wp:posOffset>
            </wp:positionV>
            <wp:extent cx="57607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-9861550</wp:posOffset>
            </wp:positionV>
            <wp:extent cx="57607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-3982720</wp:posOffset>
            </wp:positionV>
            <wp:extent cx="6810375" cy="44653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10375" cy="4465320"/>
                    </a:xfrm>
                    <a:prstGeom prst="rect">
                      <a:avLst/>
                    </a:prstGeom>
                    <a:noFill/>
                  </pic:spPr>
                </pic:pic>
              </a:graphicData>
            </a:graphic>
          </wp:anchor>
        </w:drawing>
      </w:r>
    </w:p>
    <w:p>
      <w:pPr>
        <w:sectPr>
          <w:pgSz w:w="11900" w:h="16838" w:orient="portrait"/>
          <w:cols w:equalWidth="0" w:num="1">
            <w:col w:w="10720"/>
          </w:cols>
          <w:pgMar w:left="580" w:top="120" w:right="599" w:bottom="102" w:gutter="0" w:footer="0" w:header="0"/>
        </w:sectPr>
      </w:pPr>
    </w:p>
    <w:p>
      <w:pPr>
        <w:spacing w:after="0" w:line="47" w:lineRule="exact"/>
        <w:rPr>
          <w:sz w:val="20"/>
          <w:szCs w:val="20"/>
          <w:color w:val="auto"/>
        </w:rPr>
      </w:pPr>
    </w:p>
    <w:p>
      <w:pPr>
        <w:ind w:left="880"/>
        <w:spacing w:after="0"/>
        <w:tabs>
          <w:tab w:leader="none" w:pos="3560" w:val="left"/>
        </w:tabs>
        <w:rPr>
          <w:sz w:val="20"/>
          <w:szCs w:val="20"/>
          <w:color w:val="auto"/>
        </w:rPr>
      </w:pPr>
      <w:r>
        <w:rPr>
          <w:rFonts w:ascii="Arial" w:cs="Arial" w:eastAsia="Arial" w:hAnsi="Arial"/>
          <w:sz w:val="16"/>
          <w:szCs w:val="16"/>
          <w:b w:val="1"/>
          <w:bCs w:val="1"/>
          <w:color w:val="3D3935"/>
        </w:rPr>
        <w:t>TSR</w:t>
      </w:r>
      <w:r>
        <w:rPr>
          <w:sz w:val="20"/>
          <w:szCs w:val="20"/>
          <w:color w:val="auto"/>
        </w:rPr>
        <w:tab/>
      </w:r>
      <w:r>
        <w:rPr>
          <w:rFonts w:ascii="Arial" w:cs="Arial" w:eastAsia="Arial" w:hAnsi="Arial"/>
          <w:sz w:val="16"/>
          <w:szCs w:val="16"/>
          <w:color w:val="3D3935"/>
        </w:rPr>
        <w:t>Total Shareholder Return</w:t>
      </w:r>
    </w:p>
    <w:p>
      <w:pPr>
        <w:sectPr>
          <w:pgSz w:w="11900" w:h="16838" w:orient="portrait"/>
          <w:cols w:equalWidth="0" w:num="1">
            <w:col w:w="10720"/>
          </w:cols>
          <w:pgMar w:left="580" w:top="120" w:right="599" w:bottom="102" w:gutter="0" w:footer="0" w:header="0"/>
          <w:type w:val="continuous"/>
        </w:sectPr>
      </w:pPr>
    </w:p>
    <w:bookmarkStart w:id="88" w:name="page89"/>
    <w:bookmarkEnd w:id="88"/>
    <w:p>
      <w:pPr>
        <w:spacing w:after="0" w:line="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43910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10375" cy="4391025"/>
                    </a:xfrm>
                    <a:prstGeom prst="rect">
                      <a:avLst/>
                    </a:prstGeom>
                    <a:noFill/>
                  </pic:spPr>
                </pic:pic>
              </a:graphicData>
            </a:graphic>
          </wp:anchor>
        </w:drawing>
      </w:r>
    </w:p>
    <w:p>
      <w:pPr>
        <w:ind w:left="240" w:right="460"/>
        <w:spacing w:after="0" w:line="290" w:lineRule="auto"/>
        <w:rPr>
          <w:sz w:val="20"/>
          <w:szCs w:val="20"/>
          <w:color w:val="auto"/>
        </w:rPr>
      </w:pPr>
      <w:r>
        <w:rPr>
          <w:rFonts w:ascii="Arial" w:cs="Arial" w:eastAsia="Arial" w:hAnsi="Arial"/>
          <w:sz w:val="14"/>
          <w:szCs w:val="14"/>
          <w:b w:val="1"/>
          <w:bCs w:val="1"/>
          <w:color w:val="3D3935"/>
        </w:rPr>
        <w:t xml:space="preserve">Cautionary Note on Forward-Looking Statements </w:t>
      </w:r>
      <w:r>
        <w:rPr>
          <w:rFonts w:ascii="Arial" w:cs="Arial" w:eastAsia="Arial" w:hAnsi="Arial"/>
          <w:sz w:val="14"/>
          <w:szCs w:val="14"/>
          <w:color w:val="3D3935"/>
        </w:rPr>
        <w:t>: This Proxy Statement may include “forward-looking statements” within the</w:t>
      </w:r>
      <w:r>
        <w:rPr>
          <w:rFonts w:ascii="Arial" w:cs="Arial" w:eastAsia="Arial" w:hAnsi="Arial"/>
          <w:sz w:val="14"/>
          <w:szCs w:val="14"/>
          <w:b w:val="1"/>
          <w:bCs w:val="1"/>
          <w:color w:val="3D3935"/>
        </w:rPr>
        <w:t xml:space="preserve"> </w:t>
      </w:r>
      <w:r>
        <w:rPr>
          <w:rFonts w:ascii="Arial" w:cs="Arial" w:eastAsia="Arial" w:hAnsi="Arial"/>
          <w:sz w:val="14"/>
          <w:szCs w:val="14"/>
          <w:color w:val="3D3935"/>
        </w:rPr>
        <w:t>meaning of the U.S. federal securities laws. Forward-looking statements are any statements other than statements of historical fact. Forward-looking statements represent our current judgement about possible future events. In making these statements, we rely upon assumptions and analysis based on our experience and perception of historical trends, current conditions, and expected future developments, as well as other factors we consider appropriate under the circumstances. We believe these judgements are reasonable, but these statements are not guarantees of any future events or financial results, and our actual results may differ materially due to a variety of factors, many of which are described in our 2024 Form 10-K and our other filings with the SEC.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15" w:lineRule="exact"/>
        <w:rPr>
          <w:sz w:val="20"/>
          <w:szCs w:val="20"/>
          <w:color w:val="auto"/>
        </w:rPr>
      </w:pPr>
    </w:p>
    <w:p>
      <w:pPr>
        <w:ind w:left="240" w:right="360"/>
        <w:spacing w:after="0" w:line="294" w:lineRule="auto"/>
        <w:rPr>
          <w:sz w:val="20"/>
          <w:szCs w:val="20"/>
          <w:color w:val="auto"/>
        </w:rPr>
      </w:pPr>
      <w:r>
        <w:rPr>
          <w:rFonts w:ascii="Arial" w:cs="Arial" w:eastAsia="Arial" w:hAnsi="Arial"/>
          <w:sz w:val="14"/>
          <w:szCs w:val="14"/>
          <w:b w:val="1"/>
          <w:bCs w:val="1"/>
          <w:color w:val="3D3935"/>
        </w:rPr>
        <w:t>Non-GAAP financial measures</w:t>
      </w:r>
      <w:r>
        <w:rPr>
          <w:rFonts w:ascii="Arial" w:cs="Arial" w:eastAsia="Arial" w:hAnsi="Arial"/>
          <w:sz w:val="14"/>
          <w:szCs w:val="14"/>
          <w:color w:val="3D3935"/>
        </w:rPr>
        <w:t>: See our 2024 Form 10-K and our other filings with the SEC for a description of certain non-GAAP</w:t>
      </w:r>
      <w:r>
        <w:rPr>
          <w:rFonts w:ascii="Arial" w:cs="Arial" w:eastAsia="Arial" w:hAnsi="Arial"/>
          <w:sz w:val="14"/>
          <w:szCs w:val="14"/>
          <w:b w:val="1"/>
          <w:bCs w:val="1"/>
          <w:color w:val="3D3935"/>
        </w:rPr>
        <w:t xml:space="preserve"> </w:t>
      </w:r>
      <w:r>
        <w:rPr>
          <w:rFonts w:ascii="Arial" w:cs="Arial" w:eastAsia="Arial" w:hAnsi="Arial"/>
          <w:sz w:val="14"/>
          <w:szCs w:val="14"/>
          <w:color w:val="3D3935"/>
        </w:rPr>
        <w:t>measures used in this Proxy Statement, along with a description of various uses for such measures. Our calculation of these non-GAAP measures are set forth within these reports and Appendix A to this Proxy Statement, and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GAAP measures. When we present our total company EBIT-adjusted, GM Financial is presented on an EBT-adjusted basis.</w:t>
      </w:r>
    </w:p>
    <w:p>
      <w:pPr>
        <w:spacing w:after="0" w:line="113" w:lineRule="exact"/>
        <w:rPr>
          <w:sz w:val="20"/>
          <w:szCs w:val="20"/>
          <w:color w:val="auto"/>
        </w:rPr>
      </w:pPr>
    </w:p>
    <w:p>
      <w:pPr>
        <w:ind w:left="240" w:right="580"/>
        <w:spacing w:after="0" w:line="289" w:lineRule="auto"/>
        <w:rPr>
          <w:sz w:val="20"/>
          <w:szCs w:val="20"/>
          <w:color w:val="auto"/>
        </w:rPr>
      </w:pPr>
      <w:r>
        <w:rPr>
          <w:rFonts w:ascii="Arial" w:cs="Arial" w:eastAsia="Arial" w:hAnsi="Arial"/>
          <w:sz w:val="14"/>
          <w:szCs w:val="14"/>
          <w:b w:val="1"/>
          <w:bCs w:val="1"/>
          <w:color w:val="3D3935"/>
        </w:rPr>
        <w:t xml:space="preserve">Additional Information </w:t>
      </w:r>
      <w:r>
        <w:rPr>
          <w:rFonts w:ascii="Arial" w:cs="Arial" w:eastAsia="Arial" w:hAnsi="Arial"/>
          <w:sz w:val="14"/>
          <w:szCs w:val="14"/>
          <w:color w:val="3D3935"/>
        </w:rPr>
        <w:t>: References to “record” or “best” performance (or similar statements) in this Proxy Statement refer to</w:t>
      </w:r>
      <w:r>
        <w:rPr>
          <w:rFonts w:ascii="Arial" w:cs="Arial" w:eastAsia="Arial" w:hAnsi="Arial"/>
          <w:sz w:val="14"/>
          <w:szCs w:val="14"/>
          <w:b w:val="1"/>
          <w:bCs w:val="1"/>
          <w:color w:val="3D3935"/>
        </w:rPr>
        <w:t xml:space="preserve"> </w:t>
      </w:r>
      <w:r>
        <w:rPr>
          <w:rFonts w:ascii="Arial" w:cs="Arial" w:eastAsia="Arial" w:hAnsi="Arial"/>
          <w:sz w:val="14"/>
          <w:szCs w:val="14"/>
          <w:color w:val="3D3935"/>
        </w:rPr>
        <w:t>General Motors Company, as established in 2009. In addition, certain figures included in the charts and tables in this Proxy Statement may not sum due to rounding. Simulated models and pre-production models are shown throughout; production vehicles will vary. For information on models shown, including availability, see each GM brand website for details.</w:t>
      </w:r>
    </w:p>
    <w:p>
      <w:pPr>
        <w:spacing w:after="0" w:line="2" w:lineRule="exact"/>
        <w:rPr>
          <w:sz w:val="20"/>
          <w:szCs w:val="20"/>
          <w:color w:val="auto"/>
        </w:rPr>
      </w:pPr>
    </w:p>
    <w:tbl>
      <w:tblPr>
        <w:tblLayout w:type="fixed"/>
        <w:tblInd w:w="7000" w:type="dxa"/>
        <w:tblCellMar>
          <w:top w:w="0" w:type="dxa"/>
          <w:left w:w="0" w:type="dxa"/>
          <w:bottom w:w="0" w:type="dxa"/>
          <w:right w:w="0" w:type="dxa"/>
        </w:tblCellMar>
      </w:tblPr>
      <w:tr>
        <w:trPr>
          <w:trHeight w:val="164"/>
        </w:trPr>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shd w:val="clear" w:color="auto" w:fill="F0F3F5"/>
          </w:tcPr>
          <w:p>
            <w:pPr>
              <w:spacing w:after="0"/>
              <w:rPr>
                <w:sz w:val="14"/>
                <w:szCs w:val="14"/>
                <w:color w:val="auto"/>
              </w:rPr>
            </w:pPr>
          </w:p>
        </w:tc>
      </w:tr>
      <w:tr>
        <w:trPr>
          <w:trHeight w:val="1807"/>
        </w:trPr>
        <w:tc>
          <w:tcPr>
            <w:tcW w:w="168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4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3D3935"/>
              </w:rPr>
              <w:t>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60426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10375" cy="6042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0" w:right="3520"/>
        <w:spacing w:after="0" w:line="304" w:lineRule="auto"/>
        <w:rPr>
          <w:sz w:val="20"/>
          <w:szCs w:val="20"/>
          <w:color w:val="auto"/>
        </w:rPr>
      </w:pPr>
      <w:r>
        <w:rPr>
          <w:rFonts w:ascii="Arial" w:cs="Arial" w:eastAsia="Arial" w:hAnsi="Arial"/>
          <w:sz w:val="48"/>
          <w:szCs w:val="48"/>
          <w:b w:val="1"/>
          <w:bCs w:val="1"/>
          <w:color w:val="3D3935"/>
        </w:rPr>
        <w:t>Appendix A: Non-GAAP Financial Measures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Non-GAAP Reconciliations</w:t>
      </w:r>
    </w:p>
    <w:p>
      <w:pPr>
        <w:spacing w:after="0" w:line="127"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3D3935"/>
        </w:rPr>
        <w:t>Our Company reports its financial results in accordance with GAAP. However, management believes that certain non-GAAP financial measures provide users with additional meaningful financial information.</w:t>
      </w:r>
    </w:p>
    <w:p>
      <w:pPr>
        <w:spacing w:after="0" w:line="88"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3D3935"/>
        </w:rPr>
        <w:t>Our non-GAAP measures presented in this Proxy Statement include: (i) EBIT-adjusted, presented net of noncontrolling interests, and EBIT-adjusted margin (ii) EPS-diluted-adjusted, (iii) ROIC-adjusted, and (iv) adjusted automotive free cash flow. Our calculation of these non-GAAP measures may not be comparable with similarly-titled measures of other companies due to potential differences between companies in the method of calculation. As a result, the use of these non-GAAP measures has limitations and should not be considered superior to, in isolation from, or as a substitute for related GAAP measures. See our 2024 Form 10-K and our subsequent filings with the SEC for additional information about the non-GAAP measures presented herein, including a description of the use of such measures. References to “record” or “best” performance (or similar statements) in this Proxy Statement refer to General Motors Company, as established in 2009. In addition, certain figures included in the charts and tables in this Proxy Statement may not sum due to rounding. The numbers in the tables below may not sum due to rounding.</w:t>
      </w:r>
    </w:p>
    <w:p>
      <w:pPr>
        <w:spacing w:after="0" w:line="39" w:lineRule="exact"/>
        <w:rPr>
          <w:sz w:val="20"/>
          <w:szCs w:val="20"/>
          <w:color w:val="auto"/>
        </w:rPr>
      </w:pPr>
    </w:p>
    <w:p>
      <w:pPr>
        <w:ind w:right="480"/>
        <w:spacing w:after="0" w:line="321" w:lineRule="auto"/>
        <w:rPr>
          <w:sz w:val="20"/>
          <w:szCs w:val="20"/>
          <w:color w:val="auto"/>
        </w:rPr>
      </w:pPr>
      <w:r>
        <w:rPr>
          <w:rFonts w:ascii="Arial" w:cs="Arial" w:eastAsia="Arial" w:hAnsi="Arial"/>
          <w:sz w:val="16"/>
          <w:szCs w:val="16"/>
          <w:color w:val="3D3935"/>
        </w:rPr>
        <w:t>The following table reconciles Net Income Attributable to Stockholders under GAAP to EBIT-adjusted and EBIT-adjusted margin:</w:t>
      </w:r>
    </w:p>
    <w:p>
      <w:pPr>
        <w:spacing w:after="0" w:line="269"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4460" w:type="dxa"/>
            <w:vAlign w:val="bottom"/>
          </w:tcPr>
          <w:p>
            <w:pPr>
              <w:spacing w:after="0"/>
              <w:rPr>
                <w:sz w:val="20"/>
                <w:szCs w:val="20"/>
                <w:color w:val="auto"/>
              </w:rPr>
            </w:pPr>
            <w:r>
              <w:rPr>
                <w:rFonts w:ascii="Arial" w:cs="Arial" w:eastAsia="Arial" w:hAnsi="Arial"/>
                <w:sz w:val="14"/>
                <w:szCs w:val="14"/>
                <w:b w:val="1"/>
                <w:bCs w:val="1"/>
                <w:color w:val="3D3935"/>
              </w:rPr>
              <w:t>($B)</w:t>
            </w:r>
          </w:p>
        </w:tc>
        <w:tc>
          <w:tcPr>
            <w:tcW w:w="2140" w:type="dxa"/>
            <w:vAlign w:val="bottom"/>
          </w:tcPr>
          <w:p>
            <w:pPr>
              <w:jc w:val="right"/>
              <w:ind w:right="60"/>
              <w:spacing w:after="0"/>
              <w:rPr>
                <w:sz w:val="20"/>
                <w:szCs w:val="20"/>
                <w:color w:val="auto"/>
              </w:rPr>
            </w:pPr>
            <w:r>
              <w:rPr>
                <w:rFonts w:ascii="Arial" w:cs="Arial" w:eastAsia="Arial" w:hAnsi="Arial"/>
                <w:sz w:val="14"/>
                <w:szCs w:val="14"/>
                <w:b w:val="1"/>
                <w:bCs w:val="1"/>
                <w:color w:val="3D3935"/>
              </w:rPr>
              <w:t>2022</w:t>
            </w:r>
          </w:p>
        </w:tc>
        <w:tc>
          <w:tcPr>
            <w:tcW w:w="240" w:type="dxa"/>
            <w:vAlign w:val="bottom"/>
          </w:tcPr>
          <w:p>
            <w:pPr>
              <w:spacing w:after="0"/>
              <w:rPr>
                <w:sz w:val="17"/>
                <w:szCs w:val="17"/>
                <w:color w:val="auto"/>
              </w:rPr>
            </w:pPr>
          </w:p>
        </w:tc>
        <w:tc>
          <w:tcPr>
            <w:tcW w:w="580" w:type="dxa"/>
            <w:vAlign w:val="bottom"/>
          </w:tcPr>
          <w:p>
            <w:pPr>
              <w:jc w:val="right"/>
              <w:ind w:right="60"/>
              <w:spacing w:after="0"/>
              <w:rPr>
                <w:sz w:val="20"/>
                <w:szCs w:val="20"/>
                <w:color w:val="auto"/>
              </w:rPr>
            </w:pPr>
            <w:r>
              <w:rPr>
                <w:rFonts w:ascii="Arial" w:cs="Arial" w:eastAsia="Arial" w:hAnsi="Arial"/>
                <w:sz w:val="14"/>
                <w:szCs w:val="14"/>
                <w:b w:val="1"/>
                <w:bCs w:val="1"/>
                <w:color w:val="3D3935"/>
              </w:rPr>
              <w:t>2023</w:t>
            </w:r>
          </w:p>
        </w:tc>
        <w:tc>
          <w:tcPr>
            <w:tcW w:w="200" w:type="dxa"/>
            <w:vAlign w:val="bottom"/>
          </w:tcPr>
          <w:p>
            <w:pPr>
              <w:spacing w:after="0"/>
              <w:rPr>
                <w:sz w:val="17"/>
                <w:szCs w:val="17"/>
                <w:color w:val="auto"/>
              </w:rPr>
            </w:pPr>
          </w:p>
        </w:tc>
        <w:tc>
          <w:tcPr>
            <w:tcW w:w="600" w:type="dxa"/>
            <w:vAlign w:val="bottom"/>
          </w:tcPr>
          <w:p>
            <w:pPr>
              <w:jc w:val="right"/>
              <w:ind w:right="60"/>
              <w:spacing w:after="0"/>
              <w:rPr>
                <w:sz w:val="20"/>
                <w:szCs w:val="20"/>
                <w:color w:val="auto"/>
              </w:rPr>
            </w:pPr>
            <w:r>
              <w:rPr>
                <w:rFonts w:ascii="Arial" w:cs="Arial" w:eastAsia="Arial" w:hAnsi="Arial"/>
                <w:sz w:val="14"/>
                <w:szCs w:val="14"/>
                <w:b w:val="1"/>
                <w:bCs w:val="1"/>
                <w:color w:val="3D3935"/>
              </w:rPr>
              <w:t>2024</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3D3935"/>
              </w:rPr>
              <w:t>Total</w:t>
            </w:r>
          </w:p>
        </w:tc>
      </w:tr>
      <w:tr>
        <w:trPr>
          <w:trHeight w:val="264"/>
        </w:trPr>
        <w:tc>
          <w:tcPr>
            <w:tcW w:w="4460" w:type="dxa"/>
            <w:vAlign w:val="bottom"/>
          </w:tcPr>
          <w:p>
            <w:pPr>
              <w:spacing w:after="0"/>
              <w:rPr>
                <w:sz w:val="20"/>
                <w:szCs w:val="20"/>
                <w:color w:val="auto"/>
              </w:rPr>
            </w:pPr>
            <w:r>
              <w:rPr>
                <w:rFonts w:ascii="Arial" w:cs="Arial" w:eastAsia="Arial" w:hAnsi="Arial"/>
                <w:sz w:val="16"/>
                <w:szCs w:val="16"/>
                <w:b w:val="1"/>
                <w:bCs w:val="1"/>
                <w:color w:val="3D3935"/>
              </w:rPr>
              <w:t>Net Sales and Revenue</w:t>
            </w:r>
          </w:p>
        </w:tc>
        <w:tc>
          <w:tcPr>
            <w:tcW w:w="2140" w:type="dxa"/>
            <w:vAlign w:val="bottom"/>
          </w:tcPr>
          <w:p>
            <w:pPr>
              <w:jc w:val="right"/>
              <w:ind w:right="40"/>
              <w:spacing w:after="0"/>
              <w:rPr>
                <w:sz w:val="20"/>
                <w:szCs w:val="20"/>
                <w:color w:val="auto"/>
              </w:rPr>
            </w:pPr>
            <w:r>
              <w:rPr>
                <w:rFonts w:ascii="Arial" w:cs="Arial" w:eastAsia="Arial" w:hAnsi="Arial"/>
                <w:sz w:val="16"/>
                <w:szCs w:val="16"/>
                <w:b w:val="1"/>
                <w:bCs w:val="1"/>
                <w:color w:val="3D3935"/>
              </w:rPr>
              <w:t>$  156.7</w:t>
            </w:r>
          </w:p>
        </w:tc>
        <w:tc>
          <w:tcPr>
            <w:tcW w:w="240" w:type="dxa"/>
            <w:vAlign w:val="bottom"/>
          </w:tcPr>
          <w:p>
            <w:pPr>
              <w:jc w:val="right"/>
              <w:ind w:right="19"/>
              <w:spacing w:after="0"/>
              <w:rPr>
                <w:sz w:val="20"/>
                <w:szCs w:val="20"/>
                <w:color w:val="auto"/>
              </w:rPr>
            </w:pPr>
            <w:r>
              <w:rPr>
                <w:rFonts w:ascii="Arial" w:cs="Arial" w:eastAsia="Arial" w:hAnsi="Arial"/>
                <w:sz w:val="16"/>
                <w:szCs w:val="16"/>
                <w:b w:val="1"/>
                <w:bCs w:val="1"/>
                <w:color w:val="3D3935"/>
              </w:rPr>
              <w:t>$</w:t>
            </w:r>
          </w:p>
        </w:tc>
        <w:tc>
          <w:tcPr>
            <w:tcW w:w="580" w:type="dxa"/>
            <w:vAlign w:val="bottom"/>
          </w:tcPr>
          <w:p>
            <w:pPr>
              <w:jc w:val="right"/>
              <w:ind w:right="20"/>
              <w:spacing w:after="0"/>
              <w:rPr>
                <w:sz w:val="20"/>
                <w:szCs w:val="20"/>
                <w:color w:val="auto"/>
              </w:rPr>
            </w:pPr>
            <w:r>
              <w:rPr>
                <w:rFonts w:ascii="Arial" w:cs="Arial" w:eastAsia="Arial" w:hAnsi="Arial"/>
                <w:sz w:val="16"/>
                <w:szCs w:val="16"/>
                <w:b w:val="1"/>
                <w:bCs w:val="1"/>
                <w:color w:val="3D3935"/>
              </w:rPr>
              <w:t>171.8</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3D3935"/>
              </w:rPr>
              <w:t>$</w:t>
            </w:r>
          </w:p>
        </w:tc>
        <w:tc>
          <w:tcPr>
            <w:tcW w:w="600" w:type="dxa"/>
            <w:vAlign w:val="bottom"/>
          </w:tcPr>
          <w:p>
            <w:pPr>
              <w:jc w:val="right"/>
              <w:ind w:right="40"/>
              <w:spacing w:after="0"/>
              <w:rPr>
                <w:sz w:val="20"/>
                <w:szCs w:val="20"/>
                <w:color w:val="auto"/>
              </w:rPr>
            </w:pPr>
            <w:r>
              <w:rPr>
                <w:rFonts w:ascii="Arial" w:cs="Arial" w:eastAsia="Arial" w:hAnsi="Arial"/>
                <w:sz w:val="16"/>
                <w:szCs w:val="16"/>
                <w:b w:val="1"/>
                <w:bCs w:val="1"/>
                <w:color w:val="3D3935"/>
              </w:rPr>
              <w:t>187.4</w:t>
            </w:r>
          </w:p>
        </w:tc>
        <w:tc>
          <w:tcPr>
            <w:tcW w:w="700" w:type="dxa"/>
            <w:vAlign w:val="bottom"/>
          </w:tcPr>
          <w:p>
            <w:pPr>
              <w:jc w:val="right"/>
              <w:ind w:right="60"/>
              <w:spacing w:after="0"/>
              <w:rPr>
                <w:sz w:val="20"/>
                <w:szCs w:val="20"/>
                <w:color w:val="auto"/>
              </w:rPr>
            </w:pPr>
            <w:r>
              <w:rPr>
                <w:rFonts w:ascii="Arial" w:cs="Arial" w:eastAsia="Arial" w:hAnsi="Arial"/>
                <w:sz w:val="16"/>
                <w:szCs w:val="16"/>
                <w:b w:val="1"/>
                <w:bCs w:val="1"/>
                <w:color w:val="3D3935"/>
              </w:rPr>
              <w:t>$516.0</w:t>
            </w:r>
          </w:p>
        </w:tc>
      </w:tr>
      <w:tr>
        <w:trPr>
          <w:trHeight w:val="270"/>
        </w:trPr>
        <w:tc>
          <w:tcPr>
            <w:tcW w:w="4460" w:type="dxa"/>
            <w:vAlign w:val="bottom"/>
          </w:tcPr>
          <w:p>
            <w:pPr>
              <w:spacing w:after="0"/>
              <w:rPr>
                <w:sz w:val="20"/>
                <w:szCs w:val="20"/>
                <w:color w:val="auto"/>
              </w:rPr>
            </w:pPr>
            <w:r>
              <w:rPr>
                <w:rFonts w:ascii="Arial" w:cs="Arial" w:eastAsia="Arial" w:hAnsi="Arial"/>
                <w:sz w:val="16"/>
                <w:szCs w:val="16"/>
                <w:b w:val="1"/>
                <w:bCs w:val="1"/>
                <w:color w:val="3D3935"/>
              </w:rPr>
              <w:t>Net Income Attributable to Stockholders</w:t>
            </w:r>
          </w:p>
        </w:tc>
        <w:tc>
          <w:tcPr>
            <w:tcW w:w="2140" w:type="dxa"/>
            <w:vAlign w:val="bottom"/>
          </w:tcPr>
          <w:p>
            <w:pPr>
              <w:jc w:val="right"/>
              <w:ind w:right="60"/>
              <w:spacing w:after="0"/>
              <w:rPr>
                <w:sz w:val="20"/>
                <w:szCs w:val="20"/>
                <w:color w:val="auto"/>
              </w:rPr>
            </w:pPr>
            <w:r>
              <w:rPr>
                <w:rFonts w:ascii="Arial" w:cs="Arial" w:eastAsia="Arial" w:hAnsi="Arial"/>
                <w:sz w:val="16"/>
                <w:szCs w:val="16"/>
                <w:b w:val="1"/>
                <w:bCs w:val="1"/>
                <w:color w:val="3D3935"/>
              </w:rPr>
              <w:t>9.9</w:t>
            </w:r>
          </w:p>
        </w:tc>
        <w:tc>
          <w:tcPr>
            <w:tcW w:w="240" w:type="dxa"/>
            <w:vAlign w:val="bottom"/>
          </w:tcPr>
          <w:p>
            <w:pPr>
              <w:spacing w:after="0"/>
              <w:rPr>
                <w:sz w:val="23"/>
                <w:szCs w:val="23"/>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b w:val="1"/>
                <w:bCs w:val="1"/>
                <w:color w:val="3D3935"/>
              </w:rPr>
              <w:t>10.1</w:t>
            </w:r>
          </w:p>
        </w:tc>
        <w:tc>
          <w:tcPr>
            <w:tcW w:w="200" w:type="dxa"/>
            <w:vAlign w:val="bottom"/>
          </w:tcPr>
          <w:p>
            <w:pPr>
              <w:spacing w:after="0"/>
              <w:rPr>
                <w:sz w:val="23"/>
                <w:szCs w:val="23"/>
                <w:color w:val="auto"/>
              </w:rPr>
            </w:pPr>
          </w:p>
        </w:tc>
        <w:tc>
          <w:tcPr>
            <w:tcW w:w="600" w:type="dxa"/>
            <w:vAlign w:val="bottom"/>
          </w:tcPr>
          <w:p>
            <w:pPr>
              <w:jc w:val="right"/>
              <w:ind w:right="60"/>
              <w:spacing w:after="0"/>
              <w:rPr>
                <w:sz w:val="20"/>
                <w:szCs w:val="20"/>
                <w:color w:val="auto"/>
              </w:rPr>
            </w:pPr>
            <w:r>
              <w:rPr>
                <w:rFonts w:ascii="Arial" w:cs="Arial" w:eastAsia="Arial" w:hAnsi="Arial"/>
                <w:sz w:val="16"/>
                <w:szCs w:val="16"/>
                <w:b w:val="1"/>
                <w:bCs w:val="1"/>
                <w:color w:val="3D3935"/>
              </w:rPr>
              <w:t>6.0</w:t>
            </w:r>
          </w:p>
        </w:tc>
        <w:tc>
          <w:tcPr>
            <w:tcW w:w="700" w:type="dxa"/>
            <w:vAlign w:val="bottom"/>
          </w:tcPr>
          <w:p>
            <w:pPr>
              <w:jc w:val="right"/>
              <w:ind w:right="60"/>
              <w:spacing w:after="0"/>
              <w:rPr>
                <w:sz w:val="20"/>
                <w:szCs w:val="20"/>
                <w:color w:val="auto"/>
              </w:rPr>
            </w:pPr>
            <w:r>
              <w:rPr>
                <w:rFonts w:ascii="Arial" w:cs="Arial" w:eastAsia="Arial" w:hAnsi="Arial"/>
                <w:sz w:val="16"/>
                <w:szCs w:val="16"/>
                <w:b w:val="1"/>
                <w:bCs w:val="1"/>
                <w:color w:val="3D3935"/>
              </w:rPr>
              <w:t>26.1</w:t>
            </w:r>
          </w:p>
        </w:tc>
      </w:tr>
      <w:tr>
        <w:trPr>
          <w:trHeight w:val="270"/>
        </w:trPr>
        <w:tc>
          <w:tcPr>
            <w:tcW w:w="4460" w:type="dxa"/>
            <w:vAlign w:val="bottom"/>
          </w:tcPr>
          <w:p>
            <w:pPr>
              <w:spacing w:after="0"/>
              <w:rPr>
                <w:sz w:val="20"/>
                <w:szCs w:val="20"/>
                <w:color w:val="auto"/>
              </w:rPr>
            </w:pPr>
            <w:r>
              <w:rPr>
                <w:rFonts w:ascii="Arial" w:cs="Arial" w:eastAsia="Arial" w:hAnsi="Arial"/>
                <w:sz w:val="16"/>
                <w:szCs w:val="16"/>
                <w:color w:val="3D3935"/>
              </w:rPr>
              <w:t>Income Tax Expense</w:t>
            </w:r>
          </w:p>
        </w:tc>
        <w:tc>
          <w:tcPr>
            <w:tcW w:w="2140" w:type="dxa"/>
            <w:vAlign w:val="bottom"/>
          </w:tcPr>
          <w:p>
            <w:pPr>
              <w:jc w:val="right"/>
              <w:ind w:right="20"/>
              <w:spacing w:after="0"/>
              <w:rPr>
                <w:sz w:val="20"/>
                <w:szCs w:val="20"/>
                <w:color w:val="auto"/>
              </w:rPr>
            </w:pPr>
            <w:r>
              <w:rPr>
                <w:rFonts w:ascii="Arial" w:cs="Arial" w:eastAsia="Arial" w:hAnsi="Arial"/>
                <w:sz w:val="16"/>
                <w:szCs w:val="16"/>
                <w:color w:val="3D3935"/>
              </w:rPr>
              <w:t>1.9</w:t>
            </w:r>
          </w:p>
        </w:tc>
        <w:tc>
          <w:tcPr>
            <w:tcW w:w="240" w:type="dxa"/>
            <w:vAlign w:val="bottom"/>
          </w:tcPr>
          <w:p>
            <w:pPr>
              <w:spacing w:after="0"/>
              <w:rPr>
                <w:sz w:val="23"/>
                <w:szCs w:val="23"/>
                <w:color w:val="auto"/>
              </w:rPr>
            </w:pPr>
          </w:p>
        </w:tc>
        <w:tc>
          <w:tcPr>
            <w:tcW w:w="580" w:type="dxa"/>
            <w:vAlign w:val="bottom"/>
          </w:tcPr>
          <w:p>
            <w:pPr>
              <w:jc w:val="right"/>
              <w:ind w:right="60"/>
              <w:spacing w:after="0"/>
              <w:rPr>
                <w:sz w:val="20"/>
                <w:szCs w:val="20"/>
                <w:color w:val="auto"/>
              </w:rPr>
            </w:pPr>
            <w:r>
              <w:rPr>
                <w:rFonts w:ascii="Arial" w:cs="Arial" w:eastAsia="Arial" w:hAnsi="Arial"/>
                <w:sz w:val="16"/>
                <w:szCs w:val="16"/>
                <w:color w:val="3D3935"/>
              </w:rPr>
              <w:t>0.6</w:t>
            </w:r>
          </w:p>
        </w:tc>
        <w:tc>
          <w:tcPr>
            <w:tcW w:w="200" w:type="dxa"/>
            <w:vAlign w:val="bottom"/>
          </w:tcPr>
          <w:p>
            <w:pPr>
              <w:spacing w:after="0"/>
              <w:rPr>
                <w:sz w:val="23"/>
                <w:szCs w:val="23"/>
                <w:color w:val="auto"/>
              </w:rPr>
            </w:pPr>
          </w:p>
        </w:tc>
        <w:tc>
          <w:tcPr>
            <w:tcW w:w="600" w:type="dxa"/>
            <w:vAlign w:val="bottom"/>
          </w:tcPr>
          <w:p>
            <w:pPr>
              <w:jc w:val="right"/>
              <w:ind w:right="60"/>
              <w:spacing w:after="0"/>
              <w:rPr>
                <w:sz w:val="20"/>
                <w:szCs w:val="20"/>
                <w:color w:val="auto"/>
              </w:rPr>
            </w:pPr>
            <w:r>
              <w:rPr>
                <w:rFonts w:ascii="Arial" w:cs="Arial" w:eastAsia="Arial" w:hAnsi="Arial"/>
                <w:sz w:val="16"/>
                <w:szCs w:val="16"/>
                <w:color w:val="3D3935"/>
              </w:rPr>
              <w:t>2.6</w:t>
            </w:r>
          </w:p>
        </w:tc>
        <w:tc>
          <w:tcPr>
            <w:tcW w:w="700" w:type="dxa"/>
            <w:vAlign w:val="bottom"/>
          </w:tcPr>
          <w:p>
            <w:pPr>
              <w:jc w:val="right"/>
              <w:ind w:right="100"/>
              <w:spacing w:after="0"/>
              <w:rPr>
                <w:sz w:val="20"/>
                <w:szCs w:val="20"/>
                <w:color w:val="auto"/>
              </w:rPr>
            </w:pPr>
            <w:r>
              <w:rPr>
                <w:rFonts w:ascii="Arial" w:cs="Arial" w:eastAsia="Arial" w:hAnsi="Arial"/>
                <w:sz w:val="16"/>
                <w:szCs w:val="16"/>
                <w:b w:val="1"/>
                <w:bCs w:val="1"/>
                <w:color w:val="3D3935"/>
              </w:rPr>
              <w:t>5.0</w:t>
            </w:r>
          </w:p>
        </w:tc>
      </w:tr>
      <w:tr>
        <w:trPr>
          <w:trHeight w:val="270"/>
        </w:trPr>
        <w:tc>
          <w:tcPr>
            <w:tcW w:w="4460" w:type="dxa"/>
            <w:vAlign w:val="bottom"/>
          </w:tcPr>
          <w:p>
            <w:pPr>
              <w:spacing w:after="0"/>
              <w:rPr>
                <w:sz w:val="20"/>
                <w:szCs w:val="20"/>
                <w:color w:val="auto"/>
              </w:rPr>
            </w:pPr>
            <w:r>
              <w:rPr>
                <w:rFonts w:ascii="Arial" w:cs="Arial" w:eastAsia="Arial" w:hAnsi="Arial"/>
                <w:sz w:val="16"/>
                <w:szCs w:val="16"/>
                <w:color w:val="3D3935"/>
              </w:rPr>
              <w:t>Automotive Interest Expense</w:t>
            </w:r>
          </w:p>
        </w:tc>
        <w:tc>
          <w:tcPr>
            <w:tcW w:w="2140" w:type="dxa"/>
            <w:vAlign w:val="bottom"/>
          </w:tcPr>
          <w:p>
            <w:pPr>
              <w:jc w:val="right"/>
              <w:ind w:right="20"/>
              <w:spacing w:after="0"/>
              <w:rPr>
                <w:sz w:val="20"/>
                <w:szCs w:val="20"/>
                <w:color w:val="auto"/>
              </w:rPr>
            </w:pPr>
            <w:r>
              <w:rPr>
                <w:rFonts w:ascii="Arial" w:cs="Arial" w:eastAsia="Arial" w:hAnsi="Arial"/>
                <w:sz w:val="16"/>
                <w:szCs w:val="16"/>
                <w:color w:val="3D3935"/>
              </w:rPr>
              <w:t>1.0</w:t>
            </w:r>
          </w:p>
        </w:tc>
        <w:tc>
          <w:tcPr>
            <w:tcW w:w="240" w:type="dxa"/>
            <w:vAlign w:val="bottom"/>
          </w:tcPr>
          <w:p>
            <w:pPr>
              <w:spacing w:after="0"/>
              <w:rPr>
                <w:sz w:val="23"/>
                <w:szCs w:val="23"/>
                <w:color w:val="auto"/>
              </w:rPr>
            </w:pPr>
          </w:p>
        </w:tc>
        <w:tc>
          <w:tcPr>
            <w:tcW w:w="580" w:type="dxa"/>
            <w:vAlign w:val="bottom"/>
          </w:tcPr>
          <w:p>
            <w:pPr>
              <w:jc w:val="right"/>
              <w:ind w:right="60"/>
              <w:spacing w:after="0"/>
              <w:rPr>
                <w:sz w:val="20"/>
                <w:szCs w:val="20"/>
                <w:color w:val="auto"/>
              </w:rPr>
            </w:pPr>
            <w:r>
              <w:rPr>
                <w:rFonts w:ascii="Arial" w:cs="Arial" w:eastAsia="Arial" w:hAnsi="Arial"/>
                <w:sz w:val="16"/>
                <w:szCs w:val="16"/>
                <w:color w:val="3D3935"/>
              </w:rPr>
              <w:t>0.9</w:t>
            </w:r>
          </w:p>
        </w:tc>
        <w:tc>
          <w:tcPr>
            <w:tcW w:w="200" w:type="dxa"/>
            <w:vAlign w:val="bottom"/>
          </w:tcPr>
          <w:p>
            <w:pPr>
              <w:spacing w:after="0"/>
              <w:rPr>
                <w:sz w:val="23"/>
                <w:szCs w:val="23"/>
                <w:color w:val="auto"/>
              </w:rPr>
            </w:pPr>
          </w:p>
        </w:tc>
        <w:tc>
          <w:tcPr>
            <w:tcW w:w="600" w:type="dxa"/>
            <w:vAlign w:val="bottom"/>
          </w:tcPr>
          <w:p>
            <w:pPr>
              <w:jc w:val="right"/>
              <w:ind w:right="60"/>
              <w:spacing w:after="0"/>
              <w:rPr>
                <w:sz w:val="20"/>
                <w:szCs w:val="20"/>
                <w:color w:val="auto"/>
              </w:rPr>
            </w:pPr>
            <w:r>
              <w:rPr>
                <w:rFonts w:ascii="Arial" w:cs="Arial" w:eastAsia="Arial" w:hAnsi="Arial"/>
                <w:sz w:val="16"/>
                <w:szCs w:val="16"/>
                <w:color w:val="3D3935"/>
              </w:rPr>
              <w:t>0.8</w:t>
            </w:r>
          </w:p>
        </w:tc>
        <w:tc>
          <w:tcPr>
            <w:tcW w:w="700" w:type="dxa"/>
            <w:vAlign w:val="bottom"/>
          </w:tcPr>
          <w:p>
            <w:pPr>
              <w:jc w:val="right"/>
              <w:ind w:right="80"/>
              <w:spacing w:after="0"/>
              <w:rPr>
                <w:sz w:val="20"/>
                <w:szCs w:val="20"/>
                <w:color w:val="auto"/>
              </w:rPr>
            </w:pPr>
            <w:r>
              <w:rPr>
                <w:rFonts w:ascii="Arial" w:cs="Arial" w:eastAsia="Arial" w:hAnsi="Arial"/>
                <w:sz w:val="16"/>
                <w:szCs w:val="16"/>
                <w:b w:val="1"/>
                <w:bCs w:val="1"/>
                <w:color w:val="3D3935"/>
              </w:rPr>
              <w:t>2.7</w:t>
            </w:r>
          </w:p>
        </w:tc>
      </w:tr>
      <w:tr>
        <w:trPr>
          <w:trHeight w:val="270"/>
        </w:trPr>
        <w:tc>
          <w:tcPr>
            <w:tcW w:w="4460" w:type="dxa"/>
            <w:vAlign w:val="bottom"/>
          </w:tcPr>
          <w:p>
            <w:pPr>
              <w:spacing w:after="0"/>
              <w:rPr>
                <w:sz w:val="20"/>
                <w:szCs w:val="20"/>
                <w:color w:val="auto"/>
              </w:rPr>
            </w:pPr>
            <w:r>
              <w:rPr>
                <w:rFonts w:ascii="Arial" w:cs="Arial" w:eastAsia="Arial" w:hAnsi="Arial"/>
                <w:sz w:val="16"/>
                <w:szCs w:val="16"/>
                <w:color w:val="3D3935"/>
              </w:rPr>
              <w:t>Automotive Interest Income</w:t>
            </w:r>
          </w:p>
        </w:tc>
        <w:tc>
          <w:tcPr>
            <w:tcW w:w="2140" w:type="dxa"/>
            <w:vAlign w:val="bottom"/>
          </w:tcPr>
          <w:p>
            <w:pPr>
              <w:jc w:val="right"/>
              <w:spacing w:after="0"/>
              <w:rPr>
                <w:sz w:val="20"/>
                <w:szCs w:val="20"/>
                <w:color w:val="auto"/>
              </w:rPr>
            </w:pPr>
            <w:r>
              <w:rPr>
                <w:rFonts w:ascii="Arial" w:cs="Arial" w:eastAsia="Arial" w:hAnsi="Arial"/>
                <w:sz w:val="16"/>
                <w:szCs w:val="16"/>
                <w:color w:val="3D3935"/>
              </w:rPr>
              <w:t>(0.5)</w:t>
            </w:r>
          </w:p>
        </w:tc>
        <w:tc>
          <w:tcPr>
            <w:tcW w:w="2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3D3935"/>
              </w:rPr>
              <w:t>(1.1)</w:t>
            </w: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3D3935"/>
              </w:rPr>
              <w:t>(1.0)</w:t>
            </w:r>
          </w:p>
        </w:tc>
        <w:tc>
          <w:tcPr>
            <w:tcW w:w="700" w:type="dxa"/>
            <w:vAlign w:val="bottom"/>
          </w:tcPr>
          <w:p>
            <w:pPr>
              <w:jc w:val="right"/>
              <w:ind w:right="40"/>
              <w:spacing w:after="0"/>
              <w:rPr>
                <w:sz w:val="20"/>
                <w:szCs w:val="20"/>
                <w:color w:val="auto"/>
              </w:rPr>
            </w:pPr>
            <w:r>
              <w:rPr>
                <w:rFonts w:ascii="Arial" w:cs="Arial" w:eastAsia="Arial" w:hAnsi="Arial"/>
                <w:sz w:val="16"/>
                <w:szCs w:val="16"/>
                <w:b w:val="1"/>
                <w:bCs w:val="1"/>
                <w:color w:val="3D3935"/>
              </w:rPr>
              <w:t>(2.5)</w:t>
            </w:r>
          </w:p>
        </w:tc>
      </w:tr>
      <w:tr>
        <w:trPr>
          <w:trHeight w:val="262"/>
        </w:trPr>
        <w:tc>
          <w:tcPr>
            <w:tcW w:w="4460" w:type="dxa"/>
            <w:vAlign w:val="bottom"/>
          </w:tcPr>
          <w:p>
            <w:pPr>
              <w:spacing w:after="0"/>
              <w:rPr>
                <w:sz w:val="20"/>
                <w:szCs w:val="20"/>
                <w:color w:val="auto"/>
              </w:rPr>
            </w:pPr>
            <w:r>
              <w:rPr>
                <w:rFonts w:ascii="Arial" w:cs="Arial" w:eastAsia="Arial" w:hAnsi="Arial"/>
                <w:sz w:val="16"/>
                <w:szCs w:val="16"/>
                <w:color w:val="3D3935"/>
              </w:rPr>
              <w:t>Adjustments:</w:t>
            </w:r>
          </w:p>
        </w:tc>
        <w:tc>
          <w:tcPr>
            <w:tcW w:w="2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325"/>
        </w:trPr>
        <w:tc>
          <w:tcPr>
            <w:tcW w:w="4460" w:type="dxa"/>
            <w:vAlign w:val="bottom"/>
          </w:tcPr>
          <w:p>
            <w:pPr>
              <w:ind w:left="180"/>
              <w:spacing w:after="0"/>
              <w:rPr>
                <w:sz w:val="20"/>
                <w:szCs w:val="20"/>
                <w:color w:val="auto"/>
              </w:rPr>
            </w:pPr>
            <w:r>
              <w:rPr>
                <w:rFonts w:ascii="Arial" w:cs="Arial" w:eastAsia="Arial" w:hAnsi="Arial"/>
                <w:sz w:val="16"/>
                <w:szCs w:val="16"/>
                <w:color w:val="3D3935"/>
              </w:rPr>
              <w:t xml:space="preserve">China JV restructuring actions </w:t>
            </w:r>
            <w:r>
              <w:rPr>
                <w:rFonts w:ascii="Arial" w:cs="Arial" w:eastAsia="Arial" w:hAnsi="Arial"/>
                <w:sz w:val="21"/>
                <w:szCs w:val="21"/>
                <w:color w:val="3D3935"/>
                <w:vertAlign w:val="superscript"/>
              </w:rPr>
              <w:t>(1)</w:t>
            </w:r>
          </w:p>
        </w:tc>
        <w:tc>
          <w:tcPr>
            <w:tcW w:w="2140" w:type="dxa"/>
            <w:vAlign w:val="bottom"/>
          </w:tcPr>
          <w:p>
            <w:pPr>
              <w:jc w:val="right"/>
              <w:spacing w:after="0"/>
              <w:rPr>
                <w:sz w:val="20"/>
                <w:szCs w:val="20"/>
                <w:color w:val="auto"/>
              </w:rPr>
            </w:pPr>
            <w:r>
              <w:rPr>
                <w:rFonts w:ascii="Arial" w:cs="Arial" w:eastAsia="Arial" w:hAnsi="Arial"/>
                <w:sz w:val="16"/>
                <w:szCs w:val="16"/>
                <w:color w:val="3D3935"/>
              </w:rPr>
              <w:t>—</w:t>
            </w:r>
          </w:p>
        </w:tc>
        <w:tc>
          <w:tcPr>
            <w:tcW w:w="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3D3935"/>
              </w:rPr>
              <w:t>—</w:t>
            </w:r>
          </w:p>
        </w:tc>
        <w:tc>
          <w:tcPr>
            <w:tcW w:w="200" w:type="dxa"/>
            <w:vAlign w:val="bottom"/>
          </w:tcPr>
          <w:p>
            <w:pPr>
              <w:spacing w:after="0"/>
              <w:rPr>
                <w:sz w:val="24"/>
                <w:szCs w:val="24"/>
                <w:color w:val="auto"/>
              </w:rPr>
            </w:pPr>
          </w:p>
        </w:tc>
        <w:tc>
          <w:tcPr>
            <w:tcW w:w="600" w:type="dxa"/>
            <w:vAlign w:val="bottom"/>
          </w:tcPr>
          <w:p>
            <w:pPr>
              <w:jc w:val="right"/>
              <w:ind w:right="60"/>
              <w:spacing w:after="0"/>
              <w:rPr>
                <w:sz w:val="20"/>
                <w:szCs w:val="20"/>
                <w:color w:val="auto"/>
              </w:rPr>
            </w:pPr>
            <w:r>
              <w:rPr>
                <w:rFonts w:ascii="Arial" w:cs="Arial" w:eastAsia="Arial" w:hAnsi="Arial"/>
                <w:sz w:val="16"/>
                <w:szCs w:val="16"/>
                <w:color w:val="3D3935"/>
              </w:rPr>
              <w:t>4.0</w:t>
            </w:r>
          </w:p>
        </w:tc>
        <w:tc>
          <w:tcPr>
            <w:tcW w:w="700" w:type="dxa"/>
            <w:vAlign w:val="bottom"/>
          </w:tcPr>
          <w:p>
            <w:pPr>
              <w:jc w:val="right"/>
              <w:ind w:right="100"/>
              <w:spacing w:after="0"/>
              <w:rPr>
                <w:sz w:val="20"/>
                <w:szCs w:val="20"/>
                <w:color w:val="auto"/>
              </w:rPr>
            </w:pPr>
            <w:r>
              <w:rPr>
                <w:rFonts w:ascii="Arial" w:cs="Arial" w:eastAsia="Arial" w:hAnsi="Arial"/>
                <w:sz w:val="16"/>
                <w:szCs w:val="16"/>
                <w:b w:val="1"/>
                <w:bCs w:val="1"/>
                <w:color w:val="3D3935"/>
              </w:rPr>
              <w:t>4.0</w:t>
            </w:r>
          </w:p>
        </w:tc>
      </w:tr>
    </w:tbl>
    <w:p>
      <w:pPr>
        <w:spacing w:after="0" w:line="1" w:lineRule="exact"/>
        <w:rPr>
          <w:sz w:val="20"/>
          <w:szCs w:val="20"/>
          <w:color w:val="auto"/>
        </w:rPr>
      </w:pPr>
    </w:p>
    <w:p>
      <w:pPr>
        <w:sectPr>
          <w:pgSz w:w="11900" w:h="16845" w:orient="portrait"/>
          <w:cols w:equalWidth="0" w:num="1">
            <w:col w:w="9080"/>
          </w:cols>
          <w:pgMar w:left="1400" w:top="400" w:right="1419" w:bottom="0" w:gutter="0" w:footer="0" w:header="0"/>
        </w:sectPr>
      </w:pPr>
    </w:p>
    <w:p>
      <w:pPr>
        <w:ind w:left="1740"/>
        <w:spacing w:after="0"/>
        <w:rPr>
          <w:sz w:val="20"/>
          <w:szCs w:val="20"/>
          <w:color w:val="auto"/>
        </w:rPr>
      </w:pPr>
      <w:r>
        <w:rPr>
          <w:rFonts w:ascii="Arial" w:cs="Arial" w:eastAsia="Arial" w:hAnsi="Arial"/>
          <w:sz w:val="9"/>
          <w:szCs w:val="9"/>
          <w:color w:val="3D3935"/>
        </w:rPr>
        <w:t>(2)</w:t>
      </w:r>
    </w:p>
    <w:p>
      <w:pPr>
        <w:sectPr>
          <w:pgSz w:w="11900" w:h="16845" w:orient="portrait"/>
          <w:cols w:equalWidth="0" w:num="1">
            <w:col w:w="9080"/>
          </w:cols>
          <w:pgMar w:left="1400" w:top="400" w:right="1419" w:bottom="0" w:gutter="0" w:footer="0" w:header="0"/>
          <w:type w:val="continuous"/>
        </w:sectPr>
      </w:pPr>
    </w:p>
    <w:bookmarkStart w:id="89" w:name="page90"/>
    <w:bookmarkEnd w:id="89"/>
    <w:tbl>
      <w:tblPr>
        <w:tblLayout w:type="fixed"/>
        <w:tblInd w:w="10" w:type="dxa"/>
        <w:tblCellMar>
          <w:top w:w="0" w:type="dxa"/>
          <w:left w:w="0" w:type="dxa"/>
          <w:bottom w:w="0" w:type="dxa"/>
          <w:right w:w="0" w:type="dxa"/>
        </w:tblCellMar>
      </w:tblPr>
      <w:tr>
        <w:trPr>
          <w:trHeight w:val="184"/>
        </w:trPr>
        <w:tc>
          <w:tcPr>
            <w:tcW w:w="820" w:type="dxa"/>
            <w:vAlign w:val="bottom"/>
            <w:tcBorders>
              <w:left w:val="single" w:sz="8" w:color="CCCCCC"/>
            </w:tcBorders>
          </w:tcPr>
          <w:p>
            <w:pPr>
              <w:spacing w:after="0"/>
              <w:rPr>
                <w:sz w:val="16"/>
                <w:szCs w:val="16"/>
                <w:color w:val="auto"/>
              </w:rPr>
            </w:pPr>
          </w:p>
        </w:tc>
        <w:tc>
          <w:tcPr>
            <w:tcW w:w="5320" w:type="dxa"/>
            <w:vAlign w:val="bottom"/>
            <w:shd w:val="clear" w:color="auto" w:fill="F0F3F6"/>
          </w:tcPr>
          <w:p>
            <w:pPr>
              <w:ind w:left="240"/>
              <w:spacing w:after="0"/>
              <w:rPr>
                <w:sz w:val="20"/>
                <w:szCs w:val="20"/>
                <w:color w:val="auto"/>
              </w:rPr>
            </w:pPr>
            <w:r>
              <w:rPr>
                <w:rFonts w:ascii="Arial" w:cs="Arial" w:eastAsia="Arial" w:hAnsi="Arial"/>
                <w:sz w:val="16"/>
                <w:szCs w:val="16"/>
                <w:color w:val="3D3935"/>
              </w:rPr>
              <w:t>Cruise restructuring</w:t>
            </w:r>
          </w:p>
        </w:tc>
        <w:tc>
          <w:tcPr>
            <w:tcW w:w="1340" w:type="dxa"/>
            <w:vAlign w:val="bottom"/>
            <w:shd w:val="clear" w:color="auto" w:fill="F0F3F6"/>
          </w:tcPr>
          <w:p>
            <w:pPr>
              <w:jc w:val="right"/>
              <w:spacing w:after="0"/>
              <w:rPr>
                <w:sz w:val="20"/>
                <w:szCs w:val="20"/>
                <w:color w:val="auto"/>
              </w:rPr>
            </w:pPr>
            <w:r>
              <w:rPr>
                <w:rFonts w:ascii="Arial" w:cs="Arial" w:eastAsia="Arial" w:hAnsi="Arial"/>
                <w:sz w:val="16"/>
                <w:szCs w:val="16"/>
                <w:color w:val="3D3935"/>
              </w:rPr>
              <w:t>—</w:t>
            </w:r>
          </w:p>
        </w:tc>
        <w:tc>
          <w:tcPr>
            <w:tcW w:w="240" w:type="dxa"/>
            <w:vAlign w:val="bottom"/>
            <w:shd w:val="clear" w:color="auto" w:fill="F0F3F6"/>
          </w:tcPr>
          <w:p>
            <w:pPr>
              <w:spacing w:after="0"/>
              <w:rPr>
                <w:sz w:val="16"/>
                <w:szCs w:val="16"/>
                <w:color w:val="auto"/>
              </w:rPr>
            </w:pPr>
          </w:p>
        </w:tc>
        <w:tc>
          <w:tcPr>
            <w:tcW w:w="560" w:type="dxa"/>
            <w:vAlign w:val="bottom"/>
            <w:shd w:val="clear" w:color="auto" w:fill="F0F3F6"/>
          </w:tcPr>
          <w:p>
            <w:pPr>
              <w:jc w:val="right"/>
              <w:ind w:right="41"/>
              <w:spacing w:after="0"/>
              <w:rPr>
                <w:sz w:val="20"/>
                <w:szCs w:val="20"/>
                <w:color w:val="auto"/>
              </w:rPr>
            </w:pPr>
            <w:r>
              <w:rPr>
                <w:rFonts w:ascii="Arial" w:cs="Arial" w:eastAsia="Arial" w:hAnsi="Arial"/>
                <w:sz w:val="16"/>
                <w:szCs w:val="16"/>
                <w:color w:val="3D3935"/>
              </w:rPr>
              <w:t>0.5</w:t>
            </w:r>
          </w:p>
        </w:tc>
        <w:tc>
          <w:tcPr>
            <w:tcW w:w="260" w:type="dxa"/>
            <w:vAlign w:val="bottom"/>
            <w:shd w:val="clear" w:color="auto" w:fill="F0F3F6"/>
          </w:tcPr>
          <w:p>
            <w:pPr>
              <w:spacing w:after="0"/>
              <w:rPr>
                <w:sz w:val="16"/>
                <w:szCs w:val="16"/>
                <w:color w:val="auto"/>
              </w:rPr>
            </w:pPr>
          </w:p>
        </w:tc>
        <w:tc>
          <w:tcPr>
            <w:tcW w:w="560" w:type="dxa"/>
            <w:vAlign w:val="bottom"/>
            <w:shd w:val="clear" w:color="auto" w:fill="F0F3F6"/>
          </w:tcPr>
          <w:p>
            <w:pPr>
              <w:jc w:val="right"/>
              <w:spacing w:after="0"/>
              <w:rPr>
                <w:sz w:val="20"/>
                <w:szCs w:val="20"/>
                <w:color w:val="auto"/>
              </w:rPr>
            </w:pPr>
            <w:r>
              <w:rPr>
                <w:rFonts w:ascii="Arial" w:cs="Arial" w:eastAsia="Arial" w:hAnsi="Arial"/>
                <w:sz w:val="16"/>
                <w:szCs w:val="16"/>
                <w:color w:val="3D3935"/>
              </w:rPr>
              <w:t>1.1</w:t>
            </w:r>
          </w:p>
        </w:tc>
        <w:tc>
          <w:tcPr>
            <w:tcW w:w="220" w:type="dxa"/>
            <w:vAlign w:val="bottom"/>
            <w:shd w:val="clear" w:color="auto" w:fill="F0F3F6"/>
          </w:tcPr>
          <w:p>
            <w:pPr>
              <w:spacing w:after="0"/>
              <w:rPr>
                <w:sz w:val="16"/>
                <w:szCs w:val="16"/>
                <w:color w:val="auto"/>
              </w:rPr>
            </w:pPr>
          </w:p>
        </w:tc>
        <w:tc>
          <w:tcPr>
            <w:tcW w:w="540" w:type="dxa"/>
            <w:vAlign w:val="bottom"/>
            <w:shd w:val="clear" w:color="auto" w:fill="F0F3F6"/>
          </w:tcPr>
          <w:p>
            <w:pPr>
              <w:ind w:left="120"/>
              <w:spacing w:after="0"/>
              <w:rPr>
                <w:sz w:val="20"/>
                <w:szCs w:val="20"/>
                <w:color w:val="auto"/>
              </w:rPr>
            </w:pPr>
            <w:r>
              <w:rPr>
                <w:rFonts w:ascii="Arial" w:cs="Arial" w:eastAsia="Arial" w:hAnsi="Arial"/>
                <w:sz w:val="16"/>
                <w:szCs w:val="16"/>
                <w:b w:val="1"/>
                <w:bCs w:val="1"/>
                <w:color w:val="3D3935"/>
              </w:rPr>
              <w:t>1.6</w:t>
            </w:r>
          </w:p>
        </w:tc>
        <w:tc>
          <w:tcPr>
            <w:tcW w:w="860" w:type="dxa"/>
            <w:vAlign w:val="bottom"/>
            <w:tcBorders>
              <w:right w:val="single" w:sz="8" w:color="CCCCCC"/>
            </w:tcBorders>
          </w:tcPr>
          <w:p>
            <w:pPr>
              <w:spacing w:after="0"/>
              <w:rPr>
                <w:sz w:val="16"/>
                <w:szCs w:val="16"/>
                <w:color w:val="auto"/>
              </w:rPr>
            </w:pPr>
          </w:p>
        </w:tc>
      </w:tr>
      <w:tr>
        <w:trPr>
          <w:trHeight w:val="135"/>
        </w:trPr>
        <w:tc>
          <w:tcPr>
            <w:tcW w:w="820" w:type="dxa"/>
            <w:vAlign w:val="bottom"/>
            <w:tcBorders>
              <w:left w:val="single" w:sz="8" w:color="CCCCCC"/>
            </w:tcBorders>
          </w:tcPr>
          <w:p>
            <w:pPr>
              <w:spacing w:after="0"/>
              <w:rPr>
                <w:sz w:val="11"/>
                <w:szCs w:val="11"/>
                <w:color w:val="auto"/>
              </w:rPr>
            </w:pPr>
          </w:p>
        </w:tc>
        <w:tc>
          <w:tcPr>
            <w:tcW w:w="5320" w:type="dxa"/>
            <w:vAlign w:val="bottom"/>
            <w:tcBorders>
              <w:bottom w:val="single" w:sz="8" w:color="0072CE"/>
            </w:tcBorders>
            <w:shd w:val="clear" w:color="auto" w:fill="F0F3F6"/>
          </w:tcPr>
          <w:p>
            <w:pPr>
              <w:ind w:left="240"/>
              <w:spacing w:after="0" w:line="135" w:lineRule="exact"/>
              <w:rPr>
                <w:sz w:val="20"/>
                <w:szCs w:val="20"/>
                <w:color w:val="auto"/>
              </w:rPr>
            </w:pPr>
            <w:r>
              <w:rPr>
                <w:rFonts w:ascii="Arial" w:cs="Arial" w:eastAsia="Arial" w:hAnsi="Arial"/>
                <w:sz w:val="12"/>
                <w:szCs w:val="12"/>
                <w:color w:val="3D3935"/>
              </w:rPr>
              <w:t xml:space="preserve">Buick dealer strategy </w:t>
            </w:r>
            <w:r>
              <w:rPr>
                <w:rFonts w:ascii="Arial" w:cs="Arial" w:eastAsia="Arial" w:hAnsi="Arial"/>
                <w:sz w:val="15"/>
                <w:szCs w:val="15"/>
                <w:color w:val="3D3935"/>
                <w:vertAlign w:val="superscript"/>
              </w:rPr>
              <w:t>(3)</w:t>
            </w:r>
          </w:p>
        </w:tc>
        <w:tc>
          <w:tcPr>
            <w:tcW w:w="1340" w:type="dxa"/>
            <w:vAlign w:val="bottom"/>
            <w:tcBorders>
              <w:bottom w:val="single" w:sz="8" w:color="0072CE"/>
            </w:tcBorders>
            <w:shd w:val="clear" w:color="auto" w:fill="F0F3F6"/>
          </w:tcPr>
          <w:p>
            <w:pPr>
              <w:jc w:val="right"/>
              <w:ind w:right="60"/>
              <w:spacing w:after="0" w:line="135" w:lineRule="exact"/>
              <w:rPr>
                <w:sz w:val="20"/>
                <w:szCs w:val="20"/>
                <w:color w:val="auto"/>
              </w:rPr>
            </w:pPr>
            <w:r>
              <w:rPr>
                <w:rFonts w:ascii="Arial" w:cs="Arial" w:eastAsia="Arial" w:hAnsi="Arial"/>
                <w:sz w:val="15"/>
                <w:szCs w:val="15"/>
                <w:color w:val="3D3935"/>
              </w:rPr>
              <w:t>0.5</w:t>
            </w:r>
          </w:p>
        </w:tc>
        <w:tc>
          <w:tcPr>
            <w:tcW w:w="240" w:type="dxa"/>
            <w:vAlign w:val="bottom"/>
            <w:tcBorders>
              <w:bottom w:val="single" w:sz="8" w:color="0072CE"/>
            </w:tcBorders>
            <w:shd w:val="clear" w:color="auto" w:fill="F0F3F6"/>
          </w:tcPr>
          <w:p>
            <w:pPr>
              <w:spacing w:after="0"/>
              <w:rPr>
                <w:sz w:val="11"/>
                <w:szCs w:val="11"/>
                <w:color w:val="auto"/>
              </w:rPr>
            </w:pPr>
          </w:p>
        </w:tc>
        <w:tc>
          <w:tcPr>
            <w:tcW w:w="560" w:type="dxa"/>
            <w:vAlign w:val="bottom"/>
            <w:tcBorders>
              <w:bottom w:val="single" w:sz="8" w:color="0072CE"/>
            </w:tcBorders>
            <w:shd w:val="clear" w:color="auto" w:fill="F0F3F6"/>
          </w:tcPr>
          <w:p>
            <w:pPr>
              <w:jc w:val="right"/>
              <w:ind w:right="41"/>
              <w:spacing w:after="0" w:line="135" w:lineRule="exact"/>
              <w:rPr>
                <w:sz w:val="20"/>
                <w:szCs w:val="20"/>
                <w:color w:val="auto"/>
              </w:rPr>
            </w:pPr>
            <w:r>
              <w:rPr>
                <w:rFonts w:ascii="Arial" w:cs="Arial" w:eastAsia="Arial" w:hAnsi="Arial"/>
                <w:sz w:val="15"/>
                <w:szCs w:val="15"/>
                <w:color w:val="3D3935"/>
              </w:rPr>
              <w:t>0.6</w:t>
            </w:r>
          </w:p>
        </w:tc>
        <w:tc>
          <w:tcPr>
            <w:tcW w:w="260" w:type="dxa"/>
            <w:vAlign w:val="bottom"/>
            <w:tcBorders>
              <w:bottom w:val="single" w:sz="8" w:color="0072CE"/>
            </w:tcBorders>
            <w:shd w:val="clear" w:color="auto" w:fill="F0F3F6"/>
          </w:tcPr>
          <w:p>
            <w:pPr>
              <w:spacing w:after="0"/>
              <w:rPr>
                <w:sz w:val="11"/>
                <w:szCs w:val="11"/>
                <w:color w:val="auto"/>
              </w:rPr>
            </w:pPr>
          </w:p>
        </w:tc>
        <w:tc>
          <w:tcPr>
            <w:tcW w:w="560" w:type="dxa"/>
            <w:vAlign w:val="bottom"/>
            <w:tcBorders>
              <w:bottom w:val="single" w:sz="8" w:color="0072CE"/>
            </w:tcBorders>
            <w:shd w:val="clear" w:color="auto" w:fill="F0F3F6"/>
          </w:tcPr>
          <w:p>
            <w:pPr>
              <w:jc w:val="right"/>
              <w:ind w:right="20"/>
              <w:spacing w:after="0" w:line="135" w:lineRule="exact"/>
              <w:rPr>
                <w:sz w:val="20"/>
                <w:szCs w:val="20"/>
                <w:color w:val="auto"/>
              </w:rPr>
            </w:pPr>
            <w:r>
              <w:rPr>
                <w:rFonts w:ascii="Arial" w:cs="Arial" w:eastAsia="Arial" w:hAnsi="Arial"/>
                <w:sz w:val="15"/>
                <w:szCs w:val="15"/>
                <w:color w:val="3D3935"/>
              </w:rPr>
              <w:t>1.0</w:t>
            </w:r>
          </w:p>
        </w:tc>
        <w:tc>
          <w:tcPr>
            <w:tcW w:w="220" w:type="dxa"/>
            <w:vAlign w:val="bottom"/>
            <w:tcBorders>
              <w:bottom w:val="single" w:sz="8" w:color="0072CE"/>
            </w:tcBorders>
            <w:shd w:val="clear" w:color="auto" w:fill="F0F3F6"/>
          </w:tcPr>
          <w:p>
            <w:pPr>
              <w:spacing w:after="0"/>
              <w:rPr>
                <w:sz w:val="11"/>
                <w:szCs w:val="11"/>
                <w:color w:val="auto"/>
              </w:rPr>
            </w:pPr>
          </w:p>
        </w:tc>
        <w:tc>
          <w:tcPr>
            <w:tcW w:w="540" w:type="dxa"/>
            <w:vAlign w:val="bottom"/>
            <w:tcBorders>
              <w:bottom w:val="single" w:sz="8" w:color="0072CE"/>
            </w:tcBorders>
            <w:shd w:val="clear" w:color="auto" w:fill="F0F3F6"/>
          </w:tcPr>
          <w:p>
            <w:pPr>
              <w:jc w:val="right"/>
              <w:ind w:right="160"/>
              <w:spacing w:after="0" w:line="135" w:lineRule="exact"/>
              <w:rPr>
                <w:sz w:val="20"/>
                <w:szCs w:val="20"/>
                <w:color w:val="auto"/>
              </w:rPr>
            </w:pPr>
            <w:r>
              <w:rPr>
                <w:rFonts w:ascii="Arial" w:cs="Arial" w:eastAsia="Arial" w:hAnsi="Arial"/>
                <w:sz w:val="15"/>
                <w:szCs w:val="15"/>
                <w:b w:val="1"/>
                <w:bCs w:val="1"/>
                <w:color w:val="3D3935"/>
              </w:rPr>
              <w:t>2.0</w:t>
            </w:r>
          </w:p>
        </w:tc>
        <w:tc>
          <w:tcPr>
            <w:tcW w:w="860" w:type="dxa"/>
            <w:vAlign w:val="bottom"/>
            <w:tcBorders>
              <w:right w:val="single" w:sz="8" w:color="CCCCCC"/>
            </w:tcBorders>
          </w:tcPr>
          <w:p>
            <w:pPr>
              <w:spacing w:after="0"/>
              <w:rPr>
                <w:sz w:val="11"/>
                <w:szCs w:val="11"/>
                <w:color w:val="auto"/>
              </w:rPr>
            </w:pPr>
          </w:p>
        </w:tc>
      </w:tr>
      <w:tr>
        <w:trPr>
          <w:trHeight w:val="250"/>
        </w:trPr>
        <w:tc>
          <w:tcPr>
            <w:tcW w:w="820" w:type="dxa"/>
            <w:vAlign w:val="bottom"/>
            <w:tcBorders>
              <w:left w:val="single" w:sz="8" w:color="CCCCCC"/>
            </w:tcBorders>
          </w:tcPr>
          <w:p>
            <w:pPr>
              <w:spacing w:after="0"/>
              <w:rPr>
                <w:sz w:val="21"/>
                <w:szCs w:val="21"/>
                <w:color w:val="auto"/>
              </w:rPr>
            </w:pPr>
          </w:p>
        </w:tc>
        <w:tc>
          <w:tcPr>
            <w:tcW w:w="5320" w:type="dxa"/>
            <w:vAlign w:val="bottom"/>
            <w:tcBorders>
              <w:bottom w:val="single" w:sz="8" w:color="D9D9D6"/>
            </w:tcBorders>
          </w:tcPr>
          <w:p>
            <w:pPr>
              <w:ind w:left="240"/>
              <w:spacing w:after="0"/>
              <w:rPr>
                <w:sz w:val="20"/>
                <w:szCs w:val="20"/>
                <w:color w:val="auto"/>
              </w:rPr>
            </w:pPr>
            <w:r>
              <w:rPr>
                <w:rFonts w:ascii="Arial" w:cs="Arial" w:eastAsia="Arial" w:hAnsi="Arial"/>
                <w:sz w:val="16"/>
                <w:szCs w:val="16"/>
                <w:color w:val="3D3935"/>
              </w:rPr>
              <w:t xml:space="preserve">Restructuring actions </w:t>
            </w:r>
            <w:r>
              <w:rPr>
                <w:rFonts w:ascii="Arial" w:cs="Arial" w:eastAsia="Arial" w:hAnsi="Arial"/>
                <w:sz w:val="21"/>
                <w:szCs w:val="21"/>
                <w:color w:val="3D3935"/>
                <w:vertAlign w:val="superscript"/>
              </w:rPr>
              <w:t>(4)</w:t>
            </w:r>
          </w:p>
        </w:tc>
        <w:tc>
          <w:tcPr>
            <w:tcW w:w="13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240" w:type="dxa"/>
            <w:vAlign w:val="bottom"/>
            <w:tcBorders>
              <w:bottom w:val="single" w:sz="8" w:color="D9D9D6"/>
            </w:tcBorders>
          </w:tcPr>
          <w:p>
            <w:pPr>
              <w:spacing w:after="0"/>
              <w:rPr>
                <w:sz w:val="21"/>
                <w:szCs w:val="21"/>
                <w:color w:val="auto"/>
              </w:rPr>
            </w:pPr>
          </w:p>
        </w:tc>
        <w:tc>
          <w:tcPr>
            <w:tcW w:w="56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260" w:type="dxa"/>
            <w:vAlign w:val="bottom"/>
            <w:tcBorders>
              <w:bottom w:val="single" w:sz="8" w:color="D9D9D6"/>
            </w:tcBorders>
          </w:tcPr>
          <w:p>
            <w:pPr>
              <w:spacing w:after="0"/>
              <w:rPr>
                <w:sz w:val="21"/>
                <w:szCs w:val="21"/>
                <w:color w:val="auto"/>
              </w:rPr>
            </w:pPr>
          </w:p>
        </w:tc>
        <w:tc>
          <w:tcPr>
            <w:tcW w:w="560" w:type="dxa"/>
            <w:vAlign w:val="bottom"/>
            <w:tcBorders>
              <w:bottom w:val="single" w:sz="8" w:color="D9D9D6"/>
            </w:tcBorders>
          </w:tcPr>
          <w:p>
            <w:pPr>
              <w:jc w:val="right"/>
              <w:ind w:right="60"/>
              <w:spacing w:after="0"/>
              <w:rPr>
                <w:sz w:val="20"/>
                <w:szCs w:val="20"/>
                <w:color w:val="auto"/>
              </w:rPr>
            </w:pPr>
            <w:r>
              <w:rPr>
                <w:rFonts w:ascii="Arial" w:cs="Arial" w:eastAsia="Arial" w:hAnsi="Arial"/>
                <w:sz w:val="16"/>
                <w:szCs w:val="16"/>
                <w:color w:val="3D3935"/>
              </w:rPr>
              <w:t>0.2</w:t>
            </w:r>
          </w:p>
        </w:tc>
        <w:tc>
          <w:tcPr>
            <w:tcW w:w="220" w:type="dxa"/>
            <w:vAlign w:val="bottom"/>
            <w:tcBorders>
              <w:bottom w:val="single" w:sz="8" w:color="D9D9D6"/>
            </w:tcBorders>
          </w:tcPr>
          <w:p>
            <w:pPr>
              <w:spacing w:after="0"/>
              <w:rPr>
                <w:sz w:val="21"/>
                <w:szCs w:val="21"/>
                <w:color w:val="auto"/>
              </w:rPr>
            </w:pPr>
          </w:p>
        </w:tc>
        <w:tc>
          <w:tcPr>
            <w:tcW w:w="540" w:type="dxa"/>
            <w:vAlign w:val="bottom"/>
            <w:tcBorders>
              <w:bottom w:val="single" w:sz="8" w:color="D9D9D6"/>
            </w:tcBorders>
          </w:tcPr>
          <w:p>
            <w:pPr>
              <w:jc w:val="right"/>
              <w:ind w:right="160"/>
              <w:spacing w:after="0"/>
              <w:rPr>
                <w:sz w:val="20"/>
                <w:szCs w:val="20"/>
                <w:color w:val="auto"/>
              </w:rPr>
            </w:pPr>
            <w:r>
              <w:rPr>
                <w:rFonts w:ascii="Arial" w:cs="Arial" w:eastAsia="Arial" w:hAnsi="Arial"/>
                <w:sz w:val="16"/>
                <w:szCs w:val="16"/>
                <w:b w:val="1"/>
                <w:bCs w:val="1"/>
                <w:color w:val="3D3935"/>
              </w:rPr>
              <w:t>0.2</w:t>
            </w:r>
          </w:p>
        </w:tc>
        <w:tc>
          <w:tcPr>
            <w:tcW w:w="860" w:type="dxa"/>
            <w:vAlign w:val="bottom"/>
            <w:tcBorders>
              <w:right w:val="single" w:sz="8" w:color="CCCCCC"/>
            </w:tcBorders>
          </w:tcPr>
          <w:p>
            <w:pPr>
              <w:spacing w:after="0"/>
              <w:rPr>
                <w:sz w:val="21"/>
                <w:szCs w:val="21"/>
                <w:color w:val="auto"/>
              </w:rPr>
            </w:pPr>
          </w:p>
        </w:tc>
      </w:tr>
      <w:tr>
        <w:trPr>
          <w:trHeight w:val="250"/>
        </w:trPr>
        <w:tc>
          <w:tcPr>
            <w:tcW w:w="820" w:type="dxa"/>
            <w:vAlign w:val="bottom"/>
            <w:tcBorders>
              <w:left w:val="single" w:sz="8" w:color="CCCCCC"/>
            </w:tcBorders>
          </w:tcPr>
          <w:p>
            <w:pPr>
              <w:spacing w:after="0"/>
              <w:rPr>
                <w:sz w:val="21"/>
                <w:szCs w:val="21"/>
                <w:color w:val="auto"/>
              </w:rPr>
            </w:pPr>
          </w:p>
        </w:tc>
        <w:tc>
          <w:tcPr>
            <w:tcW w:w="5320" w:type="dxa"/>
            <w:vAlign w:val="bottom"/>
            <w:tcBorders>
              <w:bottom w:val="single" w:sz="8" w:color="D9D9D6"/>
            </w:tcBorders>
          </w:tcPr>
          <w:p>
            <w:pPr>
              <w:ind w:left="240"/>
              <w:spacing w:after="0"/>
              <w:rPr>
                <w:sz w:val="20"/>
                <w:szCs w:val="20"/>
                <w:color w:val="auto"/>
              </w:rPr>
            </w:pPr>
            <w:r>
              <w:rPr>
                <w:rFonts w:ascii="Arial" w:cs="Arial" w:eastAsia="Arial" w:hAnsi="Arial"/>
                <w:sz w:val="16"/>
                <w:szCs w:val="16"/>
                <w:color w:val="3D3935"/>
              </w:rPr>
              <w:t>GMI plant wind down</w:t>
            </w:r>
            <w:r>
              <w:rPr>
                <w:rFonts w:ascii="Arial" w:cs="Arial" w:eastAsia="Arial" w:hAnsi="Arial"/>
                <w:sz w:val="21"/>
                <w:szCs w:val="21"/>
                <w:color w:val="3D3935"/>
                <w:vertAlign w:val="superscript"/>
              </w:rPr>
              <w:t>(5)</w:t>
            </w:r>
          </w:p>
        </w:tc>
        <w:tc>
          <w:tcPr>
            <w:tcW w:w="13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240" w:type="dxa"/>
            <w:vAlign w:val="bottom"/>
            <w:tcBorders>
              <w:bottom w:val="single" w:sz="8" w:color="D9D9D6"/>
            </w:tcBorders>
          </w:tcPr>
          <w:p>
            <w:pPr>
              <w:spacing w:after="0"/>
              <w:rPr>
                <w:sz w:val="21"/>
                <w:szCs w:val="21"/>
                <w:color w:val="auto"/>
              </w:rPr>
            </w:pPr>
          </w:p>
        </w:tc>
        <w:tc>
          <w:tcPr>
            <w:tcW w:w="56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260" w:type="dxa"/>
            <w:vAlign w:val="bottom"/>
            <w:tcBorders>
              <w:bottom w:val="single" w:sz="8" w:color="D9D9D6"/>
            </w:tcBorders>
          </w:tcPr>
          <w:p>
            <w:pPr>
              <w:spacing w:after="0"/>
              <w:rPr>
                <w:sz w:val="21"/>
                <w:szCs w:val="21"/>
                <w:color w:val="auto"/>
              </w:rPr>
            </w:pPr>
          </w:p>
        </w:tc>
        <w:tc>
          <w:tcPr>
            <w:tcW w:w="560" w:type="dxa"/>
            <w:vAlign w:val="bottom"/>
            <w:tcBorders>
              <w:bottom w:val="single" w:sz="8" w:color="D9D9D6"/>
            </w:tcBorders>
          </w:tcPr>
          <w:p>
            <w:pPr>
              <w:jc w:val="right"/>
              <w:ind w:right="60"/>
              <w:spacing w:after="0"/>
              <w:rPr>
                <w:sz w:val="20"/>
                <w:szCs w:val="20"/>
                <w:color w:val="auto"/>
              </w:rPr>
            </w:pPr>
            <w:r>
              <w:rPr>
                <w:rFonts w:ascii="Arial" w:cs="Arial" w:eastAsia="Arial" w:hAnsi="Arial"/>
                <w:sz w:val="16"/>
                <w:szCs w:val="16"/>
                <w:color w:val="3D3935"/>
              </w:rPr>
              <w:t>0.2</w:t>
            </w:r>
          </w:p>
        </w:tc>
        <w:tc>
          <w:tcPr>
            <w:tcW w:w="220" w:type="dxa"/>
            <w:vAlign w:val="bottom"/>
            <w:tcBorders>
              <w:bottom w:val="single" w:sz="8" w:color="D9D9D6"/>
            </w:tcBorders>
          </w:tcPr>
          <w:p>
            <w:pPr>
              <w:spacing w:after="0"/>
              <w:rPr>
                <w:sz w:val="21"/>
                <w:szCs w:val="21"/>
                <w:color w:val="auto"/>
              </w:rPr>
            </w:pPr>
          </w:p>
        </w:tc>
        <w:tc>
          <w:tcPr>
            <w:tcW w:w="540" w:type="dxa"/>
            <w:vAlign w:val="bottom"/>
            <w:tcBorders>
              <w:bottom w:val="single" w:sz="8" w:color="D9D9D6"/>
            </w:tcBorders>
          </w:tcPr>
          <w:p>
            <w:pPr>
              <w:jc w:val="right"/>
              <w:ind w:right="160"/>
              <w:spacing w:after="0"/>
              <w:rPr>
                <w:sz w:val="20"/>
                <w:szCs w:val="20"/>
                <w:color w:val="auto"/>
              </w:rPr>
            </w:pPr>
            <w:r>
              <w:rPr>
                <w:rFonts w:ascii="Arial" w:cs="Arial" w:eastAsia="Arial" w:hAnsi="Arial"/>
                <w:sz w:val="16"/>
                <w:szCs w:val="16"/>
                <w:b w:val="1"/>
                <w:bCs w:val="1"/>
                <w:color w:val="3D3935"/>
              </w:rPr>
              <w:t>0.2</w:t>
            </w:r>
          </w:p>
        </w:tc>
        <w:tc>
          <w:tcPr>
            <w:tcW w:w="860" w:type="dxa"/>
            <w:vAlign w:val="bottom"/>
            <w:tcBorders>
              <w:right w:val="single" w:sz="8" w:color="CCCCCC"/>
            </w:tcBorders>
          </w:tcPr>
          <w:p>
            <w:pPr>
              <w:spacing w:after="0"/>
              <w:rPr>
                <w:sz w:val="21"/>
                <w:szCs w:val="21"/>
                <w:color w:val="auto"/>
              </w:rPr>
            </w:pPr>
          </w:p>
        </w:tc>
      </w:tr>
      <w:tr>
        <w:trPr>
          <w:trHeight w:val="250"/>
        </w:trPr>
        <w:tc>
          <w:tcPr>
            <w:tcW w:w="820" w:type="dxa"/>
            <w:vAlign w:val="bottom"/>
            <w:tcBorders>
              <w:left w:val="single" w:sz="8" w:color="CCCCCC"/>
            </w:tcBorders>
          </w:tcPr>
          <w:p>
            <w:pPr>
              <w:spacing w:after="0"/>
              <w:rPr>
                <w:sz w:val="21"/>
                <w:szCs w:val="21"/>
                <w:color w:val="auto"/>
              </w:rPr>
            </w:pPr>
          </w:p>
        </w:tc>
        <w:tc>
          <w:tcPr>
            <w:tcW w:w="5320" w:type="dxa"/>
            <w:vAlign w:val="bottom"/>
            <w:tcBorders>
              <w:bottom w:val="single" w:sz="8" w:color="D9D9D6"/>
            </w:tcBorders>
          </w:tcPr>
          <w:p>
            <w:pPr>
              <w:ind w:left="240"/>
              <w:spacing w:after="0"/>
              <w:rPr>
                <w:sz w:val="20"/>
                <w:szCs w:val="20"/>
                <w:color w:val="auto"/>
              </w:rPr>
            </w:pPr>
            <w:r>
              <w:rPr>
                <w:rFonts w:ascii="Arial" w:cs="Arial" w:eastAsia="Arial" w:hAnsi="Arial"/>
                <w:sz w:val="16"/>
                <w:szCs w:val="16"/>
                <w:color w:val="3D3935"/>
              </w:rPr>
              <w:t xml:space="preserve">Headquarters relocation </w:t>
            </w:r>
            <w:r>
              <w:rPr>
                <w:rFonts w:ascii="Arial" w:cs="Arial" w:eastAsia="Arial" w:hAnsi="Arial"/>
                <w:sz w:val="21"/>
                <w:szCs w:val="21"/>
                <w:color w:val="3D3935"/>
                <w:vertAlign w:val="superscript"/>
              </w:rPr>
              <w:t>(6)</w:t>
            </w:r>
          </w:p>
        </w:tc>
        <w:tc>
          <w:tcPr>
            <w:tcW w:w="13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240" w:type="dxa"/>
            <w:vAlign w:val="bottom"/>
            <w:tcBorders>
              <w:bottom w:val="single" w:sz="8" w:color="D9D9D6"/>
            </w:tcBorders>
          </w:tcPr>
          <w:p>
            <w:pPr>
              <w:spacing w:after="0"/>
              <w:rPr>
                <w:sz w:val="21"/>
                <w:szCs w:val="21"/>
                <w:color w:val="auto"/>
              </w:rPr>
            </w:pPr>
          </w:p>
        </w:tc>
        <w:tc>
          <w:tcPr>
            <w:tcW w:w="56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260" w:type="dxa"/>
            <w:vAlign w:val="bottom"/>
            <w:tcBorders>
              <w:bottom w:val="single" w:sz="8" w:color="D9D9D6"/>
            </w:tcBorders>
          </w:tcPr>
          <w:p>
            <w:pPr>
              <w:spacing w:after="0"/>
              <w:rPr>
                <w:sz w:val="21"/>
                <w:szCs w:val="21"/>
                <w:color w:val="auto"/>
              </w:rPr>
            </w:pPr>
          </w:p>
        </w:tc>
        <w:tc>
          <w:tcPr>
            <w:tcW w:w="560" w:type="dxa"/>
            <w:vAlign w:val="bottom"/>
            <w:tcBorders>
              <w:bottom w:val="single" w:sz="8" w:color="D9D9D6"/>
            </w:tcBorders>
          </w:tcPr>
          <w:p>
            <w:pPr>
              <w:jc w:val="right"/>
              <w:ind w:right="20"/>
              <w:spacing w:after="0"/>
              <w:rPr>
                <w:sz w:val="20"/>
                <w:szCs w:val="20"/>
                <w:color w:val="auto"/>
              </w:rPr>
            </w:pPr>
            <w:r>
              <w:rPr>
                <w:rFonts w:ascii="Arial" w:cs="Arial" w:eastAsia="Arial" w:hAnsi="Arial"/>
                <w:sz w:val="16"/>
                <w:szCs w:val="16"/>
                <w:color w:val="3D3935"/>
              </w:rPr>
              <w:t>0.1</w:t>
            </w:r>
          </w:p>
        </w:tc>
        <w:tc>
          <w:tcPr>
            <w:tcW w:w="220" w:type="dxa"/>
            <w:vAlign w:val="bottom"/>
            <w:tcBorders>
              <w:bottom w:val="single" w:sz="8" w:color="D9D9D6"/>
            </w:tcBorders>
          </w:tcPr>
          <w:p>
            <w:pPr>
              <w:spacing w:after="0"/>
              <w:rPr>
                <w:sz w:val="21"/>
                <w:szCs w:val="21"/>
                <w:color w:val="auto"/>
              </w:rPr>
            </w:pPr>
          </w:p>
        </w:tc>
        <w:tc>
          <w:tcPr>
            <w:tcW w:w="540" w:type="dxa"/>
            <w:vAlign w:val="bottom"/>
            <w:tcBorders>
              <w:bottom w:val="single" w:sz="8" w:color="D9D9D6"/>
            </w:tcBorders>
          </w:tcPr>
          <w:p>
            <w:pPr>
              <w:jc w:val="right"/>
              <w:ind w:right="120"/>
              <w:spacing w:after="0"/>
              <w:rPr>
                <w:sz w:val="20"/>
                <w:szCs w:val="20"/>
                <w:color w:val="auto"/>
              </w:rPr>
            </w:pPr>
            <w:r>
              <w:rPr>
                <w:rFonts w:ascii="Arial" w:cs="Arial" w:eastAsia="Arial" w:hAnsi="Arial"/>
                <w:sz w:val="16"/>
                <w:szCs w:val="16"/>
                <w:b w:val="1"/>
                <w:bCs w:val="1"/>
                <w:color w:val="3D3935"/>
              </w:rPr>
              <w:t>0.1</w:t>
            </w:r>
          </w:p>
        </w:tc>
        <w:tc>
          <w:tcPr>
            <w:tcW w:w="860" w:type="dxa"/>
            <w:vAlign w:val="bottom"/>
            <w:tcBorders>
              <w:right w:val="single" w:sz="8" w:color="CCCCCC"/>
            </w:tcBorders>
          </w:tcPr>
          <w:p>
            <w:pPr>
              <w:spacing w:after="0"/>
              <w:rPr>
                <w:sz w:val="21"/>
                <w:szCs w:val="21"/>
                <w:color w:val="auto"/>
              </w:rPr>
            </w:pPr>
          </w:p>
        </w:tc>
      </w:tr>
      <w:tr>
        <w:trPr>
          <w:trHeight w:val="250"/>
        </w:trPr>
        <w:tc>
          <w:tcPr>
            <w:tcW w:w="820" w:type="dxa"/>
            <w:vAlign w:val="bottom"/>
            <w:tcBorders>
              <w:left w:val="single" w:sz="8" w:color="CCCCCC"/>
            </w:tcBorders>
          </w:tcPr>
          <w:p>
            <w:pPr>
              <w:spacing w:after="0"/>
              <w:rPr>
                <w:sz w:val="21"/>
                <w:szCs w:val="21"/>
                <w:color w:val="auto"/>
              </w:rPr>
            </w:pPr>
          </w:p>
        </w:tc>
        <w:tc>
          <w:tcPr>
            <w:tcW w:w="5320" w:type="dxa"/>
            <w:vAlign w:val="bottom"/>
            <w:tcBorders>
              <w:bottom w:val="single" w:sz="8" w:color="D9D9D6"/>
            </w:tcBorders>
          </w:tcPr>
          <w:p>
            <w:pPr>
              <w:ind w:left="240"/>
              <w:spacing w:after="0"/>
              <w:rPr>
                <w:sz w:val="20"/>
                <w:szCs w:val="20"/>
                <w:color w:val="auto"/>
              </w:rPr>
            </w:pPr>
            <w:r>
              <w:rPr>
                <w:rFonts w:ascii="Arial" w:cs="Arial" w:eastAsia="Arial" w:hAnsi="Arial"/>
                <w:sz w:val="16"/>
                <w:szCs w:val="16"/>
                <w:color w:val="3D3935"/>
              </w:rPr>
              <w:t xml:space="preserve">Voluntary separation program </w:t>
            </w:r>
            <w:r>
              <w:rPr>
                <w:rFonts w:ascii="Arial" w:cs="Arial" w:eastAsia="Arial" w:hAnsi="Arial"/>
                <w:sz w:val="21"/>
                <w:szCs w:val="21"/>
                <w:color w:val="3D3935"/>
                <w:vertAlign w:val="superscript"/>
              </w:rPr>
              <w:t>(7)</w:t>
            </w:r>
          </w:p>
        </w:tc>
        <w:tc>
          <w:tcPr>
            <w:tcW w:w="13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240" w:type="dxa"/>
            <w:vAlign w:val="bottom"/>
            <w:tcBorders>
              <w:bottom w:val="single" w:sz="8" w:color="D9D9D6"/>
            </w:tcBorders>
          </w:tcPr>
          <w:p>
            <w:pPr>
              <w:spacing w:after="0"/>
              <w:rPr>
                <w:sz w:val="21"/>
                <w:szCs w:val="21"/>
                <w:color w:val="auto"/>
              </w:rPr>
            </w:pPr>
          </w:p>
        </w:tc>
        <w:tc>
          <w:tcPr>
            <w:tcW w:w="560" w:type="dxa"/>
            <w:vAlign w:val="bottom"/>
            <w:tcBorders>
              <w:bottom w:val="single" w:sz="8" w:color="D9D9D6"/>
            </w:tcBorders>
          </w:tcPr>
          <w:p>
            <w:pPr>
              <w:jc w:val="right"/>
              <w:ind w:right="21"/>
              <w:spacing w:after="0"/>
              <w:rPr>
                <w:sz w:val="20"/>
                <w:szCs w:val="20"/>
                <w:color w:val="auto"/>
              </w:rPr>
            </w:pPr>
            <w:r>
              <w:rPr>
                <w:rFonts w:ascii="Arial" w:cs="Arial" w:eastAsia="Arial" w:hAnsi="Arial"/>
                <w:sz w:val="16"/>
                <w:szCs w:val="16"/>
                <w:color w:val="3D3935"/>
              </w:rPr>
              <w:t>1.0</w:t>
            </w:r>
          </w:p>
        </w:tc>
        <w:tc>
          <w:tcPr>
            <w:tcW w:w="260" w:type="dxa"/>
            <w:vAlign w:val="bottom"/>
            <w:tcBorders>
              <w:bottom w:val="single" w:sz="8" w:color="D9D9D6"/>
            </w:tcBorders>
          </w:tcPr>
          <w:p>
            <w:pPr>
              <w:spacing w:after="0"/>
              <w:rPr>
                <w:sz w:val="21"/>
                <w:szCs w:val="21"/>
                <w:color w:val="auto"/>
              </w:rPr>
            </w:pPr>
          </w:p>
        </w:tc>
        <w:tc>
          <w:tcPr>
            <w:tcW w:w="56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220" w:type="dxa"/>
            <w:vAlign w:val="bottom"/>
            <w:tcBorders>
              <w:bottom w:val="single" w:sz="8" w:color="D9D9D6"/>
            </w:tcBorders>
          </w:tcPr>
          <w:p>
            <w:pPr>
              <w:spacing w:after="0"/>
              <w:rPr>
                <w:sz w:val="21"/>
                <w:szCs w:val="21"/>
                <w:color w:val="auto"/>
              </w:rPr>
            </w:pPr>
          </w:p>
        </w:tc>
        <w:tc>
          <w:tcPr>
            <w:tcW w:w="540" w:type="dxa"/>
            <w:vAlign w:val="bottom"/>
            <w:tcBorders>
              <w:bottom w:val="single" w:sz="8" w:color="D9D9D6"/>
            </w:tcBorders>
          </w:tcPr>
          <w:p>
            <w:pPr>
              <w:jc w:val="right"/>
              <w:ind w:right="120"/>
              <w:spacing w:after="0"/>
              <w:rPr>
                <w:sz w:val="20"/>
                <w:szCs w:val="20"/>
                <w:color w:val="auto"/>
              </w:rPr>
            </w:pPr>
            <w:r>
              <w:rPr>
                <w:rFonts w:ascii="Arial" w:cs="Arial" w:eastAsia="Arial" w:hAnsi="Arial"/>
                <w:sz w:val="16"/>
                <w:szCs w:val="16"/>
                <w:b w:val="1"/>
                <w:bCs w:val="1"/>
                <w:color w:val="3D3935"/>
              </w:rPr>
              <w:t>1.0</w:t>
            </w:r>
          </w:p>
        </w:tc>
        <w:tc>
          <w:tcPr>
            <w:tcW w:w="860" w:type="dxa"/>
            <w:vAlign w:val="bottom"/>
            <w:tcBorders>
              <w:right w:val="single" w:sz="8" w:color="CCCCCC"/>
            </w:tcBorders>
          </w:tcPr>
          <w:p>
            <w:pPr>
              <w:spacing w:after="0"/>
              <w:rPr>
                <w:sz w:val="21"/>
                <w:szCs w:val="21"/>
                <w:color w:val="auto"/>
              </w:rPr>
            </w:pPr>
          </w:p>
        </w:tc>
      </w:tr>
      <w:tr>
        <w:trPr>
          <w:trHeight w:val="250"/>
        </w:trPr>
        <w:tc>
          <w:tcPr>
            <w:tcW w:w="820" w:type="dxa"/>
            <w:vAlign w:val="bottom"/>
            <w:tcBorders>
              <w:left w:val="single" w:sz="8" w:color="CCCCCC"/>
            </w:tcBorders>
          </w:tcPr>
          <w:p>
            <w:pPr>
              <w:spacing w:after="0"/>
              <w:rPr>
                <w:sz w:val="21"/>
                <w:szCs w:val="21"/>
                <w:color w:val="auto"/>
              </w:rPr>
            </w:pPr>
          </w:p>
        </w:tc>
        <w:tc>
          <w:tcPr>
            <w:tcW w:w="5320" w:type="dxa"/>
            <w:vAlign w:val="bottom"/>
            <w:tcBorders>
              <w:bottom w:val="single" w:sz="8" w:color="D9D9D6"/>
            </w:tcBorders>
          </w:tcPr>
          <w:p>
            <w:pPr>
              <w:ind w:left="240"/>
              <w:spacing w:after="0"/>
              <w:rPr>
                <w:sz w:val="20"/>
                <w:szCs w:val="20"/>
                <w:color w:val="auto"/>
              </w:rPr>
            </w:pPr>
            <w:r>
              <w:rPr>
                <w:rFonts w:ascii="Arial" w:cs="Arial" w:eastAsia="Arial" w:hAnsi="Arial"/>
                <w:sz w:val="16"/>
                <w:szCs w:val="16"/>
                <w:color w:val="3D3935"/>
              </w:rPr>
              <w:t xml:space="preserve">GM Korea wage litigation </w:t>
            </w:r>
            <w:r>
              <w:rPr>
                <w:rFonts w:ascii="Arial" w:cs="Arial" w:eastAsia="Arial" w:hAnsi="Arial"/>
                <w:sz w:val="21"/>
                <w:szCs w:val="21"/>
                <w:color w:val="3D3935"/>
                <w:vertAlign w:val="superscript"/>
              </w:rPr>
              <w:t>(8)</w:t>
            </w:r>
          </w:p>
        </w:tc>
        <w:tc>
          <w:tcPr>
            <w:tcW w:w="13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240" w:type="dxa"/>
            <w:vAlign w:val="bottom"/>
            <w:tcBorders>
              <w:bottom w:val="single" w:sz="8" w:color="D9D9D6"/>
            </w:tcBorders>
          </w:tcPr>
          <w:p>
            <w:pPr>
              <w:spacing w:after="0"/>
              <w:rPr>
                <w:sz w:val="21"/>
                <w:szCs w:val="21"/>
                <w:color w:val="auto"/>
              </w:rPr>
            </w:pPr>
          </w:p>
        </w:tc>
        <w:tc>
          <w:tcPr>
            <w:tcW w:w="56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(0.1)</w:t>
            </w:r>
          </w:p>
        </w:tc>
        <w:tc>
          <w:tcPr>
            <w:tcW w:w="260" w:type="dxa"/>
            <w:vAlign w:val="bottom"/>
            <w:tcBorders>
              <w:bottom w:val="single" w:sz="8" w:color="D9D9D6"/>
            </w:tcBorders>
          </w:tcPr>
          <w:p>
            <w:pPr>
              <w:spacing w:after="0"/>
              <w:rPr>
                <w:sz w:val="21"/>
                <w:szCs w:val="21"/>
                <w:color w:val="auto"/>
              </w:rPr>
            </w:pPr>
          </w:p>
        </w:tc>
        <w:tc>
          <w:tcPr>
            <w:tcW w:w="56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220" w:type="dxa"/>
            <w:vAlign w:val="bottom"/>
            <w:tcBorders>
              <w:bottom w:val="single" w:sz="8" w:color="D9D9D6"/>
            </w:tcBorders>
          </w:tcPr>
          <w:p>
            <w:pPr>
              <w:spacing w:after="0"/>
              <w:rPr>
                <w:sz w:val="21"/>
                <w:szCs w:val="21"/>
                <w:color w:val="auto"/>
              </w:rPr>
            </w:pPr>
          </w:p>
        </w:tc>
        <w:tc>
          <w:tcPr>
            <w:tcW w:w="540" w:type="dxa"/>
            <w:vAlign w:val="bottom"/>
            <w:tcBorders>
              <w:bottom w:val="single" w:sz="8" w:color="D9D9D6"/>
            </w:tcBorders>
          </w:tcPr>
          <w:p>
            <w:pPr>
              <w:jc w:val="right"/>
              <w:ind w:right="80"/>
              <w:spacing w:after="0"/>
              <w:rPr>
                <w:sz w:val="20"/>
                <w:szCs w:val="20"/>
                <w:color w:val="auto"/>
              </w:rPr>
            </w:pPr>
            <w:r>
              <w:rPr>
                <w:rFonts w:ascii="Arial" w:cs="Arial" w:eastAsia="Arial" w:hAnsi="Arial"/>
                <w:sz w:val="16"/>
                <w:szCs w:val="16"/>
                <w:b w:val="1"/>
                <w:bCs w:val="1"/>
                <w:color w:val="3D3935"/>
              </w:rPr>
              <w:t>(0.1)</w:t>
            </w:r>
          </w:p>
        </w:tc>
        <w:tc>
          <w:tcPr>
            <w:tcW w:w="860" w:type="dxa"/>
            <w:vAlign w:val="bottom"/>
            <w:tcBorders>
              <w:right w:val="single" w:sz="8" w:color="CCCCCC"/>
            </w:tcBorders>
          </w:tcPr>
          <w:p>
            <w:pPr>
              <w:spacing w:after="0"/>
              <w:rPr>
                <w:sz w:val="21"/>
                <w:szCs w:val="21"/>
                <w:color w:val="auto"/>
              </w:rPr>
            </w:pPr>
          </w:p>
        </w:tc>
      </w:tr>
      <w:tr>
        <w:trPr>
          <w:trHeight w:val="250"/>
        </w:trPr>
        <w:tc>
          <w:tcPr>
            <w:tcW w:w="820" w:type="dxa"/>
            <w:vAlign w:val="bottom"/>
            <w:tcBorders>
              <w:left w:val="single" w:sz="8" w:color="CCCCCC"/>
            </w:tcBorders>
          </w:tcPr>
          <w:p>
            <w:pPr>
              <w:spacing w:after="0"/>
              <w:rPr>
                <w:sz w:val="21"/>
                <w:szCs w:val="21"/>
                <w:color w:val="auto"/>
              </w:rPr>
            </w:pPr>
          </w:p>
        </w:tc>
        <w:tc>
          <w:tcPr>
            <w:tcW w:w="5320" w:type="dxa"/>
            <w:vAlign w:val="bottom"/>
            <w:tcBorders>
              <w:bottom w:val="single" w:sz="8" w:color="D9D9D6"/>
            </w:tcBorders>
          </w:tcPr>
          <w:p>
            <w:pPr>
              <w:ind w:left="240"/>
              <w:spacing w:after="0"/>
              <w:rPr>
                <w:sz w:val="20"/>
                <w:szCs w:val="20"/>
                <w:color w:val="auto"/>
              </w:rPr>
            </w:pPr>
            <w:r>
              <w:rPr>
                <w:rFonts w:ascii="Arial" w:cs="Arial" w:eastAsia="Arial" w:hAnsi="Arial"/>
                <w:sz w:val="16"/>
                <w:szCs w:val="16"/>
                <w:color w:val="3D3935"/>
              </w:rPr>
              <w:t>India asset sales</w:t>
            </w:r>
            <w:r>
              <w:rPr>
                <w:rFonts w:ascii="Arial" w:cs="Arial" w:eastAsia="Arial" w:hAnsi="Arial"/>
                <w:sz w:val="21"/>
                <w:szCs w:val="21"/>
                <w:color w:val="3D3935"/>
                <w:vertAlign w:val="superscript"/>
              </w:rPr>
              <w:t>(9)</w:t>
            </w:r>
          </w:p>
        </w:tc>
        <w:tc>
          <w:tcPr>
            <w:tcW w:w="13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240" w:type="dxa"/>
            <w:vAlign w:val="bottom"/>
            <w:tcBorders>
              <w:bottom w:val="single" w:sz="8" w:color="D9D9D6"/>
            </w:tcBorders>
          </w:tcPr>
          <w:p>
            <w:pPr>
              <w:spacing w:after="0"/>
              <w:rPr>
                <w:sz w:val="21"/>
                <w:szCs w:val="21"/>
                <w:color w:val="auto"/>
              </w:rPr>
            </w:pPr>
          </w:p>
        </w:tc>
        <w:tc>
          <w:tcPr>
            <w:tcW w:w="56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(0.1)</w:t>
            </w:r>
          </w:p>
        </w:tc>
        <w:tc>
          <w:tcPr>
            <w:tcW w:w="260" w:type="dxa"/>
            <w:vAlign w:val="bottom"/>
            <w:tcBorders>
              <w:bottom w:val="single" w:sz="8" w:color="D9D9D6"/>
            </w:tcBorders>
          </w:tcPr>
          <w:p>
            <w:pPr>
              <w:spacing w:after="0"/>
              <w:rPr>
                <w:sz w:val="21"/>
                <w:szCs w:val="21"/>
                <w:color w:val="auto"/>
              </w:rPr>
            </w:pPr>
          </w:p>
        </w:tc>
        <w:tc>
          <w:tcPr>
            <w:tcW w:w="56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220" w:type="dxa"/>
            <w:vAlign w:val="bottom"/>
            <w:tcBorders>
              <w:bottom w:val="single" w:sz="8" w:color="D9D9D6"/>
            </w:tcBorders>
          </w:tcPr>
          <w:p>
            <w:pPr>
              <w:spacing w:after="0"/>
              <w:rPr>
                <w:sz w:val="21"/>
                <w:szCs w:val="21"/>
                <w:color w:val="auto"/>
              </w:rPr>
            </w:pPr>
          </w:p>
        </w:tc>
        <w:tc>
          <w:tcPr>
            <w:tcW w:w="540" w:type="dxa"/>
            <w:vAlign w:val="bottom"/>
            <w:tcBorders>
              <w:bottom w:val="single" w:sz="8" w:color="D9D9D6"/>
            </w:tcBorders>
          </w:tcPr>
          <w:p>
            <w:pPr>
              <w:jc w:val="right"/>
              <w:ind w:right="80"/>
              <w:spacing w:after="0"/>
              <w:rPr>
                <w:sz w:val="20"/>
                <w:szCs w:val="20"/>
                <w:color w:val="auto"/>
              </w:rPr>
            </w:pPr>
            <w:r>
              <w:rPr>
                <w:rFonts w:ascii="Arial" w:cs="Arial" w:eastAsia="Arial" w:hAnsi="Arial"/>
                <w:sz w:val="16"/>
                <w:szCs w:val="16"/>
                <w:b w:val="1"/>
                <w:bCs w:val="1"/>
                <w:color w:val="3D3935"/>
              </w:rPr>
              <w:t>(0.1)</w:t>
            </w:r>
          </w:p>
        </w:tc>
        <w:tc>
          <w:tcPr>
            <w:tcW w:w="860" w:type="dxa"/>
            <w:vAlign w:val="bottom"/>
            <w:tcBorders>
              <w:right w:val="single" w:sz="8" w:color="CCCCCC"/>
            </w:tcBorders>
          </w:tcPr>
          <w:p>
            <w:pPr>
              <w:spacing w:after="0"/>
              <w:rPr>
                <w:sz w:val="21"/>
                <w:szCs w:val="21"/>
                <w:color w:val="auto"/>
              </w:rPr>
            </w:pPr>
          </w:p>
        </w:tc>
      </w:tr>
      <w:tr>
        <w:trPr>
          <w:trHeight w:val="250"/>
        </w:trPr>
        <w:tc>
          <w:tcPr>
            <w:tcW w:w="820" w:type="dxa"/>
            <w:vAlign w:val="bottom"/>
            <w:tcBorders>
              <w:left w:val="single" w:sz="8" w:color="CCCCCC"/>
            </w:tcBorders>
          </w:tcPr>
          <w:p>
            <w:pPr>
              <w:spacing w:after="0"/>
              <w:rPr>
                <w:sz w:val="21"/>
                <w:szCs w:val="21"/>
                <w:color w:val="auto"/>
              </w:rPr>
            </w:pPr>
          </w:p>
        </w:tc>
        <w:tc>
          <w:tcPr>
            <w:tcW w:w="5320" w:type="dxa"/>
            <w:vAlign w:val="bottom"/>
            <w:tcBorders>
              <w:bottom w:val="single" w:sz="8" w:color="D9D9D6"/>
            </w:tcBorders>
          </w:tcPr>
          <w:p>
            <w:pPr>
              <w:ind w:left="240"/>
              <w:spacing w:after="0"/>
              <w:rPr>
                <w:sz w:val="20"/>
                <w:szCs w:val="20"/>
                <w:color w:val="auto"/>
              </w:rPr>
            </w:pPr>
            <w:r>
              <w:rPr>
                <w:rFonts w:ascii="Arial" w:cs="Arial" w:eastAsia="Arial" w:hAnsi="Arial"/>
                <w:sz w:val="16"/>
                <w:szCs w:val="16"/>
                <w:color w:val="3D3935"/>
              </w:rPr>
              <w:t xml:space="preserve">Cruise compensation modifications </w:t>
            </w:r>
            <w:r>
              <w:rPr>
                <w:rFonts w:ascii="Arial" w:cs="Arial" w:eastAsia="Arial" w:hAnsi="Arial"/>
                <w:sz w:val="21"/>
                <w:szCs w:val="21"/>
                <w:color w:val="3D3935"/>
                <w:vertAlign w:val="superscript"/>
              </w:rPr>
              <w:t>(10)</w:t>
            </w:r>
          </w:p>
        </w:tc>
        <w:tc>
          <w:tcPr>
            <w:tcW w:w="13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1.1</w:t>
            </w:r>
          </w:p>
        </w:tc>
        <w:tc>
          <w:tcPr>
            <w:tcW w:w="240" w:type="dxa"/>
            <w:vAlign w:val="bottom"/>
            <w:tcBorders>
              <w:bottom w:val="single" w:sz="8" w:color="D9D9D6"/>
            </w:tcBorders>
          </w:tcPr>
          <w:p>
            <w:pPr>
              <w:spacing w:after="0"/>
              <w:rPr>
                <w:sz w:val="21"/>
                <w:szCs w:val="21"/>
                <w:color w:val="auto"/>
              </w:rPr>
            </w:pPr>
          </w:p>
        </w:tc>
        <w:tc>
          <w:tcPr>
            <w:tcW w:w="56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260" w:type="dxa"/>
            <w:vAlign w:val="bottom"/>
            <w:tcBorders>
              <w:bottom w:val="single" w:sz="8" w:color="D9D9D6"/>
            </w:tcBorders>
          </w:tcPr>
          <w:p>
            <w:pPr>
              <w:spacing w:after="0"/>
              <w:rPr>
                <w:sz w:val="21"/>
                <w:szCs w:val="21"/>
                <w:color w:val="auto"/>
              </w:rPr>
            </w:pPr>
          </w:p>
        </w:tc>
        <w:tc>
          <w:tcPr>
            <w:tcW w:w="56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220" w:type="dxa"/>
            <w:vAlign w:val="bottom"/>
            <w:tcBorders>
              <w:bottom w:val="single" w:sz="8" w:color="D9D9D6"/>
            </w:tcBorders>
          </w:tcPr>
          <w:p>
            <w:pPr>
              <w:spacing w:after="0"/>
              <w:rPr>
                <w:sz w:val="21"/>
                <w:szCs w:val="21"/>
                <w:color w:val="auto"/>
              </w:rPr>
            </w:pPr>
          </w:p>
        </w:tc>
        <w:tc>
          <w:tcPr>
            <w:tcW w:w="540" w:type="dxa"/>
            <w:vAlign w:val="bottom"/>
            <w:tcBorders>
              <w:bottom w:val="single" w:sz="8" w:color="D9D9D6"/>
            </w:tcBorders>
          </w:tcPr>
          <w:p>
            <w:pPr>
              <w:ind w:left="160"/>
              <w:spacing w:after="0"/>
              <w:rPr>
                <w:sz w:val="20"/>
                <w:szCs w:val="20"/>
                <w:color w:val="auto"/>
              </w:rPr>
            </w:pPr>
            <w:r>
              <w:rPr>
                <w:rFonts w:ascii="Arial" w:cs="Arial" w:eastAsia="Arial" w:hAnsi="Arial"/>
                <w:sz w:val="16"/>
                <w:szCs w:val="16"/>
                <w:b w:val="1"/>
                <w:bCs w:val="1"/>
                <w:color w:val="3D3935"/>
              </w:rPr>
              <w:t>1.1</w:t>
            </w:r>
          </w:p>
        </w:tc>
        <w:tc>
          <w:tcPr>
            <w:tcW w:w="860" w:type="dxa"/>
            <w:vAlign w:val="bottom"/>
            <w:tcBorders>
              <w:right w:val="single" w:sz="8" w:color="CCCCCC"/>
            </w:tcBorders>
          </w:tcPr>
          <w:p>
            <w:pPr>
              <w:spacing w:after="0"/>
              <w:rPr>
                <w:sz w:val="21"/>
                <w:szCs w:val="21"/>
                <w:color w:val="auto"/>
              </w:rPr>
            </w:pPr>
          </w:p>
        </w:tc>
      </w:tr>
      <w:tr>
        <w:trPr>
          <w:trHeight w:val="250"/>
        </w:trPr>
        <w:tc>
          <w:tcPr>
            <w:tcW w:w="820" w:type="dxa"/>
            <w:vAlign w:val="bottom"/>
            <w:tcBorders>
              <w:left w:val="single" w:sz="8" w:color="CCCCCC"/>
            </w:tcBorders>
          </w:tcPr>
          <w:p>
            <w:pPr>
              <w:spacing w:after="0"/>
              <w:rPr>
                <w:sz w:val="21"/>
                <w:szCs w:val="21"/>
                <w:color w:val="auto"/>
              </w:rPr>
            </w:pPr>
          </w:p>
        </w:tc>
        <w:tc>
          <w:tcPr>
            <w:tcW w:w="5320" w:type="dxa"/>
            <w:vAlign w:val="bottom"/>
            <w:tcBorders>
              <w:bottom w:val="single" w:sz="8" w:color="D9D9D6"/>
            </w:tcBorders>
          </w:tcPr>
          <w:p>
            <w:pPr>
              <w:ind w:left="240"/>
              <w:spacing w:after="0"/>
              <w:rPr>
                <w:sz w:val="20"/>
                <w:szCs w:val="20"/>
                <w:color w:val="auto"/>
              </w:rPr>
            </w:pPr>
            <w:r>
              <w:rPr>
                <w:rFonts w:ascii="Arial" w:cs="Arial" w:eastAsia="Arial" w:hAnsi="Arial"/>
                <w:sz w:val="16"/>
                <w:szCs w:val="16"/>
                <w:color w:val="3D3935"/>
              </w:rPr>
              <w:t>Russia exit</w:t>
            </w:r>
            <w:r>
              <w:rPr>
                <w:rFonts w:ascii="Arial" w:cs="Arial" w:eastAsia="Arial" w:hAnsi="Arial"/>
                <w:sz w:val="21"/>
                <w:szCs w:val="21"/>
                <w:color w:val="3D3935"/>
                <w:vertAlign w:val="superscript"/>
              </w:rPr>
              <w:t>(11)</w:t>
            </w:r>
          </w:p>
        </w:tc>
        <w:tc>
          <w:tcPr>
            <w:tcW w:w="1340" w:type="dxa"/>
            <w:vAlign w:val="bottom"/>
            <w:tcBorders>
              <w:bottom w:val="single" w:sz="8" w:color="D9D9D6"/>
            </w:tcBorders>
          </w:tcPr>
          <w:p>
            <w:pPr>
              <w:jc w:val="right"/>
              <w:ind w:right="40"/>
              <w:spacing w:after="0"/>
              <w:rPr>
                <w:sz w:val="20"/>
                <w:szCs w:val="20"/>
                <w:color w:val="auto"/>
              </w:rPr>
            </w:pPr>
            <w:r>
              <w:rPr>
                <w:rFonts w:ascii="Arial" w:cs="Arial" w:eastAsia="Arial" w:hAnsi="Arial"/>
                <w:sz w:val="16"/>
                <w:szCs w:val="16"/>
                <w:color w:val="3D3935"/>
              </w:rPr>
              <w:t>0.7</w:t>
            </w:r>
          </w:p>
        </w:tc>
        <w:tc>
          <w:tcPr>
            <w:tcW w:w="240" w:type="dxa"/>
            <w:vAlign w:val="bottom"/>
            <w:tcBorders>
              <w:bottom w:val="single" w:sz="8" w:color="D9D9D6"/>
            </w:tcBorders>
          </w:tcPr>
          <w:p>
            <w:pPr>
              <w:spacing w:after="0"/>
              <w:rPr>
                <w:sz w:val="21"/>
                <w:szCs w:val="21"/>
                <w:color w:val="auto"/>
              </w:rPr>
            </w:pPr>
          </w:p>
        </w:tc>
        <w:tc>
          <w:tcPr>
            <w:tcW w:w="56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260" w:type="dxa"/>
            <w:vAlign w:val="bottom"/>
            <w:tcBorders>
              <w:bottom w:val="single" w:sz="8" w:color="D9D9D6"/>
            </w:tcBorders>
          </w:tcPr>
          <w:p>
            <w:pPr>
              <w:spacing w:after="0"/>
              <w:rPr>
                <w:sz w:val="21"/>
                <w:szCs w:val="21"/>
                <w:color w:val="auto"/>
              </w:rPr>
            </w:pPr>
          </w:p>
        </w:tc>
        <w:tc>
          <w:tcPr>
            <w:tcW w:w="56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220" w:type="dxa"/>
            <w:vAlign w:val="bottom"/>
            <w:tcBorders>
              <w:bottom w:val="single" w:sz="8" w:color="D9D9D6"/>
            </w:tcBorders>
          </w:tcPr>
          <w:p>
            <w:pPr>
              <w:spacing w:after="0"/>
              <w:rPr>
                <w:sz w:val="21"/>
                <w:szCs w:val="21"/>
                <w:color w:val="auto"/>
              </w:rPr>
            </w:pPr>
          </w:p>
        </w:tc>
        <w:tc>
          <w:tcPr>
            <w:tcW w:w="540" w:type="dxa"/>
            <w:vAlign w:val="bottom"/>
            <w:tcBorders>
              <w:bottom w:val="single" w:sz="8" w:color="D9D9D6"/>
            </w:tcBorders>
          </w:tcPr>
          <w:p>
            <w:pPr>
              <w:jc w:val="right"/>
              <w:ind w:right="140"/>
              <w:spacing w:after="0"/>
              <w:rPr>
                <w:sz w:val="20"/>
                <w:szCs w:val="20"/>
                <w:color w:val="auto"/>
              </w:rPr>
            </w:pPr>
            <w:r>
              <w:rPr>
                <w:rFonts w:ascii="Arial" w:cs="Arial" w:eastAsia="Arial" w:hAnsi="Arial"/>
                <w:sz w:val="16"/>
                <w:szCs w:val="16"/>
                <w:b w:val="1"/>
                <w:bCs w:val="1"/>
                <w:color w:val="3D3935"/>
              </w:rPr>
              <w:t>0.7</w:t>
            </w:r>
          </w:p>
        </w:tc>
        <w:tc>
          <w:tcPr>
            <w:tcW w:w="860" w:type="dxa"/>
            <w:vAlign w:val="bottom"/>
            <w:tcBorders>
              <w:right w:val="single" w:sz="8" w:color="CCCCCC"/>
            </w:tcBorders>
          </w:tcPr>
          <w:p>
            <w:pPr>
              <w:spacing w:after="0"/>
              <w:rPr>
                <w:sz w:val="21"/>
                <w:szCs w:val="21"/>
                <w:color w:val="auto"/>
              </w:rPr>
            </w:pPr>
          </w:p>
        </w:tc>
      </w:tr>
      <w:tr>
        <w:trPr>
          <w:trHeight w:val="250"/>
        </w:trPr>
        <w:tc>
          <w:tcPr>
            <w:tcW w:w="820" w:type="dxa"/>
            <w:vAlign w:val="bottom"/>
            <w:tcBorders>
              <w:left w:val="single" w:sz="8" w:color="CCCCCC"/>
            </w:tcBorders>
          </w:tcPr>
          <w:p>
            <w:pPr>
              <w:spacing w:after="0"/>
              <w:rPr>
                <w:sz w:val="21"/>
                <w:szCs w:val="21"/>
                <w:color w:val="auto"/>
              </w:rPr>
            </w:pPr>
          </w:p>
        </w:tc>
        <w:tc>
          <w:tcPr>
            <w:tcW w:w="5320" w:type="dxa"/>
            <w:vAlign w:val="bottom"/>
            <w:tcBorders>
              <w:bottom w:val="single" w:sz="8" w:color="D9D9D6"/>
            </w:tcBorders>
          </w:tcPr>
          <w:p>
            <w:pPr>
              <w:ind w:left="240"/>
              <w:spacing w:after="0"/>
              <w:rPr>
                <w:sz w:val="20"/>
                <w:szCs w:val="20"/>
                <w:color w:val="auto"/>
              </w:rPr>
            </w:pPr>
            <w:r>
              <w:rPr>
                <w:rFonts w:ascii="Arial" w:cs="Arial" w:eastAsia="Arial" w:hAnsi="Arial"/>
                <w:sz w:val="16"/>
                <w:szCs w:val="16"/>
                <w:color w:val="3D3935"/>
              </w:rPr>
              <w:t xml:space="preserve">Patent royalty matters </w:t>
            </w:r>
            <w:r>
              <w:rPr>
                <w:rFonts w:ascii="Arial" w:cs="Arial" w:eastAsia="Arial" w:hAnsi="Arial"/>
                <w:sz w:val="21"/>
                <w:szCs w:val="21"/>
                <w:color w:val="3D3935"/>
                <w:vertAlign w:val="superscript"/>
              </w:rPr>
              <w:t>(12)</w:t>
            </w:r>
          </w:p>
        </w:tc>
        <w:tc>
          <w:tcPr>
            <w:tcW w:w="13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(0.1)</w:t>
            </w:r>
          </w:p>
        </w:tc>
        <w:tc>
          <w:tcPr>
            <w:tcW w:w="240" w:type="dxa"/>
            <w:vAlign w:val="bottom"/>
            <w:tcBorders>
              <w:bottom w:val="single" w:sz="8" w:color="D9D9D6"/>
            </w:tcBorders>
          </w:tcPr>
          <w:p>
            <w:pPr>
              <w:spacing w:after="0"/>
              <w:rPr>
                <w:sz w:val="21"/>
                <w:szCs w:val="21"/>
                <w:color w:val="auto"/>
              </w:rPr>
            </w:pPr>
          </w:p>
        </w:tc>
        <w:tc>
          <w:tcPr>
            <w:tcW w:w="56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260" w:type="dxa"/>
            <w:vAlign w:val="bottom"/>
            <w:tcBorders>
              <w:bottom w:val="single" w:sz="8" w:color="D9D9D6"/>
            </w:tcBorders>
          </w:tcPr>
          <w:p>
            <w:pPr>
              <w:spacing w:after="0"/>
              <w:rPr>
                <w:sz w:val="21"/>
                <w:szCs w:val="21"/>
                <w:color w:val="auto"/>
              </w:rPr>
            </w:pPr>
          </w:p>
        </w:tc>
        <w:tc>
          <w:tcPr>
            <w:tcW w:w="56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220" w:type="dxa"/>
            <w:vAlign w:val="bottom"/>
            <w:tcBorders>
              <w:bottom w:val="single" w:sz="8" w:color="D9D9D6"/>
            </w:tcBorders>
          </w:tcPr>
          <w:p>
            <w:pPr>
              <w:spacing w:after="0"/>
              <w:rPr>
                <w:sz w:val="21"/>
                <w:szCs w:val="21"/>
                <w:color w:val="auto"/>
              </w:rPr>
            </w:pPr>
          </w:p>
        </w:tc>
        <w:tc>
          <w:tcPr>
            <w:tcW w:w="540" w:type="dxa"/>
            <w:vAlign w:val="bottom"/>
            <w:tcBorders>
              <w:bottom w:val="single" w:sz="8" w:color="D9D9D6"/>
            </w:tcBorders>
          </w:tcPr>
          <w:p>
            <w:pPr>
              <w:jc w:val="right"/>
              <w:ind w:right="80"/>
              <w:spacing w:after="0"/>
              <w:rPr>
                <w:sz w:val="20"/>
                <w:szCs w:val="20"/>
                <w:color w:val="auto"/>
              </w:rPr>
            </w:pPr>
            <w:r>
              <w:rPr>
                <w:rFonts w:ascii="Arial" w:cs="Arial" w:eastAsia="Arial" w:hAnsi="Arial"/>
                <w:sz w:val="16"/>
                <w:szCs w:val="16"/>
                <w:b w:val="1"/>
                <w:bCs w:val="1"/>
                <w:color w:val="3D3935"/>
              </w:rPr>
              <w:t>(0.1)</w:t>
            </w:r>
          </w:p>
        </w:tc>
        <w:tc>
          <w:tcPr>
            <w:tcW w:w="860" w:type="dxa"/>
            <w:vAlign w:val="bottom"/>
            <w:tcBorders>
              <w:right w:val="single" w:sz="8" w:color="CCCCCC"/>
            </w:tcBorders>
          </w:tcPr>
          <w:p>
            <w:pPr>
              <w:spacing w:after="0"/>
              <w:rPr>
                <w:sz w:val="21"/>
                <w:szCs w:val="21"/>
                <w:color w:val="auto"/>
              </w:rPr>
            </w:pPr>
          </w:p>
        </w:tc>
      </w:tr>
      <w:tr>
        <w:trPr>
          <w:trHeight w:val="250"/>
        </w:trPr>
        <w:tc>
          <w:tcPr>
            <w:tcW w:w="820" w:type="dxa"/>
            <w:vAlign w:val="bottom"/>
            <w:tcBorders>
              <w:left w:val="single" w:sz="8" w:color="CCCCCC"/>
            </w:tcBorders>
          </w:tcPr>
          <w:p>
            <w:pPr>
              <w:spacing w:after="0"/>
              <w:rPr>
                <w:sz w:val="21"/>
                <w:szCs w:val="21"/>
                <w:color w:val="auto"/>
              </w:rPr>
            </w:pPr>
          </w:p>
        </w:tc>
        <w:tc>
          <w:tcPr>
            <w:tcW w:w="532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Total Adjustments</w:t>
            </w:r>
          </w:p>
        </w:tc>
        <w:tc>
          <w:tcPr>
            <w:tcW w:w="1340" w:type="dxa"/>
            <w:vAlign w:val="bottom"/>
            <w:tcBorders>
              <w:bottom w:val="single" w:sz="8" w:color="D9D9D6"/>
            </w:tcBorders>
          </w:tcPr>
          <w:p>
            <w:pPr>
              <w:jc w:val="right"/>
              <w:ind w:right="20"/>
              <w:spacing w:after="0"/>
              <w:rPr>
                <w:sz w:val="20"/>
                <w:szCs w:val="20"/>
                <w:color w:val="auto"/>
              </w:rPr>
            </w:pPr>
            <w:r>
              <w:rPr>
                <w:rFonts w:ascii="Arial" w:cs="Arial" w:eastAsia="Arial" w:hAnsi="Arial"/>
                <w:sz w:val="16"/>
                <w:szCs w:val="16"/>
                <w:color w:val="3D3935"/>
              </w:rPr>
              <w:t>2.1</w:t>
            </w:r>
          </w:p>
        </w:tc>
        <w:tc>
          <w:tcPr>
            <w:tcW w:w="240" w:type="dxa"/>
            <w:vAlign w:val="bottom"/>
            <w:tcBorders>
              <w:bottom w:val="single" w:sz="8" w:color="D9D9D6"/>
            </w:tcBorders>
          </w:tcPr>
          <w:p>
            <w:pPr>
              <w:spacing w:after="0"/>
              <w:rPr>
                <w:sz w:val="21"/>
                <w:szCs w:val="21"/>
                <w:color w:val="auto"/>
              </w:rPr>
            </w:pPr>
          </w:p>
        </w:tc>
        <w:tc>
          <w:tcPr>
            <w:tcW w:w="560" w:type="dxa"/>
            <w:vAlign w:val="bottom"/>
            <w:tcBorders>
              <w:bottom w:val="single" w:sz="8" w:color="D9D9D6"/>
            </w:tcBorders>
          </w:tcPr>
          <w:p>
            <w:pPr>
              <w:jc w:val="right"/>
              <w:ind w:right="1"/>
              <w:spacing w:after="0"/>
              <w:rPr>
                <w:sz w:val="20"/>
                <w:szCs w:val="20"/>
                <w:color w:val="auto"/>
              </w:rPr>
            </w:pPr>
            <w:r>
              <w:rPr>
                <w:rFonts w:ascii="Arial" w:cs="Arial" w:eastAsia="Arial" w:hAnsi="Arial"/>
                <w:sz w:val="16"/>
                <w:szCs w:val="16"/>
                <w:color w:val="3D3935"/>
              </w:rPr>
              <w:t>1.9</w:t>
            </w:r>
          </w:p>
        </w:tc>
        <w:tc>
          <w:tcPr>
            <w:tcW w:w="260" w:type="dxa"/>
            <w:vAlign w:val="bottom"/>
            <w:tcBorders>
              <w:bottom w:val="single" w:sz="8" w:color="D9D9D6"/>
            </w:tcBorders>
          </w:tcPr>
          <w:p>
            <w:pPr>
              <w:spacing w:after="0"/>
              <w:rPr>
                <w:sz w:val="21"/>
                <w:szCs w:val="21"/>
                <w:color w:val="auto"/>
              </w:rPr>
            </w:pPr>
          </w:p>
        </w:tc>
        <w:tc>
          <w:tcPr>
            <w:tcW w:w="560" w:type="dxa"/>
            <w:vAlign w:val="bottom"/>
            <w:tcBorders>
              <w:bottom w:val="single" w:sz="8" w:color="D9D9D6"/>
            </w:tcBorders>
          </w:tcPr>
          <w:p>
            <w:pPr>
              <w:jc w:val="right"/>
              <w:ind w:right="60"/>
              <w:spacing w:after="0"/>
              <w:rPr>
                <w:sz w:val="20"/>
                <w:szCs w:val="20"/>
                <w:color w:val="auto"/>
              </w:rPr>
            </w:pPr>
            <w:r>
              <w:rPr>
                <w:rFonts w:ascii="Arial" w:cs="Arial" w:eastAsia="Arial" w:hAnsi="Arial"/>
                <w:sz w:val="16"/>
                <w:szCs w:val="16"/>
                <w:color w:val="3D3935"/>
              </w:rPr>
              <w:t>6.5</w:t>
            </w:r>
          </w:p>
        </w:tc>
        <w:tc>
          <w:tcPr>
            <w:tcW w:w="220" w:type="dxa"/>
            <w:vAlign w:val="bottom"/>
            <w:tcBorders>
              <w:bottom w:val="single" w:sz="8" w:color="D9D9D6"/>
            </w:tcBorders>
          </w:tcPr>
          <w:p>
            <w:pPr>
              <w:spacing w:after="0"/>
              <w:rPr>
                <w:sz w:val="21"/>
                <w:szCs w:val="21"/>
                <w:color w:val="auto"/>
              </w:rPr>
            </w:pPr>
          </w:p>
        </w:tc>
        <w:tc>
          <w:tcPr>
            <w:tcW w:w="540" w:type="dxa"/>
            <w:vAlign w:val="bottom"/>
            <w:tcBorders>
              <w:bottom w:val="single" w:sz="8" w:color="D9D9D6"/>
            </w:tcBorders>
          </w:tcPr>
          <w:p>
            <w:pPr>
              <w:jc w:val="right"/>
              <w:ind w:right="120"/>
              <w:spacing w:after="0"/>
              <w:rPr>
                <w:sz w:val="20"/>
                <w:szCs w:val="20"/>
                <w:color w:val="auto"/>
              </w:rPr>
            </w:pPr>
            <w:r>
              <w:rPr>
                <w:rFonts w:ascii="Arial" w:cs="Arial" w:eastAsia="Arial" w:hAnsi="Arial"/>
                <w:sz w:val="16"/>
                <w:szCs w:val="16"/>
                <w:b w:val="1"/>
                <w:bCs w:val="1"/>
                <w:color w:val="3D3935"/>
              </w:rPr>
              <w:t>10.5</w:t>
            </w:r>
          </w:p>
        </w:tc>
        <w:tc>
          <w:tcPr>
            <w:tcW w:w="860" w:type="dxa"/>
            <w:vAlign w:val="bottom"/>
            <w:tcBorders>
              <w:right w:val="single" w:sz="8" w:color="CCCCCC"/>
            </w:tcBorders>
          </w:tcPr>
          <w:p>
            <w:pPr>
              <w:spacing w:after="0"/>
              <w:rPr>
                <w:sz w:val="21"/>
                <w:szCs w:val="21"/>
                <w:color w:val="auto"/>
              </w:rPr>
            </w:pPr>
          </w:p>
        </w:tc>
      </w:tr>
      <w:tr>
        <w:trPr>
          <w:trHeight w:val="250"/>
        </w:trPr>
        <w:tc>
          <w:tcPr>
            <w:tcW w:w="820" w:type="dxa"/>
            <w:vAlign w:val="bottom"/>
            <w:tcBorders>
              <w:left w:val="single" w:sz="8" w:color="CCCCCC"/>
            </w:tcBorders>
          </w:tcPr>
          <w:p>
            <w:pPr>
              <w:spacing w:after="0"/>
              <w:rPr>
                <w:sz w:val="21"/>
                <w:szCs w:val="21"/>
                <w:color w:val="auto"/>
              </w:rPr>
            </w:pPr>
          </w:p>
        </w:tc>
        <w:tc>
          <w:tcPr>
            <w:tcW w:w="532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EBIT-adjusted</w:t>
            </w:r>
          </w:p>
        </w:tc>
        <w:tc>
          <w:tcPr>
            <w:tcW w:w="1340" w:type="dxa"/>
            <w:vAlign w:val="bottom"/>
            <w:tcBorders>
              <w:bottom w:val="single" w:sz="8" w:color="D9D9D6"/>
            </w:tcBorders>
          </w:tcPr>
          <w:p>
            <w:pPr>
              <w:jc w:val="right"/>
              <w:ind w:right="40"/>
              <w:spacing w:after="0"/>
              <w:rPr>
                <w:sz w:val="20"/>
                <w:szCs w:val="20"/>
                <w:color w:val="auto"/>
              </w:rPr>
            </w:pPr>
            <w:r>
              <w:rPr>
                <w:rFonts w:ascii="Arial" w:cs="Arial" w:eastAsia="Arial" w:hAnsi="Arial"/>
                <w:sz w:val="16"/>
                <w:szCs w:val="16"/>
                <w:b w:val="1"/>
                <w:bCs w:val="1"/>
                <w:color w:val="3D3935"/>
              </w:rPr>
              <w:t>$   14.5</w:t>
            </w:r>
          </w:p>
        </w:tc>
        <w:tc>
          <w:tcPr>
            <w:tcW w:w="240" w:type="dxa"/>
            <w:vAlign w:val="bottom"/>
            <w:tcBorders>
              <w:bottom w:val="single" w:sz="8" w:color="D9D9D6"/>
            </w:tcBorders>
          </w:tcPr>
          <w:p>
            <w:pPr>
              <w:jc w:val="right"/>
              <w:ind w:right="19"/>
              <w:spacing w:after="0"/>
              <w:rPr>
                <w:sz w:val="20"/>
                <w:szCs w:val="20"/>
                <w:color w:val="auto"/>
              </w:rPr>
            </w:pPr>
            <w:r>
              <w:rPr>
                <w:rFonts w:ascii="Arial" w:cs="Arial" w:eastAsia="Arial" w:hAnsi="Arial"/>
                <w:sz w:val="16"/>
                <w:szCs w:val="16"/>
                <w:b w:val="1"/>
                <w:bCs w:val="1"/>
                <w:color w:val="3D3935"/>
              </w:rPr>
              <w:t>$</w:t>
            </w:r>
          </w:p>
        </w:tc>
        <w:tc>
          <w:tcPr>
            <w:tcW w:w="560" w:type="dxa"/>
            <w:vAlign w:val="bottom"/>
            <w:tcBorders>
              <w:bottom w:val="single" w:sz="8" w:color="D9D9D6"/>
            </w:tcBorders>
          </w:tcPr>
          <w:p>
            <w:pPr>
              <w:jc w:val="right"/>
              <w:ind w:right="41"/>
              <w:spacing w:after="0"/>
              <w:rPr>
                <w:sz w:val="20"/>
                <w:szCs w:val="20"/>
                <w:color w:val="auto"/>
              </w:rPr>
            </w:pPr>
            <w:r>
              <w:rPr>
                <w:rFonts w:ascii="Arial" w:cs="Arial" w:eastAsia="Arial" w:hAnsi="Arial"/>
                <w:sz w:val="16"/>
                <w:szCs w:val="16"/>
                <w:b w:val="1"/>
                <w:bCs w:val="1"/>
                <w:color w:val="3D3935"/>
              </w:rPr>
              <w:t>12.4</w:t>
            </w:r>
          </w:p>
        </w:tc>
        <w:tc>
          <w:tcPr>
            <w:tcW w:w="260" w:type="dxa"/>
            <w:vAlign w:val="bottom"/>
            <w:tcBorders>
              <w:bottom w:val="single" w:sz="8" w:color="D9D9D6"/>
            </w:tcBorders>
          </w:tcPr>
          <w:p>
            <w:pPr>
              <w:jc w:val="right"/>
              <w:ind w:right="19"/>
              <w:spacing w:after="0"/>
              <w:rPr>
                <w:sz w:val="20"/>
                <w:szCs w:val="20"/>
                <w:color w:val="auto"/>
              </w:rPr>
            </w:pPr>
            <w:r>
              <w:rPr>
                <w:rFonts w:ascii="Arial" w:cs="Arial" w:eastAsia="Arial" w:hAnsi="Arial"/>
                <w:sz w:val="16"/>
                <w:szCs w:val="16"/>
                <w:b w:val="1"/>
                <w:bCs w:val="1"/>
                <w:color w:val="3D3935"/>
              </w:rPr>
              <w:t>$</w:t>
            </w:r>
          </w:p>
        </w:tc>
        <w:tc>
          <w:tcPr>
            <w:tcW w:w="560" w:type="dxa"/>
            <w:vAlign w:val="bottom"/>
            <w:tcBorders>
              <w:bottom w:val="single" w:sz="8" w:color="D9D9D6"/>
            </w:tcBorders>
          </w:tcPr>
          <w:p>
            <w:pPr>
              <w:jc w:val="right"/>
              <w:ind w:right="40"/>
              <w:spacing w:after="0"/>
              <w:rPr>
                <w:sz w:val="20"/>
                <w:szCs w:val="20"/>
                <w:color w:val="auto"/>
              </w:rPr>
            </w:pPr>
            <w:r>
              <w:rPr>
                <w:rFonts w:ascii="Arial" w:cs="Arial" w:eastAsia="Arial" w:hAnsi="Arial"/>
                <w:sz w:val="16"/>
                <w:szCs w:val="16"/>
                <w:b w:val="1"/>
                <w:bCs w:val="1"/>
                <w:color w:val="3D3935"/>
              </w:rPr>
              <w:t>14.9</w:t>
            </w:r>
          </w:p>
        </w:tc>
        <w:tc>
          <w:tcPr>
            <w:tcW w:w="22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w:t>
            </w:r>
          </w:p>
        </w:tc>
        <w:tc>
          <w:tcPr>
            <w:tcW w:w="540" w:type="dxa"/>
            <w:vAlign w:val="bottom"/>
            <w:tcBorders>
              <w:bottom w:val="single" w:sz="8" w:color="D9D9D6"/>
            </w:tcBorders>
          </w:tcPr>
          <w:p>
            <w:pPr>
              <w:jc w:val="right"/>
              <w:ind w:right="140"/>
              <w:spacing w:after="0"/>
              <w:rPr>
                <w:sz w:val="20"/>
                <w:szCs w:val="20"/>
                <w:color w:val="auto"/>
              </w:rPr>
            </w:pPr>
            <w:r>
              <w:rPr>
                <w:rFonts w:ascii="Arial" w:cs="Arial" w:eastAsia="Arial" w:hAnsi="Arial"/>
                <w:sz w:val="16"/>
                <w:szCs w:val="16"/>
                <w:b w:val="1"/>
                <w:bCs w:val="1"/>
                <w:color w:val="3D3935"/>
                <w:w w:val="96"/>
              </w:rPr>
              <w:t>41.8</w:t>
            </w:r>
          </w:p>
        </w:tc>
        <w:tc>
          <w:tcPr>
            <w:tcW w:w="860" w:type="dxa"/>
            <w:vAlign w:val="bottom"/>
            <w:tcBorders>
              <w:right w:val="single" w:sz="8" w:color="CCCCCC"/>
            </w:tcBorders>
          </w:tcPr>
          <w:p>
            <w:pPr>
              <w:spacing w:after="0"/>
              <w:rPr>
                <w:sz w:val="21"/>
                <w:szCs w:val="21"/>
                <w:color w:val="auto"/>
              </w:rPr>
            </w:pPr>
          </w:p>
        </w:tc>
      </w:tr>
      <w:tr>
        <w:trPr>
          <w:trHeight w:val="250"/>
        </w:trPr>
        <w:tc>
          <w:tcPr>
            <w:tcW w:w="820" w:type="dxa"/>
            <w:vAlign w:val="bottom"/>
            <w:tcBorders>
              <w:left w:val="single" w:sz="8" w:color="CCCCCC"/>
            </w:tcBorders>
          </w:tcPr>
          <w:p>
            <w:pPr>
              <w:spacing w:after="0"/>
              <w:rPr>
                <w:sz w:val="21"/>
                <w:szCs w:val="21"/>
                <w:color w:val="auto"/>
              </w:rPr>
            </w:pPr>
          </w:p>
        </w:tc>
        <w:tc>
          <w:tcPr>
            <w:tcW w:w="5320" w:type="dxa"/>
            <w:vAlign w:val="bottom"/>
            <w:tcBorders>
              <w:bottom w:val="single" w:sz="8" w:color="D9D9D6"/>
            </w:tcBorders>
          </w:tcPr>
          <w:p>
            <w:pPr>
              <w:spacing w:after="0"/>
              <w:rPr>
                <w:sz w:val="21"/>
                <w:szCs w:val="21"/>
                <w:color w:val="auto"/>
              </w:rPr>
            </w:pPr>
          </w:p>
        </w:tc>
        <w:tc>
          <w:tcPr>
            <w:tcW w:w="1340" w:type="dxa"/>
            <w:vAlign w:val="bottom"/>
            <w:tcBorders>
              <w:bottom w:val="single" w:sz="8" w:color="D9D9D6"/>
            </w:tcBorders>
          </w:tcPr>
          <w:p>
            <w:pPr>
              <w:spacing w:after="0"/>
              <w:rPr>
                <w:sz w:val="21"/>
                <w:szCs w:val="21"/>
                <w:color w:val="auto"/>
              </w:rPr>
            </w:pPr>
          </w:p>
        </w:tc>
        <w:tc>
          <w:tcPr>
            <w:tcW w:w="240" w:type="dxa"/>
            <w:vAlign w:val="bottom"/>
            <w:tcBorders>
              <w:bottom w:val="single" w:sz="8" w:color="D9D9D6"/>
            </w:tcBorders>
          </w:tcPr>
          <w:p>
            <w:pPr>
              <w:spacing w:after="0"/>
              <w:rPr>
                <w:sz w:val="21"/>
                <w:szCs w:val="21"/>
                <w:color w:val="auto"/>
              </w:rPr>
            </w:pPr>
          </w:p>
        </w:tc>
        <w:tc>
          <w:tcPr>
            <w:tcW w:w="560" w:type="dxa"/>
            <w:vAlign w:val="bottom"/>
            <w:tcBorders>
              <w:bottom w:val="single" w:sz="8" w:color="D9D9D6"/>
            </w:tcBorders>
          </w:tcPr>
          <w:p>
            <w:pPr>
              <w:spacing w:after="0"/>
              <w:rPr>
                <w:sz w:val="21"/>
                <w:szCs w:val="21"/>
                <w:color w:val="auto"/>
              </w:rPr>
            </w:pPr>
          </w:p>
        </w:tc>
        <w:tc>
          <w:tcPr>
            <w:tcW w:w="260" w:type="dxa"/>
            <w:vAlign w:val="bottom"/>
            <w:tcBorders>
              <w:bottom w:val="single" w:sz="8" w:color="D9D9D6"/>
            </w:tcBorders>
          </w:tcPr>
          <w:p>
            <w:pPr>
              <w:spacing w:after="0"/>
              <w:rPr>
                <w:sz w:val="21"/>
                <w:szCs w:val="21"/>
                <w:color w:val="auto"/>
              </w:rPr>
            </w:pPr>
          </w:p>
        </w:tc>
        <w:tc>
          <w:tcPr>
            <w:tcW w:w="560" w:type="dxa"/>
            <w:vAlign w:val="bottom"/>
            <w:tcBorders>
              <w:bottom w:val="single" w:sz="8" w:color="D9D9D6"/>
            </w:tcBorders>
          </w:tcPr>
          <w:p>
            <w:pPr>
              <w:spacing w:after="0"/>
              <w:rPr>
                <w:sz w:val="21"/>
                <w:szCs w:val="21"/>
                <w:color w:val="auto"/>
              </w:rPr>
            </w:pPr>
          </w:p>
        </w:tc>
        <w:tc>
          <w:tcPr>
            <w:tcW w:w="220" w:type="dxa"/>
            <w:vAlign w:val="bottom"/>
            <w:tcBorders>
              <w:bottom w:val="single" w:sz="8" w:color="D9D9D6"/>
            </w:tcBorders>
          </w:tcPr>
          <w:p>
            <w:pPr>
              <w:spacing w:after="0"/>
              <w:rPr>
                <w:sz w:val="21"/>
                <w:szCs w:val="21"/>
                <w:color w:val="auto"/>
              </w:rPr>
            </w:pPr>
          </w:p>
        </w:tc>
        <w:tc>
          <w:tcPr>
            <w:tcW w:w="540" w:type="dxa"/>
            <w:vAlign w:val="bottom"/>
            <w:tcBorders>
              <w:bottom w:val="single" w:sz="8" w:color="D9D9D6"/>
            </w:tcBorders>
          </w:tcPr>
          <w:p>
            <w:pPr>
              <w:spacing w:after="0"/>
              <w:rPr>
                <w:sz w:val="21"/>
                <w:szCs w:val="21"/>
                <w:color w:val="auto"/>
              </w:rPr>
            </w:pPr>
          </w:p>
        </w:tc>
        <w:tc>
          <w:tcPr>
            <w:tcW w:w="860" w:type="dxa"/>
            <w:vAlign w:val="bottom"/>
            <w:tcBorders>
              <w:right w:val="single" w:sz="8" w:color="CCCCCC"/>
            </w:tcBorders>
          </w:tcPr>
          <w:p>
            <w:pPr>
              <w:spacing w:after="0"/>
              <w:rPr>
                <w:sz w:val="21"/>
                <w:szCs w:val="21"/>
                <w:color w:val="auto"/>
              </w:rPr>
            </w:pPr>
          </w:p>
        </w:tc>
      </w:tr>
      <w:tr>
        <w:trPr>
          <w:trHeight w:val="250"/>
        </w:trPr>
        <w:tc>
          <w:tcPr>
            <w:tcW w:w="820" w:type="dxa"/>
            <w:vAlign w:val="bottom"/>
            <w:tcBorders>
              <w:left w:val="single" w:sz="8" w:color="CCCCCC"/>
            </w:tcBorders>
          </w:tcPr>
          <w:p>
            <w:pPr>
              <w:spacing w:after="0"/>
              <w:rPr>
                <w:sz w:val="21"/>
                <w:szCs w:val="21"/>
                <w:color w:val="auto"/>
              </w:rPr>
            </w:pPr>
          </w:p>
        </w:tc>
        <w:tc>
          <w:tcPr>
            <w:tcW w:w="5320" w:type="dxa"/>
            <w:vAlign w:val="bottom"/>
            <w:tcBorders>
              <w:bottom w:val="single" w:sz="8" w:color="D9D9D6"/>
            </w:tcBorders>
          </w:tcPr>
          <w:p>
            <w:pPr>
              <w:spacing w:after="0"/>
              <w:rPr>
                <w:sz w:val="21"/>
                <w:szCs w:val="21"/>
                <w:color w:val="auto"/>
              </w:rPr>
            </w:pPr>
          </w:p>
        </w:tc>
        <w:tc>
          <w:tcPr>
            <w:tcW w:w="1340" w:type="dxa"/>
            <w:vAlign w:val="bottom"/>
            <w:tcBorders>
              <w:bottom w:val="single" w:sz="8" w:color="D9D9D6"/>
            </w:tcBorders>
          </w:tcPr>
          <w:p>
            <w:pPr>
              <w:spacing w:after="0"/>
              <w:rPr>
                <w:sz w:val="21"/>
                <w:szCs w:val="21"/>
                <w:color w:val="auto"/>
              </w:rPr>
            </w:pPr>
          </w:p>
        </w:tc>
        <w:tc>
          <w:tcPr>
            <w:tcW w:w="240" w:type="dxa"/>
            <w:vAlign w:val="bottom"/>
            <w:tcBorders>
              <w:bottom w:val="single" w:sz="8" w:color="D9D9D6"/>
            </w:tcBorders>
          </w:tcPr>
          <w:p>
            <w:pPr>
              <w:spacing w:after="0"/>
              <w:rPr>
                <w:sz w:val="21"/>
                <w:szCs w:val="21"/>
                <w:color w:val="auto"/>
              </w:rPr>
            </w:pPr>
          </w:p>
        </w:tc>
        <w:tc>
          <w:tcPr>
            <w:tcW w:w="560" w:type="dxa"/>
            <w:vAlign w:val="bottom"/>
            <w:tcBorders>
              <w:bottom w:val="single" w:sz="8" w:color="D9D9D6"/>
            </w:tcBorders>
          </w:tcPr>
          <w:p>
            <w:pPr>
              <w:spacing w:after="0"/>
              <w:rPr>
                <w:sz w:val="21"/>
                <w:szCs w:val="21"/>
                <w:color w:val="auto"/>
              </w:rPr>
            </w:pPr>
          </w:p>
        </w:tc>
        <w:tc>
          <w:tcPr>
            <w:tcW w:w="260" w:type="dxa"/>
            <w:vAlign w:val="bottom"/>
            <w:tcBorders>
              <w:bottom w:val="single" w:sz="8" w:color="D9D9D6"/>
            </w:tcBorders>
          </w:tcPr>
          <w:p>
            <w:pPr>
              <w:spacing w:after="0"/>
              <w:rPr>
                <w:sz w:val="21"/>
                <w:szCs w:val="21"/>
                <w:color w:val="auto"/>
              </w:rPr>
            </w:pPr>
          </w:p>
        </w:tc>
        <w:tc>
          <w:tcPr>
            <w:tcW w:w="560" w:type="dxa"/>
            <w:vAlign w:val="bottom"/>
            <w:tcBorders>
              <w:bottom w:val="single" w:sz="8" w:color="D9D9D6"/>
            </w:tcBorders>
          </w:tcPr>
          <w:p>
            <w:pPr>
              <w:spacing w:after="0"/>
              <w:rPr>
                <w:sz w:val="21"/>
                <w:szCs w:val="21"/>
                <w:color w:val="auto"/>
              </w:rPr>
            </w:pPr>
          </w:p>
        </w:tc>
        <w:tc>
          <w:tcPr>
            <w:tcW w:w="220" w:type="dxa"/>
            <w:vAlign w:val="bottom"/>
            <w:tcBorders>
              <w:bottom w:val="single" w:sz="8" w:color="D9D9D6"/>
            </w:tcBorders>
          </w:tcPr>
          <w:p>
            <w:pPr>
              <w:spacing w:after="0"/>
              <w:rPr>
                <w:sz w:val="21"/>
                <w:szCs w:val="21"/>
                <w:color w:val="auto"/>
              </w:rPr>
            </w:pPr>
          </w:p>
        </w:tc>
        <w:tc>
          <w:tcPr>
            <w:tcW w:w="540" w:type="dxa"/>
            <w:vAlign w:val="bottom"/>
            <w:tcBorders>
              <w:bottom w:val="single" w:sz="8" w:color="D9D9D6"/>
            </w:tcBorders>
          </w:tcPr>
          <w:p>
            <w:pPr>
              <w:spacing w:after="0"/>
              <w:rPr>
                <w:sz w:val="21"/>
                <w:szCs w:val="21"/>
                <w:color w:val="auto"/>
              </w:rPr>
            </w:pPr>
          </w:p>
        </w:tc>
        <w:tc>
          <w:tcPr>
            <w:tcW w:w="860" w:type="dxa"/>
            <w:vAlign w:val="bottom"/>
            <w:tcBorders>
              <w:right w:val="single" w:sz="8" w:color="CCCCCC"/>
            </w:tcBorders>
          </w:tcPr>
          <w:p>
            <w:pPr>
              <w:spacing w:after="0"/>
              <w:rPr>
                <w:sz w:val="21"/>
                <w:szCs w:val="21"/>
                <w:color w:val="auto"/>
              </w:rPr>
            </w:pPr>
          </w:p>
        </w:tc>
      </w:tr>
      <w:tr>
        <w:trPr>
          <w:trHeight w:val="250"/>
        </w:trPr>
        <w:tc>
          <w:tcPr>
            <w:tcW w:w="820" w:type="dxa"/>
            <w:vAlign w:val="bottom"/>
            <w:tcBorders>
              <w:left w:val="single" w:sz="8" w:color="CCCCCC"/>
            </w:tcBorders>
          </w:tcPr>
          <w:p>
            <w:pPr>
              <w:spacing w:after="0"/>
              <w:rPr>
                <w:sz w:val="21"/>
                <w:szCs w:val="21"/>
                <w:color w:val="auto"/>
              </w:rPr>
            </w:pPr>
          </w:p>
        </w:tc>
        <w:tc>
          <w:tcPr>
            <w:tcW w:w="5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gridSpan w:val="4"/>
          </w:tcPr>
          <w:p>
            <w:pPr>
              <w:ind w:left="100"/>
              <w:spacing w:after="0"/>
              <w:rPr>
                <w:sz w:val="20"/>
                <w:szCs w:val="20"/>
                <w:color w:val="auto"/>
              </w:rPr>
            </w:pPr>
            <w:r>
              <w:rPr>
                <w:rFonts w:ascii="Arial" w:cs="Arial" w:eastAsia="Arial" w:hAnsi="Arial"/>
                <w:sz w:val="14"/>
                <w:szCs w:val="14"/>
                <w:b w:val="1"/>
                <w:bCs w:val="1"/>
                <w:color w:val="0072CE"/>
              </w:rPr>
              <w:t>2025 Proxy Statement</w:t>
            </w:r>
          </w:p>
        </w:tc>
        <w:tc>
          <w:tcPr>
            <w:tcW w:w="1400" w:type="dxa"/>
            <w:vAlign w:val="bottom"/>
            <w:tcBorders>
              <w:right w:val="single" w:sz="8" w:color="CCCCCC"/>
            </w:tcBorders>
            <w:gridSpan w:val="2"/>
          </w:tcPr>
          <w:p>
            <w:pPr>
              <w:ind w:left="300"/>
              <w:spacing w:after="0"/>
              <w:rPr>
                <w:sz w:val="20"/>
                <w:szCs w:val="20"/>
                <w:color w:val="auto"/>
              </w:rPr>
            </w:pPr>
            <w:r>
              <w:rPr>
                <w:rFonts w:ascii="Arial" w:cs="Arial" w:eastAsia="Arial" w:hAnsi="Arial"/>
                <w:sz w:val="14"/>
                <w:szCs w:val="14"/>
                <w:b w:val="1"/>
                <w:bCs w:val="1"/>
                <w:color w:val="3D3935"/>
              </w:rPr>
              <w:t>A-1</w:t>
            </w:r>
          </w:p>
        </w:tc>
      </w:tr>
      <w:tr>
        <w:trPr>
          <w:trHeight w:val="250"/>
        </w:trPr>
        <w:tc>
          <w:tcPr>
            <w:tcW w:w="820" w:type="dxa"/>
            <w:vAlign w:val="bottom"/>
            <w:tcBorders>
              <w:left w:val="single" w:sz="8" w:color="CCCCCC"/>
            </w:tcBorders>
          </w:tcPr>
          <w:p>
            <w:pPr>
              <w:spacing w:after="0"/>
              <w:rPr>
                <w:sz w:val="21"/>
                <w:szCs w:val="21"/>
                <w:color w:val="auto"/>
              </w:rPr>
            </w:pPr>
          </w:p>
        </w:tc>
        <w:tc>
          <w:tcPr>
            <w:tcW w:w="5320" w:type="dxa"/>
            <w:vAlign w:val="bottom"/>
            <w:tcBorders>
              <w:top w:val="single" w:sz="8" w:color="D9D9D6"/>
              <w:bottom w:val="single" w:sz="8" w:color="D9D9D6"/>
            </w:tcBorders>
          </w:tcPr>
          <w:p>
            <w:pPr>
              <w:spacing w:after="0"/>
              <w:rPr>
                <w:sz w:val="21"/>
                <w:szCs w:val="21"/>
                <w:color w:val="auto"/>
              </w:rPr>
            </w:pPr>
          </w:p>
        </w:tc>
        <w:tc>
          <w:tcPr>
            <w:tcW w:w="1340" w:type="dxa"/>
            <w:vAlign w:val="bottom"/>
            <w:tcBorders>
              <w:top w:val="single" w:sz="8" w:color="D9D9D6"/>
              <w:bottom w:val="single" w:sz="8" w:color="D9D9D6"/>
            </w:tcBorders>
          </w:tcPr>
          <w:p>
            <w:pPr>
              <w:spacing w:after="0"/>
              <w:rPr>
                <w:sz w:val="21"/>
                <w:szCs w:val="21"/>
                <w:color w:val="auto"/>
              </w:rPr>
            </w:pPr>
          </w:p>
        </w:tc>
        <w:tc>
          <w:tcPr>
            <w:tcW w:w="240" w:type="dxa"/>
            <w:vAlign w:val="bottom"/>
            <w:tcBorders>
              <w:top w:val="single" w:sz="8" w:color="D9D9D6"/>
              <w:bottom w:val="single" w:sz="8" w:color="D9D9D6"/>
            </w:tcBorders>
          </w:tcPr>
          <w:p>
            <w:pPr>
              <w:spacing w:after="0"/>
              <w:rPr>
                <w:sz w:val="21"/>
                <w:szCs w:val="21"/>
                <w:color w:val="auto"/>
              </w:rPr>
            </w:pPr>
          </w:p>
        </w:tc>
        <w:tc>
          <w:tcPr>
            <w:tcW w:w="560" w:type="dxa"/>
            <w:vAlign w:val="bottom"/>
            <w:tcBorders>
              <w:top w:val="single" w:sz="8" w:color="D9D9D6"/>
              <w:bottom w:val="single" w:sz="8" w:color="D9D9D6"/>
            </w:tcBorders>
          </w:tcPr>
          <w:p>
            <w:pPr>
              <w:spacing w:after="0"/>
              <w:rPr>
                <w:sz w:val="21"/>
                <w:szCs w:val="21"/>
                <w:color w:val="auto"/>
              </w:rPr>
            </w:pPr>
          </w:p>
        </w:tc>
        <w:tc>
          <w:tcPr>
            <w:tcW w:w="260" w:type="dxa"/>
            <w:vAlign w:val="bottom"/>
            <w:tcBorders>
              <w:top w:val="single" w:sz="8" w:color="D9D9D6"/>
              <w:bottom w:val="single" w:sz="8" w:color="D9D9D6"/>
            </w:tcBorders>
          </w:tcPr>
          <w:p>
            <w:pPr>
              <w:spacing w:after="0"/>
              <w:rPr>
                <w:sz w:val="21"/>
                <w:szCs w:val="21"/>
                <w:color w:val="auto"/>
              </w:rPr>
            </w:pPr>
          </w:p>
        </w:tc>
        <w:tc>
          <w:tcPr>
            <w:tcW w:w="560" w:type="dxa"/>
            <w:vAlign w:val="bottom"/>
            <w:tcBorders>
              <w:top w:val="single" w:sz="8" w:color="D9D9D6"/>
              <w:bottom w:val="single" w:sz="8" w:color="D9D9D6"/>
            </w:tcBorders>
          </w:tcPr>
          <w:p>
            <w:pPr>
              <w:spacing w:after="0"/>
              <w:rPr>
                <w:sz w:val="21"/>
                <w:szCs w:val="21"/>
                <w:color w:val="auto"/>
              </w:rPr>
            </w:pPr>
          </w:p>
        </w:tc>
        <w:tc>
          <w:tcPr>
            <w:tcW w:w="220" w:type="dxa"/>
            <w:vAlign w:val="bottom"/>
            <w:tcBorders>
              <w:top w:val="single" w:sz="8" w:color="D9D9D6"/>
              <w:bottom w:val="single" w:sz="8" w:color="D9D9D6"/>
            </w:tcBorders>
          </w:tcPr>
          <w:p>
            <w:pPr>
              <w:spacing w:after="0"/>
              <w:rPr>
                <w:sz w:val="21"/>
                <w:szCs w:val="21"/>
                <w:color w:val="auto"/>
              </w:rPr>
            </w:pPr>
          </w:p>
        </w:tc>
        <w:tc>
          <w:tcPr>
            <w:tcW w:w="540" w:type="dxa"/>
            <w:vAlign w:val="bottom"/>
            <w:tcBorders>
              <w:top w:val="single" w:sz="8" w:color="D9D9D6"/>
              <w:bottom w:val="single" w:sz="8" w:color="D9D9D6"/>
            </w:tcBorders>
          </w:tcPr>
          <w:p>
            <w:pPr>
              <w:spacing w:after="0"/>
              <w:rPr>
                <w:sz w:val="21"/>
                <w:szCs w:val="21"/>
                <w:color w:val="auto"/>
              </w:rPr>
            </w:pPr>
          </w:p>
        </w:tc>
        <w:tc>
          <w:tcPr>
            <w:tcW w:w="860" w:type="dxa"/>
            <w:vAlign w:val="bottom"/>
            <w:tcBorders>
              <w:right w:val="single" w:sz="8" w:color="CCCCCC"/>
            </w:tcBorders>
          </w:tcPr>
          <w:p>
            <w:pPr>
              <w:spacing w:after="0"/>
              <w:rPr>
                <w:sz w:val="21"/>
                <w:szCs w:val="21"/>
                <w:color w:val="auto"/>
              </w:rPr>
            </w:pPr>
          </w:p>
        </w:tc>
      </w:tr>
      <w:tr>
        <w:trPr>
          <w:trHeight w:val="71"/>
        </w:trPr>
        <w:tc>
          <w:tcPr>
            <w:tcW w:w="820" w:type="dxa"/>
            <w:vAlign w:val="bottom"/>
            <w:tcBorders>
              <w:left w:val="single" w:sz="8" w:color="CCCCCC"/>
              <w:bottom w:val="single" w:sz="8" w:color="CCCCCC"/>
            </w:tcBorders>
          </w:tcPr>
          <w:p>
            <w:pPr>
              <w:spacing w:after="0"/>
              <w:rPr>
                <w:sz w:val="6"/>
                <w:szCs w:val="6"/>
                <w:color w:val="auto"/>
              </w:rPr>
            </w:pPr>
          </w:p>
        </w:tc>
        <w:tc>
          <w:tcPr>
            <w:tcW w:w="5320" w:type="dxa"/>
            <w:vAlign w:val="bottom"/>
            <w:tcBorders>
              <w:bottom w:val="single" w:sz="8" w:color="CCCCCC"/>
            </w:tcBorders>
          </w:tcPr>
          <w:p>
            <w:pPr>
              <w:spacing w:after="0"/>
              <w:rPr>
                <w:sz w:val="6"/>
                <w:szCs w:val="6"/>
                <w:color w:val="auto"/>
              </w:rPr>
            </w:pPr>
          </w:p>
        </w:tc>
        <w:tc>
          <w:tcPr>
            <w:tcW w:w="1340" w:type="dxa"/>
            <w:vAlign w:val="bottom"/>
            <w:tcBorders>
              <w:bottom w:val="single" w:sz="8" w:color="CCCCCC"/>
            </w:tcBorders>
          </w:tcPr>
          <w:p>
            <w:pPr>
              <w:spacing w:after="0"/>
              <w:rPr>
                <w:sz w:val="6"/>
                <w:szCs w:val="6"/>
                <w:color w:val="auto"/>
              </w:rPr>
            </w:pPr>
          </w:p>
        </w:tc>
        <w:tc>
          <w:tcPr>
            <w:tcW w:w="240" w:type="dxa"/>
            <w:vAlign w:val="bottom"/>
            <w:tcBorders>
              <w:bottom w:val="single" w:sz="8" w:color="CCCCCC"/>
            </w:tcBorders>
          </w:tcPr>
          <w:p>
            <w:pPr>
              <w:spacing w:after="0"/>
              <w:rPr>
                <w:sz w:val="6"/>
                <w:szCs w:val="6"/>
                <w:color w:val="auto"/>
              </w:rPr>
            </w:pPr>
          </w:p>
        </w:tc>
        <w:tc>
          <w:tcPr>
            <w:tcW w:w="560" w:type="dxa"/>
            <w:vAlign w:val="bottom"/>
            <w:tcBorders>
              <w:bottom w:val="single" w:sz="8" w:color="CCCCCC"/>
            </w:tcBorders>
          </w:tcPr>
          <w:p>
            <w:pPr>
              <w:spacing w:after="0"/>
              <w:rPr>
                <w:sz w:val="6"/>
                <w:szCs w:val="6"/>
                <w:color w:val="auto"/>
              </w:rPr>
            </w:pPr>
          </w:p>
        </w:tc>
        <w:tc>
          <w:tcPr>
            <w:tcW w:w="260" w:type="dxa"/>
            <w:vAlign w:val="bottom"/>
            <w:tcBorders>
              <w:bottom w:val="single" w:sz="8" w:color="CCCCCC"/>
            </w:tcBorders>
          </w:tcPr>
          <w:p>
            <w:pPr>
              <w:spacing w:after="0"/>
              <w:rPr>
                <w:sz w:val="6"/>
                <w:szCs w:val="6"/>
                <w:color w:val="auto"/>
              </w:rPr>
            </w:pPr>
          </w:p>
        </w:tc>
        <w:tc>
          <w:tcPr>
            <w:tcW w:w="560" w:type="dxa"/>
            <w:vAlign w:val="bottom"/>
            <w:tcBorders>
              <w:bottom w:val="single" w:sz="8" w:color="CCCCCC"/>
            </w:tcBorders>
          </w:tcPr>
          <w:p>
            <w:pPr>
              <w:spacing w:after="0"/>
              <w:rPr>
                <w:sz w:val="6"/>
                <w:szCs w:val="6"/>
                <w:color w:val="auto"/>
              </w:rPr>
            </w:pPr>
          </w:p>
        </w:tc>
        <w:tc>
          <w:tcPr>
            <w:tcW w:w="220" w:type="dxa"/>
            <w:vAlign w:val="bottom"/>
            <w:tcBorders>
              <w:bottom w:val="single" w:sz="8" w:color="CCCCCC"/>
            </w:tcBorders>
          </w:tcPr>
          <w:p>
            <w:pPr>
              <w:spacing w:after="0"/>
              <w:rPr>
                <w:sz w:val="6"/>
                <w:szCs w:val="6"/>
                <w:color w:val="auto"/>
              </w:rPr>
            </w:pPr>
          </w:p>
        </w:tc>
        <w:tc>
          <w:tcPr>
            <w:tcW w:w="540" w:type="dxa"/>
            <w:vAlign w:val="bottom"/>
            <w:tcBorders>
              <w:bottom w:val="single" w:sz="8" w:color="CCCCCC"/>
            </w:tcBorders>
          </w:tcPr>
          <w:p>
            <w:pPr>
              <w:spacing w:after="0"/>
              <w:rPr>
                <w:sz w:val="6"/>
                <w:szCs w:val="6"/>
                <w:color w:val="auto"/>
              </w:rPr>
            </w:pPr>
          </w:p>
        </w:tc>
        <w:tc>
          <w:tcPr>
            <w:tcW w:w="860" w:type="dxa"/>
            <w:vAlign w:val="bottom"/>
            <w:tcBorders>
              <w:bottom w:val="single" w:sz="8" w:color="CCCCCC"/>
              <w:right w:val="single" w:sz="8" w:color="CCCCCC"/>
            </w:tcBorders>
          </w:tcPr>
          <w:p>
            <w:pPr>
              <w:spacing w:after="0"/>
              <w:rPr>
                <w:sz w:val="6"/>
                <w:szCs w:val="6"/>
                <w:color w:val="auto"/>
              </w:rPr>
            </w:pPr>
          </w:p>
        </w:tc>
      </w:tr>
      <w:tr>
        <w:trPr>
          <w:trHeight w:val="129"/>
        </w:trPr>
        <w:tc>
          <w:tcPr>
            <w:tcW w:w="820" w:type="dxa"/>
            <w:vAlign w:val="bottom"/>
            <w:tcBorders>
              <w:bottom w:val="single" w:sz="8" w:color="CCCCCC"/>
            </w:tcBorders>
          </w:tcPr>
          <w:p>
            <w:pPr>
              <w:spacing w:after="0"/>
              <w:rPr>
                <w:sz w:val="11"/>
                <w:szCs w:val="11"/>
                <w:color w:val="auto"/>
              </w:rPr>
            </w:pPr>
          </w:p>
        </w:tc>
        <w:tc>
          <w:tcPr>
            <w:tcW w:w="5320" w:type="dxa"/>
            <w:vAlign w:val="bottom"/>
            <w:tcBorders>
              <w:bottom w:val="single" w:sz="8" w:color="CCCCCC"/>
            </w:tcBorders>
          </w:tcPr>
          <w:p>
            <w:pPr>
              <w:spacing w:after="0"/>
              <w:rPr>
                <w:sz w:val="11"/>
                <w:szCs w:val="11"/>
                <w:color w:val="auto"/>
              </w:rPr>
            </w:pPr>
          </w:p>
        </w:tc>
        <w:tc>
          <w:tcPr>
            <w:tcW w:w="1340" w:type="dxa"/>
            <w:vAlign w:val="bottom"/>
            <w:tcBorders>
              <w:bottom w:val="single" w:sz="8" w:color="CCCCCC"/>
            </w:tcBorders>
          </w:tcPr>
          <w:p>
            <w:pPr>
              <w:spacing w:after="0"/>
              <w:rPr>
                <w:sz w:val="11"/>
                <w:szCs w:val="11"/>
                <w:color w:val="auto"/>
              </w:rPr>
            </w:pPr>
          </w:p>
        </w:tc>
        <w:tc>
          <w:tcPr>
            <w:tcW w:w="240" w:type="dxa"/>
            <w:vAlign w:val="bottom"/>
            <w:tcBorders>
              <w:bottom w:val="single" w:sz="8" w:color="CCCCCC"/>
            </w:tcBorders>
          </w:tcPr>
          <w:p>
            <w:pPr>
              <w:spacing w:after="0"/>
              <w:rPr>
                <w:sz w:val="11"/>
                <w:szCs w:val="11"/>
                <w:color w:val="auto"/>
              </w:rPr>
            </w:pPr>
          </w:p>
        </w:tc>
        <w:tc>
          <w:tcPr>
            <w:tcW w:w="560" w:type="dxa"/>
            <w:vAlign w:val="bottom"/>
            <w:tcBorders>
              <w:bottom w:val="single" w:sz="8" w:color="CCCCCC"/>
            </w:tcBorders>
          </w:tcPr>
          <w:p>
            <w:pPr>
              <w:spacing w:after="0"/>
              <w:rPr>
                <w:sz w:val="11"/>
                <w:szCs w:val="11"/>
                <w:color w:val="auto"/>
              </w:rPr>
            </w:pPr>
          </w:p>
        </w:tc>
        <w:tc>
          <w:tcPr>
            <w:tcW w:w="260" w:type="dxa"/>
            <w:vAlign w:val="bottom"/>
            <w:tcBorders>
              <w:bottom w:val="single" w:sz="8" w:color="CCCCCC"/>
            </w:tcBorders>
          </w:tcPr>
          <w:p>
            <w:pPr>
              <w:spacing w:after="0"/>
              <w:rPr>
                <w:sz w:val="11"/>
                <w:szCs w:val="11"/>
                <w:color w:val="auto"/>
              </w:rPr>
            </w:pPr>
          </w:p>
        </w:tc>
        <w:tc>
          <w:tcPr>
            <w:tcW w:w="560" w:type="dxa"/>
            <w:vAlign w:val="bottom"/>
            <w:tcBorders>
              <w:bottom w:val="single" w:sz="8" w:color="CCCCCC"/>
            </w:tcBorders>
          </w:tcPr>
          <w:p>
            <w:pPr>
              <w:spacing w:after="0"/>
              <w:rPr>
                <w:sz w:val="11"/>
                <w:szCs w:val="11"/>
                <w:color w:val="auto"/>
              </w:rPr>
            </w:pPr>
          </w:p>
        </w:tc>
        <w:tc>
          <w:tcPr>
            <w:tcW w:w="220" w:type="dxa"/>
            <w:vAlign w:val="bottom"/>
            <w:tcBorders>
              <w:bottom w:val="single" w:sz="8" w:color="CCCCCC"/>
            </w:tcBorders>
          </w:tcPr>
          <w:p>
            <w:pPr>
              <w:spacing w:after="0"/>
              <w:rPr>
                <w:sz w:val="11"/>
                <w:szCs w:val="11"/>
                <w:color w:val="auto"/>
              </w:rPr>
            </w:pPr>
          </w:p>
        </w:tc>
        <w:tc>
          <w:tcPr>
            <w:tcW w:w="540" w:type="dxa"/>
            <w:vAlign w:val="bottom"/>
            <w:tcBorders>
              <w:bottom w:val="single" w:sz="8" w:color="CCCCCC"/>
            </w:tcBorders>
          </w:tcPr>
          <w:p>
            <w:pPr>
              <w:spacing w:after="0"/>
              <w:rPr>
                <w:sz w:val="11"/>
                <w:szCs w:val="11"/>
                <w:color w:val="auto"/>
              </w:rPr>
            </w:pPr>
          </w:p>
        </w:tc>
        <w:tc>
          <w:tcPr>
            <w:tcW w:w="860" w:type="dxa"/>
            <w:vAlign w:val="bottom"/>
            <w:tcBorders>
              <w:bottom w:val="single" w:sz="8" w:color="CCCCCC"/>
            </w:tcBorders>
          </w:tcPr>
          <w:p>
            <w:pPr>
              <w:spacing w:after="0"/>
              <w:rPr>
                <w:sz w:val="11"/>
                <w:szCs w:val="11"/>
                <w:color w:val="auto"/>
              </w:rPr>
            </w:pPr>
          </w:p>
        </w:tc>
      </w:tr>
      <w:tr>
        <w:trPr>
          <w:trHeight w:val="562"/>
        </w:trPr>
        <w:tc>
          <w:tcPr>
            <w:tcW w:w="820" w:type="dxa"/>
            <w:vAlign w:val="bottom"/>
          </w:tcPr>
          <w:p>
            <w:pPr>
              <w:spacing w:after="0"/>
              <w:rPr>
                <w:sz w:val="24"/>
                <w:szCs w:val="24"/>
                <w:color w:val="auto"/>
              </w:rPr>
            </w:pPr>
          </w:p>
        </w:tc>
        <w:tc>
          <w:tcPr>
            <w:tcW w:w="5320" w:type="dxa"/>
            <w:vAlign w:val="bottom"/>
          </w:tcPr>
          <w:p>
            <w:pPr>
              <w:spacing w:after="0"/>
              <w:rPr>
                <w:sz w:val="20"/>
                <w:szCs w:val="20"/>
                <w:color w:val="auto"/>
              </w:rPr>
            </w:pPr>
            <w:r>
              <w:rPr>
                <w:rFonts w:ascii="Arial" w:cs="Arial" w:eastAsia="Arial" w:hAnsi="Arial"/>
                <w:sz w:val="14"/>
                <w:szCs w:val="14"/>
                <w:b w:val="1"/>
                <w:bCs w:val="1"/>
                <w:color w:val="0072CE"/>
              </w:rPr>
              <w:t>Appendix A: Non-GAAP Financial Measures</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69"/>
        </w:trPr>
        <w:tc>
          <w:tcPr>
            <w:tcW w:w="8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spacing w:after="0"/>
              <w:rPr>
                <w:sz w:val="24"/>
                <w:szCs w:val="24"/>
                <w:color w:val="auto"/>
              </w:rPr>
            </w:pPr>
          </w:p>
        </w:tc>
      </w:tr>
      <w:tr>
        <w:trPr>
          <w:trHeight w:val="269"/>
        </w:trPr>
        <w:tc>
          <w:tcPr>
            <w:tcW w:w="820" w:type="dxa"/>
            <w:vAlign w:val="bottom"/>
          </w:tcPr>
          <w:p>
            <w:pPr>
              <w:spacing w:after="0"/>
              <w:rPr>
                <w:sz w:val="23"/>
                <w:szCs w:val="23"/>
                <w:color w:val="auto"/>
              </w:rPr>
            </w:pPr>
          </w:p>
        </w:tc>
        <w:tc>
          <w:tcPr>
            <w:tcW w:w="5320" w:type="dxa"/>
            <w:vAlign w:val="bottom"/>
            <w:tcBorders>
              <w:bottom w:val="single" w:sz="8" w:color="0072CE"/>
            </w:tcBorders>
            <w:shd w:val="clear" w:color="auto" w:fill="F0F3F6"/>
          </w:tcPr>
          <w:p>
            <w:pPr>
              <w:ind w:left="60"/>
              <w:spacing w:after="0"/>
              <w:rPr>
                <w:sz w:val="20"/>
                <w:szCs w:val="20"/>
                <w:color w:val="auto"/>
              </w:rPr>
            </w:pPr>
            <w:r>
              <w:rPr>
                <w:rFonts w:ascii="Arial" w:cs="Arial" w:eastAsia="Arial" w:hAnsi="Arial"/>
                <w:sz w:val="14"/>
                <w:szCs w:val="14"/>
                <w:b w:val="1"/>
                <w:bCs w:val="1"/>
                <w:color w:val="3D3935"/>
              </w:rPr>
              <w:t>($B)</w:t>
            </w:r>
          </w:p>
        </w:tc>
        <w:tc>
          <w:tcPr>
            <w:tcW w:w="1340" w:type="dxa"/>
            <w:vAlign w:val="bottom"/>
            <w:tcBorders>
              <w:bottom w:val="single" w:sz="8" w:color="0072CE"/>
            </w:tcBorders>
            <w:shd w:val="clear" w:color="auto" w:fill="F0F3F6"/>
          </w:tcPr>
          <w:p>
            <w:pPr>
              <w:jc w:val="right"/>
              <w:ind w:right="60"/>
              <w:spacing w:after="0"/>
              <w:rPr>
                <w:sz w:val="20"/>
                <w:szCs w:val="20"/>
                <w:color w:val="auto"/>
              </w:rPr>
            </w:pPr>
            <w:r>
              <w:rPr>
                <w:rFonts w:ascii="Arial" w:cs="Arial" w:eastAsia="Arial" w:hAnsi="Arial"/>
                <w:sz w:val="14"/>
                <w:szCs w:val="14"/>
                <w:b w:val="1"/>
                <w:bCs w:val="1"/>
                <w:color w:val="3D3935"/>
              </w:rPr>
              <w:t>2022</w:t>
            </w:r>
          </w:p>
        </w:tc>
        <w:tc>
          <w:tcPr>
            <w:tcW w:w="240" w:type="dxa"/>
            <w:vAlign w:val="bottom"/>
            <w:tcBorders>
              <w:bottom w:val="single" w:sz="8" w:color="0072CE"/>
            </w:tcBorders>
            <w:shd w:val="clear" w:color="auto" w:fill="F0F3F6"/>
          </w:tcPr>
          <w:p>
            <w:pPr>
              <w:spacing w:after="0"/>
              <w:rPr>
                <w:sz w:val="23"/>
                <w:szCs w:val="23"/>
                <w:color w:val="auto"/>
              </w:rPr>
            </w:pPr>
          </w:p>
        </w:tc>
        <w:tc>
          <w:tcPr>
            <w:tcW w:w="560" w:type="dxa"/>
            <w:vAlign w:val="bottom"/>
            <w:tcBorders>
              <w:bottom w:val="single" w:sz="8" w:color="0072CE"/>
            </w:tcBorders>
            <w:shd w:val="clear" w:color="auto" w:fill="F0F3F6"/>
          </w:tcPr>
          <w:p>
            <w:pPr>
              <w:jc w:val="right"/>
              <w:ind w:right="41"/>
              <w:spacing w:after="0"/>
              <w:rPr>
                <w:sz w:val="20"/>
                <w:szCs w:val="20"/>
                <w:color w:val="auto"/>
              </w:rPr>
            </w:pPr>
            <w:r>
              <w:rPr>
                <w:rFonts w:ascii="Arial" w:cs="Arial" w:eastAsia="Arial" w:hAnsi="Arial"/>
                <w:sz w:val="14"/>
                <w:szCs w:val="14"/>
                <w:b w:val="1"/>
                <w:bCs w:val="1"/>
                <w:color w:val="3D3935"/>
              </w:rPr>
              <w:t>2023</w:t>
            </w:r>
          </w:p>
        </w:tc>
        <w:tc>
          <w:tcPr>
            <w:tcW w:w="260" w:type="dxa"/>
            <w:vAlign w:val="bottom"/>
            <w:tcBorders>
              <w:bottom w:val="single" w:sz="8" w:color="0072CE"/>
            </w:tcBorders>
            <w:shd w:val="clear" w:color="auto" w:fill="F0F3F6"/>
          </w:tcPr>
          <w:p>
            <w:pPr>
              <w:spacing w:after="0"/>
              <w:rPr>
                <w:sz w:val="23"/>
                <w:szCs w:val="23"/>
                <w:color w:val="auto"/>
              </w:rPr>
            </w:pPr>
          </w:p>
        </w:tc>
        <w:tc>
          <w:tcPr>
            <w:tcW w:w="560" w:type="dxa"/>
            <w:vAlign w:val="bottom"/>
            <w:tcBorders>
              <w:bottom w:val="single" w:sz="8" w:color="0072CE"/>
            </w:tcBorders>
            <w:shd w:val="clear" w:color="auto" w:fill="F0F3F6"/>
          </w:tcPr>
          <w:p>
            <w:pPr>
              <w:jc w:val="right"/>
              <w:ind w:right="60"/>
              <w:spacing w:after="0"/>
              <w:rPr>
                <w:sz w:val="20"/>
                <w:szCs w:val="20"/>
                <w:color w:val="auto"/>
              </w:rPr>
            </w:pPr>
            <w:r>
              <w:rPr>
                <w:rFonts w:ascii="Arial" w:cs="Arial" w:eastAsia="Arial" w:hAnsi="Arial"/>
                <w:sz w:val="14"/>
                <w:szCs w:val="14"/>
                <w:b w:val="1"/>
                <w:bCs w:val="1"/>
                <w:color w:val="3D3935"/>
              </w:rPr>
              <w:t>2024</w:t>
            </w:r>
          </w:p>
        </w:tc>
        <w:tc>
          <w:tcPr>
            <w:tcW w:w="220" w:type="dxa"/>
            <w:vAlign w:val="bottom"/>
            <w:tcBorders>
              <w:bottom w:val="single" w:sz="8" w:color="0072CE"/>
            </w:tcBorders>
            <w:shd w:val="clear" w:color="auto" w:fill="F0F3F6"/>
          </w:tcPr>
          <w:p>
            <w:pPr>
              <w:spacing w:after="0"/>
              <w:rPr>
                <w:sz w:val="23"/>
                <w:szCs w:val="23"/>
                <w:color w:val="auto"/>
              </w:rPr>
            </w:pPr>
          </w:p>
        </w:tc>
        <w:tc>
          <w:tcPr>
            <w:tcW w:w="540" w:type="dxa"/>
            <w:vAlign w:val="bottom"/>
            <w:tcBorders>
              <w:bottom w:val="single" w:sz="8" w:color="0072CE"/>
            </w:tcBorders>
            <w:shd w:val="clear" w:color="auto" w:fill="F0F3F6"/>
          </w:tcPr>
          <w:p>
            <w:pPr>
              <w:ind w:left="140"/>
              <w:spacing w:after="0"/>
              <w:rPr>
                <w:sz w:val="20"/>
                <w:szCs w:val="20"/>
                <w:color w:val="auto"/>
              </w:rPr>
            </w:pPr>
            <w:r>
              <w:rPr>
                <w:rFonts w:ascii="Arial" w:cs="Arial" w:eastAsia="Arial" w:hAnsi="Arial"/>
                <w:sz w:val="14"/>
                <w:szCs w:val="14"/>
                <w:b w:val="1"/>
                <w:bCs w:val="1"/>
                <w:color w:val="3D3935"/>
              </w:rPr>
              <w:t>Total</w:t>
            </w:r>
          </w:p>
        </w:tc>
        <w:tc>
          <w:tcPr>
            <w:tcW w:w="860" w:type="dxa"/>
            <w:vAlign w:val="bottom"/>
          </w:tcPr>
          <w:p>
            <w:pPr>
              <w:spacing w:after="0"/>
              <w:rPr>
                <w:sz w:val="23"/>
                <w:szCs w:val="23"/>
                <w:color w:val="auto"/>
              </w:rPr>
            </w:pPr>
          </w:p>
        </w:tc>
      </w:tr>
      <w:tr>
        <w:trPr>
          <w:trHeight w:val="251"/>
        </w:trPr>
        <w:tc>
          <w:tcPr>
            <w:tcW w:w="820" w:type="dxa"/>
            <w:vAlign w:val="bottom"/>
          </w:tcPr>
          <w:p>
            <w:pPr>
              <w:spacing w:after="0"/>
              <w:rPr>
                <w:sz w:val="21"/>
                <w:szCs w:val="21"/>
                <w:color w:val="auto"/>
              </w:rPr>
            </w:pPr>
          </w:p>
        </w:tc>
        <w:tc>
          <w:tcPr>
            <w:tcW w:w="532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 xml:space="preserve">Incentive Compensation Adjustments </w:t>
            </w:r>
            <w:r>
              <w:rPr>
                <w:rFonts w:ascii="Arial" w:cs="Arial" w:eastAsia="Arial" w:hAnsi="Arial"/>
                <w:sz w:val="21"/>
                <w:szCs w:val="21"/>
                <w:color w:val="3D3935"/>
                <w:vertAlign w:val="superscript"/>
              </w:rPr>
              <w:t>(13)</w:t>
            </w:r>
          </w:p>
        </w:tc>
        <w:tc>
          <w:tcPr>
            <w:tcW w:w="1340" w:type="dxa"/>
            <w:vAlign w:val="bottom"/>
            <w:tcBorders>
              <w:bottom w:val="single" w:sz="8" w:color="D9D9D6"/>
            </w:tcBorders>
          </w:tcPr>
          <w:p>
            <w:pPr>
              <w:spacing w:after="0"/>
              <w:rPr>
                <w:sz w:val="21"/>
                <w:szCs w:val="21"/>
                <w:color w:val="auto"/>
              </w:rPr>
            </w:pPr>
          </w:p>
        </w:tc>
        <w:tc>
          <w:tcPr>
            <w:tcW w:w="240" w:type="dxa"/>
            <w:vAlign w:val="bottom"/>
            <w:tcBorders>
              <w:bottom w:val="single" w:sz="8" w:color="D9D9D6"/>
            </w:tcBorders>
          </w:tcPr>
          <w:p>
            <w:pPr>
              <w:spacing w:after="0"/>
              <w:rPr>
                <w:sz w:val="21"/>
                <w:szCs w:val="21"/>
                <w:color w:val="auto"/>
              </w:rPr>
            </w:pPr>
          </w:p>
        </w:tc>
        <w:tc>
          <w:tcPr>
            <w:tcW w:w="560" w:type="dxa"/>
            <w:vAlign w:val="bottom"/>
            <w:tcBorders>
              <w:bottom w:val="single" w:sz="8" w:color="D9D9D6"/>
            </w:tcBorders>
          </w:tcPr>
          <w:p>
            <w:pPr>
              <w:spacing w:after="0"/>
              <w:rPr>
                <w:sz w:val="21"/>
                <w:szCs w:val="21"/>
                <w:color w:val="auto"/>
              </w:rPr>
            </w:pPr>
          </w:p>
        </w:tc>
        <w:tc>
          <w:tcPr>
            <w:tcW w:w="260" w:type="dxa"/>
            <w:vAlign w:val="bottom"/>
            <w:tcBorders>
              <w:bottom w:val="single" w:sz="8" w:color="D9D9D6"/>
            </w:tcBorders>
          </w:tcPr>
          <w:p>
            <w:pPr>
              <w:spacing w:after="0"/>
              <w:rPr>
                <w:sz w:val="21"/>
                <w:szCs w:val="21"/>
                <w:color w:val="auto"/>
              </w:rPr>
            </w:pPr>
          </w:p>
        </w:tc>
        <w:tc>
          <w:tcPr>
            <w:tcW w:w="560" w:type="dxa"/>
            <w:vAlign w:val="bottom"/>
            <w:tcBorders>
              <w:bottom w:val="single" w:sz="8" w:color="D9D9D6"/>
            </w:tcBorders>
          </w:tcPr>
          <w:p>
            <w:pPr>
              <w:spacing w:after="0"/>
              <w:rPr>
                <w:sz w:val="21"/>
                <w:szCs w:val="21"/>
                <w:color w:val="auto"/>
              </w:rPr>
            </w:pPr>
          </w:p>
        </w:tc>
        <w:tc>
          <w:tcPr>
            <w:tcW w:w="220" w:type="dxa"/>
            <w:vAlign w:val="bottom"/>
            <w:tcBorders>
              <w:bottom w:val="single" w:sz="8" w:color="D9D9D6"/>
            </w:tcBorders>
          </w:tcPr>
          <w:p>
            <w:pPr>
              <w:spacing w:after="0"/>
              <w:rPr>
                <w:sz w:val="21"/>
                <w:szCs w:val="21"/>
                <w:color w:val="auto"/>
              </w:rPr>
            </w:pPr>
          </w:p>
        </w:tc>
        <w:tc>
          <w:tcPr>
            <w:tcW w:w="540" w:type="dxa"/>
            <w:vAlign w:val="bottom"/>
            <w:tcBorders>
              <w:bottom w:val="single" w:sz="8" w:color="D9D9D6"/>
            </w:tcBorders>
          </w:tcPr>
          <w:p>
            <w:pPr>
              <w:ind w:left="160"/>
              <w:spacing w:after="0"/>
              <w:rPr>
                <w:sz w:val="20"/>
                <w:szCs w:val="20"/>
                <w:color w:val="auto"/>
              </w:rPr>
            </w:pPr>
            <w:r>
              <w:rPr>
                <w:rFonts w:ascii="Arial" w:cs="Arial" w:eastAsia="Arial" w:hAnsi="Arial"/>
                <w:sz w:val="16"/>
                <w:szCs w:val="16"/>
                <w:b w:val="1"/>
                <w:bCs w:val="1"/>
                <w:color w:val="3D3935"/>
              </w:rPr>
              <w:t>1.1</w:t>
            </w:r>
          </w:p>
        </w:tc>
        <w:tc>
          <w:tcPr>
            <w:tcW w:w="860" w:type="dxa"/>
            <w:vAlign w:val="bottom"/>
          </w:tcPr>
          <w:p>
            <w:pPr>
              <w:spacing w:after="0"/>
              <w:rPr>
                <w:sz w:val="21"/>
                <w:szCs w:val="21"/>
                <w:color w:val="auto"/>
              </w:rPr>
            </w:pPr>
          </w:p>
        </w:tc>
      </w:tr>
      <w:tr>
        <w:trPr>
          <w:trHeight w:val="250"/>
        </w:trPr>
        <w:tc>
          <w:tcPr>
            <w:tcW w:w="820" w:type="dxa"/>
            <w:vAlign w:val="bottom"/>
          </w:tcPr>
          <w:p>
            <w:pPr>
              <w:spacing w:after="0"/>
              <w:rPr>
                <w:sz w:val="21"/>
                <w:szCs w:val="21"/>
                <w:color w:val="auto"/>
              </w:rPr>
            </w:pPr>
          </w:p>
        </w:tc>
        <w:tc>
          <w:tcPr>
            <w:tcW w:w="532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EBIT-adjusted (for incentive compensation purposes)</w:t>
            </w:r>
          </w:p>
        </w:tc>
        <w:tc>
          <w:tcPr>
            <w:tcW w:w="1340" w:type="dxa"/>
            <w:vAlign w:val="bottom"/>
            <w:tcBorders>
              <w:bottom w:val="single" w:sz="8" w:color="D9D9D6"/>
            </w:tcBorders>
          </w:tcPr>
          <w:p>
            <w:pPr>
              <w:spacing w:after="0"/>
              <w:rPr>
                <w:sz w:val="21"/>
                <w:szCs w:val="21"/>
                <w:color w:val="auto"/>
              </w:rPr>
            </w:pPr>
          </w:p>
        </w:tc>
        <w:tc>
          <w:tcPr>
            <w:tcW w:w="240" w:type="dxa"/>
            <w:vAlign w:val="bottom"/>
            <w:tcBorders>
              <w:bottom w:val="single" w:sz="8" w:color="D9D9D6"/>
            </w:tcBorders>
          </w:tcPr>
          <w:p>
            <w:pPr>
              <w:spacing w:after="0"/>
              <w:rPr>
                <w:sz w:val="21"/>
                <w:szCs w:val="21"/>
                <w:color w:val="auto"/>
              </w:rPr>
            </w:pPr>
          </w:p>
        </w:tc>
        <w:tc>
          <w:tcPr>
            <w:tcW w:w="560" w:type="dxa"/>
            <w:vAlign w:val="bottom"/>
            <w:tcBorders>
              <w:bottom w:val="single" w:sz="8" w:color="D9D9D6"/>
            </w:tcBorders>
          </w:tcPr>
          <w:p>
            <w:pPr>
              <w:spacing w:after="0"/>
              <w:rPr>
                <w:sz w:val="21"/>
                <w:szCs w:val="21"/>
                <w:color w:val="auto"/>
              </w:rPr>
            </w:pPr>
          </w:p>
        </w:tc>
        <w:tc>
          <w:tcPr>
            <w:tcW w:w="260" w:type="dxa"/>
            <w:vAlign w:val="bottom"/>
            <w:tcBorders>
              <w:bottom w:val="single" w:sz="8" w:color="D9D9D6"/>
            </w:tcBorders>
          </w:tcPr>
          <w:p>
            <w:pPr>
              <w:spacing w:after="0"/>
              <w:rPr>
                <w:sz w:val="21"/>
                <w:szCs w:val="21"/>
                <w:color w:val="auto"/>
              </w:rPr>
            </w:pPr>
          </w:p>
        </w:tc>
        <w:tc>
          <w:tcPr>
            <w:tcW w:w="560" w:type="dxa"/>
            <w:vAlign w:val="bottom"/>
            <w:tcBorders>
              <w:bottom w:val="single" w:sz="8" w:color="D9D9D6"/>
            </w:tcBorders>
          </w:tcPr>
          <w:p>
            <w:pPr>
              <w:spacing w:after="0"/>
              <w:rPr>
                <w:sz w:val="21"/>
                <w:szCs w:val="21"/>
                <w:color w:val="auto"/>
              </w:rPr>
            </w:pPr>
          </w:p>
        </w:tc>
        <w:tc>
          <w:tcPr>
            <w:tcW w:w="760" w:type="dxa"/>
            <w:vAlign w:val="bottom"/>
            <w:tcBorders>
              <w:bottom w:val="single" w:sz="8" w:color="D9D9D6"/>
            </w:tcBorders>
            <w:gridSpan w:val="2"/>
          </w:tcPr>
          <w:p>
            <w:pPr>
              <w:ind w:left="60"/>
              <w:spacing w:after="0"/>
              <w:rPr>
                <w:sz w:val="20"/>
                <w:szCs w:val="20"/>
                <w:color w:val="auto"/>
              </w:rPr>
            </w:pPr>
            <w:r>
              <w:rPr>
                <w:rFonts w:ascii="Arial" w:cs="Arial" w:eastAsia="Arial" w:hAnsi="Arial"/>
                <w:sz w:val="16"/>
                <w:szCs w:val="16"/>
                <w:b w:val="1"/>
                <w:bCs w:val="1"/>
                <w:color w:val="3D3935"/>
              </w:rPr>
              <w:t>$ 42.8</w:t>
            </w:r>
          </w:p>
        </w:tc>
        <w:tc>
          <w:tcPr>
            <w:tcW w:w="860" w:type="dxa"/>
            <w:vAlign w:val="bottom"/>
          </w:tcPr>
          <w:p>
            <w:pPr>
              <w:spacing w:after="0"/>
              <w:rPr>
                <w:sz w:val="21"/>
                <w:szCs w:val="21"/>
                <w:color w:val="auto"/>
              </w:rPr>
            </w:pPr>
          </w:p>
        </w:tc>
      </w:tr>
      <w:tr>
        <w:trPr>
          <w:trHeight w:val="250"/>
        </w:trPr>
        <w:tc>
          <w:tcPr>
            <w:tcW w:w="820" w:type="dxa"/>
            <w:vAlign w:val="bottom"/>
          </w:tcPr>
          <w:p>
            <w:pPr>
              <w:spacing w:after="0"/>
              <w:rPr>
                <w:sz w:val="21"/>
                <w:szCs w:val="21"/>
                <w:color w:val="auto"/>
              </w:rPr>
            </w:pPr>
          </w:p>
        </w:tc>
        <w:tc>
          <w:tcPr>
            <w:tcW w:w="5320" w:type="dxa"/>
            <w:vAlign w:val="bottom"/>
            <w:tcBorders>
              <w:bottom w:val="single" w:sz="8" w:color="0072CE"/>
            </w:tcBorders>
          </w:tcPr>
          <w:p>
            <w:pPr>
              <w:ind w:left="60"/>
              <w:spacing w:after="0"/>
              <w:rPr>
                <w:sz w:val="20"/>
                <w:szCs w:val="20"/>
                <w:color w:val="auto"/>
              </w:rPr>
            </w:pPr>
            <w:r>
              <w:rPr>
                <w:rFonts w:ascii="Arial" w:cs="Arial" w:eastAsia="Arial" w:hAnsi="Arial"/>
                <w:sz w:val="16"/>
                <w:szCs w:val="16"/>
                <w:b w:val="1"/>
                <w:bCs w:val="1"/>
                <w:color w:val="3D3935"/>
              </w:rPr>
              <w:t>EBIT-adjusted Margin (for incentive compensation purposes)</w:t>
            </w:r>
          </w:p>
        </w:tc>
        <w:tc>
          <w:tcPr>
            <w:tcW w:w="1340" w:type="dxa"/>
            <w:vAlign w:val="bottom"/>
            <w:tcBorders>
              <w:bottom w:val="single" w:sz="8" w:color="0072CE"/>
            </w:tcBorders>
          </w:tcPr>
          <w:p>
            <w:pPr>
              <w:spacing w:after="0"/>
              <w:rPr>
                <w:sz w:val="21"/>
                <w:szCs w:val="21"/>
                <w:color w:val="auto"/>
              </w:rPr>
            </w:pPr>
          </w:p>
        </w:tc>
        <w:tc>
          <w:tcPr>
            <w:tcW w:w="240" w:type="dxa"/>
            <w:vAlign w:val="bottom"/>
            <w:tcBorders>
              <w:bottom w:val="single" w:sz="8" w:color="0072CE"/>
            </w:tcBorders>
          </w:tcPr>
          <w:p>
            <w:pPr>
              <w:spacing w:after="0"/>
              <w:rPr>
                <w:sz w:val="21"/>
                <w:szCs w:val="21"/>
                <w:color w:val="auto"/>
              </w:rPr>
            </w:pPr>
          </w:p>
        </w:tc>
        <w:tc>
          <w:tcPr>
            <w:tcW w:w="560" w:type="dxa"/>
            <w:vAlign w:val="bottom"/>
            <w:tcBorders>
              <w:bottom w:val="single" w:sz="8" w:color="0072CE"/>
            </w:tcBorders>
          </w:tcPr>
          <w:p>
            <w:pPr>
              <w:spacing w:after="0"/>
              <w:rPr>
                <w:sz w:val="21"/>
                <w:szCs w:val="21"/>
                <w:color w:val="auto"/>
              </w:rPr>
            </w:pPr>
          </w:p>
        </w:tc>
        <w:tc>
          <w:tcPr>
            <w:tcW w:w="260" w:type="dxa"/>
            <w:vAlign w:val="bottom"/>
            <w:tcBorders>
              <w:bottom w:val="single" w:sz="8" w:color="0072CE"/>
            </w:tcBorders>
          </w:tcPr>
          <w:p>
            <w:pPr>
              <w:spacing w:after="0"/>
              <w:rPr>
                <w:sz w:val="21"/>
                <w:szCs w:val="21"/>
                <w:color w:val="auto"/>
              </w:rPr>
            </w:pPr>
          </w:p>
        </w:tc>
        <w:tc>
          <w:tcPr>
            <w:tcW w:w="560" w:type="dxa"/>
            <w:vAlign w:val="bottom"/>
            <w:tcBorders>
              <w:bottom w:val="single" w:sz="8" w:color="0072CE"/>
            </w:tcBorders>
          </w:tcPr>
          <w:p>
            <w:pPr>
              <w:spacing w:after="0"/>
              <w:rPr>
                <w:sz w:val="21"/>
                <w:szCs w:val="21"/>
                <w:color w:val="auto"/>
              </w:rPr>
            </w:pPr>
          </w:p>
        </w:tc>
        <w:tc>
          <w:tcPr>
            <w:tcW w:w="220" w:type="dxa"/>
            <w:vAlign w:val="bottom"/>
            <w:tcBorders>
              <w:bottom w:val="single" w:sz="8" w:color="0072CE"/>
            </w:tcBorders>
          </w:tcPr>
          <w:p>
            <w:pPr>
              <w:spacing w:after="0"/>
              <w:rPr>
                <w:sz w:val="21"/>
                <w:szCs w:val="21"/>
                <w:color w:val="auto"/>
              </w:rPr>
            </w:pPr>
          </w:p>
        </w:tc>
        <w:tc>
          <w:tcPr>
            <w:tcW w:w="540" w:type="dxa"/>
            <w:vAlign w:val="bottom"/>
            <w:tcBorders>
              <w:bottom w:val="single" w:sz="8" w:color="0072CE"/>
            </w:tcBorders>
          </w:tcPr>
          <w:p>
            <w:pPr>
              <w:jc w:val="right"/>
              <w:spacing w:after="0"/>
              <w:rPr>
                <w:sz w:val="20"/>
                <w:szCs w:val="20"/>
                <w:color w:val="auto"/>
              </w:rPr>
            </w:pPr>
            <w:r>
              <w:rPr>
                <w:rFonts w:ascii="Arial" w:cs="Arial" w:eastAsia="Arial" w:hAnsi="Arial"/>
                <w:sz w:val="16"/>
                <w:szCs w:val="16"/>
                <w:b w:val="1"/>
                <w:bCs w:val="1"/>
                <w:color w:val="3D3935"/>
              </w:rPr>
              <w:t>8.3%</w:t>
            </w:r>
          </w:p>
        </w:tc>
        <w:tc>
          <w:tcPr>
            <w:tcW w:w="8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6798945</wp:posOffset>
            </wp:positionH>
            <wp:positionV relativeFrom="paragraph">
              <wp:posOffset>-1424305</wp:posOffset>
            </wp:positionV>
            <wp:extent cx="12700" cy="76200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76200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-1424305</wp:posOffset>
            </wp:positionV>
            <wp:extent cx="12700" cy="76200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7620000"/>
                    </a:xfrm>
                    <a:prstGeom prst="rect">
                      <a:avLst/>
                    </a:prstGeom>
                    <a:noFill/>
                  </pic:spPr>
                </pic:pic>
              </a:graphicData>
            </a:graphic>
          </wp:anchor>
        </w:drawing>
      </w:r>
    </w:p>
    <w:p>
      <w:pPr>
        <w:spacing w:after="0" w:line="146" w:lineRule="exact"/>
        <w:rPr>
          <w:sz w:val="20"/>
          <w:szCs w:val="20"/>
          <w:color w:val="auto"/>
        </w:rPr>
      </w:pPr>
    </w:p>
    <w:p>
      <w:pPr>
        <w:ind w:left="1020" w:right="1120" w:hanging="192"/>
        <w:spacing w:after="0" w:line="228" w:lineRule="auto"/>
        <w:tabs>
          <w:tab w:leader="none" w:pos="1020" w:val="left"/>
        </w:tabs>
        <w:numPr>
          <w:ilvl w:val="0"/>
          <w:numId w:val="125"/>
        </w:numPr>
        <w:rPr>
          <w:rFonts w:ascii="Arial" w:cs="Arial" w:eastAsia="Arial" w:hAnsi="Arial"/>
          <w:sz w:val="19"/>
          <w:szCs w:val="19"/>
          <w:color w:val="3D3935"/>
          <w:vertAlign w:val="superscript"/>
        </w:rPr>
      </w:pPr>
      <w:r>
        <w:rPr>
          <w:rFonts w:ascii="Arial" w:cs="Arial" w:eastAsia="Arial" w:hAnsi="Arial"/>
          <w:sz w:val="14"/>
          <w:szCs w:val="14"/>
          <w:color w:val="3D3935"/>
        </w:rPr>
        <w:t>These adjustments were excluded because they relate to the other-than-temporary impairment and our portion of restructuring charges recorded in equity earnings associated with our restructuring actions of “Automotive China JVs” (as defined in our Annual Report on Form 10-K for the year ended December 31, 2024).</w:t>
      </w:r>
    </w:p>
    <w:p>
      <w:pPr>
        <w:spacing w:after="0" w:line="13" w:lineRule="exact"/>
        <w:rPr>
          <w:rFonts w:ascii="Arial" w:cs="Arial" w:eastAsia="Arial" w:hAnsi="Arial"/>
          <w:sz w:val="19"/>
          <w:szCs w:val="19"/>
          <w:color w:val="3D3935"/>
          <w:vertAlign w:val="superscript"/>
        </w:rPr>
      </w:pPr>
    </w:p>
    <w:p>
      <w:pPr>
        <w:ind w:left="1020" w:right="1220" w:hanging="192"/>
        <w:spacing w:after="0" w:line="222" w:lineRule="auto"/>
        <w:tabs>
          <w:tab w:leader="none" w:pos="1020" w:val="left"/>
        </w:tabs>
        <w:numPr>
          <w:ilvl w:val="0"/>
          <w:numId w:val="125"/>
        </w:numPr>
        <w:rPr>
          <w:rFonts w:ascii="Arial" w:cs="Arial" w:eastAsia="Arial" w:hAnsi="Arial"/>
          <w:sz w:val="19"/>
          <w:szCs w:val="19"/>
          <w:color w:val="3D3935"/>
          <w:vertAlign w:val="superscript"/>
        </w:rPr>
      </w:pPr>
      <w:r>
        <w:rPr>
          <w:rFonts w:ascii="Arial" w:cs="Arial" w:eastAsia="Arial" w:hAnsi="Arial"/>
          <w:sz w:val="14"/>
          <w:szCs w:val="14"/>
          <w:color w:val="3D3935"/>
        </w:rPr>
        <w:t>These adjustments were excluded because they relate to restructuring charges resulting from the plan to combine the Cruise and GM technical efforts to advance autonomous and assisted driving, the indefinite delay of the Cruise Origin and the voluntarily pausing in</w:t>
      </w:r>
    </w:p>
    <w:p>
      <w:pPr>
        <w:ind w:left="1020" w:right="980"/>
        <w:spacing w:after="0" w:line="259" w:lineRule="auto"/>
        <w:rPr>
          <w:rFonts w:ascii="Arial" w:cs="Arial" w:eastAsia="Arial" w:hAnsi="Arial"/>
          <w:sz w:val="19"/>
          <w:szCs w:val="19"/>
          <w:color w:val="3D3935"/>
          <w:vertAlign w:val="superscript"/>
        </w:rPr>
      </w:pPr>
      <w:r>
        <w:rPr>
          <w:rFonts w:ascii="Arial" w:cs="Arial" w:eastAsia="Arial" w:hAnsi="Arial"/>
          <w:sz w:val="14"/>
          <w:szCs w:val="14"/>
          <w:color w:val="3D3935"/>
        </w:rPr>
        <w:t>2023 of Cruise’s driverless, supervised and manual AV operations in the U.S. The adjustments primarily consist of non-cash restructuring charges, supplier-related charges and employee separation costs.</w:t>
      </w:r>
    </w:p>
    <w:p>
      <w:pPr>
        <w:spacing w:after="0" w:line="16" w:lineRule="exact"/>
        <w:rPr>
          <w:rFonts w:ascii="Arial" w:cs="Arial" w:eastAsia="Arial" w:hAnsi="Arial"/>
          <w:sz w:val="19"/>
          <w:szCs w:val="19"/>
          <w:color w:val="3D3935"/>
          <w:vertAlign w:val="superscript"/>
        </w:rPr>
      </w:pPr>
    </w:p>
    <w:p>
      <w:pPr>
        <w:ind w:left="1020" w:right="1100" w:hanging="192"/>
        <w:spacing w:after="0" w:line="222" w:lineRule="auto"/>
        <w:tabs>
          <w:tab w:leader="none" w:pos="1020" w:val="left"/>
        </w:tabs>
        <w:numPr>
          <w:ilvl w:val="0"/>
          <w:numId w:val="125"/>
        </w:numPr>
        <w:rPr>
          <w:rFonts w:ascii="Arial" w:cs="Arial" w:eastAsia="Arial" w:hAnsi="Arial"/>
          <w:sz w:val="19"/>
          <w:szCs w:val="19"/>
          <w:color w:val="3D3935"/>
          <w:vertAlign w:val="superscript"/>
        </w:rPr>
      </w:pPr>
      <w:r>
        <w:rPr>
          <w:rFonts w:ascii="Arial" w:cs="Arial" w:eastAsia="Arial" w:hAnsi="Arial"/>
          <w:sz w:val="14"/>
          <w:szCs w:val="14"/>
          <w:color w:val="3D3935"/>
        </w:rPr>
        <w:t>These adjustments were excluded because they relate to strategic activities to transition certain Buick dealers out of our dealer network as part of Buick’s EV strategy.</w:t>
      </w:r>
    </w:p>
    <w:p>
      <w:pPr>
        <w:spacing w:after="0" w:line="1" w:lineRule="exact"/>
        <w:rPr>
          <w:rFonts w:ascii="Arial" w:cs="Arial" w:eastAsia="Arial" w:hAnsi="Arial"/>
          <w:sz w:val="19"/>
          <w:szCs w:val="19"/>
          <w:color w:val="3D3935"/>
          <w:vertAlign w:val="superscript"/>
        </w:rPr>
      </w:pPr>
    </w:p>
    <w:p>
      <w:pPr>
        <w:ind w:left="1020" w:hanging="192"/>
        <w:spacing w:after="0" w:line="222" w:lineRule="auto"/>
        <w:tabs>
          <w:tab w:leader="none" w:pos="1020" w:val="left"/>
        </w:tabs>
        <w:numPr>
          <w:ilvl w:val="0"/>
          <w:numId w:val="125"/>
        </w:numPr>
        <w:rPr>
          <w:rFonts w:ascii="Arial" w:cs="Arial" w:eastAsia="Arial" w:hAnsi="Arial"/>
          <w:sz w:val="19"/>
          <w:szCs w:val="19"/>
          <w:color w:val="3D3935"/>
          <w:vertAlign w:val="superscript"/>
        </w:rPr>
      </w:pPr>
      <w:r>
        <w:rPr>
          <w:rFonts w:ascii="Arial" w:cs="Arial" w:eastAsia="Arial" w:hAnsi="Arial"/>
          <w:sz w:val="14"/>
          <w:szCs w:val="14"/>
          <w:color w:val="3D3935"/>
        </w:rPr>
        <w:t>These adjustments were excluded because they relate to employee separation charges primarily in North America.</w:t>
      </w:r>
    </w:p>
    <w:p>
      <w:pPr>
        <w:spacing w:after="0" w:line="26" w:lineRule="exact"/>
        <w:rPr>
          <w:rFonts w:ascii="Arial" w:cs="Arial" w:eastAsia="Arial" w:hAnsi="Arial"/>
          <w:sz w:val="19"/>
          <w:szCs w:val="19"/>
          <w:color w:val="3D3935"/>
          <w:vertAlign w:val="superscript"/>
        </w:rPr>
      </w:pPr>
    </w:p>
    <w:p>
      <w:pPr>
        <w:ind w:left="1020" w:hanging="192"/>
        <w:spacing w:after="0" w:line="193" w:lineRule="auto"/>
        <w:tabs>
          <w:tab w:leader="none" w:pos="1020" w:val="left"/>
        </w:tabs>
        <w:numPr>
          <w:ilvl w:val="0"/>
          <w:numId w:val="125"/>
        </w:numPr>
        <w:rPr>
          <w:rFonts w:ascii="Arial" w:cs="Arial" w:eastAsia="Arial" w:hAnsi="Arial"/>
          <w:sz w:val="19"/>
          <w:szCs w:val="19"/>
          <w:color w:val="3D3935"/>
          <w:highlight w:val="white"/>
          <w:vertAlign w:val="superscript"/>
        </w:rPr>
      </w:pPr>
      <w:r>
        <w:rPr>
          <w:rFonts w:ascii="Arial" w:cs="Arial" w:eastAsia="Arial" w:hAnsi="Arial"/>
          <w:sz w:val="14"/>
          <w:szCs w:val="14"/>
          <w:color w:val="3D3935"/>
          <w:highlight w:val="white"/>
        </w:rPr>
        <w:t xml:space="preserve">These adjustments were excluded because they relate to the wind down of our manufacturing operations in Colombia and Ecuador </w:t>
      </w:r>
      <w:r>
        <w:rPr>
          <w:rFonts w:ascii="Arial" w:cs="Arial" w:eastAsia="Arial" w:hAnsi="Arial"/>
          <w:sz w:val="14"/>
          <w:szCs w:val="14"/>
          <w:color w:val="3D3935"/>
        </w:rPr>
        <w:t>.</w:t>
      </w:r>
    </w:p>
    <w:p>
      <w:pPr>
        <w:spacing w:after="0" w:line="26" w:lineRule="exact"/>
        <w:rPr>
          <w:rFonts w:ascii="Arial" w:cs="Arial" w:eastAsia="Arial" w:hAnsi="Arial"/>
          <w:sz w:val="19"/>
          <w:szCs w:val="19"/>
          <w:color w:val="3D3935"/>
          <w:highlight w:val="white"/>
          <w:vertAlign w:val="superscript"/>
        </w:rPr>
      </w:pPr>
    </w:p>
    <w:p>
      <w:pPr>
        <w:ind w:left="1020" w:right="2540" w:hanging="192"/>
        <w:spacing w:after="0" w:line="213" w:lineRule="auto"/>
        <w:tabs>
          <w:tab w:leader="none" w:pos="1020" w:val="left"/>
        </w:tabs>
        <w:numPr>
          <w:ilvl w:val="0"/>
          <w:numId w:val="125"/>
        </w:numPr>
        <w:rPr>
          <w:rFonts w:ascii="Arial" w:cs="Arial" w:eastAsia="Arial" w:hAnsi="Arial"/>
          <w:sz w:val="19"/>
          <w:szCs w:val="19"/>
          <w:color w:val="3D3935"/>
          <w:highlight w:val="white"/>
          <w:vertAlign w:val="superscript"/>
        </w:rPr>
      </w:pPr>
      <w:r>
        <w:rPr>
          <w:rFonts w:ascii="Arial" w:cs="Arial" w:eastAsia="Arial" w:hAnsi="Arial"/>
          <w:sz w:val="14"/>
          <w:szCs w:val="14"/>
          <w:color w:val="3D3935"/>
        </w:rPr>
        <w:t>These adjustments were excluded because they relate to the GM headquarters relocation, primarily consisting of accelerated depreciation.</w:t>
      </w:r>
    </w:p>
    <w:p>
      <w:pPr>
        <w:spacing w:after="0" w:line="13" w:lineRule="exact"/>
        <w:rPr>
          <w:rFonts w:ascii="Arial" w:cs="Arial" w:eastAsia="Arial" w:hAnsi="Arial"/>
          <w:sz w:val="19"/>
          <w:szCs w:val="19"/>
          <w:color w:val="3D3935"/>
          <w:highlight w:val="white"/>
          <w:vertAlign w:val="superscript"/>
        </w:rPr>
      </w:pPr>
    </w:p>
    <w:p>
      <w:pPr>
        <w:ind w:left="1020" w:right="1040" w:hanging="192"/>
        <w:spacing w:after="0" w:line="231" w:lineRule="auto"/>
        <w:tabs>
          <w:tab w:leader="none" w:pos="1020" w:val="left"/>
        </w:tabs>
        <w:numPr>
          <w:ilvl w:val="0"/>
          <w:numId w:val="125"/>
        </w:numPr>
        <w:rPr>
          <w:rFonts w:ascii="Arial" w:cs="Arial" w:eastAsia="Arial" w:hAnsi="Arial"/>
          <w:sz w:val="19"/>
          <w:szCs w:val="19"/>
          <w:color w:val="3D3935"/>
          <w:highlight w:val="white"/>
          <w:vertAlign w:val="superscript"/>
        </w:rPr>
      </w:pPr>
      <w:r>
        <w:rPr>
          <w:rFonts w:ascii="Arial" w:cs="Arial" w:eastAsia="Arial" w:hAnsi="Arial"/>
          <w:sz w:val="14"/>
          <w:szCs w:val="14"/>
          <w:color w:val="3D3935"/>
        </w:rPr>
        <w:t>These adjustments were excluded because they relate to the acceleration of attrition as part of the cost reduction program announced in January 2023, primarily in the U.S.</w:t>
      </w:r>
    </w:p>
    <w:p>
      <w:pPr>
        <w:ind w:left="1020" w:hanging="192"/>
        <w:spacing w:after="0" w:line="222" w:lineRule="auto"/>
        <w:tabs>
          <w:tab w:leader="none" w:pos="1020" w:val="left"/>
        </w:tabs>
        <w:numPr>
          <w:ilvl w:val="0"/>
          <w:numId w:val="125"/>
        </w:numPr>
        <w:rPr>
          <w:rFonts w:ascii="Arial" w:cs="Arial" w:eastAsia="Arial" w:hAnsi="Arial"/>
          <w:sz w:val="19"/>
          <w:szCs w:val="19"/>
          <w:color w:val="3D3935"/>
          <w:highlight w:val="white"/>
          <w:vertAlign w:val="superscript"/>
        </w:rPr>
      </w:pPr>
      <w:r>
        <w:rPr>
          <w:rFonts w:ascii="Arial" w:cs="Arial" w:eastAsia="Arial" w:hAnsi="Arial"/>
          <w:sz w:val="14"/>
          <w:szCs w:val="14"/>
          <w:color w:val="3D3935"/>
        </w:rPr>
        <w:t>These adjustments were excluded because they relate to the partial resolution of subcontractor matters in Korea.</w:t>
      </w:r>
    </w:p>
    <w:p>
      <w:pPr>
        <w:spacing w:after="0" w:line="26" w:lineRule="exact"/>
        <w:rPr>
          <w:rFonts w:ascii="Arial" w:cs="Arial" w:eastAsia="Arial" w:hAnsi="Arial"/>
          <w:sz w:val="19"/>
          <w:szCs w:val="19"/>
          <w:color w:val="3D3935"/>
          <w:highlight w:val="white"/>
          <w:vertAlign w:val="superscript"/>
        </w:rPr>
      </w:pPr>
    </w:p>
    <w:p>
      <w:pPr>
        <w:ind w:left="1020" w:hanging="192"/>
        <w:spacing w:after="0" w:line="193" w:lineRule="auto"/>
        <w:tabs>
          <w:tab w:leader="none" w:pos="1020" w:val="left"/>
        </w:tabs>
        <w:numPr>
          <w:ilvl w:val="0"/>
          <w:numId w:val="125"/>
        </w:numPr>
        <w:rPr>
          <w:rFonts w:ascii="Arial" w:cs="Arial" w:eastAsia="Arial" w:hAnsi="Arial"/>
          <w:sz w:val="19"/>
          <w:szCs w:val="19"/>
          <w:color w:val="3D3935"/>
          <w:highlight w:val="white"/>
          <w:vertAlign w:val="superscript"/>
        </w:rPr>
      </w:pPr>
      <w:r>
        <w:rPr>
          <w:rFonts w:ascii="Arial" w:cs="Arial" w:eastAsia="Arial" w:hAnsi="Arial"/>
          <w:sz w:val="14"/>
          <w:szCs w:val="14"/>
          <w:color w:val="3D3935"/>
        </w:rPr>
        <w:t>These adjustments were excluded because they relate to an asset sale resulting from our strategic decision in 2020 to exit India.</w:t>
      </w:r>
    </w:p>
    <w:p>
      <w:pPr>
        <w:spacing w:after="0" w:line="26" w:lineRule="exact"/>
        <w:rPr>
          <w:rFonts w:ascii="Arial" w:cs="Arial" w:eastAsia="Arial" w:hAnsi="Arial"/>
          <w:sz w:val="19"/>
          <w:szCs w:val="19"/>
          <w:color w:val="3D3935"/>
          <w:highlight w:val="white"/>
          <w:vertAlign w:val="superscript"/>
        </w:rPr>
      </w:pPr>
    </w:p>
    <w:p>
      <w:pPr>
        <w:ind w:left="1020" w:hanging="192"/>
        <w:spacing w:after="0" w:line="229" w:lineRule="auto"/>
        <w:tabs>
          <w:tab w:leader="none" w:pos="1020" w:val="left"/>
        </w:tabs>
        <w:numPr>
          <w:ilvl w:val="0"/>
          <w:numId w:val="125"/>
        </w:numPr>
        <w:rPr>
          <w:rFonts w:ascii="Arial" w:cs="Arial" w:eastAsia="Arial" w:hAnsi="Arial"/>
          <w:sz w:val="16"/>
          <w:szCs w:val="16"/>
          <w:color w:val="3D3935"/>
          <w:vertAlign w:val="superscript"/>
        </w:rPr>
      </w:pPr>
      <w:r>
        <w:rPr>
          <w:rFonts w:ascii="Arial" w:cs="Arial" w:eastAsia="Arial" w:hAnsi="Arial"/>
          <w:sz w:val="12"/>
          <w:szCs w:val="12"/>
          <w:color w:val="3D3935"/>
        </w:rPr>
        <w:t>This adjustment was excluded because it relates to the one-time modification of Cruise stock incentive awards.</w:t>
      </w:r>
    </w:p>
    <w:p>
      <w:pPr>
        <w:spacing w:after="0" w:line="26" w:lineRule="exact"/>
        <w:rPr>
          <w:rFonts w:ascii="Arial" w:cs="Arial" w:eastAsia="Arial" w:hAnsi="Arial"/>
          <w:sz w:val="16"/>
          <w:szCs w:val="16"/>
          <w:color w:val="3D3935"/>
          <w:vertAlign w:val="superscript"/>
        </w:rPr>
      </w:pPr>
    </w:p>
    <w:p>
      <w:pPr>
        <w:ind w:left="1020" w:right="1000" w:hanging="192"/>
        <w:spacing w:after="0" w:line="252" w:lineRule="auto"/>
        <w:tabs>
          <w:tab w:leader="none" w:pos="1020" w:val="left"/>
        </w:tabs>
        <w:numPr>
          <w:ilvl w:val="0"/>
          <w:numId w:val="125"/>
        </w:numPr>
        <w:rPr>
          <w:rFonts w:ascii="Arial" w:cs="Arial" w:eastAsia="Arial" w:hAnsi="Arial"/>
          <w:sz w:val="16"/>
          <w:szCs w:val="16"/>
          <w:color w:val="3D3935"/>
          <w:vertAlign w:val="superscript"/>
        </w:rPr>
      </w:pPr>
      <w:r>
        <w:rPr>
          <w:rFonts w:ascii="Arial" w:cs="Arial" w:eastAsia="Arial" w:hAnsi="Arial"/>
          <w:sz w:val="12"/>
          <w:szCs w:val="12"/>
          <w:color w:val="3D3935"/>
        </w:rPr>
        <w:t>This adjustment was excluded because it relates to the shutdown of our Russia business including the write off of our net investment and release of accumulated translation losses into earnings.</w:t>
      </w:r>
    </w:p>
    <w:p>
      <w:pPr>
        <w:spacing w:after="0" w:line="12" w:lineRule="exact"/>
        <w:rPr>
          <w:rFonts w:ascii="Arial" w:cs="Arial" w:eastAsia="Arial" w:hAnsi="Arial"/>
          <w:sz w:val="16"/>
          <w:szCs w:val="16"/>
          <w:color w:val="3D3935"/>
          <w:vertAlign w:val="superscript"/>
        </w:rPr>
      </w:pPr>
    </w:p>
    <w:p>
      <w:pPr>
        <w:ind w:left="1020" w:right="1200" w:hanging="192"/>
        <w:spacing w:after="0" w:line="272" w:lineRule="auto"/>
        <w:tabs>
          <w:tab w:leader="none" w:pos="1020" w:val="left"/>
        </w:tabs>
        <w:numPr>
          <w:ilvl w:val="0"/>
          <w:numId w:val="125"/>
        </w:numPr>
        <w:rPr>
          <w:rFonts w:ascii="Arial" w:cs="Arial" w:eastAsia="Arial" w:hAnsi="Arial"/>
          <w:sz w:val="16"/>
          <w:szCs w:val="16"/>
          <w:color w:val="3D3935"/>
          <w:vertAlign w:val="superscript"/>
        </w:rPr>
      </w:pPr>
      <w:r>
        <w:rPr>
          <w:rFonts w:ascii="Arial" w:cs="Arial" w:eastAsia="Arial" w:hAnsi="Arial"/>
          <w:sz w:val="12"/>
          <w:szCs w:val="12"/>
          <w:color w:val="3D3935"/>
        </w:rPr>
        <w:t>These adjustments were excluded because they relate to certain royalties accrued with respect to past-year vehicle sales in 2021 and the resolution of substantially all of these matters in 2022.</w:t>
      </w:r>
    </w:p>
    <w:p>
      <w:pPr>
        <w:spacing w:after="0" w:line="13" w:lineRule="exact"/>
        <w:rPr>
          <w:rFonts w:ascii="Arial" w:cs="Arial" w:eastAsia="Arial" w:hAnsi="Arial"/>
          <w:sz w:val="16"/>
          <w:szCs w:val="16"/>
          <w:color w:val="3D3935"/>
          <w:vertAlign w:val="superscript"/>
        </w:rPr>
      </w:pPr>
    </w:p>
    <w:p>
      <w:pPr>
        <w:ind w:left="1020" w:right="1660" w:hanging="192"/>
        <w:spacing w:after="0"/>
        <w:tabs>
          <w:tab w:leader="none" w:pos="1020" w:val="left"/>
        </w:tabs>
        <w:numPr>
          <w:ilvl w:val="0"/>
          <w:numId w:val="125"/>
        </w:numPr>
        <w:rPr>
          <w:rFonts w:ascii="Arial" w:cs="Arial" w:eastAsia="Arial" w:hAnsi="Arial"/>
          <w:sz w:val="16"/>
          <w:szCs w:val="16"/>
          <w:color w:val="3D3935"/>
          <w:vertAlign w:val="superscript"/>
        </w:rPr>
      </w:pPr>
      <w:r>
        <w:rPr>
          <w:rFonts w:ascii="Arial" w:cs="Arial" w:eastAsia="Arial" w:hAnsi="Arial"/>
          <w:sz w:val="12"/>
          <w:szCs w:val="12"/>
          <w:color w:val="3D3935"/>
        </w:rPr>
        <w:t>This adjustment excludes total compensation expense related to Cruise share-based awards incurred over the three-year PSU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-1558925</wp:posOffset>
            </wp:positionV>
            <wp:extent cx="5349240" cy="939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349240" cy="93980"/>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-727710</wp:posOffset>
            </wp:positionV>
            <wp:extent cx="102870" cy="1371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02870" cy="137160"/>
                    </a:xfrm>
                    <a:prstGeom prst="rect">
                      <a:avLst/>
                    </a:prstGeom>
                    <a:noFill/>
                  </pic:spPr>
                </pic:pic>
              </a:graphicData>
            </a:graphic>
          </wp:anchor>
        </w:drawing>
      </w:r>
    </w:p>
    <w:p>
      <w:pPr>
        <w:spacing w:after="0" w:line="169" w:lineRule="exact"/>
        <w:rPr>
          <w:sz w:val="20"/>
          <w:szCs w:val="20"/>
          <w:color w:val="auto"/>
        </w:rPr>
      </w:pPr>
    </w:p>
    <w:p>
      <w:pPr>
        <w:ind w:left="820"/>
        <w:spacing w:after="0"/>
        <w:rPr>
          <w:sz w:val="20"/>
          <w:szCs w:val="20"/>
          <w:color w:val="auto"/>
        </w:rPr>
      </w:pPr>
      <w:r>
        <w:rPr>
          <w:rFonts w:ascii="Arial" w:cs="Arial" w:eastAsia="Arial" w:hAnsi="Arial"/>
          <w:sz w:val="16"/>
          <w:szCs w:val="16"/>
          <w:color w:val="3D3935"/>
        </w:rPr>
        <w:t>The following table reconciles Diluted Earnings per Common Share under GAAP to EPS-diluted-adjusted:</w:t>
      </w:r>
    </w:p>
    <w:p>
      <w:pPr>
        <w:spacing w:after="0" w:line="87" w:lineRule="exact"/>
        <w:rPr>
          <w:sz w:val="20"/>
          <w:szCs w:val="20"/>
          <w:color w:val="auto"/>
        </w:rPr>
      </w:pPr>
    </w:p>
    <w:tbl>
      <w:tblPr>
        <w:tblLayout w:type="fixed"/>
        <w:tblInd w:w="820" w:type="dxa"/>
        <w:tblCellMar>
          <w:top w:w="0" w:type="dxa"/>
          <w:left w:w="0" w:type="dxa"/>
          <w:bottom w:w="0" w:type="dxa"/>
          <w:right w:w="0" w:type="dxa"/>
        </w:tblCellMar>
      </w:tblPr>
      <w:tr>
        <w:trPr>
          <w:trHeight w:val="257"/>
        </w:trPr>
        <w:tc>
          <w:tcPr>
            <w:tcW w:w="5640" w:type="dxa"/>
            <w:vAlign w:val="bottom"/>
            <w:tcBorders>
              <w:bottom w:val="single" w:sz="8" w:color="0072CE"/>
            </w:tcBorders>
            <w:shd w:val="clear" w:color="auto" w:fill="F0F3F6"/>
          </w:tcPr>
          <w:p>
            <w:pPr>
              <w:ind w:left="60"/>
              <w:spacing w:after="0"/>
              <w:rPr>
                <w:sz w:val="20"/>
                <w:szCs w:val="20"/>
                <w:color w:val="auto"/>
              </w:rPr>
            </w:pPr>
            <w:r>
              <w:rPr>
                <w:rFonts w:ascii="Arial" w:cs="Arial" w:eastAsia="Arial" w:hAnsi="Arial"/>
                <w:sz w:val="14"/>
                <w:szCs w:val="14"/>
                <w:b w:val="1"/>
                <w:bCs w:val="1"/>
                <w:color w:val="3D3935"/>
              </w:rPr>
              <w:t>($ per Share)</w:t>
            </w:r>
          </w:p>
        </w:tc>
        <w:tc>
          <w:tcPr>
            <w:tcW w:w="2940" w:type="dxa"/>
            <w:vAlign w:val="bottom"/>
            <w:tcBorders>
              <w:bottom w:val="single" w:sz="8" w:color="0072CE"/>
            </w:tcBorders>
            <w:shd w:val="clear" w:color="auto" w:fill="F0F3F6"/>
          </w:tcPr>
          <w:p>
            <w:pPr>
              <w:spacing w:after="0"/>
              <w:rPr>
                <w:sz w:val="22"/>
                <w:szCs w:val="22"/>
                <w:color w:val="auto"/>
              </w:rPr>
            </w:pPr>
          </w:p>
        </w:tc>
        <w:tc>
          <w:tcPr>
            <w:tcW w:w="500" w:type="dxa"/>
            <w:vAlign w:val="bottom"/>
            <w:tcBorders>
              <w:bottom w:val="single" w:sz="8" w:color="0072CE"/>
            </w:tcBorders>
            <w:shd w:val="clear" w:color="auto" w:fill="F0F3F6"/>
          </w:tcPr>
          <w:p>
            <w:pPr>
              <w:ind w:left="80"/>
              <w:spacing w:after="0"/>
              <w:rPr>
                <w:sz w:val="20"/>
                <w:szCs w:val="20"/>
                <w:color w:val="auto"/>
              </w:rPr>
            </w:pPr>
            <w:r>
              <w:rPr>
                <w:rFonts w:ascii="Arial" w:cs="Arial" w:eastAsia="Arial" w:hAnsi="Arial"/>
                <w:sz w:val="14"/>
                <w:szCs w:val="14"/>
                <w:b w:val="1"/>
                <w:bCs w:val="1"/>
                <w:color w:val="3D3935"/>
              </w:rPr>
              <w:t>2024</w:t>
            </w:r>
          </w:p>
        </w:tc>
        <w:tc>
          <w:tcPr>
            <w:tcW w:w="20" w:type="dxa"/>
            <w:vAlign w:val="bottom"/>
          </w:tcPr>
          <w:p>
            <w:pPr>
              <w:spacing w:after="0"/>
              <w:rPr>
                <w:sz w:val="22"/>
                <w:szCs w:val="22"/>
                <w:color w:val="auto"/>
              </w:rPr>
            </w:pPr>
          </w:p>
        </w:tc>
      </w:tr>
      <w:tr>
        <w:trPr>
          <w:trHeight w:val="249"/>
        </w:trPr>
        <w:tc>
          <w:tcPr>
            <w:tcW w:w="564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Diluted Earnings per Common Share</w:t>
            </w:r>
          </w:p>
        </w:tc>
        <w:tc>
          <w:tcPr>
            <w:tcW w:w="29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w:t>
            </w:r>
          </w:p>
        </w:tc>
        <w:tc>
          <w:tcPr>
            <w:tcW w:w="500" w:type="dxa"/>
            <w:vAlign w:val="bottom"/>
            <w:tcBorders>
              <w:bottom w:val="single" w:sz="8" w:color="D9D9D6"/>
            </w:tcBorders>
          </w:tcPr>
          <w:p>
            <w:pPr>
              <w:jc w:val="right"/>
              <w:ind w:right="1"/>
              <w:spacing w:after="0"/>
              <w:rPr>
                <w:sz w:val="20"/>
                <w:szCs w:val="20"/>
                <w:color w:val="auto"/>
              </w:rPr>
            </w:pPr>
            <w:r>
              <w:rPr>
                <w:rFonts w:ascii="Arial" w:cs="Arial" w:eastAsia="Arial" w:hAnsi="Arial"/>
                <w:sz w:val="16"/>
                <w:szCs w:val="16"/>
                <w:color w:val="3D3935"/>
              </w:rPr>
              <w:t>6.37</w:t>
            </w:r>
          </w:p>
        </w:tc>
        <w:tc>
          <w:tcPr>
            <w:tcW w:w="20" w:type="dxa"/>
            <w:vAlign w:val="bottom"/>
          </w:tcPr>
          <w:p>
            <w:pPr>
              <w:spacing w:after="0"/>
              <w:rPr>
                <w:sz w:val="21"/>
                <w:szCs w:val="21"/>
                <w:color w:val="auto"/>
              </w:rPr>
            </w:pPr>
          </w:p>
        </w:tc>
      </w:tr>
      <w:tr>
        <w:trPr>
          <w:trHeight w:val="251"/>
        </w:trPr>
        <w:tc>
          <w:tcPr>
            <w:tcW w:w="564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 xml:space="preserve">Adjustments </w:t>
            </w:r>
            <w:r>
              <w:rPr>
                <w:rFonts w:ascii="Arial" w:cs="Arial" w:eastAsia="Arial" w:hAnsi="Arial"/>
                <w:sz w:val="21"/>
                <w:szCs w:val="21"/>
                <w:color w:val="3D3935"/>
                <w:vertAlign w:val="superscript"/>
              </w:rPr>
              <w:t>(1)</w:t>
            </w:r>
          </w:p>
        </w:tc>
        <w:tc>
          <w:tcPr>
            <w:tcW w:w="2940" w:type="dxa"/>
            <w:vAlign w:val="bottom"/>
            <w:tcBorders>
              <w:bottom w:val="single" w:sz="8" w:color="D9D9D6"/>
            </w:tcBorders>
          </w:tcPr>
          <w:p>
            <w:pPr>
              <w:spacing w:after="0"/>
              <w:rPr>
                <w:sz w:val="21"/>
                <w:szCs w:val="21"/>
                <w:color w:val="auto"/>
              </w:rPr>
            </w:pPr>
          </w:p>
        </w:tc>
        <w:tc>
          <w:tcPr>
            <w:tcW w:w="500" w:type="dxa"/>
            <w:vAlign w:val="bottom"/>
            <w:tcBorders>
              <w:bottom w:val="single" w:sz="8" w:color="D9D9D6"/>
            </w:tcBorders>
          </w:tcPr>
          <w:p>
            <w:pPr>
              <w:jc w:val="right"/>
              <w:ind w:right="1"/>
              <w:spacing w:after="0"/>
              <w:rPr>
                <w:sz w:val="20"/>
                <w:szCs w:val="20"/>
                <w:color w:val="auto"/>
              </w:rPr>
            </w:pPr>
            <w:r>
              <w:rPr>
                <w:rFonts w:ascii="Arial" w:cs="Arial" w:eastAsia="Arial" w:hAnsi="Arial"/>
                <w:sz w:val="16"/>
                <w:szCs w:val="16"/>
                <w:color w:val="3D3935"/>
              </w:rPr>
              <w:t>5.75</w:t>
            </w:r>
          </w:p>
        </w:tc>
        <w:tc>
          <w:tcPr>
            <w:tcW w:w="20" w:type="dxa"/>
            <w:vAlign w:val="bottom"/>
          </w:tcPr>
          <w:p>
            <w:pPr>
              <w:spacing w:after="0"/>
              <w:rPr>
                <w:sz w:val="21"/>
                <w:szCs w:val="21"/>
                <w:color w:val="auto"/>
              </w:rPr>
            </w:pPr>
          </w:p>
        </w:tc>
      </w:tr>
      <w:tr>
        <w:trPr>
          <w:trHeight w:val="250"/>
        </w:trPr>
        <w:tc>
          <w:tcPr>
            <w:tcW w:w="564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 xml:space="preserve">Tax effect of adjustments </w:t>
            </w:r>
            <w:r>
              <w:rPr>
                <w:rFonts w:ascii="Arial" w:cs="Arial" w:eastAsia="Arial" w:hAnsi="Arial"/>
                <w:sz w:val="21"/>
                <w:szCs w:val="21"/>
                <w:color w:val="3D3935"/>
                <w:vertAlign w:val="superscript"/>
              </w:rPr>
              <w:t>(2)</w:t>
            </w:r>
          </w:p>
        </w:tc>
        <w:tc>
          <w:tcPr>
            <w:tcW w:w="2940" w:type="dxa"/>
            <w:vAlign w:val="bottom"/>
            <w:tcBorders>
              <w:bottom w:val="single" w:sz="8" w:color="D9D9D6"/>
            </w:tcBorders>
          </w:tcPr>
          <w:p>
            <w:pPr>
              <w:spacing w:after="0"/>
              <w:rPr>
                <w:sz w:val="21"/>
                <w:szCs w:val="21"/>
                <w:color w:val="auto"/>
              </w:rPr>
            </w:pPr>
          </w:p>
        </w:tc>
        <w:tc>
          <w:tcPr>
            <w:tcW w:w="50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(0.42)</w:t>
            </w:r>
          </w:p>
        </w:tc>
        <w:tc>
          <w:tcPr>
            <w:tcW w:w="20" w:type="dxa"/>
            <w:vAlign w:val="bottom"/>
          </w:tcPr>
          <w:p>
            <w:pPr>
              <w:spacing w:after="0"/>
              <w:rPr>
                <w:sz w:val="21"/>
                <w:szCs w:val="21"/>
                <w:color w:val="auto"/>
              </w:rPr>
            </w:pPr>
          </w:p>
        </w:tc>
      </w:tr>
      <w:tr>
        <w:trPr>
          <w:trHeight w:val="250"/>
        </w:trPr>
        <w:tc>
          <w:tcPr>
            <w:tcW w:w="5640" w:type="dxa"/>
            <w:vAlign w:val="bottom"/>
          </w:tcPr>
          <w:p>
            <w:pPr>
              <w:ind w:left="60"/>
              <w:spacing w:after="0"/>
              <w:rPr>
                <w:sz w:val="20"/>
                <w:szCs w:val="20"/>
                <w:color w:val="auto"/>
              </w:rPr>
            </w:pPr>
            <w:r>
              <w:rPr>
                <w:rFonts w:ascii="Arial" w:cs="Arial" w:eastAsia="Arial" w:hAnsi="Arial"/>
                <w:sz w:val="16"/>
                <w:szCs w:val="16"/>
                <w:color w:val="3D3935"/>
              </w:rPr>
              <w:t xml:space="preserve">Return from preferred shareholders </w:t>
            </w:r>
            <w:r>
              <w:rPr>
                <w:rFonts w:ascii="Arial" w:cs="Arial" w:eastAsia="Arial" w:hAnsi="Arial"/>
                <w:sz w:val="21"/>
                <w:szCs w:val="21"/>
                <w:color w:val="3D3935"/>
                <w:vertAlign w:val="superscript"/>
              </w:rPr>
              <w:t>(3)</w:t>
            </w:r>
          </w:p>
        </w:tc>
        <w:tc>
          <w:tcPr>
            <w:tcW w:w="2940" w:type="dxa"/>
            <w:vAlign w:val="bottom"/>
          </w:tcPr>
          <w:p>
            <w:pPr>
              <w:spacing w:after="0"/>
              <w:rPr>
                <w:sz w:val="21"/>
                <w:szCs w:val="21"/>
                <w:color w:val="auto"/>
              </w:rPr>
            </w:pPr>
          </w:p>
        </w:tc>
        <w:tc>
          <w:tcPr>
            <w:tcW w:w="520" w:type="dxa"/>
            <w:vAlign w:val="bottom"/>
            <w:gridSpan w:val="2"/>
          </w:tcPr>
          <w:p>
            <w:pPr>
              <w:ind w:left="100"/>
              <w:spacing w:after="0"/>
              <w:rPr>
                <w:sz w:val="20"/>
                <w:szCs w:val="20"/>
                <w:color w:val="auto"/>
              </w:rPr>
            </w:pPr>
            <w:r>
              <w:rPr>
                <w:rFonts w:ascii="Arial" w:cs="Arial" w:eastAsia="Arial" w:hAnsi="Arial"/>
                <w:sz w:val="16"/>
                <w:szCs w:val="16"/>
                <w:color w:val="3D3935"/>
                <w:w w:val="95"/>
              </w:rPr>
              <w:t>(1.10)</w:t>
            </w:r>
          </w:p>
        </w:tc>
      </w:tr>
      <w:tr>
        <w:trPr>
          <w:trHeight w:val="250"/>
        </w:trPr>
        <w:tc>
          <w:tcPr>
            <w:tcW w:w="5640" w:type="dxa"/>
            <w:vAlign w:val="bottom"/>
            <w:tcBorders>
              <w:top w:val="single" w:sz="8" w:color="D9D9D6"/>
              <w:bottom w:val="single" w:sz="8" w:color="0072CE"/>
            </w:tcBorders>
          </w:tcPr>
          <w:p>
            <w:pPr>
              <w:ind w:left="60"/>
              <w:spacing w:after="0"/>
              <w:rPr>
                <w:sz w:val="20"/>
                <w:szCs w:val="20"/>
                <w:color w:val="auto"/>
              </w:rPr>
            </w:pPr>
            <w:r>
              <w:rPr>
                <w:rFonts w:ascii="Arial" w:cs="Arial" w:eastAsia="Arial" w:hAnsi="Arial"/>
                <w:sz w:val="16"/>
                <w:szCs w:val="16"/>
                <w:b w:val="1"/>
                <w:bCs w:val="1"/>
                <w:color w:val="3D3935"/>
              </w:rPr>
              <w:t>EPS-diluted-adjusted</w:t>
            </w:r>
          </w:p>
        </w:tc>
        <w:tc>
          <w:tcPr>
            <w:tcW w:w="2940" w:type="dxa"/>
            <w:vAlign w:val="bottom"/>
            <w:tcBorders>
              <w:top w:val="single" w:sz="8" w:color="D9D9D6"/>
              <w:bottom w:val="single" w:sz="8" w:color="0072CE"/>
            </w:tcBorders>
          </w:tcPr>
          <w:p>
            <w:pPr>
              <w:jc w:val="right"/>
              <w:spacing w:after="0"/>
              <w:rPr>
                <w:sz w:val="20"/>
                <w:szCs w:val="20"/>
                <w:color w:val="auto"/>
              </w:rPr>
            </w:pPr>
            <w:r>
              <w:rPr>
                <w:rFonts w:ascii="Arial" w:cs="Arial" w:eastAsia="Arial" w:hAnsi="Arial"/>
                <w:sz w:val="16"/>
                <w:szCs w:val="16"/>
                <w:b w:val="1"/>
                <w:bCs w:val="1"/>
                <w:color w:val="3D3935"/>
              </w:rPr>
              <w:t>$</w:t>
            </w:r>
          </w:p>
        </w:tc>
        <w:tc>
          <w:tcPr>
            <w:tcW w:w="500" w:type="dxa"/>
            <w:vAlign w:val="bottom"/>
            <w:tcBorders>
              <w:top w:val="single" w:sz="8" w:color="D9D9D6"/>
              <w:bottom w:val="single" w:sz="8" w:color="0072CE"/>
            </w:tcBorders>
          </w:tcPr>
          <w:p>
            <w:pPr>
              <w:jc w:val="right"/>
              <w:ind w:right="1"/>
              <w:spacing w:after="0"/>
              <w:rPr>
                <w:sz w:val="20"/>
                <w:szCs w:val="20"/>
                <w:color w:val="auto"/>
              </w:rPr>
            </w:pPr>
            <w:r>
              <w:rPr>
                <w:rFonts w:ascii="Arial" w:cs="Arial" w:eastAsia="Arial" w:hAnsi="Arial"/>
                <w:sz w:val="16"/>
                <w:szCs w:val="16"/>
                <w:b w:val="1"/>
                <w:bCs w:val="1"/>
                <w:color w:val="3D3935"/>
                <w:w w:val="99"/>
              </w:rPr>
              <w:t>10.60</w:t>
            </w:r>
          </w:p>
        </w:tc>
        <w:tc>
          <w:tcPr>
            <w:tcW w:w="20" w:type="dxa"/>
            <w:vAlign w:val="bottom"/>
          </w:tcPr>
          <w:p>
            <w:pPr>
              <w:spacing w:after="0"/>
              <w:rPr>
                <w:sz w:val="21"/>
                <w:szCs w:val="21"/>
                <w:color w:val="auto"/>
              </w:rPr>
            </w:pPr>
          </w:p>
        </w:tc>
      </w:tr>
    </w:tbl>
    <w:p>
      <w:pPr>
        <w:spacing w:after="0" w:line="138" w:lineRule="exact"/>
        <w:rPr>
          <w:sz w:val="20"/>
          <w:szCs w:val="20"/>
          <w:color w:val="auto"/>
        </w:rPr>
      </w:pPr>
    </w:p>
    <w:p>
      <w:pPr>
        <w:ind w:left="1020" w:hanging="192"/>
        <w:spacing w:after="0"/>
        <w:tabs>
          <w:tab w:leader="none" w:pos="1020" w:val="left"/>
        </w:tabs>
        <w:numPr>
          <w:ilvl w:val="0"/>
          <w:numId w:val="126"/>
        </w:numPr>
        <w:rPr>
          <w:rFonts w:ascii="Arial" w:cs="Arial" w:eastAsia="Arial" w:hAnsi="Arial"/>
          <w:sz w:val="19"/>
          <w:szCs w:val="19"/>
          <w:color w:val="3D3935"/>
          <w:vertAlign w:val="superscript"/>
        </w:rPr>
      </w:pPr>
      <w:r>
        <w:rPr>
          <w:rFonts w:ascii="Arial" w:cs="Arial" w:eastAsia="Arial" w:hAnsi="Arial"/>
          <w:sz w:val="14"/>
          <w:szCs w:val="14"/>
          <w:color w:val="3D3935"/>
        </w:rPr>
        <w:t>Refer to the reconciliation of Net Income Attributable to Stockholders under GAAP to EBIT-adjusted above for adjustment details.</w:t>
      </w:r>
    </w:p>
    <w:p>
      <w:pPr>
        <w:spacing w:after="0" w:line="39" w:lineRule="exact"/>
        <w:rPr>
          <w:rFonts w:ascii="Arial" w:cs="Arial" w:eastAsia="Arial" w:hAnsi="Arial"/>
          <w:sz w:val="19"/>
          <w:szCs w:val="19"/>
          <w:color w:val="3D3935"/>
          <w:vertAlign w:val="superscript"/>
        </w:rPr>
      </w:pPr>
    </w:p>
    <w:p>
      <w:pPr>
        <w:ind w:left="1020" w:right="1320" w:hanging="192"/>
        <w:spacing w:after="0" w:line="222" w:lineRule="auto"/>
        <w:tabs>
          <w:tab w:leader="none" w:pos="1020" w:val="left"/>
        </w:tabs>
        <w:numPr>
          <w:ilvl w:val="0"/>
          <w:numId w:val="126"/>
        </w:numPr>
        <w:rPr>
          <w:rFonts w:ascii="Arial" w:cs="Arial" w:eastAsia="Arial" w:hAnsi="Arial"/>
          <w:sz w:val="19"/>
          <w:szCs w:val="19"/>
          <w:color w:val="3D3935"/>
          <w:vertAlign w:val="superscript"/>
        </w:rPr>
      </w:pPr>
      <w:r>
        <w:rPr>
          <w:rFonts w:ascii="Arial" w:cs="Arial" w:eastAsia="Arial" w:hAnsi="Arial"/>
          <w:sz w:val="14"/>
          <w:szCs w:val="14"/>
          <w:color w:val="3D3935"/>
        </w:rPr>
        <w:t>The tax effect of each adjustment is determined based on the tax laws and valuation allowance status of the jurisdiction to which the adjustment relates.</w:t>
      </w:r>
    </w:p>
    <w:p>
      <w:pPr>
        <w:spacing w:after="0" w:line="26" w:lineRule="exact"/>
        <w:rPr>
          <w:rFonts w:ascii="Arial" w:cs="Arial" w:eastAsia="Arial" w:hAnsi="Arial"/>
          <w:sz w:val="19"/>
          <w:szCs w:val="19"/>
          <w:color w:val="3D3935"/>
          <w:vertAlign w:val="superscript"/>
        </w:rPr>
      </w:pPr>
    </w:p>
    <w:p>
      <w:pPr>
        <w:ind w:left="1020" w:right="1680" w:hanging="192"/>
        <w:spacing w:after="0" w:line="222" w:lineRule="auto"/>
        <w:tabs>
          <w:tab w:leader="none" w:pos="1020" w:val="left"/>
        </w:tabs>
        <w:numPr>
          <w:ilvl w:val="0"/>
          <w:numId w:val="126"/>
        </w:numPr>
        <w:rPr>
          <w:rFonts w:ascii="Arial" w:cs="Arial" w:eastAsia="Arial" w:hAnsi="Arial"/>
          <w:sz w:val="19"/>
          <w:szCs w:val="19"/>
          <w:color w:val="3D3935"/>
          <w:vertAlign w:val="superscript"/>
        </w:rPr>
      </w:pPr>
      <w:r>
        <w:rPr>
          <w:rFonts w:ascii="Arial" w:cs="Arial" w:eastAsia="Arial" w:hAnsi="Arial"/>
          <w:sz w:val="14"/>
          <w:szCs w:val="14"/>
          <w:color w:val="3D3935"/>
        </w:rPr>
        <w:t>This adjustment consists of a return from the preferred shareholders related to the redemption of Cruise preferred shares from noncontrolling interest holders.</w:t>
      </w:r>
    </w:p>
    <w:p>
      <w:pPr>
        <w:spacing w:after="0" w:line="36" w:lineRule="exact"/>
        <w:rPr>
          <w:sz w:val="20"/>
          <w:szCs w:val="20"/>
          <w:color w:val="auto"/>
        </w:rPr>
      </w:pPr>
    </w:p>
    <w:p>
      <w:pPr>
        <w:ind w:left="820"/>
        <w:spacing w:after="0"/>
        <w:rPr>
          <w:sz w:val="20"/>
          <w:szCs w:val="20"/>
          <w:color w:val="auto"/>
        </w:rPr>
      </w:pPr>
      <w:r>
        <w:rPr>
          <w:rFonts w:ascii="Arial" w:cs="Arial" w:eastAsia="Arial" w:hAnsi="Arial"/>
          <w:sz w:val="16"/>
          <w:szCs w:val="16"/>
          <w:color w:val="3D3935"/>
        </w:rPr>
        <w:t>The following table summarizes the calculation of ROIC-adjusted:</w:t>
      </w:r>
    </w:p>
    <w:p>
      <w:pPr>
        <w:spacing w:after="0" w:line="145" w:lineRule="exact"/>
        <w:rPr>
          <w:sz w:val="20"/>
          <w:szCs w:val="20"/>
          <w:color w:val="auto"/>
        </w:rPr>
      </w:pPr>
    </w:p>
    <w:tbl>
      <w:tblPr>
        <w:tblLayout w:type="fixed"/>
        <w:tblInd w:w="880" w:type="dxa"/>
        <w:tblCellMar>
          <w:top w:w="0" w:type="dxa"/>
          <w:left w:w="0" w:type="dxa"/>
          <w:bottom w:w="0" w:type="dxa"/>
          <w:right w:w="0" w:type="dxa"/>
        </w:tblCellMar>
      </w:tblPr>
      <w:tr>
        <w:trPr>
          <w:trHeight w:val="196"/>
        </w:trPr>
        <w:tc>
          <w:tcPr>
            <w:tcW w:w="7220" w:type="dxa"/>
            <w:vAlign w:val="bottom"/>
          </w:tcPr>
          <w:p>
            <w:pPr>
              <w:spacing w:after="0"/>
              <w:rPr>
                <w:sz w:val="20"/>
                <w:szCs w:val="20"/>
                <w:color w:val="auto"/>
              </w:rPr>
            </w:pPr>
            <w:r>
              <w:rPr>
                <w:rFonts w:ascii="Arial" w:cs="Arial" w:eastAsia="Arial" w:hAnsi="Arial"/>
                <w:sz w:val="14"/>
                <w:szCs w:val="14"/>
                <w:b w:val="1"/>
                <w:bCs w:val="1"/>
                <w:color w:val="3D3935"/>
              </w:rPr>
              <w:t>($B)</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3D3935"/>
              </w:rPr>
              <w:t>2024</w:t>
            </w:r>
          </w:p>
        </w:tc>
      </w:tr>
      <w:tr>
        <w:trPr>
          <w:trHeight w:val="302"/>
        </w:trPr>
        <w:tc>
          <w:tcPr>
            <w:tcW w:w="7220" w:type="dxa"/>
            <w:vAlign w:val="bottom"/>
          </w:tcPr>
          <w:p>
            <w:pPr>
              <w:spacing w:after="0"/>
              <w:rPr>
                <w:sz w:val="20"/>
                <w:szCs w:val="20"/>
                <w:color w:val="auto"/>
              </w:rPr>
            </w:pPr>
            <w:r>
              <w:rPr>
                <w:rFonts w:ascii="Arial" w:cs="Arial" w:eastAsia="Arial" w:hAnsi="Arial"/>
                <w:sz w:val="16"/>
                <w:szCs w:val="16"/>
                <w:b w:val="1"/>
                <w:bCs w:val="1"/>
                <w:color w:val="3D3935"/>
              </w:rPr>
              <w:t>EBIT-adjusted</w:t>
            </w:r>
            <w:r>
              <w:rPr>
                <w:rFonts w:ascii="Arial" w:cs="Arial" w:eastAsia="Arial" w:hAnsi="Arial"/>
                <w:sz w:val="21"/>
                <w:szCs w:val="21"/>
                <w:b w:val="1"/>
                <w:bCs w:val="1"/>
                <w:color w:val="3D3935"/>
                <w:vertAlign w:val="superscript"/>
              </w:rPr>
              <w:t>(1)</w:t>
            </w:r>
          </w:p>
        </w:tc>
        <w:tc>
          <w:tcPr>
            <w:tcW w:w="1700" w:type="dxa"/>
            <w:vAlign w:val="bottom"/>
          </w:tcPr>
          <w:p>
            <w:pPr>
              <w:jc w:val="right"/>
              <w:ind w:right="41"/>
              <w:spacing w:after="0"/>
              <w:rPr>
                <w:sz w:val="20"/>
                <w:szCs w:val="20"/>
                <w:color w:val="auto"/>
              </w:rPr>
            </w:pPr>
            <w:r>
              <w:rPr>
                <w:rFonts w:ascii="Arial" w:cs="Arial" w:eastAsia="Arial" w:hAnsi="Arial"/>
                <w:sz w:val="16"/>
                <w:szCs w:val="16"/>
                <w:b w:val="1"/>
                <w:bCs w:val="1"/>
                <w:color w:val="3D3935"/>
              </w:rPr>
              <w:t>$14.9</w:t>
            </w:r>
          </w:p>
        </w:tc>
      </w:tr>
      <w:tr>
        <w:trPr>
          <w:trHeight w:val="282"/>
        </w:trPr>
        <w:tc>
          <w:tcPr>
            <w:tcW w:w="7220" w:type="dxa"/>
            <w:vAlign w:val="bottom"/>
          </w:tcPr>
          <w:p>
            <w:pPr>
              <w:ind w:left="180"/>
              <w:spacing w:after="0"/>
              <w:rPr>
                <w:sz w:val="20"/>
                <w:szCs w:val="20"/>
                <w:color w:val="auto"/>
              </w:rPr>
            </w:pPr>
            <w:r>
              <w:rPr>
                <w:rFonts w:ascii="Arial" w:cs="Arial" w:eastAsia="Arial" w:hAnsi="Arial"/>
                <w:sz w:val="16"/>
                <w:szCs w:val="16"/>
                <w:color w:val="3D3935"/>
              </w:rPr>
              <w:t xml:space="preserve">Average equity </w:t>
            </w:r>
            <w:r>
              <w:rPr>
                <w:rFonts w:ascii="Arial" w:cs="Arial" w:eastAsia="Arial" w:hAnsi="Arial"/>
                <w:sz w:val="21"/>
                <w:szCs w:val="21"/>
                <w:color w:val="3D3935"/>
                <w:vertAlign w:val="superscript"/>
              </w:rPr>
              <w:t>(2)</w:t>
            </w:r>
          </w:p>
        </w:tc>
        <w:tc>
          <w:tcPr>
            <w:tcW w:w="1700" w:type="dxa"/>
            <w:vAlign w:val="bottom"/>
          </w:tcPr>
          <w:p>
            <w:pPr>
              <w:jc w:val="right"/>
              <w:ind w:right="41"/>
              <w:spacing w:after="0"/>
              <w:rPr>
                <w:sz w:val="20"/>
                <w:szCs w:val="20"/>
                <w:color w:val="auto"/>
              </w:rPr>
            </w:pPr>
            <w:r>
              <w:rPr>
                <w:rFonts w:ascii="Arial" w:cs="Arial" w:eastAsia="Arial" w:hAnsi="Arial"/>
                <w:sz w:val="16"/>
                <w:szCs w:val="16"/>
                <w:color w:val="3D3935"/>
              </w:rPr>
              <w:t>68.9</w:t>
            </w:r>
          </w:p>
        </w:tc>
      </w:tr>
      <w:tr>
        <w:trPr>
          <w:trHeight w:val="226"/>
        </w:trPr>
        <w:tc>
          <w:tcPr>
            <w:tcW w:w="7220" w:type="dxa"/>
            <w:vAlign w:val="bottom"/>
          </w:tcPr>
          <w:p>
            <w:pPr>
              <w:ind w:left="180"/>
              <w:spacing w:after="0"/>
              <w:rPr>
                <w:sz w:val="20"/>
                <w:szCs w:val="20"/>
                <w:color w:val="auto"/>
              </w:rPr>
            </w:pPr>
            <w:r>
              <w:rPr>
                <w:rFonts w:ascii="Arial" w:cs="Arial" w:eastAsia="Arial" w:hAnsi="Arial"/>
                <w:sz w:val="16"/>
                <w:szCs w:val="16"/>
                <w:color w:val="3D3935"/>
              </w:rPr>
              <w:t>Add: Average automotive debt and interest liabilities (excluding finance leases)</w:t>
            </w:r>
          </w:p>
        </w:tc>
        <w:tc>
          <w:tcPr>
            <w:tcW w:w="1700" w:type="dxa"/>
            <w:vAlign w:val="bottom"/>
          </w:tcPr>
          <w:p>
            <w:pPr>
              <w:jc w:val="right"/>
              <w:spacing w:after="0"/>
              <w:rPr>
                <w:sz w:val="20"/>
                <w:szCs w:val="20"/>
                <w:color w:val="auto"/>
              </w:rPr>
            </w:pPr>
            <w:r>
              <w:rPr>
                <w:rFonts w:ascii="Arial" w:cs="Arial" w:eastAsia="Arial" w:hAnsi="Arial"/>
                <w:sz w:val="16"/>
                <w:szCs w:val="16"/>
                <w:color w:val="3D3935"/>
              </w:rPr>
              <w:t>16.1</w:t>
            </w:r>
          </w:p>
        </w:tc>
      </w:tr>
      <w:tr>
        <w:trPr>
          <w:trHeight w:val="270"/>
        </w:trPr>
        <w:tc>
          <w:tcPr>
            <w:tcW w:w="7220" w:type="dxa"/>
            <w:vAlign w:val="bottom"/>
          </w:tcPr>
          <w:p>
            <w:pPr>
              <w:ind w:left="180"/>
              <w:spacing w:after="0"/>
              <w:rPr>
                <w:sz w:val="20"/>
                <w:szCs w:val="20"/>
                <w:color w:val="auto"/>
              </w:rPr>
            </w:pPr>
            <w:r>
              <w:rPr>
                <w:rFonts w:ascii="Arial" w:cs="Arial" w:eastAsia="Arial" w:hAnsi="Arial"/>
                <w:sz w:val="16"/>
                <w:szCs w:val="16"/>
                <w:color w:val="3D3935"/>
              </w:rPr>
              <w:t>Add: Average automotive net pension and other post-retirement benefits liabilities</w:t>
            </w:r>
          </w:p>
        </w:tc>
        <w:tc>
          <w:tcPr>
            <w:tcW w:w="1700" w:type="dxa"/>
            <w:vAlign w:val="bottom"/>
          </w:tcPr>
          <w:p>
            <w:pPr>
              <w:jc w:val="right"/>
              <w:ind w:right="41"/>
              <w:spacing w:after="0"/>
              <w:rPr>
                <w:sz w:val="20"/>
                <w:szCs w:val="20"/>
                <w:color w:val="auto"/>
              </w:rPr>
            </w:pPr>
            <w:r>
              <w:rPr>
                <w:rFonts w:ascii="Arial" w:cs="Arial" w:eastAsia="Arial" w:hAnsi="Arial"/>
                <w:sz w:val="16"/>
                <w:szCs w:val="16"/>
                <w:color w:val="3D3935"/>
              </w:rPr>
              <w:t>9.4</w:t>
            </w:r>
          </w:p>
        </w:tc>
      </w:tr>
      <w:tr>
        <w:trPr>
          <w:trHeight w:val="270"/>
        </w:trPr>
        <w:tc>
          <w:tcPr>
            <w:tcW w:w="7220" w:type="dxa"/>
            <w:vAlign w:val="bottom"/>
          </w:tcPr>
          <w:p>
            <w:pPr>
              <w:ind w:left="180"/>
              <w:spacing w:after="0"/>
              <w:rPr>
                <w:sz w:val="20"/>
                <w:szCs w:val="20"/>
                <w:color w:val="auto"/>
              </w:rPr>
            </w:pPr>
            <w:r>
              <w:rPr>
                <w:rFonts w:ascii="Arial" w:cs="Arial" w:eastAsia="Arial" w:hAnsi="Arial"/>
                <w:sz w:val="16"/>
                <w:szCs w:val="16"/>
                <w:color w:val="3D3935"/>
              </w:rPr>
              <w:t>Less: Average automotive net income tax asset</w:t>
            </w:r>
          </w:p>
        </w:tc>
        <w:tc>
          <w:tcPr>
            <w:tcW w:w="1700" w:type="dxa"/>
            <w:vAlign w:val="bottom"/>
          </w:tcPr>
          <w:p>
            <w:pPr>
              <w:jc w:val="right"/>
              <w:spacing w:after="0"/>
              <w:rPr>
                <w:sz w:val="20"/>
                <w:szCs w:val="20"/>
                <w:color w:val="auto"/>
              </w:rPr>
            </w:pPr>
            <w:r>
              <w:rPr>
                <w:rFonts w:ascii="Arial" w:cs="Arial" w:eastAsia="Arial" w:hAnsi="Arial"/>
                <w:sz w:val="16"/>
                <w:szCs w:val="16"/>
                <w:color w:val="3D3935"/>
              </w:rPr>
              <w:t>(22.7)</w:t>
            </w:r>
          </w:p>
        </w:tc>
      </w:tr>
    </w:tbl>
    <w:p>
      <w:pPr>
        <w:sectPr>
          <w:pgSz w:w="11900" w:h="16838" w:orient="portrait"/>
          <w:cols w:equalWidth="0" w:num="1">
            <w:col w:w="10720"/>
          </w:cols>
          <w:pgMar w:left="580" w:top="90" w:right="599" w:bottom="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0" w:type="dxa"/>
            <w:vAlign w:val="bottom"/>
          </w:tcPr>
          <w:p>
            <w:pPr>
              <w:ind w:left="60"/>
              <w:spacing w:after="0"/>
              <w:rPr>
                <w:sz w:val="20"/>
                <w:szCs w:val="20"/>
                <w:color w:val="auto"/>
              </w:rPr>
            </w:pPr>
            <w:r>
              <w:rPr>
                <w:rFonts w:ascii="Arial" w:cs="Arial" w:eastAsia="Arial" w:hAnsi="Arial"/>
                <w:sz w:val="16"/>
                <w:szCs w:val="16"/>
                <w:b w:val="1"/>
                <w:bCs w:val="1"/>
                <w:color w:val="3D3935"/>
              </w:rPr>
              <w:t>ROIC-adjusted average net assets</w:t>
            </w:r>
          </w:p>
        </w:tc>
        <w:tc>
          <w:tcPr>
            <w:tcW w:w="3480" w:type="dxa"/>
            <w:vAlign w:val="bottom"/>
          </w:tcPr>
          <w:p>
            <w:pPr>
              <w:jc w:val="right"/>
              <w:ind w:right="119"/>
              <w:spacing w:after="0"/>
              <w:rPr>
                <w:sz w:val="20"/>
                <w:szCs w:val="20"/>
                <w:color w:val="auto"/>
              </w:rPr>
            </w:pPr>
            <w:r>
              <w:rPr>
                <w:rFonts w:ascii="Arial" w:cs="Arial" w:eastAsia="Arial" w:hAnsi="Arial"/>
                <w:sz w:val="16"/>
                <w:szCs w:val="16"/>
                <w:b w:val="1"/>
                <w:bCs w:val="1"/>
                <w:color w:val="3D3935"/>
              </w:rPr>
              <w:t>71.8</w:t>
            </w:r>
          </w:p>
        </w:tc>
      </w:tr>
      <w:tr>
        <w:trPr>
          <w:trHeight w:val="223"/>
        </w:trPr>
        <w:tc>
          <w:tcPr>
            <w:tcW w:w="5600" w:type="dxa"/>
            <w:vAlign w:val="bottom"/>
          </w:tcPr>
          <w:p>
            <w:pPr>
              <w:ind w:left="60"/>
              <w:spacing w:after="0"/>
              <w:rPr>
                <w:sz w:val="20"/>
                <w:szCs w:val="20"/>
                <w:color w:val="auto"/>
              </w:rPr>
            </w:pPr>
            <w:r>
              <w:rPr>
                <w:rFonts w:ascii="Arial" w:cs="Arial" w:eastAsia="Arial" w:hAnsi="Arial"/>
                <w:sz w:val="16"/>
                <w:szCs w:val="16"/>
                <w:b w:val="1"/>
                <w:bCs w:val="1"/>
                <w:color w:val="0072CE"/>
              </w:rPr>
              <w:t>ROIC-adjusted</w:t>
            </w:r>
          </w:p>
        </w:tc>
        <w:tc>
          <w:tcPr>
            <w:tcW w:w="3480" w:type="dxa"/>
            <w:vAlign w:val="bottom"/>
          </w:tcPr>
          <w:p>
            <w:pPr>
              <w:jc w:val="right"/>
              <w:ind w:right="19"/>
              <w:spacing w:after="0"/>
              <w:rPr>
                <w:sz w:val="20"/>
                <w:szCs w:val="20"/>
                <w:color w:val="auto"/>
              </w:rPr>
            </w:pPr>
            <w:r>
              <w:rPr>
                <w:rFonts w:ascii="Arial" w:cs="Arial" w:eastAsia="Arial" w:hAnsi="Arial"/>
                <w:sz w:val="16"/>
                <w:szCs w:val="16"/>
                <w:b w:val="1"/>
                <w:bCs w:val="1"/>
                <w:color w:val="0072CE"/>
              </w:rPr>
              <w:t>20.8%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-226695</wp:posOffset>
            </wp:positionV>
            <wp:extent cx="6810375" cy="12363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10375" cy="1236345"/>
                    </a:xfrm>
                    <a:prstGeom prst="rect">
                      <a:avLst/>
                    </a:prstGeom>
                    <a:noFill/>
                  </pic:spPr>
                </pic:pic>
              </a:graphicData>
            </a:graphic>
          </wp:anchor>
        </w:drawing>
      </w:r>
    </w:p>
    <w:p>
      <w:pPr>
        <w:spacing w:after="0" w:line="98" w:lineRule="exact"/>
        <w:rPr>
          <w:sz w:val="20"/>
          <w:szCs w:val="20"/>
          <w:color w:val="auto"/>
        </w:rPr>
      </w:pPr>
    </w:p>
    <w:p>
      <w:pPr>
        <w:ind w:left="200" w:hanging="192"/>
        <w:spacing w:after="0"/>
        <w:tabs>
          <w:tab w:leader="none" w:pos="200" w:val="left"/>
        </w:tabs>
        <w:numPr>
          <w:ilvl w:val="0"/>
          <w:numId w:val="127"/>
        </w:numPr>
        <w:rPr>
          <w:rFonts w:ascii="Arial" w:cs="Arial" w:eastAsia="Arial" w:hAnsi="Arial"/>
          <w:sz w:val="19"/>
          <w:szCs w:val="19"/>
          <w:color w:val="3D3935"/>
          <w:vertAlign w:val="superscript"/>
        </w:rPr>
      </w:pPr>
      <w:r>
        <w:rPr>
          <w:rFonts w:ascii="Arial" w:cs="Arial" w:eastAsia="Arial" w:hAnsi="Arial"/>
          <w:sz w:val="14"/>
          <w:szCs w:val="14"/>
          <w:color w:val="3D3935"/>
        </w:rPr>
        <w:t>Refer to the reconciliation of Net Income Attributable to Stockholders under GAAP to EBIT-adjusted above for adjustment details.</w:t>
      </w:r>
    </w:p>
    <w:p>
      <w:pPr>
        <w:spacing w:after="0" w:line="43" w:lineRule="exact"/>
        <w:rPr>
          <w:rFonts w:ascii="Arial" w:cs="Arial" w:eastAsia="Arial" w:hAnsi="Arial"/>
          <w:sz w:val="19"/>
          <w:szCs w:val="19"/>
          <w:color w:val="3D3935"/>
          <w:vertAlign w:val="superscript"/>
        </w:rPr>
      </w:pPr>
    </w:p>
    <w:p>
      <w:pPr>
        <w:ind w:left="200" w:hanging="192"/>
        <w:spacing w:after="0" w:line="204" w:lineRule="auto"/>
        <w:tabs>
          <w:tab w:leader="none" w:pos="200" w:val="left"/>
        </w:tabs>
        <w:numPr>
          <w:ilvl w:val="0"/>
          <w:numId w:val="127"/>
        </w:numPr>
        <w:rPr>
          <w:rFonts w:ascii="Arial" w:cs="Arial" w:eastAsia="Arial" w:hAnsi="Arial"/>
          <w:sz w:val="19"/>
          <w:szCs w:val="19"/>
          <w:color w:val="3D3935"/>
          <w:vertAlign w:val="superscript"/>
        </w:rPr>
      </w:pPr>
      <w:r>
        <w:rPr>
          <w:rFonts w:ascii="Arial" w:cs="Arial" w:eastAsia="Arial" w:hAnsi="Arial"/>
          <w:sz w:val="14"/>
          <w:szCs w:val="14"/>
          <w:color w:val="3D3935"/>
        </w:rPr>
        <w:t>Includes equity of noncontrolling interests where the corresponding earnings (loss) are included in EBIT-adjusted.</w:t>
      </w: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88677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Appendix A: Non-GAAP Financial Measures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40"/>
          <w:szCs w:val="40"/>
          <w:b w:val="1"/>
          <w:bCs w:val="1"/>
          <w:color w:val="0072CE"/>
        </w:rPr>
        <w:t>Adjusted Automotive Free Cash Flow</w:t>
      </w:r>
    </w:p>
    <w:p>
      <w:pPr>
        <w:spacing w:after="0" w:line="127" w:lineRule="exact"/>
        <w:rPr>
          <w:sz w:val="20"/>
          <w:szCs w:val="20"/>
          <w:color w:val="auto"/>
        </w:rPr>
      </w:pPr>
    </w:p>
    <w:p>
      <w:pPr>
        <w:ind w:right="500"/>
        <w:spacing w:after="0" w:line="295" w:lineRule="auto"/>
        <w:rPr>
          <w:sz w:val="20"/>
          <w:szCs w:val="20"/>
          <w:color w:val="auto"/>
        </w:rPr>
      </w:pPr>
      <w:r>
        <w:rPr>
          <w:rFonts w:ascii="Arial" w:cs="Arial" w:eastAsia="Arial" w:hAnsi="Arial"/>
          <w:sz w:val="16"/>
          <w:szCs w:val="16"/>
          <w:color w:val="3D3935"/>
        </w:rPr>
        <w:t>In the section titled “Compensation Discussion and Analysis,” we present one of our incentive compensation measures, adjusted automotive free cash flow, which is not prepared in accordance with GAAP. Below is a reconciliation of adjusted automotive free cash flow (as calculated for incentive compensation purposes) to Net Automotive Cash Provided by Operating Activities, its nearest GAAP measure. The numbers in the table below may not sum due to rounding.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140" w:type="dxa"/>
            <w:vAlign w:val="bottom"/>
            <w:tcBorders>
              <w:bottom w:val="single" w:sz="8" w:color="0072CE"/>
            </w:tcBorders>
            <w:shd w:val="clear" w:color="auto" w:fill="F0F3F6"/>
          </w:tcPr>
          <w:p>
            <w:pPr>
              <w:ind w:left="60"/>
              <w:spacing w:after="0"/>
              <w:rPr>
                <w:sz w:val="20"/>
                <w:szCs w:val="20"/>
                <w:color w:val="auto"/>
              </w:rPr>
            </w:pPr>
            <w:r>
              <w:rPr>
                <w:rFonts w:ascii="Arial" w:cs="Arial" w:eastAsia="Arial" w:hAnsi="Arial"/>
                <w:sz w:val="14"/>
                <w:szCs w:val="14"/>
                <w:b w:val="1"/>
                <w:bCs w:val="1"/>
                <w:color w:val="3D3935"/>
              </w:rPr>
              <w:t>($B)</w:t>
            </w:r>
          </w:p>
        </w:tc>
        <w:tc>
          <w:tcPr>
            <w:tcW w:w="2940" w:type="dxa"/>
            <w:vAlign w:val="bottom"/>
            <w:tcBorders>
              <w:bottom w:val="single" w:sz="8" w:color="0072CE"/>
            </w:tcBorders>
            <w:shd w:val="clear" w:color="auto" w:fill="F0F3F6"/>
          </w:tcPr>
          <w:p>
            <w:pPr>
              <w:jc w:val="right"/>
              <w:ind w:right="20"/>
              <w:spacing w:after="0"/>
              <w:rPr>
                <w:sz w:val="20"/>
                <w:szCs w:val="20"/>
                <w:color w:val="auto"/>
              </w:rPr>
            </w:pPr>
            <w:r>
              <w:rPr>
                <w:rFonts w:ascii="Arial" w:cs="Arial" w:eastAsia="Arial" w:hAnsi="Arial"/>
                <w:sz w:val="14"/>
                <w:szCs w:val="14"/>
                <w:b w:val="1"/>
                <w:bCs w:val="1"/>
                <w:color w:val="3D3935"/>
              </w:rPr>
              <w:t>2024</w:t>
            </w:r>
          </w:p>
        </w:tc>
      </w:tr>
      <w:tr>
        <w:trPr>
          <w:trHeight w:val="251"/>
        </w:trPr>
        <w:tc>
          <w:tcPr>
            <w:tcW w:w="614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3D3935"/>
              </w:rPr>
              <w:t>Net Automotive Cash Provided by Operating Activities</w:t>
            </w:r>
          </w:p>
        </w:tc>
        <w:tc>
          <w:tcPr>
            <w:tcW w:w="2940" w:type="dxa"/>
            <w:vAlign w:val="bottom"/>
            <w:tcBorders>
              <w:bottom w:val="single" w:sz="8" w:color="D9D9D6"/>
            </w:tcBorders>
          </w:tcPr>
          <w:p>
            <w:pPr>
              <w:jc w:val="right"/>
              <w:ind w:right="20"/>
              <w:spacing w:after="0"/>
              <w:rPr>
                <w:sz w:val="20"/>
                <w:szCs w:val="20"/>
                <w:color w:val="auto"/>
              </w:rPr>
            </w:pPr>
            <w:r>
              <w:rPr>
                <w:rFonts w:ascii="Arial" w:cs="Arial" w:eastAsia="Arial" w:hAnsi="Arial"/>
                <w:sz w:val="16"/>
                <w:szCs w:val="16"/>
                <w:b w:val="1"/>
                <w:bCs w:val="1"/>
                <w:color w:val="3D3935"/>
              </w:rPr>
              <w:t>$23.9</w:t>
            </w:r>
          </w:p>
        </w:tc>
      </w:tr>
      <w:tr>
        <w:trPr>
          <w:trHeight w:val="249"/>
        </w:trPr>
        <w:tc>
          <w:tcPr>
            <w:tcW w:w="614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Less: Capital expenditures</w:t>
            </w:r>
          </w:p>
        </w:tc>
        <w:tc>
          <w:tcPr>
            <w:tcW w:w="29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(10.7)</w:t>
            </w:r>
          </w:p>
        </w:tc>
      </w:tr>
      <w:tr>
        <w:trPr>
          <w:trHeight w:val="250"/>
        </w:trPr>
        <w:tc>
          <w:tcPr>
            <w:tcW w:w="614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Adjustments:</w:t>
            </w:r>
          </w:p>
        </w:tc>
        <w:tc>
          <w:tcPr>
            <w:tcW w:w="2940" w:type="dxa"/>
            <w:vAlign w:val="bottom"/>
            <w:tcBorders>
              <w:bottom w:val="single" w:sz="8" w:color="D9D9D6"/>
            </w:tcBorders>
          </w:tcPr>
          <w:p>
            <w:pPr>
              <w:spacing w:after="0"/>
              <w:rPr>
                <w:sz w:val="21"/>
                <w:szCs w:val="21"/>
                <w:color w:val="auto"/>
              </w:rPr>
            </w:pPr>
          </w:p>
        </w:tc>
      </w:tr>
      <w:tr>
        <w:trPr>
          <w:trHeight w:val="250"/>
        </w:trPr>
        <w:tc>
          <w:tcPr>
            <w:tcW w:w="6140" w:type="dxa"/>
            <w:vAlign w:val="bottom"/>
            <w:tcBorders>
              <w:bottom w:val="single" w:sz="8" w:color="D9D9D6"/>
            </w:tcBorders>
          </w:tcPr>
          <w:p>
            <w:pPr>
              <w:ind w:left="240"/>
              <w:spacing w:after="0"/>
              <w:rPr>
                <w:sz w:val="20"/>
                <w:szCs w:val="20"/>
                <w:color w:val="auto"/>
              </w:rPr>
            </w:pPr>
            <w:r>
              <w:rPr>
                <w:rFonts w:ascii="Arial" w:cs="Arial" w:eastAsia="Arial" w:hAnsi="Arial"/>
                <w:sz w:val="16"/>
                <w:szCs w:val="16"/>
                <w:color w:val="3D3935"/>
              </w:rPr>
              <w:t>Add: Buick dealer strategy</w:t>
            </w:r>
          </w:p>
        </w:tc>
        <w:tc>
          <w:tcPr>
            <w:tcW w:w="2940" w:type="dxa"/>
            <w:vAlign w:val="bottom"/>
            <w:tcBorders>
              <w:bottom w:val="single" w:sz="8" w:color="D9D9D6"/>
            </w:tcBorders>
          </w:tcPr>
          <w:p>
            <w:pPr>
              <w:jc w:val="right"/>
              <w:ind w:right="720"/>
              <w:spacing w:after="0"/>
              <w:rPr>
                <w:sz w:val="20"/>
                <w:szCs w:val="20"/>
                <w:color w:val="auto"/>
              </w:rPr>
            </w:pPr>
            <w:r>
              <w:rPr>
                <w:rFonts w:ascii="Arial" w:cs="Arial" w:eastAsia="Arial" w:hAnsi="Arial"/>
                <w:sz w:val="16"/>
                <w:szCs w:val="16"/>
                <w:color w:val="3D3935"/>
              </w:rPr>
              <w:t>0.5</w:t>
            </w:r>
          </w:p>
        </w:tc>
      </w:tr>
      <w:tr>
        <w:trPr>
          <w:trHeight w:val="250"/>
        </w:trPr>
        <w:tc>
          <w:tcPr>
            <w:tcW w:w="6140" w:type="dxa"/>
            <w:vAlign w:val="bottom"/>
            <w:tcBorders>
              <w:bottom w:val="single" w:sz="8" w:color="D9D9D6"/>
            </w:tcBorders>
          </w:tcPr>
          <w:p>
            <w:pPr>
              <w:ind w:left="240"/>
              <w:spacing w:after="0"/>
              <w:rPr>
                <w:sz w:val="20"/>
                <w:szCs w:val="20"/>
                <w:color w:val="auto"/>
              </w:rPr>
            </w:pPr>
            <w:r>
              <w:rPr>
                <w:rFonts w:ascii="Arial" w:cs="Arial" w:eastAsia="Arial" w:hAnsi="Arial"/>
                <w:sz w:val="16"/>
                <w:szCs w:val="16"/>
                <w:color w:val="3D3935"/>
              </w:rPr>
              <w:t>Add: Restructuring actions</w:t>
            </w:r>
          </w:p>
        </w:tc>
        <w:tc>
          <w:tcPr>
            <w:tcW w:w="2940" w:type="dxa"/>
            <w:vAlign w:val="bottom"/>
            <w:tcBorders>
              <w:bottom w:val="single" w:sz="8" w:color="D9D9D6"/>
            </w:tcBorders>
          </w:tcPr>
          <w:p>
            <w:pPr>
              <w:jc w:val="right"/>
              <w:ind w:right="720"/>
              <w:spacing w:after="0"/>
              <w:rPr>
                <w:sz w:val="20"/>
                <w:szCs w:val="20"/>
                <w:color w:val="auto"/>
              </w:rPr>
            </w:pPr>
            <w:r>
              <w:rPr>
                <w:rFonts w:ascii="Arial" w:cs="Arial" w:eastAsia="Arial" w:hAnsi="Arial"/>
                <w:sz w:val="16"/>
                <w:szCs w:val="16"/>
                <w:color w:val="3D3935"/>
              </w:rPr>
              <w:t>0.2</w:t>
            </w:r>
          </w:p>
        </w:tc>
      </w:tr>
      <w:tr>
        <w:trPr>
          <w:trHeight w:val="250"/>
        </w:trPr>
        <w:tc>
          <w:tcPr>
            <w:tcW w:w="6140" w:type="dxa"/>
            <w:vAlign w:val="bottom"/>
            <w:tcBorders>
              <w:bottom w:val="single" w:sz="8" w:color="D9D9D6"/>
            </w:tcBorders>
          </w:tcPr>
          <w:p>
            <w:pPr>
              <w:ind w:left="240"/>
              <w:spacing w:after="0"/>
              <w:rPr>
                <w:sz w:val="20"/>
                <w:szCs w:val="20"/>
                <w:color w:val="auto"/>
              </w:rPr>
            </w:pPr>
            <w:r>
              <w:rPr>
                <w:rFonts w:ascii="Arial" w:cs="Arial" w:eastAsia="Arial" w:hAnsi="Arial"/>
                <w:sz w:val="16"/>
                <w:szCs w:val="16"/>
                <w:color w:val="3D3935"/>
              </w:rPr>
              <w:t>Add: GMI plant wind down</w:t>
            </w:r>
          </w:p>
        </w:tc>
        <w:tc>
          <w:tcPr>
            <w:tcW w:w="2940" w:type="dxa"/>
            <w:vAlign w:val="bottom"/>
            <w:tcBorders>
              <w:bottom w:val="single" w:sz="8" w:color="D9D9D6"/>
            </w:tcBorders>
          </w:tcPr>
          <w:p>
            <w:pPr>
              <w:jc w:val="right"/>
              <w:ind w:right="680"/>
              <w:spacing w:after="0"/>
              <w:rPr>
                <w:sz w:val="20"/>
                <w:szCs w:val="20"/>
                <w:color w:val="auto"/>
              </w:rPr>
            </w:pPr>
            <w:r>
              <w:rPr>
                <w:rFonts w:ascii="Arial" w:cs="Arial" w:eastAsia="Arial" w:hAnsi="Arial"/>
                <w:sz w:val="16"/>
                <w:szCs w:val="16"/>
                <w:color w:val="3D3935"/>
              </w:rPr>
              <w:t>0.1</w:t>
            </w:r>
          </w:p>
        </w:tc>
      </w:tr>
      <w:tr>
        <w:trPr>
          <w:trHeight w:val="250"/>
        </w:trPr>
        <w:tc>
          <w:tcPr>
            <w:tcW w:w="6140" w:type="dxa"/>
            <w:vAlign w:val="bottom"/>
            <w:tcBorders>
              <w:bottom w:val="single" w:sz="8" w:color="D9D9D6"/>
            </w:tcBorders>
          </w:tcPr>
          <w:p>
            <w:pPr>
              <w:ind w:left="240"/>
              <w:spacing w:after="0"/>
              <w:rPr>
                <w:sz w:val="20"/>
                <w:szCs w:val="20"/>
                <w:color w:val="auto"/>
              </w:rPr>
            </w:pPr>
            <w:r>
              <w:rPr>
                <w:rFonts w:ascii="Arial" w:cs="Arial" w:eastAsia="Arial" w:hAnsi="Arial"/>
                <w:sz w:val="16"/>
                <w:szCs w:val="16"/>
                <w:color w:val="3D3935"/>
              </w:rPr>
              <w:t>Add: Employee separation costs</w:t>
            </w:r>
          </w:p>
        </w:tc>
        <w:tc>
          <w:tcPr>
            <w:tcW w:w="2940" w:type="dxa"/>
            <w:vAlign w:val="bottom"/>
            <w:tcBorders>
              <w:bottom w:val="single" w:sz="8" w:color="D9D9D6"/>
            </w:tcBorders>
          </w:tcPr>
          <w:p>
            <w:pPr>
              <w:jc w:val="right"/>
              <w:ind w:right="680"/>
              <w:spacing w:after="0"/>
              <w:rPr>
                <w:sz w:val="20"/>
                <w:szCs w:val="20"/>
                <w:color w:val="auto"/>
              </w:rPr>
            </w:pPr>
            <w:r>
              <w:rPr>
                <w:rFonts w:ascii="Arial" w:cs="Arial" w:eastAsia="Arial" w:hAnsi="Arial"/>
                <w:sz w:val="16"/>
                <w:szCs w:val="16"/>
                <w:color w:val="3D3935"/>
              </w:rPr>
              <w:t>0.1</w:t>
            </w:r>
          </w:p>
        </w:tc>
      </w:tr>
      <w:tr>
        <w:trPr>
          <w:trHeight w:val="251"/>
        </w:trPr>
        <w:tc>
          <w:tcPr>
            <w:tcW w:w="6140" w:type="dxa"/>
            <w:vAlign w:val="bottom"/>
            <w:tcBorders>
              <w:bottom w:val="single" w:sz="8" w:color="D9D9D6"/>
            </w:tcBorders>
          </w:tcPr>
          <w:p>
            <w:pPr>
              <w:ind w:left="240"/>
              <w:spacing w:after="0"/>
              <w:rPr>
                <w:sz w:val="20"/>
                <w:szCs w:val="20"/>
                <w:color w:val="auto"/>
              </w:rPr>
            </w:pPr>
            <w:r>
              <w:rPr>
                <w:rFonts w:ascii="Arial" w:cs="Arial" w:eastAsia="Arial" w:hAnsi="Arial"/>
                <w:sz w:val="16"/>
                <w:szCs w:val="16"/>
                <w:color w:val="3D3935"/>
              </w:rPr>
              <w:t xml:space="preserve">Add: Incentive compensation adjustments </w:t>
            </w:r>
            <w:r>
              <w:rPr>
                <w:rFonts w:ascii="Arial" w:cs="Arial" w:eastAsia="Arial" w:hAnsi="Arial"/>
                <w:sz w:val="21"/>
                <w:szCs w:val="21"/>
                <w:color w:val="3D3935"/>
                <w:vertAlign w:val="superscript"/>
              </w:rPr>
              <w:t>(1)</w:t>
            </w:r>
          </w:p>
        </w:tc>
        <w:tc>
          <w:tcPr>
            <w:tcW w:w="2940" w:type="dxa"/>
            <w:vAlign w:val="bottom"/>
            <w:tcBorders>
              <w:bottom w:val="single" w:sz="8" w:color="D9D9D6"/>
            </w:tcBorders>
          </w:tcPr>
          <w:p>
            <w:pPr>
              <w:jc w:val="right"/>
              <w:ind w:right="700"/>
              <w:spacing w:after="0"/>
              <w:rPr>
                <w:sz w:val="20"/>
                <w:szCs w:val="20"/>
                <w:color w:val="auto"/>
              </w:rPr>
            </w:pPr>
            <w:r>
              <w:rPr>
                <w:rFonts w:ascii="Arial" w:cs="Arial" w:eastAsia="Arial" w:hAnsi="Arial"/>
                <w:sz w:val="16"/>
                <w:szCs w:val="16"/>
                <w:color w:val="3D3935"/>
              </w:rPr>
              <w:t>0.0</w:t>
            </w:r>
          </w:p>
        </w:tc>
      </w:tr>
      <w:tr>
        <w:trPr>
          <w:trHeight w:val="249"/>
        </w:trPr>
        <w:tc>
          <w:tcPr>
            <w:tcW w:w="614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3D3935"/>
              </w:rPr>
              <w:t>Total adjustments</w:t>
            </w:r>
          </w:p>
        </w:tc>
        <w:tc>
          <w:tcPr>
            <w:tcW w:w="29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3D3935"/>
              </w:rPr>
              <w:t>0.8</w:t>
            </w:r>
          </w:p>
        </w:tc>
      </w:tr>
      <w:tr>
        <w:trPr>
          <w:trHeight w:val="251"/>
        </w:trPr>
        <w:tc>
          <w:tcPr>
            <w:tcW w:w="6140" w:type="dxa"/>
            <w:vAlign w:val="bottom"/>
            <w:tcBorders>
              <w:bottom w:val="single" w:sz="8" w:color="0072CE"/>
            </w:tcBorders>
          </w:tcPr>
          <w:p>
            <w:pPr>
              <w:ind w:left="60"/>
              <w:spacing w:after="0"/>
              <w:rPr>
                <w:sz w:val="20"/>
                <w:szCs w:val="20"/>
                <w:color w:val="auto"/>
              </w:rPr>
            </w:pPr>
            <w:r>
              <w:rPr>
                <w:rFonts w:ascii="Arial" w:cs="Arial" w:eastAsia="Arial" w:hAnsi="Arial"/>
                <w:sz w:val="16"/>
                <w:szCs w:val="16"/>
                <w:b w:val="1"/>
                <w:bCs w:val="1"/>
                <w:color w:val="3D3935"/>
              </w:rPr>
              <w:t>Adjusted Automotive Free Cash Flow</w:t>
            </w:r>
          </w:p>
        </w:tc>
        <w:tc>
          <w:tcPr>
            <w:tcW w:w="2940" w:type="dxa"/>
            <w:vAlign w:val="bottom"/>
            <w:tcBorders>
              <w:bottom w:val="single" w:sz="8" w:color="0072CE"/>
            </w:tcBorders>
          </w:tcPr>
          <w:p>
            <w:pPr>
              <w:jc w:val="right"/>
              <w:spacing w:after="0"/>
              <w:rPr>
                <w:sz w:val="20"/>
                <w:szCs w:val="20"/>
                <w:color w:val="auto"/>
              </w:rPr>
            </w:pPr>
            <w:r>
              <w:rPr>
                <w:rFonts w:ascii="Arial" w:cs="Arial" w:eastAsia="Arial" w:hAnsi="Arial"/>
                <w:sz w:val="16"/>
                <w:szCs w:val="16"/>
                <w:b w:val="1"/>
                <w:bCs w:val="1"/>
                <w:color w:val="3D3935"/>
              </w:rPr>
              <w:t>$14.0</w:t>
            </w:r>
          </w:p>
        </w:tc>
      </w:tr>
    </w:tbl>
    <w:p>
      <w:pPr>
        <w:spacing w:after="0" w:line="180" w:lineRule="exact"/>
        <w:rPr>
          <w:sz w:val="20"/>
          <w:szCs w:val="20"/>
          <w:color w:val="auto"/>
        </w:rPr>
      </w:pPr>
    </w:p>
    <w:p>
      <w:pPr>
        <w:ind w:left="140" w:hanging="132"/>
        <w:spacing w:after="0"/>
        <w:tabs>
          <w:tab w:leader="none" w:pos="140" w:val="left"/>
        </w:tabs>
        <w:numPr>
          <w:ilvl w:val="0"/>
          <w:numId w:val="128"/>
        </w:numPr>
        <w:rPr>
          <w:rFonts w:ascii="Arial" w:cs="Arial" w:eastAsia="Arial" w:hAnsi="Arial"/>
          <w:sz w:val="16"/>
          <w:szCs w:val="16"/>
          <w:color w:val="3D3935"/>
          <w:vertAlign w:val="superscript"/>
        </w:rPr>
      </w:pPr>
      <w:r>
        <w:rPr>
          <w:rFonts w:ascii="Arial" w:cs="Arial" w:eastAsia="Arial" w:hAnsi="Arial"/>
          <w:sz w:val="12"/>
          <w:szCs w:val="12"/>
          <w:color w:val="3D3935"/>
        </w:rPr>
        <w:t>Reflects certain recall-related expenses attributable to events occurring in 2014.</w:t>
      </w:r>
    </w:p>
    <w:p>
      <w:pPr>
        <w:sectPr>
          <w:pgSz w:w="11900" w:h="16838" w:orient="portrait"/>
          <w:cols w:equalWidth="0" w:num="1">
            <w:col w:w="9140"/>
          </w:cols>
          <w:pgMar w:left="1400" w:top="90" w:right="1359" w:bottom="4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7000"/>
        <w:spacing w:after="0"/>
        <w:tabs>
          <w:tab w:leader="none" w:pos="8760" w:val="left"/>
        </w:tabs>
        <w:rPr>
          <w:sz w:val="20"/>
          <w:szCs w:val="20"/>
          <w:color w:val="auto"/>
        </w:rPr>
      </w:pPr>
      <w:r>
        <w:rPr>
          <w:rFonts w:ascii="Arial" w:cs="Arial" w:eastAsia="Arial" w:hAnsi="Arial"/>
          <w:sz w:val="14"/>
          <w:szCs w:val="14"/>
          <w:b w:val="1"/>
          <w:bCs w:val="1"/>
          <w:color w:val="0072CE"/>
        </w:rPr>
        <w:t>2025 Proxy Statement</w:t>
      </w:r>
      <w:r>
        <w:rPr>
          <w:sz w:val="20"/>
          <w:szCs w:val="20"/>
          <w:color w:val="auto"/>
        </w:rPr>
        <w:tab/>
      </w:r>
      <w:r>
        <w:rPr>
          <w:rFonts w:ascii="Arial" w:cs="Arial" w:eastAsia="Arial" w:hAnsi="Arial"/>
          <w:sz w:val="14"/>
          <w:szCs w:val="14"/>
          <w:b w:val="1"/>
          <w:bCs w:val="1"/>
          <w:color w:val="3D3935"/>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2476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10375" cy="247650"/>
                    </a:xfrm>
                    <a:prstGeom prst="rect">
                      <a:avLst/>
                    </a:prstGeom>
                    <a:noFill/>
                  </pic:spPr>
                </pic:pic>
              </a:graphicData>
            </a:graphic>
          </wp:anchor>
        </w:drawing>
      </w:r>
    </w:p>
    <w:p>
      <w:pPr>
        <w:sectPr>
          <w:pgSz w:w="11900" w:h="16838" w:orient="portrait"/>
          <w:cols w:equalWidth="0" w:num="1">
            <w:col w:w="9140"/>
          </w:cols>
          <w:pgMar w:left="1400" w:top="90" w:right="1359" w:bottom="484" w:gutter="0" w:footer="0" w:header="0"/>
          <w:type w:val="continuous"/>
        </w:sectPr>
      </w:pPr>
    </w:p>
    <w:bookmarkStart w:id="91" w:name="page92"/>
    <w:bookmarkEnd w:id="91"/>
    <w:p>
      <w:pPr>
        <w:ind w:left="60" w:right="580"/>
        <w:spacing w:after="0" w:line="270" w:lineRule="auto"/>
        <w:rPr>
          <w:sz w:val="20"/>
          <w:szCs w:val="20"/>
          <w:color w:val="auto"/>
        </w:rPr>
      </w:pPr>
      <w:r>
        <w:rPr>
          <w:rFonts w:ascii="Arial" w:cs="Arial" w:eastAsia="Arial" w:hAnsi="Arial"/>
          <w:sz w:val="49"/>
          <w:szCs w:val="49"/>
          <w:b w:val="1"/>
          <w:bCs w:val="1"/>
          <w:color w:val="3D3935"/>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86086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10375" cy="8608695"/>
                    </a:xfrm>
                    <a:prstGeom prst="rect">
                      <a:avLst/>
                    </a:prstGeom>
                    <a:noFill/>
                  </pic:spPr>
                </pic:pic>
              </a:graphicData>
            </a:graphic>
          </wp:anchor>
        </w:drawing>
        <w:t>Appendix B: Proposed Amendments to the Company’s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D13438"/>
        </w:rPr>
        <w:t>AMENDED AND</w:t>
      </w:r>
      <w:r>
        <w:rPr>
          <w:rFonts w:ascii="Arial" w:cs="Arial" w:eastAsia="Arial" w:hAnsi="Arial"/>
          <w:sz w:val="16"/>
          <w:szCs w:val="16"/>
          <w:b w:val="1"/>
          <w:bCs w:val="1"/>
          <w:color w:val="D13438"/>
        </w:rPr>
        <w:t xml:space="preserve"> </w:t>
      </w:r>
      <w:r>
        <w:rPr>
          <w:rFonts w:ascii="Arial" w:cs="Arial" w:eastAsia="Arial" w:hAnsi="Arial"/>
          <w:sz w:val="16"/>
          <w:szCs w:val="16"/>
          <w:b w:val="1"/>
          <w:bCs w:val="1"/>
          <w:color w:val="3D3935"/>
        </w:rPr>
        <w:t>RESTATED CERTIFICATE OF INCORPORATION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3D3935"/>
        </w:rPr>
        <w:t>OF</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3D3935"/>
        </w:rPr>
        <w:t>GENERAL MOTORS COMPANY</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D3935"/>
        </w:rPr>
        <w:t xml:space="preserve">Pursuant to </w:t>
      </w:r>
      <w:r>
        <w:rPr>
          <w:rFonts w:ascii="Arial" w:cs="Arial" w:eastAsia="Arial" w:hAnsi="Arial"/>
          <w:sz w:val="16"/>
          <w:szCs w:val="16"/>
          <w:b w:val="1"/>
          <w:bCs w:val="1"/>
          <w:color w:val="D13438"/>
          <w:strike w:val="1"/>
        </w:rPr>
        <w:t>Section</w:t>
      </w:r>
      <w:r>
        <w:rPr>
          <w:rFonts w:ascii="Arial" w:cs="Arial" w:eastAsia="Arial" w:hAnsi="Arial"/>
          <w:sz w:val="16"/>
          <w:szCs w:val="16"/>
          <w:b w:val="1"/>
          <w:bCs w:val="1"/>
          <w:u w:val="single" w:color="auto"/>
          <w:color w:val="D13438"/>
        </w:rPr>
        <w:t>Sections 242 and</w:t>
      </w:r>
      <w:r>
        <w:rPr>
          <w:rFonts w:ascii="Arial" w:cs="Arial" w:eastAsia="Arial" w:hAnsi="Arial"/>
          <w:sz w:val="16"/>
          <w:szCs w:val="16"/>
          <w:b w:val="1"/>
          <w:bCs w:val="1"/>
          <w:color w:val="3D3935"/>
        </w:rPr>
        <w:t xml:space="preserve"> 245 of the General</w:t>
      </w:r>
    </w:p>
    <w:p>
      <w:pPr>
        <w:spacing w:after="0" w:line="3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3D3935"/>
        </w:rPr>
        <w:t>Corporation Law of the State of Delaware</w:t>
      </w:r>
    </w:p>
    <w:p>
      <w:pPr>
        <w:spacing w:after="0" w:line="200" w:lineRule="exact"/>
        <w:rPr>
          <w:sz w:val="20"/>
          <w:szCs w:val="20"/>
          <w:color w:val="auto"/>
        </w:rPr>
      </w:pPr>
    </w:p>
    <w:p>
      <w:pPr>
        <w:spacing w:after="0" w:line="365" w:lineRule="exact"/>
        <w:rPr>
          <w:sz w:val="20"/>
          <w:szCs w:val="20"/>
          <w:color w:val="auto"/>
        </w:rPr>
      </w:pPr>
    </w:p>
    <w:p>
      <w:pPr>
        <w:ind w:right="460"/>
        <w:spacing w:after="0" w:line="321" w:lineRule="auto"/>
        <w:rPr>
          <w:sz w:val="20"/>
          <w:szCs w:val="20"/>
          <w:color w:val="auto"/>
        </w:rPr>
      </w:pPr>
      <w:r>
        <w:rPr>
          <w:rFonts w:ascii="Arial" w:cs="Arial" w:eastAsia="Arial" w:hAnsi="Arial"/>
          <w:sz w:val="16"/>
          <w:szCs w:val="16"/>
          <w:color w:val="3D3935"/>
        </w:rPr>
        <w:t>General Motors Company, a corporation organized and existing under the laws of the State of Delaware, hereby certifies as follows:</w:t>
      </w:r>
    </w:p>
    <w:p>
      <w:pPr>
        <w:spacing w:after="0" w:line="75" w:lineRule="exact"/>
        <w:rPr>
          <w:sz w:val="20"/>
          <w:szCs w:val="20"/>
          <w:color w:val="auto"/>
        </w:rPr>
      </w:pPr>
    </w:p>
    <w:p>
      <w:pPr>
        <w:ind w:left="260" w:right="100" w:hanging="252"/>
        <w:spacing w:after="0" w:line="316" w:lineRule="auto"/>
        <w:tabs>
          <w:tab w:leader="none" w:pos="260" w:val="left"/>
        </w:tabs>
        <w:numPr>
          <w:ilvl w:val="0"/>
          <w:numId w:val="129"/>
        </w:numPr>
        <w:rPr>
          <w:rFonts w:ascii="Arial" w:cs="Arial" w:eastAsia="Arial" w:hAnsi="Arial"/>
          <w:sz w:val="16"/>
          <w:szCs w:val="16"/>
          <w:b w:val="1"/>
          <w:bCs w:val="1"/>
          <w:color w:val="0072CE"/>
        </w:rPr>
      </w:pPr>
      <w:r>
        <w:rPr>
          <w:rFonts w:ascii="Arial" w:cs="Arial" w:eastAsia="Arial" w:hAnsi="Arial"/>
          <w:sz w:val="16"/>
          <w:szCs w:val="16"/>
          <w:color w:val="3D3935"/>
        </w:rPr>
        <w:t>The name of the corporation is General Motors Company. The date of filing of its original Certificate of Incorporation with the Secretary of State of the State of Delaware under the name “General Motors Holding Company” was August 11, 2009.</w:t>
      </w:r>
    </w:p>
    <w:tbl>
      <w:tblPr>
        <w:tblLayout w:type="fixed"/>
        <w:tblInd w:w="0" w:type="dxa"/>
        <w:tblCellMar>
          <w:top w:w="0" w:type="dxa"/>
          <w:left w:w="0" w:type="dxa"/>
          <w:bottom w:w="0" w:type="dxa"/>
          <w:right w:w="0" w:type="dxa"/>
        </w:tblCellMar>
      </w:tblPr>
      <w:tr>
        <w:trPr>
          <w:trHeight w:val="178"/>
        </w:trPr>
        <w:tc>
          <w:tcPr>
            <w:tcW w:w="260" w:type="dxa"/>
            <w:vAlign w:val="bottom"/>
          </w:tcPr>
          <w:p>
            <w:pPr>
              <w:jc w:val="right"/>
              <w:ind w:right="39"/>
              <w:spacing w:after="0" w:line="178" w:lineRule="exact"/>
              <w:rPr>
                <w:sz w:val="20"/>
                <w:szCs w:val="20"/>
                <w:color w:val="auto"/>
              </w:rPr>
            </w:pPr>
            <w:r>
              <w:rPr>
                <w:rFonts w:ascii="Arial" w:cs="Arial" w:eastAsia="Arial" w:hAnsi="Arial"/>
                <w:sz w:val="16"/>
                <w:szCs w:val="16"/>
                <w:b w:val="1"/>
                <w:bCs w:val="1"/>
                <w:color w:val="0072CE"/>
                <w:w w:val="89"/>
              </w:rPr>
              <w:t>2.</w:t>
            </w:r>
          </w:p>
        </w:tc>
        <w:tc>
          <w:tcPr>
            <w:tcW w:w="4180" w:type="dxa"/>
            <w:vAlign w:val="bottom"/>
            <w:gridSpan w:val="18"/>
          </w:tcPr>
          <w:p>
            <w:pPr>
              <w:spacing w:after="0" w:line="178" w:lineRule="exact"/>
              <w:rPr>
                <w:sz w:val="20"/>
                <w:szCs w:val="20"/>
                <w:color w:val="auto"/>
              </w:rPr>
            </w:pPr>
            <w:r>
              <w:rPr>
                <w:rFonts w:ascii="Arial" w:cs="Arial" w:eastAsia="Arial" w:hAnsi="Arial"/>
                <w:sz w:val="16"/>
                <w:szCs w:val="16"/>
                <w:color w:val="3D3935"/>
              </w:rPr>
              <w:t xml:space="preserve">This </w:t>
            </w:r>
            <w:r>
              <w:rPr>
                <w:rFonts w:ascii="Arial" w:cs="Arial" w:eastAsia="Arial" w:hAnsi="Arial"/>
                <w:sz w:val="16"/>
                <w:szCs w:val="16"/>
                <w:color w:val="D13438"/>
              </w:rPr>
              <w:t>Amended and</w:t>
            </w:r>
            <w:r>
              <w:rPr>
                <w:rFonts w:ascii="Arial" w:cs="Arial" w:eastAsia="Arial" w:hAnsi="Arial"/>
                <w:sz w:val="16"/>
                <w:szCs w:val="16"/>
                <w:color w:val="3D3935"/>
              </w:rPr>
              <w:t xml:space="preserve"> Restated Certificate of Incorporation</w:t>
            </w:r>
          </w:p>
        </w:tc>
        <w:tc>
          <w:tcPr>
            <w:tcW w:w="280" w:type="dxa"/>
            <w:vAlign w:val="bottom"/>
          </w:tcPr>
          <w:p>
            <w:pPr>
              <w:spacing w:after="0" w:line="178" w:lineRule="exact"/>
              <w:rPr>
                <w:sz w:val="20"/>
                <w:szCs w:val="20"/>
                <w:color w:val="auto"/>
              </w:rPr>
            </w:pPr>
            <w:r>
              <w:rPr>
                <w:rFonts w:ascii="Arial" w:cs="Arial" w:eastAsia="Arial" w:hAnsi="Arial"/>
                <w:sz w:val="16"/>
                <w:szCs w:val="16"/>
                <w:color w:val="D13438"/>
                <w:strike w:val="1"/>
                <w:w w:val="88"/>
              </w:rPr>
              <w:t>only</w:t>
            </w:r>
          </w:p>
        </w:tc>
        <w:tc>
          <w:tcPr>
            <w:tcW w:w="20" w:type="dxa"/>
            <w:vAlign w:val="bottom"/>
          </w:tcPr>
          <w:p>
            <w:pPr>
              <w:spacing w:after="0"/>
              <w:rPr>
                <w:sz w:val="15"/>
                <w:szCs w:val="15"/>
                <w:color w:val="auto"/>
              </w:rPr>
            </w:pPr>
          </w:p>
        </w:tc>
        <w:tc>
          <w:tcPr>
            <w:tcW w:w="2420" w:type="dxa"/>
            <w:vAlign w:val="bottom"/>
            <w:gridSpan w:val="5"/>
          </w:tcPr>
          <w:p>
            <w:pPr>
              <w:jc w:val="center"/>
              <w:spacing w:after="0" w:line="178" w:lineRule="exact"/>
              <w:rPr>
                <w:sz w:val="20"/>
                <w:szCs w:val="20"/>
                <w:color w:val="auto"/>
              </w:rPr>
            </w:pPr>
            <w:r>
              <w:rPr>
                <w:rFonts w:ascii="Arial" w:cs="Arial" w:eastAsia="Arial" w:hAnsi="Arial"/>
                <w:sz w:val="16"/>
                <w:szCs w:val="16"/>
                <w:color w:val="D13438"/>
              </w:rPr>
              <w:t>(this “Certificate of Incorporation”)</w:t>
            </w:r>
          </w:p>
        </w:tc>
        <w:tc>
          <w:tcPr>
            <w:tcW w:w="1920" w:type="dxa"/>
            <w:vAlign w:val="bottom"/>
            <w:gridSpan w:val="11"/>
          </w:tcPr>
          <w:p>
            <w:pPr>
              <w:jc w:val="right"/>
              <w:ind w:right="60"/>
              <w:spacing w:after="0" w:line="178" w:lineRule="exact"/>
              <w:rPr>
                <w:sz w:val="20"/>
                <w:szCs w:val="20"/>
                <w:color w:val="auto"/>
              </w:rPr>
            </w:pPr>
            <w:r>
              <w:rPr>
                <w:rFonts w:ascii="Arial" w:cs="Arial" w:eastAsia="Arial" w:hAnsi="Arial"/>
                <w:sz w:val="16"/>
                <w:szCs w:val="16"/>
                <w:color w:val="3D3935"/>
              </w:rPr>
              <w:t>restates and integrates</w:t>
            </w: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D13438"/>
          </w:tcPr>
          <w:p>
            <w:pPr>
              <w:spacing w:after="0" w:line="20" w:lineRule="exact"/>
              <w:rPr>
                <w:sz w:val="1"/>
                <w:szCs w:val="1"/>
                <w:color w:val="auto"/>
              </w:rPr>
            </w:pPr>
          </w:p>
        </w:tc>
        <w:tc>
          <w:tcPr>
            <w:tcW w:w="120" w:type="dxa"/>
            <w:vAlign w:val="bottom"/>
            <w:shd w:val="clear" w:color="auto" w:fill="D13438"/>
          </w:tcPr>
          <w:p>
            <w:pPr>
              <w:spacing w:after="0" w:line="20" w:lineRule="exact"/>
              <w:rPr>
                <w:sz w:val="1"/>
                <w:szCs w:val="1"/>
                <w:color w:val="auto"/>
              </w:rPr>
            </w:pPr>
          </w:p>
        </w:tc>
        <w:tc>
          <w:tcPr>
            <w:tcW w:w="120" w:type="dxa"/>
            <w:vAlign w:val="bottom"/>
            <w:shd w:val="clear" w:color="auto" w:fill="D13438"/>
          </w:tcPr>
          <w:p>
            <w:pPr>
              <w:spacing w:after="0" w:line="20" w:lineRule="exact"/>
              <w:rPr>
                <w:sz w:val="1"/>
                <w:szCs w:val="1"/>
                <w:color w:val="auto"/>
              </w:rPr>
            </w:pPr>
          </w:p>
        </w:tc>
        <w:tc>
          <w:tcPr>
            <w:tcW w:w="180" w:type="dxa"/>
            <w:vAlign w:val="bottom"/>
            <w:shd w:val="clear" w:color="auto" w:fill="D13438"/>
          </w:tcPr>
          <w:p>
            <w:pPr>
              <w:spacing w:after="0" w:line="20" w:lineRule="exact"/>
              <w:rPr>
                <w:sz w:val="1"/>
                <w:szCs w:val="1"/>
                <w:color w:val="auto"/>
              </w:rPr>
            </w:pPr>
          </w:p>
        </w:tc>
        <w:tc>
          <w:tcPr>
            <w:tcW w:w="260" w:type="dxa"/>
            <w:vAlign w:val="bottom"/>
            <w:shd w:val="clear" w:color="auto" w:fill="D13438"/>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D13438"/>
          </w:tcPr>
          <w:p>
            <w:pPr>
              <w:spacing w:after="0" w:line="20" w:lineRule="exact"/>
              <w:rPr>
                <w:sz w:val="1"/>
                <w:szCs w:val="1"/>
                <w:color w:val="auto"/>
              </w:rPr>
            </w:pPr>
          </w:p>
        </w:tc>
        <w:tc>
          <w:tcPr>
            <w:tcW w:w="40" w:type="dxa"/>
            <w:vAlign w:val="bottom"/>
            <w:shd w:val="clear" w:color="auto" w:fill="D13438"/>
          </w:tcPr>
          <w:p>
            <w:pPr>
              <w:spacing w:after="0" w:line="20" w:lineRule="exact"/>
              <w:rPr>
                <w:sz w:val="1"/>
                <w:szCs w:val="1"/>
                <w:color w:val="auto"/>
              </w:rPr>
            </w:pPr>
          </w:p>
        </w:tc>
        <w:tc>
          <w:tcPr>
            <w:tcW w:w="700" w:type="dxa"/>
            <w:vAlign w:val="bottom"/>
            <w:shd w:val="clear" w:color="auto" w:fill="D13438"/>
          </w:tcPr>
          <w:p>
            <w:pPr>
              <w:spacing w:after="0" w:line="20" w:lineRule="exact"/>
              <w:rPr>
                <w:sz w:val="1"/>
                <w:szCs w:val="1"/>
                <w:color w:val="auto"/>
              </w:rPr>
            </w:pPr>
          </w:p>
        </w:tc>
        <w:tc>
          <w:tcPr>
            <w:tcW w:w="340" w:type="dxa"/>
            <w:vAlign w:val="bottom"/>
            <w:shd w:val="clear" w:color="auto" w:fill="D13438"/>
          </w:tcPr>
          <w:p>
            <w:pPr>
              <w:spacing w:after="0" w:line="20" w:lineRule="exact"/>
              <w:rPr>
                <w:sz w:val="1"/>
                <w:szCs w:val="1"/>
                <w:color w:val="auto"/>
              </w:rPr>
            </w:pPr>
          </w:p>
        </w:tc>
        <w:tc>
          <w:tcPr>
            <w:tcW w:w="640" w:type="dxa"/>
            <w:vAlign w:val="bottom"/>
            <w:shd w:val="clear" w:color="auto" w:fill="D1343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340" w:type="dxa"/>
            <w:vAlign w:val="bottom"/>
          </w:tcPr>
          <w:p>
            <w:pPr>
              <w:spacing w:after="0"/>
              <w:rPr>
                <w:sz w:val="20"/>
                <w:szCs w:val="20"/>
                <w:color w:val="auto"/>
              </w:rPr>
            </w:pPr>
            <w:r>
              <w:rPr>
                <w:rFonts w:ascii="Arial" w:cs="Arial" w:eastAsia="Arial" w:hAnsi="Arial"/>
                <w:sz w:val="16"/>
                <w:szCs w:val="16"/>
                <w:color w:val="3D3935"/>
              </w:rPr>
              <w:t>and</w:t>
            </w:r>
          </w:p>
        </w:tc>
        <w:tc>
          <w:tcPr>
            <w:tcW w:w="620" w:type="dxa"/>
            <w:vAlign w:val="bottom"/>
            <w:gridSpan w:val="4"/>
          </w:tcPr>
          <w:p>
            <w:pPr>
              <w:spacing w:after="0"/>
              <w:rPr>
                <w:sz w:val="20"/>
                <w:szCs w:val="20"/>
                <w:color w:val="auto"/>
              </w:rPr>
            </w:pPr>
            <w:r>
              <w:rPr>
                <w:rFonts w:ascii="Arial" w:cs="Arial" w:eastAsia="Arial" w:hAnsi="Arial"/>
                <w:sz w:val="16"/>
                <w:szCs w:val="16"/>
                <w:color w:val="D13438"/>
                <w:strike w:val="1"/>
                <w:w w:val="97"/>
              </w:rPr>
              <w:t>does not</w:t>
            </w:r>
          </w:p>
        </w:tc>
        <w:tc>
          <w:tcPr>
            <w:tcW w:w="700" w:type="dxa"/>
            <w:vAlign w:val="bottom"/>
            <w:gridSpan w:val="3"/>
          </w:tcPr>
          <w:p>
            <w:pPr>
              <w:ind w:left="100"/>
              <w:spacing w:after="0"/>
              <w:rPr>
                <w:sz w:val="20"/>
                <w:szCs w:val="20"/>
                <w:color w:val="auto"/>
              </w:rPr>
            </w:pPr>
            <w:r>
              <w:rPr>
                <w:rFonts w:ascii="Arial" w:cs="Arial" w:eastAsia="Arial" w:hAnsi="Arial"/>
                <w:sz w:val="16"/>
                <w:szCs w:val="16"/>
                <w:color w:val="3D3935"/>
              </w:rPr>
              <w:t>further</w:t>
            </w:r>
          </w:p>
        </w:tc>
        <w:tc>
          <w:tcPr>
            <w:tcW w:w="500" w:type="dxa"/>
            <w:vAlign w:val="bottom"/>
            <w:gridSpan w:val="3"/>
          </w:tcPr>
          <w:p>
            <w:pPr>
              <w:spacing w:after="0"/>
              <w:rPr>
                <w:sz w:val="20"/>
                <w:szCs w:val="20"/>
                <w:color w:val="auto"/>
              </w:rPr>
            </w:pPr>
            <w:r>
              <w:rPr>
                <w:rFonts w:ascii="Arial" w:cs="Arial" w:eastAsia="Arial" w:hAnsi="Arial"/>
                <w:sz w:val="16"/>
                <w:szCs w:val="16"/>
                <w:color w:val="D13438"/>
                <w:strike w:val="1"/>
                <w:w w:val="98"/>
              </w:rPr>
              <w:t>amend</w:t>
            </w:r>
          </w:p>
        </w:tc>
        <w:tc>
          <w:tcPr>
            <w:tcW w:w="2300" w:type="dxa"/>
            <w:vAlign w:val="bottom"/>
            <w:gridSpan w:val="8"/>
          </w:tcPr>
          <w:p>
            <w:pPr>
              <w:spacing w:after="0"/>
              <w:rPr>
                <w:sz w:val="20"/>
                <w:szCs w:val="20"/>
                <w:color w:val="auto"/>
              </w:rPr>
            </w:pPr>
            <w:r>
              <w:rPr>
                <w:rFonts w:ascii="Arial" w:cs="Arial" w:eastAsia="Arial" w:hAnsi="Arial"/>
                <w:sz w:val="16"/>
                <w:szCs w:val="16"/>
                <w:color w:val="D13438"/>
              </w:rPr>
              <w:t xml:space="preserve">amends </w:t>
            </w:r>
            <w:r>
              <w:rPr>
                <w:rFonts w:ascii="Arial" w:cs="Arial" w:eastAsia="Arial" w:hAnsi="Arial"/>
                <w:sz w:val="16"/>
                <w:szCs w:val="16"/>
                <w:color w:val="3D3935"/>
              </w:rPr>
              <w:t>the provisions of the</w:t>
            </w:r>
          </w:p>
        </w:tc>
        <w:tc>
          <w:tcPr>
            <w:tcW w:w="720" w:type="dxa"/>
            <w:vAlign w:val="bottom"/>
            <w:gridSpan w:val="2"/>
          </w:tcPr>
          <w:p>
            <w:pPr>
              <w:spacing w:after="0"/>
              <w:rPr>
                <w:sz w:val="20"/>
                <w:szCs w:val="20"/>
                <w:color w:val="auto"/>
              </w:rPr>
            </w:pPr>
            <w:r>
              <w:rPr>
                <w:rFonts w:ascii="Arial" w:cs="Arial" w:eastAsia="Arial" w:hAnsi="Arial"/>
                <w:sz w:val="16"/>
                <w:szCs w:val="16"/>
                <w:color w:val="D13438"/>
                <w:strike w:val="1"/>
                <w:w w:val="97"/>
              </w:rPr>
              <w:t>Certificate</w:t>
            </w:r>
          </w:p>
        </w:tc>
        <w:tc>
          <w:tcPr>
            <w:tcW w:w="1080" w:type="dxa"/>
            <w:vAlign w:val="bottom"/>
            <w:gridSpan w:val="3"/>
          </w:tcPr>
          <w:p>
            <w:pPr>
              <w:jc w:val="center"/>
              <w:ind w:right="60"/>
              <w:spacing w:after="0"/>
              <w:rPr>
                <w:sz w:val="20"/>
                <w:szCs w:val="20"/>
                <w:color w:val="auto"/>
              </w:rPr>
            </w:pPr>
            <w:r>
              <w:rPr>
                <w:rFonts w:ascii="Arial" w:cs="Arial" w:eastAsia="Arial" w:hAnsi="Arial"/>
                <w:sz w:val="16"/>
                <w:szCs w:val="16"/>
                <w:color w:val="D13438"/>
              </w:rPr>
              <w:t>certificate of</w:t>
            </w:r>
          </w:p>
        </w:tc>
        <w:tc>
          <w:tcPr>
            <w:tcW w:w="1000" w:type="dxa"/>
            <w:vAlign w:val="bottom"/>
            <w:gridSpan w:val="2"/>
          </w:tcPr>
          <w:p>
            <w:pPr>
              <w:spacing w:after="0"/>
              <w:rPr>
                <w:sz w:val="20"/>
                <w:szCs w:val="20"/>
                <w:color w:val="auto"/>
              </w:rPr>
            </w:pPr>
            <w:r>
              <w:rPr>
                <w:rFonts w:ascii="Arial" w:cs="Arial" w:eastAsia="Arial" w:hAnsi="Arial"/>
                <w:sz w:val="16"/>
                <w:szCs w:val="16"/>
                <w:color w:val="D13438"/>
                <w:strike w:val="1"/>
              </w:rPr>
              <w:t>Incorporation</w:t>
            </w:r>
          </w:p>
        </w:tc>
        <w:tc>
          <w:tcPr>
            <w:tcW w:w="940" w:type="dxa"/>
            <w:vAlign w:val="bottom"/>
            <w:gridSpan w:val="4"/>
          </w:tcPr>
          <w:p>
            <w:pPr>
              <w:jc w:val="right"/>
              <w:spacing w:after="0"/>
              <w:rPr>
                <w:sz w:val="20"/>
                <w:szCs w:val="20"/>
                <w:color w:val="auto"/>
              </w:rPr>
            </w:pPr>
            <w:r>
              <w:rPr>
                <w:rFonts w:ascii="Arial" w:cs="Arial" w:eastAsia="Arial" w:hAnsi="Arial"/>
                <w:sz w:val="16"/>
                <w:szCs w:val="16"/>
                <w:color w:val="D13438"/>
                <w:w w:val="99"/>
              </w:rPr>
              <w:t>incorporation</w:t>
            </w:r>
          </w:p>
        </w:tc>
        <w:tc>
          <w:tcPr>
            <w:tcW w:w="100" w:type="dxa"/>
            <w:vAlign w:val="bottom"/>
          </w:tcPr>
          <w:p>
            <w:pPr>
              <w:spacing w:after="0"/>
              <w:rPr>
                <w:sz w:val="17"/>
                <w:szCs w:val="17"/>
                <w:color w:val="auto"/>
              </w:rPr>
            </w:pPr>
          </w:p>
        </w:tc>
        <w:tc>
          <w:tcPr>
            <w:tcW w:w="520" w:type="dxa"/>
            <w:vAlign w:val="bottom"/>
            <w:gridSpan w:val="5"/>
          </w:tcPr>
          <w:p>
            <w:pPr>
              <w:jc w:val="right"/>
              <w:ind w:right="80"/>
              <w:spacing w:after="0"/>
              <w:rPr>
                <w:sz w:val="20"/>
                <w:szCs w:val="20"/>
                <w:color w:val="auto"/>
              </w:rPr>
            </w:pPr>
            <w:r>
              <w:rPr>
                <w:rFonts w:ascii="Arial" w:cs="Arial" w:eastAsia="Arial" w:hAnsi="Arial"/>
                <w:sz w:val="16"/>
                <w:szCs w:val="16"/>
                <w:color w:val="3D3935"/>
                <w:w w:val="98"/>
              </w:rPr>
              <w:t>of this</w:t>
            </w:r>
          </w:p>
        </w:tc>
      </w:tr>
      <w:tr>
        <w:trPr>
          <w:trHeight w:val="20"/>
        </w:trPr>
        <w:tc>
          <w:tcPr>
            <w:tcW w:w="2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D13438"/>
          </w:tcPr>
          <w:p>
            <w:pPr>
              <w:spacing w:after="0" w:line="20" w:lineRule="exact"/>
              <w:rPr>
                <w:sz w:val="1"/>
                <w:szCs w:val="1"/>
                <w:color w:val="auto"/>
              </w:rPr>
            </w:pPr>
          </w:p>
        </w:tc>
        <w:tc>
          <w:tcPr>
            <w:tcW w:w="120" w:type="dxa"/>
            <w:vAlign w:val="bottom"/>
            <w:shd w:val="clear" w:color="auto" w:fill="D13438"/>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D1343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D13438"/>
          </w:tcPr>
          <w:p>
            <w:pPr>
              <w:spacing w:after="0" w:line="20" w:lineRule="exact"/>
              <w:rPr>
                <w:sz w:val="1"/>
                <w:szCs w:val="1"/>
                <w:color w:val="auto"/>
              </w:rPr>
            </w:pPr>
          </w:p>
        </w:tc>
        <w:tc>
          <w:tcPr>
            <w:tcW w:w="160" w:type="dxa"/>
            <w:vAlign w:val="bottom"/>
            <w:shd w:val="clear" w:color="auto" w:fill="D13438"/>
          </w:tcPr>
          <w:p>
            <w:pPr>
              <w:spacing w:after="0" w:line="20" w:lineRule="exact"/>
              <w:rPr>
                <w:sz w:val="1"/>
                <w:szCs w:val="1"/>
                <w:color w:val="auto"/>
              </w:rPr>
            </w:pPr>
          </w:p>
        </w:tc>
        <w:tc>
          <w:tcPr>
            <w:tcW w:w="220" w:type="dxa"/>
            <w:vAlign w:val="bottom"/>
            <w:shd w:val="clear" w:color="auto" w:fill="D13438"/>
          </w:tcPr>
          <w:p>
            <w:pPr>
              <w:spacing w:after="0" w:line="20" w:lineRule="exact"/>
              <w:rPr>
                <w:sz w:val="1"/>
                <w:szCs w:val="1"/>
                <w:color w:val="auto"/>
              </w:rPr>
            </w:pPr>
          </w:p>
        </w:tc>
        <w:tc>
          <w:tcPr>
            <w:tcW w:w="320" w:type="dxa"/>
            <w:vAlign w:val="bottom"/>
            <w:shd w:val="clear" w:color="auto" w:fill="D1343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2060" w:type="dxa"/>
            <w:vAlign w:val="bottom"/>
            <w:gridSpan w:val="10"/>
          </w:tcPr>
          <w:p>
            <w:pPr>
              <w:spacing w:after="0"/>
              <w:rPr>
                <w:sz w:val="20"/>
                <w:szCs w:val="20"/>
                <w:color w:val="auto"/>
              </w:rPr>
            </w:pPr>
            <w:r>
              <w:rPr>
                <w:rFonts w:ascii="Arial" w:cs="Arial" w:eastAsia="Arial" w:hAnsi="Arial"/>
                <w:sz w:val="16"/>
                <w:szCs w:val="16"/>
                <w:color w:val="3D3935"/>
              </w:rPr>
              <w:t>corporation, as heretofore</w:t>
            </w:r>
          </w:p>
        </w:tc>
        <w:tc>
          <w:tcPr>
            <w:tcW w:w="6140" w:type="dxa"/>
            <w:vAlign w:val="bottom"/>
            <w:gridSpan w:val="20"/>
          </w:tcPr>
          <w:p>
            <w:pPr>
              <w:jc w:val="right"/>
              <w:spacing w:after="0"/>
              <w:rPr>
                <w:sz w:val="20"/>
                <w:szCs w:val="20"/>
                <w:color w:val="auto"/>
              </w:rPr>
            </w:pPr>
            <w:r>
              <w:rPr>
                <w:rFonts w:ascii="Arial" w:cs="Arial" w:eastAsia="Arial" w:hAnsi="Arial"/>
                <w:sz w:val="16"/>
                <w:szCs w:val="16"/>
                <w:color w:val="D13438"/>
                <w:strike w:val="1"/>
              </w:rPr>
              <w:t>amended or supplemented, and there is no discrepancy between the provisions of the</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D13438"/>
            </w:tcBorders>
            <w:gridSpan w:val="3"/>
          </w:tcPr>
          <w:p>
            <w:pPr>
              <w:spacing w:after="0"/>
              <w:rPr>
                <w:sz w:val="20"/>
                <w:szCs w:val="20"/>
                <w:color w:val="auto"/>
              </w:rPr>
            </w:pPr>
            <w:r>
              <w:rPr>
                <w:rFonts w:ascii="Arial" w:cs="Arial" w:eastAsia="Arial" w:hAnsi="Arial"/>
                <w:sz w:val="16"/>
                <w:szCs w:val="16"/>
                <w:color w:val="D13438"/>
                <w:w w:val="96"/>
              </w:rPr>
              <w:t>in</w:t>
            </w:r>
          </w:p>
        </w:tc>
      </w:tr>
      <w:tr>
        <w:trPr>
          <w:trHeight w:val="196"/>
        </w:trPr>
        <w:tc>
          <w:tcPr>
            <w:tcW w:w="260" w:type="dxa"/>
            <w:vAlign w:val="bottom"/>
          </w:tcPr>
          <w:p>
            <w:pPr>
              <w:spacing w:after="0"/>
              <w:rPr>
                <w:sz w:val="17"/>
                <w:szCs w:val="17"/>
                <w:color w:val="auto"/>
              </w:rPr>
            </w:pPr>
          </w:p>
        </w:tc>
        <w:tc>
          <w:tcPr>
            <w:tcW w:w="2800" w:type="dxa"/>
            <w:vAlign w:val="bottom"/>
            <w:gridSpan w:val="14"/>
          </w:tcPr>
          <w:p>
            <w:pPr>
              <w:spacing w:after="0"/>
              <w:rPr>
                <w:sz w:val="20"/>
                <w:szCs w:val="20"/>
                <w:color w:val="auto"/>
              </w:rPr>
            </w:pPr>
            <w:r>
              <w:rPr>
                <w:rFonts w:ascii="Arial" w:cs="Arial" w:eastAsia="Arial" w:hAnsi="Arial"/>
                <w:sz w:val="16"/>
                <w:szCs w:val="16"/>
                <w:color w:val="D13438"/>
              </w:rPr>
              <w:t xml:space="preserve">effect. This </w:t>
            </w:r>
            <w:r>
              <w:rPr>
                <w:rFonts w:ascii="Arial" w:cs="Arial" w:eastAsia="Arial" w:hAnsi="Arial"/>
                <w:sz w:val="16"/>
                <w:szCs w:val="16"/>
                <w:color w:val="3D3935"/>
              </w:rPr>
              <w:t>Certificate of Incorporation</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580" w:type="dxa"/>
            <w:vAlign w:val="bottom"/>
            <w:gridSpan w:val="16"/>
          </w:tcPr>
          <w:p>
            <w:pPr>
              <w:spacing w:after="0"/>
              <w:rPr>
                <w:sz w:val="20"/>
                <w:szCs w:val="20"/>
                <w:color w:val="auto"/>
              </w:rPr>
            </w:pPr>
            <w:r>
              <w:rPr>
                <w:rFonts w:ascii="Arial" w:cs="Arial" w:eastAsia="Arial" w:hAnsi="Arial"/>
                <w:sz w:val="16"/>
                <w:szCs w:val="16"/>
                <w:color w:val="D13438"/>
                <w:strike w:val="1"/>
              </w:rPr>
              <w:t>as heretofore amended and supplemented and the provisions of this Restated</w:t>
            </w:r>
          </w:p>
        </w:tc>
        <w:tc>
          <w:tcPr>
            <w:tcW w:w="1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60" w:type="dxa"/>
            <w:vAlign w:val="bottom"/>
          </w:tcPr>
          <w:p>
            <w:pPr>
              <w:spacing w:after="0" w:line="20" w:lineRule="exact"/>
              <w:rPr>
                <w:sz w:val="1"/>
                <w:szCs w:val="1"/>
                <w:color w:val="auto"/>
              </w:rPr>
            </w:pPr>
          </w:p>
        </w:tc>
        <w:tc>
          <w:tcPr>
            <w:tcW w:w="720" w:type="dxa"/>
            <w:vAlign w:val="bottom"/>
            <w:gridSpan w:val="3"/>
            <w:shd w:val="clear" w:color="auto" w:fill="D13438"/>
          </w:tcPr>
          <w:p>
            <w:pPr>
              <w:spacing w:after="0" w:line="20" w:lineRule="exact"/>
              <w:rPr>
                <w:sz w:val="1"/>
                <w:szCs w:val="1"/>
                <w:color w:val="auto"/>
              </w:rPr>
            </w:pPr>
          </w:p>
        </w:tc>
        <w:tc>
          <w:tcPr>
            <w:tcW w:w="120" w:type="dxa"/>
            <w:vAlign w:val="bottom"/>
            <w:shd w:val="clear" w:color="auto" w:fill="D1343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980" w:type="dxa"/>
            <w:vAlign w:val="bottom"/>
            <w:gridSpan w:val="8"/>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2740" w:type="dxa"/>
            <w:vAlign w:val="bottom"/>
            <w:gridSpan w:val="13"/>
          </w:tcPr>
          <w:p>
            <w:pPr>
              <w:spacing w:after="0"/>
              <w:rPr>
                <w:sz w:val="20"/>
                <w:szCs w:val="20"/>
                <w:color w:val="auto"/>
              </w:rPr>
            </w:pPr>
            <w:r>
              <w:rPr>
                <w:rFonts w:ascii="Arial" w:cs="Arial" w:eastAsia="Arial" w:hAnsi="Arial"/>
                <w:sz w:val="16"/>
                <w:szCs w:val="16"/>
                <w:color w:val="D13438"/>
                <w:strike w:val="1"/>
              </w:rPr>
              <w:t>Certificate. This Restated Certificate</w:t>
            </w:r>
          </w:p>
        </w:tc>
        <w:tc>
          <w:tcPr>
            <w:tcW w:w="60" w:type="dxa"/>
            <w:vAlign w:val="bottom"/>
          </w:tcPr>
          <w:p>
            <w:pPr>
              <w:spacing w:after="0"/>
              <w:rPr>
                <w:sz w:val="17"/>
                <w:szCs w:val="17"/>
                <w:color w:val="auto"/>
              </w:rPr>
            </w:pPr>
          </w:p>
        </w:tc>
        <w:tc>
          <w:tcPr>
            <w:tcW w:w="4100" w:type="dxa"/>
            <w:vAlign w:val="bottom"/>
            <w:gridSpan w:val="11"/>
          </w:tcPr>
          <w:p>
            <w:pPr>
              <w:spacing w:after="0"/>
              <w:rPr>
                <w:sz w:val="20"/>
                <w:szCs w:val="20"/>
                <w:color w:val="auto"/>
              </w:rPr>
            </w:pPr>
            <w:r>
              <w:rPr>
                <w:rFonts w:ascii="Arial" w:cs="Arial" w:eastAsia="Arial" w:hAnsi="Arial"/>
                <w:sz w:val="16"/>
                <w:szCs w:val="16"/>
                <w:color w:val="3D3935"/>
              </w:rPr>
              <w:t>was duly adopted in accordance with the provisions of</w:t>
            </w:r>
          </w:p>
        </w:tc>
        <w:tc>
          <w:tcPr>
            <w:tcW w:w="600" w:type="dxa"/>
            <w:vAlign w:val="bottom"/>
            <w:gridSpan w:val="2"/>
          </w:tcPr>
          <w:p>
            <w:pPr>
              <w:ind w:left="40"/>
              <w:spacing w:after="0"/>
              <w:rPr>
                <w:sz w:val="20"/>
                <w:szCs w:val="20"/>
                <w:color w:val="auto"/>
              </w:rPr>
            </w:pPr>
            <w:r>
              <w:rPr>
                <w:rFonts w:ascii="Arial" w:cs="Arial" w:eastAsia="Arial" w:hAnsi="Arial"/>
                <w:sz w:val="16"/>
                <w:szCs w:val="16"/>
                <w:color w:val="D13438"/>
                <w:strike w:val="1"/>
              </w:rPr>
              <w:t>Section</w:t>
            </w:r>
          </w:p>
        </w:tc>
        <w:tc>
          <w:tcPr>
            <w:tcW w:w="1320" w:type="dxa"/>
            <w:vAlign w:val="bottom"/>
            <w:gridSpan w:val="9"/>
          </w:tcPr>
          <w:p>
            <w:pPr>
              <w:jc w:val="right"/>
              <w:ind w:right="60"/>
              <w:spacing w:after="0"/>
              <w:rPr>
                <w:sz w:val="20"/>
                <w:szCs w:val="20"/>
                <w:color w:val="auto"/>
              </w:rPr>
            </w:pPr>
            <w:r>
              <w:rPr>
                <w:rFonts w:ascii="Arial" w:cs="Arial" w:eastAsia="Arial" w:hAnsi="Arial"/>
                <w:sz w:val="16"/>
                <w:szCs w:val="16"/>
                <w:color w:val="D13438"/>
              </w:rPr>
              <w:t>Sections 242 and</w:t>
            </w:r>
          </w:p>
        </w:tc>
      </w:tr>
      <w:tr>
        <w:trPr>
          <w:trHeight w:val="235"/>
        </w:trPr>
        <w:tc>
          <w:tcPr>
            <w:tcW w:w="260" w:type="dxa"/>
            <w:vAlign w:val="bottom"/>
          </w:tcPr>
          <w:p>
            <w:pPr>
              <w:spacing w:after="0"/>
              <w:rPr>
                <w:sz w:val="20"/>
                <w:szCs w:val="20"/>
                <w:color w:val="auto"/>
              </w:rPr>
            </w:pPr>
          </w:p>
        </w:tc>
        <w:tc>
          <w:tcPr>
            <w:tcW w:w="6900" w:type="dxa"/>
            <w:vAlign w:val="bottom"/>
            <w:gridSpan w:val="25"/>
          </w:tcPr>
          <w:p>
            <w:pPr>
              <w:spacing w:after="0"/>
              <w:rPr>
                <w:sz w:val="20"/>
                <w:szCs w:val="20"/>
                <w:color w:val="auto"/>
              </w:rPr>
            </w:pPr>
            <w:r>
              <w:rPr>
                <w:rFonts w:ascii="Arial" w:cs="Arial" w:eastAsia="Arial" w:hAnsi="Arial"/>
                <w:sz w:val="16"/>
                <w:szCs w:val="16"/>
                <w:color w:val="3D3935"/>
              </w:rPr>
              <w:t>245 of the General Corporation Law of the State of Delaware.</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D13438"/>
            </w:tcBorders>
          </w:tcPr>
          <w:p>
            <w:pPr>
              <w:spacing w:after="0"/>
              <w:rPr>
                <w:sz w:val="20"/>
                <w:szCs w:val="20"/>
                <w:color w:val="auto"/>
              </w:rPr>
            </w:pPr>
          </w:p>
        </w:tc>
        <w:tc>
          <w:tcPr>
            <w:tcW w:w="220" w:type="dxa"/>
            <w:vAlign w:val="bottom"/>
            <w:tcBorders>
              <w:top w:val="single" w:sz="8" w:color="D13438"/>
            </w:tcBorders>
          </w:tcPr>
          <w:p>
            <w:pPr>
              <w:spacing w:after="0"/>
              <w:rPr>
                <w:sz w:val="20"/>
                <w:szCs w:val="20"/>
                <w:color w:val="auto"/>
              </w:rPr>
            </w:pPr>
          </w:p>
        </w:tc>
        <w:tc>
          <w:tcPr>
            <w:tcW w:w="320" w:type="dxa"/>
            <w:vAlign w:val="bottom"/>
            <w:tcBorders>
              <w:top w:val="single" w:sz="8" w:color="D13438"/>
            </w:tcBorders>
          </w:tcPr>
          <w:p>
            <w:pPr>
              <w:spacing w:after="0"/>
              <w:rPr>
                <w:sz w:val="20"/>
                <w:szCs w:val="20"/>
                <w:color w:val="auto"/>
              </w:rPr>
            </w:pPr>
          </w:p>
        </w:tc>
        <w:tc>
          <w:tcPr>
            <w:tcW w:w="100" w:type="dxa"/>
            <w:vAlign w:val="bottom"/>
            <w:tcBorders>
              <w:top w:val="single" w:sz="8" w:color="D13438"/>
            </w:tcBorders>
          </w:tcPr>
          <w:p>
            <w:pPr>
              <w:spacing w:after="0"/>
              <w:rPr>
                <w:sz w:val="20"/>
                <w:szCs w:val="20"/>
                <w:color w:val="auto"/>
              </w:rPr>
            </w:pPr>
          </w:p>
        </w:tc>
        <w:tc>
          <w:tcPr>
            <w:tcW w:w="260" w:type="dxa"/>
            <w:vAlign w:val="bottom"/>
            <w:tcBorders>
              <w:top w:val="single" w:sz="8" w:color="D13438"/>
            </w:tcBorders>
          </w:tcPr>
          <w:p>
            <w:pPr>
              <w:spacing w:after="0"/>
              <w:rPr>
                <w:sz w:val="20"/>
                <w:szCs w:val="20"/>
                <w:color w:val="auto"/>
              </w:rPr>
            </w:pPr>
          </w:p>
        </w:tc>
        <w:tc>
          <w:tcPr>
            <w:tcW w:w="120" w:type="dxa"/>
            <w:vAlign w:val="bottom"/>
            <w:tcBorders>
              <w:top w:val="single" w:sz="8" w:color="D13438"/>
            </w:tcBorders>
          </w:tcPr>
          <w:p>
            <w:pPr>
              <w:spacing w:after="0"/>
              <w:rPr>
                <w:sz w:val="20"/>
                <w:szCs w:val="20"/>
                <w:color w:val="auto"/>
              </w:rPr>
            </w:pPr>
          </w:p>
        </w:tc>
        <w:tc>
          <w:tcPr>
            <w:tcW w:w="20" w:type="dxa"/>
            <w:vAlign w:val="bottom"/>
            <w:tcBorders>
              <w:top w:val="single" w:sz="8" w:color="D13438"/>
            </w:tcBorders>
          </w:tcPr>
          <w:p>
            <w:pPr>
              <w:spacing w:after="0"/>
              <w:rPr>
                <w:sz w:val="20"/>
                <w:szCs w:val="20"/>
                <w:color w:val="auto"/>
              </w:rPr>
            </w:pPr>
          </w:p>
        </w:tc>
        <w:tc>
          <w:tcPr>
            <w:tcW w:w="100" w:type="dxa"/>
            <w:vAlign w:val="bottom"/>
            <w:tcBorders>
              <w:top w:val="single" w:sz="8" w:color="D13438"/>
            </w:tcBorders>
          </w:tcPr>
          <w:p>
            <w:pPr>
              <w:spacing w:after="0"/>
              <w:rPr>
                <w:sz w:val="20"/>
                <w:szCs w:val="20"/>
                <w:color w:val="auto"/>
              </w:rPr>
            </w:pPr>
          </w:p>
        </w:tc>
        <w:tc>
          <w:tcPr>
            <w:tcW w:w="20" w:type="dxa"/>
            <w:vAlign w:val="bottom"/>
          </w:tcPr>
          <w:p>
            <w:pPr>
              <w:spacing w:after="0"/>
              <w:rPr>
                <w:sz w:val="20"/>
                <w:szCs w:val="20"/>
                <w:color w:val="auto"/>
              </w:rPr>
            </w:pPr>
          </w:p>
        </w:tc>
      </w:tr>
      <w:tr>
        <w:trPr>
          <w:trHeight w:val="231"/>
        </w:trPr>
        <w:tc>
          <w:tcPr>
            <w:tcW w:w="260" w:type="dxa"/>
            <w:vAlign w:val="bottom"/>
          </w:tcPr>
          <w:p>
            <w:pPr>
              <w:jc w:val="right"/>
              <w:ind w:right="39"/>
              <w:spacing w:after="0"/>
              <w:rPr>
                <w:sz w:val="20"/>
                <w:szCs w:val="20"/>
                <w:color w:val="auto"/>
              </w:rPr>
            </w:pPr>
            <w:r>
              <w:rPr>
                <w:rFonts w:ascii="Arial" w:cs="Arial" w:eastAsia="Arial" w:hAnsi="Arial"/>
                <w:sz w:val="16"/>
                <w:szCs w:val="16"/>
                <w:b w:val="1"/>
                <w:bCs w:val="1"/>
                <w:color w:val="0072CE"/>
                <w:w w:val="89"/>
              </w:rPr>
              <w:t>3.</w:t>
            </w:r>
          </w:p>
        </w:tc>
        <w:tc>
          <w:tcPr>
            <w:tcW w:w="1140" w:type="dxa"/>
            <w:vAlign w:val="bottom"/>
            <w:gridSpan w:val="6"/>
          </w:tcPr>
          <w:p>
            <w:pPr>
              <w:spacing w:after="0"/>
              <w:rPr>
                <w:sz w:val="20"/>
                <w:szCs w:val="20"/>
                <w:color w:val="auto"/>
              </w:rPr>
            </w:pPr>
            <w:r>
              <w:rPr>
                <w:rFonts w:ascii="Arial" w:cs="Arial" w:eastAsia="Arial" w:hAnsi="Arial"/>
                <w:sz w:val="16"/>
                <w:szCs w:val="16"/>
                <w:color w:val="3D3935"/>
              </w:rPr>
              <w:t>The text of the</w:t>
            </w:r>
          </w:p>
        </w:tc>
        <w:tc>
          <w:tcPr>
            <w:tcW w:w="780" w:type="dxa"/>
            <w:vAlign w:val="bottom"/>
            <w:gridSpan w:val="3"/>
          </w:tcPr>
          <w:p>
            <w:pPr>
              <w:spacing w:after="0"/>
              <w:rPr>
                <w:sz w:val="20"/>
                <w:szCs w:val="20"/>
                <w:color w:val="auto"/>
              </w:rPr>
            </w:pPr>
            <w:r>
              <w:rPr>
                <w:rFonts w:ascii="Arial" w:cs="Arial" w:eastAsia="Arial" w:hAnsi="Arial"/>
                <w:sz w:val="16"/>
                <w:szCs w:val="16"/>
                <w:color w:val="D13438"/>
                <w:strike w:val="1"/>
              </w:rPr>
              <w:t>Certificate</w:t>
            </w:r>
          </w:p>
        </w:tc>
        <w:tc>
          <w:tcPr>
            <w:tcW w:w="1000" w:type="dxa"/>
            <w:vAlign w:val="bottom"/>
            <w:gridSpan w:val="6"/>
          </w:tcPr>
          <w:p>
            <w:pPr>
              <w:spacing w:after="0"/>
              <w:rPr>
                <w:sz w:val="20"/>
                <w:szCs w:val="20"/>
                <w:color w:val="auto"/>
              </w:rPr>
            </w:pPr>
            <w:r>
              <w:rPr>
                <w:rFonts w:ascii="Arial" w:cs="Arial" w:eastAsia="Arial" w:hAnsi="Arial"/>
                <w:sz w:val="16"/>
                <w:szCs w:val="16"/>
                <w:color w:val="D13438"/>
              </w:rPr>
              <w:t>certificate of</w:t>
            </w:r>
          </w:p>
        </w:tc>
        <w:tc>
          <w:tcPr>
            <w:tcW w:w="1000" w:type="dxa"/>
            <w:vAlign w:val="bottom"/>
            <w:gridSpan w:val="2"/>
          </w:tcPr>
          <w:p>
            <w:pPr>
              <w:spacing w:after="0"/>
              <w:rPr>
                <w:sz w:val="20"/>
                <w:szCs w:val="20"/>
                <w:color w:val="auto"/>
              </w:rPr>
            </w:pPr>
            <w:r>
              <w:rPr>
                <w:rFonts w:ascii="Arial" w:cs="Arial" w:eastAsia="Arial" w:hAnsi="Arial"/>
                <w:sz w:val="16"/>
                <w:szCs w:val="16"/>
                <w:color w:val="D13438"/>
                <w:strike w:val="1"/>
              </w:rPr>
              <w:t>Incorporation</w:t>
            </w:r>
          </w:p>
        </w:tc>
        <w:tc>
          <w:tcPr>
            <w:tcW w:w="4900" w:type="dxa"/>
            <w:vAlign w:val="bottom"/>
            <w:gridSpan w:val="19"/>
          </w:tcPr>
          <w:p>
            <w:pPr>
              <w:spacing w:after="0"/>
              <w:rPr>
                <w:sz w:val="20"/>
                <w:szCs w:val="20"/>
                <w:color w:val="auto"/>
              </w:rPr>
            </w:pPr>
            <w:r>
              <w:rPr>
                <w:rFonts w:ascii="Arial" w:cs="Arial" w:eastAsia="Arial" w:hAnsi="Arial"/>
                <w:sz w:val="16"/>
                <w:szCs w:val="16"/>
                <w:color w:val="D13438"/>
              </w:rPr>
              <w:t xml:space="preserve">incorporation of this corporation, as heretofore in effect,   </w:t>
            </w:r>
            <w:r>
              <w:rPr>
                <w:rFonts w:ascii="Arial" w:cs="Arial" w:eastAsia="Arial" w:hAnsi="Arial"/>
                <w:sz w:val="16"/>
                <w:szCs w:val="16"/>
                <w:color w:val="3D3935"/>
              </w:rPr>
              <w:t>is</w:t>
            </w:r>
            <w:r>
              <w:rPr>
                <w:rFonts w:ascii="Arial" w:cs="Arial" w:eastAsia="Arial" w:hAnsi="Arial"/>
                <w:sz w:val="16"/>
                <w:szCs w:val="16"/>
                <w:color w:val="D13438"/>
              </w:rPr>
              <w:t xml:space="preserve"> hereby</w:t>
            </w:r>
          </w:p>
        </w:tc>
      </w:tr>
      <w:tr>
        <w:trPr>
          <w:trHeight w:val="20"/>
        </w:trPr>
        <w:tc>
          <w:tcPr>
            <w:tcW w:w="2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00" w:type="dxa"/>
            <w:vAlign w:val="bottom"/>
            <w:gridSpan w:val="3"/>
            <w:shd w:val="clear" w:color="auto" w:fill="D13438"/>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980" w:type="dxa"/>
            <w:vAlign w:val="bottom"/>
            <w:gridSpan w:val="8"/>
            <w:shd w:val="clear" w:color="auto" w:fill="D13438"/>
          </w:tcPr>
          <w:p>
            <w:pPr>
              <w:spacing w:after="0" w:line="20" w:lineRule="exact"/>
              <w:rPr>
                <w:sz w:val="1"/>
                <w:szCs w:val="1"/>
                <w:color w:val="auto"/>
              </w:rPr>
            </w:pPr>
          </w:p>
        </w:tc>
        <w:tc>
          <w:tcPr>
            <w:tcW w:w="360" w:type="dxa"/>
            <w:vAlign w:val="bottom"/>
            <w:shd w:val="clear" w:color="auto" w:fill="D13438"/>
          </w:tcPr>
          <w:p>
            <w:pPr>
              <w:spacing w:after="0" w:line="20" w:lineRule="exact"/>
              <w:rPr>
                <w:sz w:val="1"/>
                <w:szCs w:val="1"/>
                <w:color w:val="auto"/>
              </w:rPr>
            </w:pPr>
          </w:p>
        </w:tc>
        <w:tc>
          <w:tcPr>
            <w:tcW w:w="240" w:type="dxa"/>
            <w:vAlign w:val="bottom"/>
            <w:shd w:val="clear" w:color="auto" w:fill="D13438"/>
          </w:tcPr>
          <w:p>
            <w:pPr>
              <w:spacing w:after="0" w:line="20" w:lineRule="exact"/>
              <w:rPr>
                <w:sz w:val="1"/>
                <w:szCs w:val="1"/>
                <w:color w:val="auto"/>
              </w:rPr>
            </w:pPr>
          </w:p>
        </w:tc>
        <w:tc>
          <w:tcPr>
            <w:tcW w:w="160" w:type="dxa"/>
            <w:vAlign w:val="bottom"/>
            <w:shd w:val="clear" w:color="auto" w:fill="D13438"/>
          </w:tcPr>
          <w:p>
            <w:pPr>
              <w:spacing w:after="0" w:line="20" w:lineRule="exact"/>
              <w:rPr>
                <w:sz w:val="1"/>
                <w:szCs w:val="1"/>
                <w:color w:val="auto"/>
              </w:rPr>
            </w:pPr>
          </w:p>
        </w:tc>
        <w:tc>
          <w:tcPr>
            <w:tcW w:w="220" w:type="dxa"/>
            <w:vAlign w:val="bottom"/>
            <w:shd w:val="clear" w:color="auto" w:fill="D1343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D13438"/>
          </w:tcPr>
          <w:p>
            <w:pPr>
              <w:spacing w:after="0" w:line="20" w:lineRule="exact"/>
              <w:rPr>
                <w:sz w:val="1"/>
                <w:szCs w:val="1"/>
                <w:color w:val="auto"/>
              </w:rPr>
            </w:pPr>
          </w:p>
        </w:tc>
        <w:tc>
          <w:tcPr>
            <w:tcW w:w="120" w:type="dxa"/>
            <w:vAlign w:val="bottom"/>
            <w:shd w:val="clear" w:color="auto" w:fill="D13438"/>
          </w:tcPr>
          <w:p>
            <w:pPr>
              <w:spacing w:after="0" w:line="20" w:lineRule="exact"/>
              <w:rPr>
                <w:sz w:val="1"/>
                <w:szCs w:val="1"/>
                <w:color w:val="auto"/>
              </w:rPr>
            </w:pPr>
          </w:p>
        </w:tc>
        <w:tc>
          <w:tcPr>
            <w:tcW w:w="20" w:type="dxa"/>
            <w:vAlign w:val="bottom"/>
            <w:shd w:val="clear" w:color="auto" w:fill="D13438"/>
          </w:tcPr>
          <w:p>
            <w:pPr>
              <w:spacing w:after="0" w:line="20" w:lineRule="exact"/>
              <w:rPr>
                <w:sz w:val="1"/>
                <w:szCs w:val="1"/>
                <w:color w:val="auto"/>
              </w:rPr>
            </w:pPr>
          </w:p>
        </w:tc>
        <w:tc>
          <w:tcPr>
            <w:tcW w:w="100" w:type="dxa"/>
            <w:vAlign w:val="bottom"/>
            <w:tcBorders>
              <w:right w:val="single" w:sz="8" w:color="D13438"/>
            </w:tcBorders>
            <w:shd w:val="clear" w:color="auto" w:fill="D1343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6900" w:type="dxa"/>
            <w:vAlign w:val="bottom"/>
            <w:gridSpan w:val="25"/>
          </w:tcPr>
          <w:p>
            <w:pPr>
              <w:spacing w:after="0"/>
              <w:rPr>
                <w:sz w:val="20"/>
                <w:szCs w:val="20"/>
                <w:color w:val="auto"/>
              </w:rPr>
            </w:pPr>
            <w:r>
              <w:rPr>
                <w:rFonts w:ascii="Arial" w:cs="Arial" w:eastAsia="Arial" w:hAnsi="Arial"/>
                <w:sz w:val="16"/>
                <w:szCs w:val="16"/>
                <w:color w:val="D13438"/>
              </w:rPr>
              <w:t xml:space="preserve">amended </w:t>
            </w:r>
            <w:r>
              <w:rPr>
                <w:rFonts w:ascii="Arial" w:cs="Arial" w:eastAsia="Arial" w:hAnsi="Arial"/>
                <w:sz w:val="16"/>
                <w:szCs w:val="16"/>
                <w:color w:val="3D3935"/>
              </w:rPr>
              <w:t>and restated and integrated to read in its entirety as follows:</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60" w:type="dxa"/>
            <w:vAlign w:val="bottom"/>
          </w:tcPr>
          <w:p>
            <w:pPr>
              <w:spacing w:after="0" w:line="20" w:lineRule="exact"/>
              <w:rPr>
                <w:sz w:val="1"/>
                <w:szCs w:val="1"/>
                <w:color w:val="auto"/>
              </w:rPr>
            </w:pPr>
          </w:p>
        </w:tc>
        <w:tc>
          <w:tcPr>
            <w:tcW w:w="720" w:type="dxa"/>
            <w:vAlign w:val="bottom"/>
            <w:gridSpan w:val="3"/>
            <w:shd w:val="clear" w:color="auto" w:fill="D13438"/>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760" w:type="dxa"/>
            <w:vAlign w:val="bottom"/>
            <w:gridSpan w:val="1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3"/>
        </w:trPr>
        <w:tc>
          <w:tcPr>
            <w:tcW w:w="260" w:type="dxa"/>
            <w:vAlign w:val="bottom"/>
          </w:tcPr>
          <w:p>
            <w:pPr>
              <w:spacing w:after="0"/>
              <w:rPr>
                <w:sz w:val="24"/>
                <w:szCs w:val="24"/>
                <w:color w:val="auto"/>
              </w:rPr>
            </w:pPr>
          </w:p>
        </w:tc>
        <w:tc>
          <w:tcPr>
            <w:tcW w:w="6900" w:type="dxa"/>
            <w:vAlign w:val="bottom"/>
            <w:gridSpan w:val="25"/>
          </w:tcPr>
          <w:p>
            <w:pPr>
              <w:spacing w:after="0"/>
              <w:rPr>
                <w:sz w:val="20"/>
                <w:szCs w:val="20"/>
                <w:color w:val="auto"/>
              </w:rPr>
            </w:pPr>
            <w:r>
              <w:rPr>
                <w:rFonts w:ascii="Arial" w:cs="Arial" w:eastAsia="Arial" w:hAnsi="Arial"/>
                <w:sz w:val="16"/>
                <w:szCs w:val="16"/>
                <w:color w:val="3D3935"/>
              </w:rPr>
              <w:t>FIRST.  The name of the Corporation is General Motors Company (the “Corporation”).</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3"/>
        </w:trPr>
        <w:tc>
          <w:tcPr>
            <w:tcW w:w="260" w:type="dxa"/>
            <w:vAlign w:val="bottom"/>
          </w:tcPr>
          <w:p>
            <w:pPr>
              <w:spacing w:after="0"/>
              <w:rPr>
                <w:sz w:val="24"/>
                <w:szCs w:val="24"/>
                <w:color w:val="auto"/>
              </w:rPr>
            </w:pPr>
          </w:p>
        </w:tc>
        <w:tc>
          <w:tcPr>
            <w:tcW w:w="6900" w:type="dxa"/>
            <w:vAlign w:val="bottom"/>
            <w:gridSpan w:val="25"/>
          </w:tcPr>
          <w:p>
            <w:pPr>
              <w:spacing w:after="0"/>
              <w:rPr>
                <w:sz w:val="20"/>
                <w:szCs w:val="20"/>
                <w:color w:val="auto"/>
              </w:rPr>
            </w:pPr>
            <w:r>
              <w:rPr>
                <w:rFonts w:ascii="Arial" w:cs="Arial" w:eastAsia="Arial" w:hAnsi="Arial"/>
                <w:sz w:val="16"/>
                <w:szCs w:val="16"/>
                <w:color w:val="3D3935"/>
              </w:rPr>
              <w:t>SECOND.  The address of the Corporation’s registered office in the State of Delaware is</w:t>
            </w:r>
          </w:p>
        </w:tc>
        <w:tc>
          <w:tcPr>
            <w:tcW w:w="760" w:type="dxa"/>
            <w:vAlign w:val="bottom"/>
            <w:gridSpan w:val="3"/>
          </w:tcPr>
          <w:p>
            <w:pPr>
              <w:jc w:val="right"/>
              <w:ind w:right="19"/>
              <w:spacing w:after="0"/>
              <w:rPr>
                <w:sz w:val="20"/>
                <w:szCs w:val="20"/>
                <w:color w:val="auto"/>
              </w:rPr>
            </w:pPr>
            <w:r>
              <w:rPr>
                <w:rFonts w:ascii="Arial" w:cs="Arial" w:eastAsia="Arial" w:hAnsi="Arial"/>
                <w:sz w:val="16"/>
                <w:szCs w:val="16"/>
                <w:color w:val="D13438"/>
                <w:strike w:val="1"/>
              </w:rPr>
              <w:t>1209</w:t>
            </w:r>
          </w:p>
        </w:tc>
        <w:tc>
          <w:tcPr>
            <w:tcW w:w="1040" w:type="dxa"/>
            <w:vAlign w:val="bottom"/>
            <w:tcBorders>
              <w:bottom w:val="single" w:sz="8" w:color="D13438"/>
            </w:tcBorders>
            <w:gridSpan w:val="6"/>
          </w:tcPr>
          <w:p>
            <w:pPr>
              <w:spacing w:after="0"/>
              <w:rPr>
                <w:sz w:val="20"/>
                <w:szCs w:val="20"/>
                <w:color w:val="auto"/>
              </w:rPr>
            </w:pPr>
            <w:r>
              <w:rPr>
                <w:rFonts w:ascii="Arial" w:cs="Arial" w:eastAsia="Arial" w:hAnsi="Arial"/>
                <w:sz w:val="16"/>
                <w:szCs w:val="16"/>
                <w:color w:val="D13438"/>
                <w:w w:val="98"/>
              </w:rPr>
              <w:t>251 Little Falls</w:t>
            </w:r>
          </w:p>
        </w:tc>
        <w:tc>
          <w:tcPr>
            <w:tcW w:w="120" w:type="dxa"/>
            <w:vAlign w:val="bottom"/>
            <w:gridSpan w:val="2"/>
          </w:tcPr>
          <w:p>
            <w:pPr>
              <w:spacing w:after="0"/>
              <w:rPr>
                <w:sz w:val="24"/>
                <w:szCs w:val="24"/>
                <w:color w:val="auto"/>
              </w:rPr>
            </w:pPr>
          </w:p>
        </w:tc>
      </w:tr>
    </w:tbl>
    <w:p>
      <w:pPr>
        <w:spacing w:after="0" w:line="26" w:lineRule="exact"/>
        <w:rPr>
          <w:sz w:val="20"/>
          <w:szCs w:val="20"/>
          <w:color w:val="auto"/>
        </w:rPr>
      </w:pPr>
    </w:p>
    <w:p>
      <w:pPr>
        <w:ind w:left="260" w:right="120"/>
        <w:spacing w:after="0" w:line="321" w:lineRule="auto"/>
        <w:rPr>
          <w:sz w:val="20"/>
          <w:szCs w:val="20"/>
          <w:color w:val="auto"/>
        </w:rPr>
      </w:pPr>
      <w:r>
        <w:rPr>
          <w:rFonts w:ascii="Arial" w:cs="Arial" w:eastAsia="Arial" w:hAnsi="Arial"/>
          <w:sz w:val="16"/>
          <w:szCs w:val="16"/>
          <w:u w:val="single" w:color="auto"/>
          <w:color w:val="D13438"/>
        </w:rPr>
        <w:t>Drive</w:t>
      </w:r>
      <w:r>
        <w:rPr>
          <w:rFonts w:ascii="Arial" w:cs="Arial" w:eastAsia="Arial" w:hAnsi="Arial"/>
          <w:sz w:val="16"/>
          <w:szCs w:val="16"/>
          <w:color w:val="D13438"/>
          <w:strike w:val="1"/>
        </w:rPr>
        <w:t>Orange Street</w:t>
      </w:r>
      <w:r>
        <w:rPr>
          <w:rFonts w:ascii="Arial" w:cs="Arial" w:eastAsia="Arial" w:hAnsi="Arial"/>
          <w:sz w:val="16"/>
          <w:szCs w:val="16"/>
          <w:color w:val="D13438"/>
        </w:rPr>
        <w:t xml:space="preserve"> , </w:t>
      </w:r>
      <w:r>
        <w:rPr>
          <w:rFonts w:ascii="Arial" w:cs="Arial" w:eastAsia="Arial" w:hAnsi="Arial"/>
          <w:sz w:val="16"/>
          <w:szCs w:val="16"/>
          <w:color w:val="3D3935"/>
        </w:rPr>
        <w:t>in the City of Wilmington, County of New Castle. The name of its registered agent at such address is</w:t>
      </w:r>
      <w:r>
        <w:rPr>
          <w:rFonts w:ascii="Arial" w:cs="Arial" w:eastAsia="Arial" w:hAnsi="Arial"/>
          <w:sz w:val="16"/>
          <w:szCs w:val="16"/>
          <w:color w:val="D13438"/>
        </w:rPr>
        <w:t xml:space="preserve"> </w:t>
      </w:r>
      <w:r>
        <w:rPr>
          <w:rFonts w:ascii="Arial" w:cs="Arial" w:eastAsia="Arial" w:hAnsi="Arial"/>
          <w:sz w:val="16"/>
          <w:szCs w:val="16"/>
          <w:color w:val="3D3935"/>
        </w:rPr>
        <w:t xml:space="preserve">The Corporation </w:t>
      </w:r>
      <w:r>
        <w:rPr>
          <w:rFonts w:ascii="Arial" w:cs="Arial" w:eastAsia="Arial" w:hAnsi="Arial"/>
          <w:sz w:val="16"/>
          <w:szCs w:val="16"/>
          <w:color w:val="D13438"/>
          <w:strike w:val="1"/>
        </w:rPr>
        <w:t>Trust</w:t>
      </w:r>
      <w:r>
        <w:rPr>
          <w:rFonts w:ascii="Arial" w:cs="Arial" w:eastAsia="Arial" w:hAnsi="Arial"/>
          <w:sz w:val="16"/>
          <w:szCs w:val="16"/>
          <w:color w:val="3D3935"/>
        </w:rPr>
        <w:t xml:space="preserve"> </w:t>
      </w:r>
      <w:r>
        <w:rPr>
          <w:rFonts w:ascii="Arial" w:cs="Arial" w:eastAsia="Arial" w:hAnsi="Arial"/>
          <w:sz w:val="16"/>
          <w:szCs w:val="16"/>
          <w:u w:val="single" w:color="auto"/>
          <w:color w:val="D13438"/>
        </w:rPr>
        <w:t>Service</w:t>
      </w:r>
      <w:r>
        <w:rPr>
          <w:rFonts w:ascii="Arial" w:cs="Arial" w:eastAsia="Arial" w:hAnsi="Arial"/>
          <w:sz w:val="16"/>
          <w:szCs w:val="16"/>
          <w:color w:val="3D3935"/>
        </w:rPr>
        <w:t xml:space="preserve"> Company.</w:t>
      </w:r>
    </w:p>
    <w:p>
      <w:pPr>
        <w:spacing w:after="0" w:line="88" w:lineRule="exact"/>
        <w:rPr>
          <w:sz w:val="20"/>
          <w:szCs w:val="20"/>
          <w:color w:val="auto"/>
        </w:rPr>
      </w:pPr>
    </w:p>
    <w:p>
      <w:pPr>
        <w:ind w:left="260" w:right="820"/>
        <w:spacing w:after="0" w:line="321" w:lineRule="auto"/>
        <w:rPr>
          <w:sz w:val="20"/>
          <w:szCs w:val="20"/>
          <w:color w:val="auto"/>
        </w:rPr>
      </w:pPr>
      <w:r>
        <w:rPr>
          <w:rFonts w:ascii="Arial" w:cs="Arial" w:eastAsia="Arial" w:hAnsi="Arial"/>
          <w:sz w:val="16"/>
          <w:szCs w:val="16"/>
          <w:color w:val="3D3935"/>
        </w:rPr>
        <w:t>THIRD. The purpose of the Corporation is to engage in any lawful act or activity for which corporations may be organized under the General Corporation Law of the State of Delaware.</w:t>
      </w:r>
    </w:p>
    <w:p>
      <w:pPr>
        <w:spacing w:after="0" w:line="75" w:lineRule="exact"/>
        <w:rPr>
          <w:sz w:val="20"/>
          <w:szCs w:val="20"/>
          <w:color w:val="auto"/>
        </w:rPr>
      </w:pPr>
    </w:p>
    <w:p>
      <w:pPr>
        <w:ind w:left="260" w:right="400"/>
        <w:spacing w:after="0" w:line="295" w:lineRule="auto"/>
        <w:rPr>
          <w:sz w:val="20"/>
          <w:szCs w:val="20"/>
          <w:color w:val="auto"/>
        </w:rPr>
      </w:pPr>
      <w:r>
        <w:rPr>
          <w:rFonts w:ascii="Arial" w:cs="Arial" w:eastAsia="Arial" w:hAnsi="Arial"/>
          <w:sz w:val="16"/>
          <w:szCs w:val="16"/>
          <w:color w:val="3D3935"/>
        </w:rPr>
        <w:t xml:space="preserve">FOURTH. The total number of shares of capital stock which the Corporation shall have authority to issue is 7,000,000,000, consisting of 2,000,000,000 shares of Preferred Stock, par value $0.01 per share (hereinafter referred to as </w:t>
      </w:r>
      <w:r>
        <w:rPr>
          <w:rFonts w:ascii="Arial" w:cs="Arial" w:eastAsia="Arial" w:hAnsi="Arial"/>
          <w:sz w:val="16"/>
          <w:szCs w:val="16"/>
          <w:color w:val="D13438"/>
          <w:strike w:val="1"/>
        </w:rPr>
        <w:t>“</w:t>
      </w:r>
      <w:r>
        <w:rPr>
          <w:rFonts w:ascii="Arial" w:cs="Arial" w:eastAsia="Arial" w:hAnsi="Arial"/>
          <w:sz w:val="16"/>
          <w:szCs w:val="16"/>
          <w:color w:val="3D3935"/>
        </w:rPr>
        <w:t xml:space="preserve"> </w:t>
      </w:r>
      <w:r>
        <w:rPr>
          <w:rFonts w:ascii="Arial" w:cs="Arial" w:eastAsia="Arial" w:hAnsi="Arial"/>
          <w:sz w:val="16"/>
          <w:szCs w:val="16"/>
          <w:u w:val="single" w:color="auto"/>
          <w:color w:val="D13438"/>
        </w:rPr>
        <w:t>“</w:t>
      </w:r>
      <w:r>
        <w:rPr>
          <w:rFonts w:ascii="Arial" w:cs="Arial" w:eastAsia="Arial" w:hAnsi="Arial"/>
          <w:sz w:val="16"/>
          <w:szCs w:val="16"/>
          <w:color w:val="3D3935"/>
        </w:rPr>
        <w:t xml:space="preserve"> Preferred Stock </w:t>
      </w:r>
      <w:r>
        <w:rPr>
          <w:rFonts w:ascii="Arial" w:cs="Arial" w:eastAsia="Arial" w:hAnsi="Arial"/>
          <w:sz w:val="16"/>
          <w:szCs w:val="16"/>
          <w:color w:val="D13438"/>
          <w:strike w:val="1"/>
        </w:rPr>
        <w:t>”),</w:t>
      </w:r>
      <w:r>
        <w:rPr>
          <w:rFonts w:ascii="Arial" w:cs="Arial" w:eastAsia="Arial" w:hAnsi="Arial"/>
          <w:sz w:val="16"/>
          <w:szCs w:val="16"/>
          <w:u w:val="single" w:color="auto"/>
          <w:color w:val="D13438"/>
        </w:rPr>
        <w:t>”),</w:t>
      </w:r>
      <w:r>
        <w:rPr>
          <w:rFonts w:ascii="Arial" w:cs="Arial" w:eastAsia="Arial" w:hAnsi="Arial"/>
          <w:sz w:val="16"/>
          <w:szCs w:val="16"/>
          <w:color w:val="3D3935"/>
        </w:rPr>
        <w:t xml:space="preserve"> and 5,000,000,000 shares of Common Stock, par value $0.01 per share (hereinafter referred to as “Common Stock”).</w:t>
      </w:r>
    </w:p>
    <w:p>
      <w:pPr>
        <w:spacing w:after="0" w:line="108"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D13438"/>
          <w:strike w:val="1"/>
        </w:rPr>
        <w:t>Upon this Certificate of Amendment of Amended and Restated Certificate of Incorporation of the Corporation becoming effective pursuant to the General Corporation Law of the State of Delaware (the “Effective Time”), each share of common stock of the Corporation, par value $0.01 per share (the “Old Common Stock”), issued and outstanding immediately prior to the Effective Time, shall without further action on the part of the Corporation or any holder of Old Common Stock automatically be reclassified as and subdivided into three (3) shares of Common Stock. Any stock certificate that,</w:t>
      </w:r>
    </w:p>
    <w:p>
      <w:pPr>
        <w:spacing w:after="0" w:line="200" w:lineRule="exact"/>
        <w:rPr>
          <w:sz w:val="20"/>
          <w:szCs w:val="20"/>
          <w:color w:val="auto"/>
        </w:rPr>
      </w:pPr>
    </w:p>
    <w:p>
      <w:pPr>
        <w:spacing w:after="0" w:line="228"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6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80" w:type="dxa"/>
            <w:vAlign w:val="bottom"/>
          </w:tcPr>
          <w:p>
            <w:pPr>
              <w:ind w:left="160"/>
              <w:spacing w:after="0"/>
              <w:rPr>
                <w:sz w:val="20"/>
                <w:szCs w:val="20"/>
                <w:color w:val="auto"/>
              </w:rPr>
            </w:pPr>
            <w:r>
              <w:rPr>
                <w:rFonts w:ascii="Arial" w:cs="Arial" w:eastAsia="Arial" w:hAnsi="Arial"/>
                <w:sz w:val="14"/>
                <w:szCs w:val="14"/>
                <w:b w:val="1"/>
                <w:bCs w:val="1"/>
                <w:color w:val="3D3935"/>
                <w:w w:val="88"/>
              </w:rPr>
              <w:t>B-1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18249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10375" cy="1824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Appendix B: Proposed Amendments to the Company’s Certificate of Incorporation</w:t>
      </w:r>
    </w:p>
    <w:p>
      <w:pPr>
        <w:spacing w:after="0" w:line="200" w:lineRule="exact"/>
        <w:rPr>
          <w:sz w:val="20"/>
          <w:szCs w:val="20"/>
          <w:color w:val="auto"/>
        </w:rPr>
      </w:pPr>
    </w:p>
    <w:p>
      <w:pPr>
        <w:spacing w:after="0" w:line="377"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D13438"/>
          <w:strike w:val="1"/>
        </w:rPr>
        <w:t>immediately prior to the Effective Time, represented shares of the Old Common Stock will, from and after the Effective Time, automatically and without the necessity of presenting the same for exchange, represent the number of shares of the Common Stock as equals the product obtained by multiplying the number of shares of Old Common Stock represented by such certificate immediately prior to the Effective Time by three (3); provided, however, that each holder of record of a certificate that represented shares of Old Common Stock shall receive upon surrender of such certificate a new certificate representing the number of shares of Common Stock into which the shares of Old Common Stock represented by such certificate have been reclassified pursuant hereto.</w:t>
      </w:r>
    </w:p>
    <w:p>
      <w:pPr>
        <w:sectPr>
          <w:pgSz w:w="11900" w:h="16838" w:orient="portrait"/>
          <w:cols w:equalWidth="0" w:num="1">
            <w:col w:w="9080"/>
          </w:cols>
          <w:pgMar w:left="1400" w:top="892" w:right="1419" w:bottom="0" w:gutter="0" w:footer="0" w:header="0"/>
        </w:sectPr>
      </w:pPr>
    </w:p>
    <w:bookmarkStart w:id="92" w:name="page93"/>
    <w:bookmarkEnd w:id="92"/>
    <w:p>
      <w:pPr>
        <w:ind w:right="440"/>
        <w:spacing w:after="0" w:line="219" w:lineRule="auto"/>
        <w:rPr>
          <w:sz w:val="20"/>
          <w:szCs w:val="20"/>
          <w:color w:val="auto"/>
        </w:rPr>
      </w:pPr>
      <w:r>
        <w:rPr>
          <w:rFonts w:ascii="Arial" w:cs="Arial" w:eastAsia="Arial" w:hAnsi="Arial"/>
          <w:sz w:val="16"/>
          <w:szCs w:val="16"/>
          <w:color w:val="3D3935"/>
        </w:rPr>
        <w:t>The Preferred Stock may be issued from time to time in one or more series. The Board of Directors is hereby authorized to provide for the issuance of shares of Preferred Stock in one or more series and, by filing a certificate pursuant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-194945</wp:posOffset>
            </wp:positionV>
            <wp:extent cx="6810375" cy="70313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10375" cy="7031355"/>
                    </a:xfrm>
                    <a:prstGeom prst="rect">
                      <a:avLst/>
                    </a:prstGeom>
                    <a:noFill/>
                  </pic:spPr>
                </pic:pic>
              </a:graphicData>
            </a:graphic>
          </wp:anchor>
        </w:drawing>
      </w:r>
    </w:p>
    <w:p>
      <w:pPr>
        <w:ind w:right="440"/>
        <w:spacing w:after="0" w:line="295" w:lineRule="auto"/>
        <w:rPr>
          <w:sz w:val="20"/>
          <w:szCs w:val="20"/>
          <w:color w:val="auto"/>
        </w:rPr>
      </w:pPr>
      <w:r>
        <w:rPr>
          <w:rFonts w:ascii="Arial" w:cs="Arial" w:eastAsia="Arial" w:hAnsi="Arial"/>
          <w:sz w:val="16"/>
          <w:szCs w:val="16"/>
          <w:color w:val="3D3935"/>
        </w:rPr>
        <w:t>applicable law of the State of Delaware (hereinafter referred to as “Preferred Stock Designation”), to establish from time to time the number of shares to be included in each such series, and to fix the designation, powers, preferences and rights of the shares of each such series and the qualifications, limitations and restrictions thereof. The authority of the Board of Directors with respect to each series shall include, but not be limited to, determination of the following:</w:t>
      </w:r>
    </w:p>
    <w:p>
      <w:pPr>
        <w:spacing w:after="0" w:line="108" w:lineRule="exact"/>
        <w:rPr>
          <w:sz w:val="20"/>
          <w:szCs w:val="20"/>
          <w:color w:val="auto"/>
        </w:rPr>
      </w:pPr>
    </w:p>
    <w:p>
      <w:pPr>
        <w:ind w:left="520" w:hanging="253"/>
        <w:spacing w:after="0"/>
        <w:tabs>
          <w:tab w:leader="none" w:pos="520" w:val="left"/>
        </w:tabs>
        <w:numPr>
          <w:ilvl w:val="0"/>
          <w:numId w:val="130"/>
        </w:numPr>
        <w:rPr>
          <w:rFonts w:ascii="Arial" w:cs="Arial" w:eastAsia="Arial" w:hAnsi="Arial"/>
          <w:sz w:val="16"/>
          <w:szCs w:val="16"/>
          <w:b w:val="1"/>
          <w:bCs w:val="1"/>
          <w:color w:val="0072CE"/>
        </w:rPr>
      </w:pPr>
      <w:r>
        <w:rPr>
          <w:rFonts w:ascii="Arial" w:cs="Arial" w:eastAsia="Arial" w:hAnsi="Arial"/>
          <w:sz w:val="16"/>
          <w:szCs w:val="16"/>
          <w:color w:val="3D3935"/>
        </w:rPr>
        <w:t>The designation of the series, which may be by distinguishing number, letter or title.</w:t>
      </w:r>
    </w:p>
    <w:p>
      <w:pPr>
        <w:spacing w:after="0" w:line="86" w:lineRule="exact"/>
        <w:rPr>
          <w:rFonts w:ascii="Arial" w:cs="Arial" w:eastAsia="Arial" w:hAnsi="Arial"/>
          <w:sz w:val="16"/>
          <w:szCs w:val="16"/>
          <w:b w:val="1"/>
          <w:bCs w:val="1"/>
          <w:color w:val="0072CE"/>
        </w:rPr>
      </w:pPr>
    </w:p>
    <w:p>
      <w:pPr>
        <w:ind w:left="520" w:right="380" w:hanging="253"/>
        <w:spacing w:after="0" w:line="301" w:lineRule="auto"/>
        <w:tabs>
          <w:tab w:leader="none" w:pos="520" w:val="left"/>
        </w:tabs>
        <w:numPr>
          <w:ilvl w:val="0"/>
          <w:numId w:val="130"/>
        </w:numPr>
        <w:rPr>
          <w:rFonts w:ascii="Arial" w:cs="Arial" w:eastAsia="Arial" w:hAnsi="Arial"/>
          <w:sz w:val="16"/>
          <w:szCs w:val="16"/>
          <w:b w:val="1"/>
          <w:bCs w:val="1"/>
          <w:color w:val="0072CE"/>
        </w:rPr>
      </w:pPr>
      <w:r>
        <w:rPr>
          <w:rFonts w:ascii="Arial" w:cs="Arial" w:eastAsia="Arial" w:hAnsi="Arial"/>
          <w:sz w:val="16"/>
          <w:szCs w:val="16"/>
          <w:color w:val="3D3935"/>
        </w:rPr>
        <w:t>The number of shares of the series, which number the Board of Directors may thereafter (except where otherwise provided in the Preferred Stock Designation) increase or decrease (but not below the number of shares thereof then outstanding).</w:t>
      </w:r>
    </w:p>
    <w:p>
      <w:pPr>
        <w:spacing w:after="0" w:line="9" w:lineRule="exact"/>
        <w:rPr>
          <w:rFonts w:ascii="Arial" w:cs="Arial" w:eastAsia="Arial" w:hAnsi="Arial"/>
          <w:sz w:val="16"/>
          <w:szCs w:val="16"/>
          <w:b w:val="1"/>
          <w:bCs w:val="1"/>
          <w:color w:val="0072CE"/>
        </w:rPr>
      </w:pPr>
    </w:p>
    <w:p>
      <w:pPr>
        <w:ind w:left="520" w:right="180" w:hanging="253"/>
        <w:spacing w:after="0" w:line="316" w:lineRule="auto"/>
        <w:tabs>
          <w:tab w:leader="none" w:pos="520" w:val="left"/>
        </w:tabs>
        <w:numPr>
          <w:ilvl w:val="0"/>
          <w:numId w:val="130"/>
        </w:numPr>
        <w:rPr>
          <w:rFonts w:ascii="Arial" w:cs="Arial" w:eastAsia="Arial" w:hAnsi="Arial"/>
          <w:sz w:val="16"/>
          <w:szCs w:val="16"/>
          <w:b w:val="1"/>
          <w:bCs w:val="1"/>
          <w:color w:val="0072CE"/>
        </w:rPr>
      </w:pPr>
      <w:r>
        <w:rPr>
          <w:rFonts w:ascii="Arial" w:cs="Arial" w:eastAsia="Arial" w:hAnsi="Arial"/>
          <w:sz w:val="16"/>
          <w:szCs w:val="16"/>
          <w:color w:val="3D3935"/>
        </w:rPr>
        <w:t>The amounts payable on, and the preferences, if any, of shares of the series in respect of dividends, and whether such dividends, if any, shall be cumulative or noncumulative.</w:t>
      </w:r>
    </w:p>
    <w:p>
      <w:pPr>
        <w:spacing w:after="0" w:line="1" w:lineRule="exact"/>
        <w:rPr>
          <w:rFonts w:ascii="Arial" w:cs="Arial" w:eastAsia="Arial" w:hAnsi="Arial"/>
          <w:sz w:val="16"/>
          <w:szCs w:val="16"/>
          <w:b w:val="1"/>
          <w:bCs w:val="1"/>
          <w:color w:val="0072CE"/>
        </w:rPr>
      </w:pPr>
    </w:p>
    <w:p>
      <w:pPr>
        <w:ind w:left="520" w:hanging="253"/>
        <w:spacing w:after="0"/>
        <w:tabs>
          <w:tab w:leader="none" w:pos="520" w:val="left"/>
        </w:tabs>
        <w:numPr>
          <w:ilvl w:val="0"/>
          <w:numId w:val="130"/>
        </w:numPr>
        <w:rPr>
          <w:rFonts w:ascii="Arial" w:cs="Arial" w:eastAsia="Arial" w:hAnsi="Arial"/>
          <w:sz w:val="16"/>
          <w:szCs w:val="16"/>
          <w:b w:val="1"/>
          <w:bCs w:val="1"/>
          <w:color w:val="0072CE"/>
        </w:rPr>
      </w:pPr>
      <w:r>
        <w:rPr>
          <w:rFonts w:ascii="Arial" w:cs="Arial" w:eastAsia="Arial" w:hAnsi="Arial"/>
          <w:sz w:val="16"/>
          <w:szCs w:val="16"/>
          <w:color w:val="3D3935"/>
        </w:rPr>
        <w:t>Dates at which dividends, if any, shall be payable.</w:t>
      </w:r>
    </w:p>
    <w:p>
      <w:pPr>
        <w:spacing w:after="0" w:line="86" w:lineRule="exact"/>
        <w:rPr>
          <w:rFonts w:ascii="Arial" w:cs="Arial" w:eastAsia="Arial" w:hAnsi="Arial"/>
          <w:sz w:val="16"/>
          <w:szCs w:val="16"/>
          <w:b w:val="1"/>
          <w:bCs w:val="1"/>
          <w:color w:val="0072CE"/>
        </w:rPr>
      </w:pPr>
    </w:p>
    <w:p>
      <w:pPr>
        <w:ind w:left="520" w:hanging="253"/>
        <w:spacing w:after="0"/>
        <w:tabs>
          <w:tab w:leader="none" w:pos="520" w:val="left"/>
        </w:tabs>
        <w:numPr>
          <w:ilvl w:val="0"/>
          <w:numId w:val="130"/>
        </w:numPr>
        <w:rPr>
          <w:rFonts w:ascii="Arial" w:cs="Arial" w:eastAsia="Arial" w:hAnsi="Arial"/>
          <w:sz w:val="16"/>
          <w:szCs w:val="16"/>
          <w:b w:val="1"/>
          <w:bCs w:val="1"/>
          <w:color w:val="0072CE"/>
        </w:rPr>
      </w:pPr>
      <w:r>
        <w:rPr>
          <w:rFonts w:ascii="Arial" w:cs="Arial" w:eastAsia="Arial" w:hAnsi="Arial"/>
          <w:sz w:val="16"/>
          <w:szCs w:val="16"/>
          <w:color w:val="3D3935"/>
        </w:rPr>
        <w:t>The redemption rights and price or prices, if any, for shares of the series.</w:t>
      </w:r>
    </w:p>
    <w:p>
      <w:pPr>
        <w:spacing w:after="0" w:line="72" w:lineRule="exact"/>
        <w:rPr>
          <w:rFonts w:ascii="Arial" w:cs="Arial" w:eastAsia="Arial" w:hAnsi="Arial"/>
          <w:sz w:val="16"/>
          <w:szCs w:val="16"/>
          <w:b w:val="1"/>
          <w:bCs w:val="1"/>
          <w:color w:val="0072CE"/>
        </w:rPr>
      </w:pPr>
    </w:p>
    <w:p>
      <w:pPr>
        <w:ind w:left="520" w:hanging="253"/>
        <w:spacing w:after="0"/>
        <w:tabs>
          <w:tab w:leader="none" w:pos="520" w:val="left"/>
        </w:tabs>
        <w:numPr>
          <w:ilvl w:val="0"/>
          <w:numId w:val="130"/>
        </w:numPr>
        <w:rPr>
          <w:rFonts w:ascii="Arial" w:cs="Arial" w:eastAsia="Arial" w:hAnsi="Arial"/>
          <w:sz w:val="16"/>
          <w:szCs w:val="16"/>
          <w:b w:val="1"/>
          <w:bCs w:val="1"/>
          <w:color w:val="0072CE"/>
        </w:rPr>
      </w:pPr>
      <w:r>
        <w:rPr>
          <w:rFonts w:ascii="Arial" w:cs="Arial" w:eastAsia="Arial" w:hAnsi="Arial"/>
          <w:sz w:val="16"/>
          <w:szCs w:val="16"/>
          <w:color w:val="3D3935"/>
        </w:rPr>
        <w:t>The terms and amount of any sinking fund provided for the purchase or redemption of shares of the series.</w:t>
      </w:r>
    </w:p>
    <w:p>
      <w:pPr>
        <w:spacing w:after="0" w:line="86" w:lineRule="exact"/>
        <w:rPr>
          <w:rFonts w:ascii="Arial" w:cs="Arial" w:eastAsia="Arial" w:hAnsi="Arial"/>
          <w:sz w:val="16"/>
          <w:szCs w:val="16"/>
          <w:b w:val="1"/>
          <w:bCs w:val="1"/>
          <w:color w:val="0072CE"/>
        </w:rPr>
      </w:pPr>
    </w:p>
    <w:p>
      <w:pPr>
        <w:ind w:left="520" w:right="960" w:hanging="253"/>
        <w:spacing w:after="0" w:line="316" w:lineRule="auto"/>
        <w:tabs>
          <w:tab w:leader="none" w:pos="520" w:val="left"/>
        </w:tabs>
        <w:numPr>
          <w:ilvl w:val="0"/>
          <w:numId w:val="130"/>
        </w:numPr>
        <w:rPr>
          <w:rFonts w:ascii="Arial" w:cs="Arial" w:eastAsia="Arial" w:hAnsi="Arial"/>
          <w:sz w:val="16"/>
          <w:szCs w:val="16"/>
          <w:b w:val="1"/>
          <w:bCs w:val="1"/>
          <w:color w:val="0072CE"/>
        </w:rPr>
      </w:pPr>
      <w:r>
        <w:rPr>
          <w:rFonts w:ascii="Arial" w:cs="Arial" w:eastAsia="Arial" w:hAnsi="Arial"/>
          <w:sz w:val="16"/>
          <w:szCs w:val="16"/>
          <w:color w:val="3D3935"/>
        </w:rPr>
        <w:t>The amounts payable on, and the preferences, if any, of shares of the series in the event of any voluntary or involuntary liquidation, dissolution or winding up of the affairs of the Corporation.</w:t>
      </w:r>
    </w:p>
    <w:p>
      <w:pPr>
        <w:spacing w:after="0" w:line="1" w:lineRule="exact"/>
        <w:rPr>
          <w:rFonts w:ascii="Arial" w:cs="Arial" w:eastAsia="Arial" w:hAnsi="Arial"/>
          <w:sz w:val="16"/>
          <w:szCs w:val="16"/>
          <w:b w:val="1"/>
          <w:bCs w:val="1"/>
          <w:color w:val="0072CE"/>
        </w:rPr>
      </w:pPr>
    </w:p>
    <w:p>
      <w:pPr>
        <w:ind w:left="520" w:right="340" w:hanging="253"/>
        <w:spacing w:after="0" w:line="291" w:lineRule="auto"/>
        <w:tabs>
          <w:tab w:leader="none" w:pos="520" w:val="left"/>
        </w:tabs>
        <w:numPr>
          <w:ilvl w:val="0"/>
          <w:numId w:val="130"/>
        </w:numPr>
        <w:rPr>
          <w:rFonts w:ascii="Arial" w:cs="Arial" w:eastAsia="Arial" w:hAnsi="Arial"/>
          <w:sz w:val="16"/>
          <w:szCs w:val="16"/>
          <w:b w:val="1"/>
          <w:bCs w:val="1"/>
          <w:color w:val="0072CE"/>
        </w:rPr>
      </w:pPr>
      <w:r>
        <w:rPr>
          <w:rFonts w:ascii="Arial" w:cs="Arial" w:eastAsia="Arial" w:hAnsi="Arial"/>
          <w:sz w:val="16"/>
          <w:szCs w:val="16"/>
          <w:color w:val="3D3935"/>
        </w:rPr>
        <w:t>Whether the shares of the series shall be convertible into or exchangeable for shares of any other class or series, or any other security, of the Corporation or any other corporation and, if so, the specification of such other class or series or such other security, the conversion or exchange price or prices or rate or rates, any adjustments thereof, the date or dates at which such shares shall be convertible or exchangeable and all other terms and conditions upon which such conversion or exchange may be made.</w:t>
      </w:r>
    </w:p>
    <w:p>
      <w:pPr>
        <w:spacing w:after="0" w:line="18" w:lineRule="exact"/>
        <w:rPr>
          <w:rFonts w:ascii="Arial" w:cs="Arial" w:eastAsia="Arial" w:hAnsi="Arial"/>
          <w:sz w:val="16"/>
          <w:szCs w:val="16"/>
          <w:b w:val="1"/>
          <w:bCs w:val="1"/>
          <w:color w:val="0072CE"/>
        </w:rPr>
      </w:pPr>
    </w:p>
    <w:p>
      <w:pPr>
        <w:ind w:left="520" w:hanging="253"/>
        <w:spacing w:after="0"/>
        <w:tabs>
          <w:tab w:leader="none" w:pos="520" w:val="left"/>
        </w:tabs>
        <w:numPr>
          <w:ilvl w:val="0"/>
          <w:numId w:val="130"/>
        </w:numPr>
        <w:rPr>
          <w:rFonts w:ascii="Arial" w:cs="Arial" w:eastAsia="Arial" w:hAnsi="Arial"/>
          <w:sz w:val="16"/>
          <w:szCs w:val="16"/>
          <w:b w:val="1"/>
          <w:bCs w:val="1"/>
          <w:color w:val="0072CE"/>
        </w:rPr>
      </w:pPr>
      <w:r>
        <w:rPr>
          <w:rFonts w:ascii="Arial" w:cs="Arial" w:eastAsia="Arial" w:hAnsi="Arial"/>
          <w:sz w:val="16"/>
          <w:szCs w:val="16"/>
          <w:color w:val="3D3935"/>
        </w:rPr>
        <w:t>Restrictions on the issuance of shares of the same series or of any other class or series.</w:t>
      </w:r>
    </w:p>
    <w:p>
      <w:pPr>
        <w:spacing w:after="0" w:line="86" w:lineRule="exact"/>
        <w:rPr>
          <w:rFonts w:ascii="Arial" w:cs="Arial" w:eastAsia="Arial" w:hAnsi="Arial"/>
          <w:sz w:val="16"/>
          <w:szCs w:val="16"/>
          <w:b w:val="1"/>
          <w:bCs w:val="1"/>
          <w:color w:val="0072CE"/>
        </w:rPr>
      </w:pPr>
    </w:p>
    <w:p>
      <w:pPr>
        <w:ind w:left="520" w:hanging="253"/>
        <w:spacing w:after="0"/>
        <w:tabs>
          <w:tab w:leader="none" w:pos="520" w:val="left"/>
        </w:tabs>
        <w:numPr>
          <w:ilvl w:val="0"/>
          <w:numId w:val="130"/>
        </w:numPr>
        <w:rPr>
          <w:rFonts w:ascii="Arial" w:cs="Arial" w:eastAsia="Arial" w:hAnsi="Arial"/>
          <w:sz w:val="16"/>
          <w:szCs w:val="16"/>
          <w:b w:val="1"/>
          <w:bCs w:val="1"/>
          <w:color w:val="0072CE"/>
        </w:rPr>
      </w:pPr>
      <w:r>
        <w:rPr>
          <w:rFonts w:ascii="Arial" w:cs="Arial" w:eastAsia="Arial" w:hAnsi="Arial"/>
          <w:sz w:val="16"/>
          <w:szCs w:val="16"/>
          <w:color w:val="3D3935"/>
        </w:rPr>
        <w:t>The voting rights, if any, of the holders of shares of the series.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3D3935"/>
        </w:rPr>
        <w:t>The Common Stock shall be subject to the express terms of the Preferred Stock and any series thereof. Except as may</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gridSpan w:val="2"/>
          </w:tcPr>
          <w:p>
            <w:pPr>
              <w:spacing w:after="0"/>
              <w:rPr>
                <w:sz w:val="20"/>
                <w:szCs w:val="20"/>
                <w:color w:val="auto"/>
              </w:rPr>
            </w:pPr>
            <w:r>
              <w:rPr>
                <w:rFonts w:ascii="Arial" w:cs="Arial" w:eastAsia="Arial" w:hAnsi="Arial"/>
                <w:sz w:val="16"/>
                <w:szCs w:val="16"/>
                <w:color w:val="3D3935"/>
              </w:rPr>
              <w:t>otherwise be provided in this Certificate of Incorporation</w:t>
            </w:r>
          </w:p>
        </w:tc>
        <w:tc>
          <w:tcPr>
            <w:tcW w:w="640" w:type="dxa"/>
            <w:vAlign w:val="bottom"/>
          </w:tcPr>
          <w:p>
            <w:pPr>
              <w:ind w:left="260"/>
              <w:spacing w:after="0"/>
              <w:rPr>
                <w:sz w:val="20"/>
                <w:szCs w:val="20"/>
                <w:color w:val="auto"/>
              </w:rPr>
            </w:pPr>
            <w:r>
              <w:rPr>
                <w:rFonts w:ascii="Arial" w:cs="Arial" w:eastAsia="Arial" w:hAnsi="Arial"/>
                <w:sz w:val="16"/>
                <w:szCs w:val="16"/>
                <w:color w:val="D13438"/>
                <w:strike w:val="1"/>
              </w:rPr>
              <w:t>, in a</w:t>
            </w:r>
          </w:p>
        </w:tc>
        <w:tc>
          <w:tcPr>
            <w:tcW w:w="4180" w:type="dxa"/>
            <w:vAlign w:val="bottom"/>
            <w:tcBorders>
              <w:bottom w:val="single" w:sz="8" w:color="D13438"/>
            </w:tcBorders>
            <w:gridSpan w:val="3"/>
          </w:tcPr>
          <w:p>
            <w:pPr>
              <w:ind w:left="40"/>
              <w:spacing w:after="0"/>
              <w:rPr>
                <w:sz w:val="20"/>
                <w:szCs w:val="20"/>
                <w:color w:val="auto"/>
              </w:rPr>
            </w:pPr>
            <w:r>
              <w:rPr>
                <w:rFonts w:ascii="Arial" w:cs="Arial" w:eastAsia="Arial" w:hAnsi="Arial"/>
                <w:sz w:val="16"/>
                <w:szCs w:val="16"/>
                <w:color w:val="D13438"/>
              </w:rPr>
              <w:t>(which, for all purposes of this Certificate of Incorporation,</w:t>
            </w:r>
          </w:p>
        </w:tc>
        <w:tc>
          <w:tcPr>
            <w:tcW w:w="240" w:type="dxa"/>
            <w:vAlign w:val="bottom"/>
          </w:tcPr>
          <w:p>
            <w:pPr>
              <w:spacing w:after="0"/>
              <w:rPr>
                <w:sz w:val="16"/>
                <w:szCs w:val="16"/>
                <w:color w:val="auto"/>
              </w:rPr>
            </w:pPr>
          </w:p>
        </w:tc>
      </w:tr>
      <w:tr>
        <w:trPr>
          <w:trHeight w:val="196"/>
        </w:trPr>
        <w:tc>
          <w:tcPr>
            <w:tcW w:w="4000" w:type="dxa"/>
            <w:vAlign w:val="bottom"/>
            <w:gridSpan w:val="2"/>
          </w:tcPr>
          <w:p>
            <w:pPr>
              <w:spacing w:after="0"/>
              <w:rPr>
                <w:sz w:val="20"/>
                <w:szCs w:val="20"/>
                <w:color w:val="auto"/>
              </w:rPr>
            </w:pPr>
            <w:r>
              <w:rPr>
                <w:rFonts w:ascii="Arial" w:cs="Arial" w:eastAsia="Arial" w:hAnsi="Arial"/>
                <w:sz w:val="16"/>
                <w:szCs w:val="16"/>
                <w:color w:val="D13438"/>
              </w:rPr>
              <w:t xml:space="preserve">includes the terms of any </w:t>
            </w:r>
            <w:r>
              <w:rPr>
                <w:rFonts w:ascii="Arial" w:cs="Arial" w:eastAsia="Arial" w:hAnsi="Arial"/>
                <w:sz w:val="16"/>
                <w:szCs w:val="16"/>
                <w:color w:val="3D3935"/>
              </w:rPr>
              <w:t>Preferred Stock Designation</w:t>
            </w:r>
          </w:p>
        </w:tc>
        <w:tc>
          <w:tcPr>
            <w:tcW w:w="1480" w:type="dxa"/>
            <w:vAlign w:val="bottom"/>
            <w:gridSpan w:val="2"/>
          </w:tcPr>
          <w:p>
            <w:pPr>
              <w:ind w:left="20"/>
              <w:spacing w:after="0"/>
              <w:rPr>
                <w:sz w:val="20"/>
                <w:szCs w:val="20"/>
                <w:color w:val="auto"/>
              </w:rPr>
            </w:pPr>
            <w:r>
              <w:rPr>
                <w:rFonts w:ascii="Arial" w:cs="Arial" w:eastAsia="Arial" w:hAnsi="Arial"/>
                <w:sz w:val="16"/>
                <w:szCs w:val="16"/>
                <w:color w:val="D13438"/>
                <w:w w:val="99"/>
              </w:rPr>
              <w:t>or by applicable law,</w:t>
            </w:r>
          </w:p>
        </w:tc>
        <w:tc>
          <w:tcPr>
            <w:tcW w:w="3580" w:type="dxa"/>
            <w:vAlign w:val="bottom"/>
            <w:gridSpan w:val="3"/>
          </w:tcPr>
          <w:p>
            <w:pPr>
              <w:spacing w:after="0"/>
              <w:rPr>
                <w:sz w:val="20"/>
                <w:szCs w:val="20"/>
                <w:color w:val="auto"/>
              </w:rPr>
            </w:pPr>
            <w:r>
              <w:rPr>
                <w:rFonts w:ascii="Arial" w:cs="Arial" w:eastAsia="Arial" w:hAnsi="Arial"/>
                <w:sz w:val="16"/>
                <w:szCs w:val="16"/>
                <w:color w:val="D13438"/>
              </w:rPr>
              <w:t xml:space="preserve">), </w:t>
            </w:r>
            <w:r>
              <w:rPr>
                <w:rFonts w:ascii="Arial" w:cs="Arial" w:eastAsia="Arial" w:hAnsi="Arial"/>
                <w:sz w:val="16"/>
                <w:szCs w:val="16"/>
                <w:color w:val="3D3935"/>
              </w:rPr>
              <w:t>the holders of shares of Common Stock shall be</w:t>
            </w:r>
          </w:p>
        </w:tc>
      </w:tr>
      <w:tr>
        <w:trPr>
          <w:trHeight w:val="20"/>
        </w:trPr>
        <w:tc>
          <w:tcPr>
            <w:tcW w:w="1800" w:type="dxa"/>
            <w:vAlign w:val="bottom"/>
            <w:shd w:val="clear" w:color="auto" w:fill="D13438"/>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D13438"/>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6"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3D3935"/>
        </w:rPr>
        <w:t xml:space="preserve">entitled to one vote for each such share upon each matter presented to the stockholders </w:t>
      </w:r>
      <w:r>
        <w:rPr>
          <w:rFonts w:ascii="Arial" w:cs="Arial" w:eastAsia="Arial" w:hAnsi="Arial"/>
          <w:sz w:val="16"/>
          <w:szCs w:val="16"/>
          <w:color w:val="D13438"/>
          <w:strike w:val="1"/>
        </w:rPr>
        <w:t>,</w:t>
      </w:r>
      <w:r>
        <w:rPr>
          <w:rFonts w:ascii="Arial" w:cs="Arial" w:eastAsia="Arial" w:hAnsi="Arial"/>
          <w:sz w:val="16"/>
          <w:szCs w:val="16"/>
          <w:color w:val="3D3935"/>
        </w:rPr>
        <w:t xml:space="preserve"> </w:t>
      </w:r>
      <w:r>
        <w:rPr>
          <w:rFonts w:ascii="Arial" w:cs="Arial" w:eastAsia="Arial" w:hAnsi="Arial"/>
          <w:sz w:val="16"/>
          <w:szCs w:val="16"/>
          <w:color w:val="D13438"/>
        </w:rPr>
        <w:t>and</w:t>
      </w:r>
      <w:r>
        <w:rPr>
          <w:rFonts w:ascii="Arial" w:cs="Arial" w:eastAsia="Arial" w:hAnsi="Arial"/>
          <w:sz w:val="16"/>
          <w:szCs w:val="16"/>
          <w:color w:val="3D3935"/>
        </w:rPr>
        <w:t xml:space="preserve"> the Common Stock shall have the exclusive right to vote for the election of directors and for all other purposes, and holders of Preferred Stock shall not be entitled to vote at or receive notice of any meeting of stockholders </w:t>
      </w:r>
      <w:r>
        <w:rPr>
          <w:rFonts w:ascii="Arial" w:cs="Arial" w:eastAsia="Arial" w:hAnsi="Arial"/>
          <w:sz w:val="16"/>
          <w:szCs w:val="16"/>
          <w:color w:val="D13438"/>
          <w:strike w:val="1"/>
        </w:rPr>
        <w:t>.</w:t>
      </w:r>
      <w:r>
        <w:rPr>
          <w:rFonts w:ascii="Arial" w:cs="Arial" w:eastAsia="Arial" w:hAnsi="Arial"/>
          <w:sz w:val="16"/>
          <w:szCs w:val="16"/>
          <w:color w:val="D13438"/>
        </w:rPr>
        <w:t>;</w:t>
      </w:r>
      <w:r>
        <w:rPr>
          <w:rFonts w:ascii="Arial" w:cs="Arial" w:eastAsia="Arial" w:hAnsi="Arial"/>
          <w:sz w:val="16"/>
          <w:szCs w:val="16"/>
          <w:color w:val="3D3935"/>
        </w:rPr>
        <w:t xml:space="preserve"> </w:t>
      </w:r>
      <w:r>
        <w:rPr>
          <w:rFonts w:ascii="Arial" w:cs="Arial" w:eastAsia="Arial" w:hAnsi="Arial"/>
          <w:sz w:val="16"/>
          <w:szCs w:val="16"/>
          <w:i w:val="1"/>
          <w:iCs w:val="1"/>
          <w:color w:val="D13438"/>
        </w:rPr>
        <w:t>provided, however,</w:t>
      </w:r>
      <w:r>
        <w:rPr>
          <w:rFonts w:ascii="Arial" w:cs="Arial" w:eastAsia="Arial" w:hAnsi="Arial"/>
          <w:sz w:val="16"/>
          <w:szCs w:val="16"/>
          <w:color w:val="D13438"/>
        </w:rPr>
        <w:t>that, except as otherwise required by</w:t>
      </w:r>
      <w:r>
        <w:rPr>
          <w:rFonts w:ascii="Arial" w:cs="Arial" w:eastAsia="Arial" w:hAnsi="Arial"/>
          <w:sz w:val="16"/>
          <w:szCs w:val="16"/>
          <w:color w:val="3D3935"/>
        </w:rPr>
        <w:t xml:space="preserve"> </w:t>
      </w:r>
      <w:r>
        <w:rPr>
          <w:rFonts w:ascii="Arial" w:cs="Arial" w:eastAsia="Arial" w:hAnsi="Arial"/>
          <w:sz w:val="16"/>
          <w:szCs w:val="16"/>
          <w:u w:val="single" w:color="auto"/>
          <w:color w:val="D13438"/>
        </w:rPr>
        <w:t>law, holders of Common Stock shall not be entitled to vote on any amendment to this Certificate of Incorporation (including any Preferred Stock Designation) that relates solely to the terms, number of shares, powers, designations, preferences, or relative participating, optional or other special rights (including, without limitation, voting rights), or to qualifications, limitations or restrictions thereon, of one or more outstanding series of Preferred Stock if the holders of such affected series are entitled, either separately or together with the holders of one more other such series, to vote thereon pursuant to this Certificate of Incorporation (including, without limitation, any Preferred Stock Designation relating to any series of Preferred Stock) or pursuant to the General Corporation Law of the State of Delaware.</w:t>
      </w:r>
    </w:p>
    <w:p>
      <w:pPr>
        <w:spacing w:after="0" w:line="118" w:lineRule="exact"/>
        <w:rPr>
          <w:sz w:val="20"/>
          <w:szCs w:val="20"/>
          <w:color w:val="auto"/>
        </w:rPr>
      </w:pPr>
    </w:p>
    <w:p>
      <w:pPr>
        <w:jc w:val="both"/>
        <w:ind w:right="340"/>
        <w:spacing w:after="0" w:line="301" w:lineRule="auto"/>
        <w:rPr>
          <w:sz w:val="20"/>
          <w:szCs w:val="20"/>
          <w:color w:val="auto"/>
        </w:rPr>
      </w:pPr>
      <w:r>
        <w:rPr>
          <w:rFonts w:ascii="Arial" w:cs="Arial" w:eastAsia="Arial" w:hAnsi="Arial"/>
          <w:sz w:val="16"/>
          <w:szCs w:val="16"/>
          <w:color w:val="3D3935"/>
        </w:rPr>
        <w:t>The Corporation shall be entitled to treat the person in whose name any share of its stock is registered as the owner thereof for all purposes and shall not be bound to recognize any equitable or other claim to, or interest in, such share on the part of any other person, whether or not the Corporation shall have notice thereof, except as expressly provided by applicable law.</w:t>
      </w:r>
    </w:p>
    <w:p>
      <w:pPr>
        <w:spacing w:after="0" w:line="91" w:lineRule="exact"/>
        <w:rPr>
          <w:sz w:val="20"/>
          <w:szCs w:val="20"/>
          <w:color w:val="auto"/>
        </w:rPr>
      </w:pPr>
    </w:p>
    <w:p>
      <w:pPr>
        <w:ind w:left="260" w:right="320"/>
        <w:spacing w:after="0" w:line="321" w:lineRule="auto"/>
        <w:rPr>
          <w:sz w:val="20"/>
          <w:szCs w:val="20"/>
          <w:color w:val="auto"/>
        </w:rPr>
      </w:pPr>
      <w:r>
        <w:rPr>
          <w:rFonts w:ascii="Arial" w:cs="Arial" w:eastAsia="Arial" w:hAnsi="Arial"/>
          <w:sz w:val="16"/>
          <w:szCs w:val="16"/>
          <w:color w:val="3D3935"/>
        </w:rPr>
        <w:t>FIFTH. Unless and except to the extent that the bylaws of the Corporation shall so require, the election of directors of the Corporation need not be by written ballot. The business and affairs of the Corporation shall be managed by, or under</w:t>
      </w: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34023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10375" cy="340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Appendix B: Proposed Amendments to the Company’s Certificate of Incorporation</w:t>
      </w:r>
    </w:p>
    <w:p>
      <w:pPr>
        <w:spacing w:after="0" w:line="200" w:lineRule="exact"/>
        <w:rPr>
          <w:sz w:val="20"/>
          <w:szCs w:val="20"/>
          <w:color w:val="auto"/>
        </w:rPr>
      </w:pPr>
    </w:p>
    <w:p>
      <w:pPr>
        <w:spacing w:after="0" w:line="377" w:lineRule="exact"/>
        <w:rPr>
          <w:sz w:val="20"/>
          <w:szCs w:val="20"/>
          <w:color w:val="auto"/>
        </w:rPr>
      </w:pPr>
    </w:p>
    <w:p>
      <w:pPr>
        <w:ind w:left="260" w:right="500"/>
        <w:spacing w:after="0" w:line="281" w:lineRule="auto"/>
        <w:rPr>
          <w:sz w:val="20"/>
          <w:szCs w:val="20"/>
          <w:color w:val="auto"/>
        </w:rPr>
      </w:pPr>
      <w:r>
        <w:rPr>
          <w:rFonts w:ascii="Arial" w:cs="Arial" w:eastAsia="Arial" w:hAnsi="Arial"/>
          <w:sz w:val="16"/>
          <w:szCs w:val="16"/>
          <w:color w:val="3D3935"/>
        </w:rPr>
        <w:t>the direction of, the Board of Directors. The total number of directors constituting the entire Board of Directors shall be not more than 17, except as otherwise provided in a Preferred Stock Designation, with the then-authorized number of</w:t>
      </w:r>
    </w:p>
    <w:p>
      <w:pPr>
        <w:spacing w:after="0" w:line="1" w:lineRule="exact"/>
        <w:rPr>
          <w:sz w:val="20"/>
          <w:szCs w:val="20"/>
          <w:color w:val="auto"/>
        </w:rPr>
      </w:pPr>
    </w:p>
    <w:p>
      <w:pPr>
        <w:jc w:val="both"/>
        <w:ind w:left="260" w:right="260"/>
        <w:spacing w:after="0" w:line="301" w:lineRule="auto"/>
        <w:rPr>
          <w:sz w:val="20"/>
          <w:szCs w:val="20"/>
          <w:color w:val="auto"/>
        </w:rPr>
      </w:pPr>
      <w:r>
        <w:rPr>
          <w:rFonts w:ascii="Arial" w:cs="Arial" w:eastAsia="Arial" w:hAnsi="Arial"/>
          <w:sz w:val="16"/>
          <w:szCs w:val="16"/>
          <w:color w:val="3D3935"/>
        </w:rPr>
        <w:t xml:space="preserve">directors being fixed from time to time by resolution of the Board of Directors. </w:t>
      </w:r>
      <w:r>
        <w:rPr>
          <w:rFonts w:ascii="Arial" w:cs="Arial" w:eastAsia="Arial" w:hAnsi="Arial"/>
          <w:sz w:val="16"/>
          <w:szCs w:val="16"/>
          <w:color w:val="D13438"/>
          <w:strike w:val="1"/>
        </w:rPr>
        <w:t>Other than as set forth in the bylaws of</w:t>
      </w:r>
      <w:r>
        <w:rPr>
          <w:rFonts w:ascii="Arial" w:cs="Arial" w:eastAsia="Arial" w:hAnsi="Arial"/>
          <w:sz w:val="16"/>
          <w:szCs w:val="16"/>
          <w:color w:val="3D3935"/>
        </w:rPr>
        <w:t xml:space="preserve"> </w:t>
      </w:r>
      <w:r>
        <w:rPr>
          <w:rFonts w:ascii="Arial" w:cs="Arial" w:eastAsia="Arial" w:hAnsi="Arial"/>
          <w:sz w:val="16"/>
          <w:szCs w:val="16"/>
          <w:color w:val="D13438"/>
          <w:strike w:val="1"/>
        </w:rPr>
        <w:t>the Corporation, vacancies</w:t>
      </w:r>
      <w:r>
        <w:rPr>
          <w:rFonts w:ascii="Arial" w:cs="Arial" w:eastAsia="Arial" w:hAnsi="Arial"/>
          <w:sz w:val="16"/>
          <w:szCs w:val="16"/>
          <w:color w:val="D13438"/>
        </w:rPr>
        <w:t xml:space="preserve"> </w:t>
      </w:r>
      <w:r>
        <w:rPr>
          <w:rFonts w:ascii="Arial" w:cs="Arial" w:eastAsia="Arial" w:hAnsi="Arial"/>
          <w:sz w:val="16"/>
          <w:szCs w:val="16"/>
          <w:u w:val="single" w:color="auto"/>
          <w:color w:val="D13438"/>
        </w:rPr>
        <w:t>Vacancies</w:t>
      </w:r>
      <w:r>
        <w:rPr>
          <w:rFonts w:ascii="Arial" w:cs="Arial" w:eastAsia="Arial" w:hAnsi="Arial"/>
          <w:sz w:val="16"/>
          <w:szCs w:val="16"/>
          <w:color w:val="D13438"/>
        </w:rPr>
        <w:t xml:space="preserve"> </w:t>
      </w:r>
      <w:r>
        <w:rPr>
          <w:rFonts w:ascii="Arial" w:cs="Arial" w:eastAsia="Arial" w:hAnsi="Arial"/>
          <w:sz w:val="16"/>
          <w:szCs w:val="16"/>
          <w:color w:val="3D3935"/>
        </w:rPr>
        <w:t>and newly created directorships shall be filled exclusively pursuant to a resolution</w:t>
      </w:r>
      <w:r>
        <w:rPr>
          <w:rFonts w:ascii="Arial" w:cs="Arial" w:eastAsia="Arial" w:hAnsi="Arial"/>
          <w:sz w:val="16"/>
          <w:szCs w:val="16"/>
          <w:color w:val="D13438"/>
        </w:rPr>
        <w:t xml:space="preserve"> </w:t>
      </w:r>
      <w:r>
        <w:rPr>
          <w:rFonts w:ascii="Arial" w:cs="Arial" w:eastAsia="Arial" w:hAnsi="Arial"/>
          <w:sz w:val="16"/>
          <w:szCs w:val="16"/>
          <w:color w:val="3D3935"/>
        </w:rPr>
        <w:t>adopted by the Board of Directors.</w:t>
      </w:r>
    </w:p>
    <w:p>
      <w:pPr>
        <w:spacing w:after="0" w:line="64" w:lineRule="exact"/>
        <w:rPr>
          <w:sz w:val="20"/>
          <w:szCs w:val="20"/>
          <w:color w:val="auto"/>
        </w:rPr>
      </w:pPr>
    </w:p>
    <w:p>
      <w:pPr>
        <w:ind w:left="260" w:right="480"/>
        <w:spacing w:after="0" w:line="295" w:lineRule="auto"/>
        <w:rPr>
          <w:sz w:val="20"/>
          <w:szCs w:val="20"/>
          <w:color w:val="auto"/>
        </w:rPr>
      </w:pPr>
      <w:r>
        <w:rPr>
          <w:rFonts w:ascii="Arial" w:cs="Arial" w:eastAsia="Arial" w:hAnsi="Arial"/>
          <w:sz w:val="16"/>
          <w:szCs w:val="16"/>
          <w:color w:val="3D3935"/>
        </w:rPr>
        <w:t>SIXTH. In furtherance and not in limitation of the powers conferred by the laws of the State of Delaware, the Board of Directors is expressly authorized to adopt, amend or repeal the bylaws of the Corporation. The stockholders may also adopt, amend, or repeal the bylaws of the Corporation, whether adopted by them or otherwise, but only upon the affirmative vote of the holders of a majority of the voting power of the shares entitled to vote thereon.</w:t>
      </w:r>
    </w:p>
    <w:p>
      <w:pPr>
        <w:spacing w:after="0" w:line="67" w:lineRule="exact"/>
        <w:rPr>
          <w:sz w:val="20"/>
          <w:szCs w:val="20"/>
          <w:color w:val="auto"/>
        </w:rPr>
      </w:pPr>
    </w:p>
    <w:p>
      <w:pPr>
        <w:ind w:left="260" w:right="480"/>
        <w:spacing w:after="0" w:line="281" w:lineRule="auto"/>
        <w:rPr>
          <w:sz w:val="20"/>
          <w:szCs w:val="20"/>
          <w:color w:val="auto"/>
        </w:rPr>
      </w:pPr>
      <w:r>
        <w:rPr>
          <w:rFonts w:ascii="Arial" w:cs="Arial" w:eastAsia="Arial" w:hAnsi="Arial"/>
          <w:sz w:val="16"/>
          <w:szCs w:val="16"/>
          <w:color w:val="3D3935"/>
        </w:rPr>
        <w:t xml:space="preserve">SEVENTH. </w:t>
      </w:r>
      <w:r>
        <w:rPr>
          <w:rFonts w:ascii="Arial" w:cs="Arial" w:eastAsia="Arial" w:hAnsi="Arial"/>
          <w:sz w:val="16"/>
          <w:szCs w:val="16"/>
          <w:color w:val="D13438"/>
          <w:strike w:val="1"/>
        </w:rPr>
        <w:t>No director</w:t>
      </w:r>
      <w:r>
        <w:rPr>
          <w:rFonts w:ascii="Arial" w:cs="Arial" w:eastAsia="Arial" w:hAnsi="Arial"/>
          <w:sz w:val="16"/>
          <w:szCs w:val="16"/>
          <w:color w:val="3D3935"/>
        </w:rPr>
        <w:t xml:space="preserve"> </w:t>
      </w:r>
      <w:r>
        <w:rPr>
          <w:rFonts w:ascii="Arial" w:cs="Arial" w:eastAsia="Arial" w:hAnsi="Arial"/>
          <w:sz w:val="16"/>
          <w:szCs w:val="16"/>
          <w:u w:val="single" w:color="auto"/>
          <w:color w:val="D13438"/>
        </w:rPr>
        <w:t>To the fullest extent permitted by the General Corporation Law of the State of Delaware, no</w:t>
      </w:r>
      <w:r>
        <w:rPr>
          <w:rFonts w:ascii="Arial" w:cs="Arial" w:eastAsia="Arial" w:hAnsi="Arial"/>
          <w:sz w:val="16"/>
          <w:szCs w:val="16"/>
          <w:color w:val="3D3935"/>
        </w:rPr>
        <w:t xml:space="preserve"> </w:t>
      </w:r>
      <w:r>
        <w:rPr>
          <w:rFonts w:ascii="Arial" w:cs="Arial" w:eastAsia="Arial" w:hAnsi="Arial"/>
          <w:sz w:val="16"/>
          <w:szCs w:val="16"/>
          <w:u w:val="single" w:color="auto"/>
          <w:color w:val="D13438"/>
        </w:rPr>
        <w:t>director or officer</w:t>
      </w:r>
      <w:r>
        <w:rPr>
          <w:rFonts w:ascii="Arial" w:cs="Arial" w:eastAsia="Arial" w:hAnsi="Arial"/>
          <w:sz w:val="16"/>
          <w:szCs w:val="16"/>
          <w:color w:val="D13438"/>
        </w:rPr>
        <w:t xml:space="preserve"> </w:t>
      </w:r>
      <w:r>
        <w:rPr>
          <w:rFonts w:ascii="Arial" w:cs="Arial" w:eastAsia="Arial" w:hAnsi="Arial"/>
          <w:sz w:val="16"/>
          <w:szCs w:val="16"/>
          <w:color w:val="3D3935"/>
        </w:rPr>
        <w:t>shall be personally liable to the Corporation or its stockholders for monetary damages for breach of</w:t>
      </w:r>
    </w:p>
    <w:tbl>
      <w:tblPr>
        <w:tblLayout w:type="fixed"/>
        <w:tblInd w:w="260" w:type="dxa"/>
        <w:tblCellMar>
          <w:top w:w="0" w:type="dxa"/>
          <w:left w:w="0" w:type="dxa"/>
          <w:bottom w:w="0" w:type="dxa"/>
          <w:right w:w="0" w:type="dxa"/>
        </w:tblCellMar>
      </w:tblPr>
      <w:tr>
        <w:trPr>
          <w:trHeight w:val="177"/>
        </w:trPr>
        <w:tc>
          <w:tcPr>
            <w:tcW w:w="7080" w:type="dxa"/>
            <w:vAlign w:val="bottom"/>
            <w:gridSpan w:val="15"/>
          </w:tcPr>
          <w:p>
            <w:pPr>
              <w:spacing w:after="0" w:line="178" w:lineRule="exact"/>
              <w:rPr>
                <w:sz w:val="20"/>
                <w:szCs w:val="20"/>
                <w:color w:val="auto"/>
              </w:rPr>
            </w:pPr>
            <w:r>
              <w:rPr>
                <w:rFonts w:ascii="Arial" w:cs="Arial" w:eastAsia="Arial" w:hAnsi="Arial"/>
                <w:sz w:val="16"/>
                <w:szCs w:val="16"/>
                <w:color w:val="3D3935"/>
              </w:rPr>
              <w:t xml:space="preserve">fiduciary duty as a director  </w:t>
            </w:r>
            <w:r>
              <w:rPr>
                <w:rFonts w:ascii="Arial" w:cs="Arial" w:eastAsia="Arial" w:hAnsi="Arial"/>
                <w:sz w:val="16"/>
                <w:szCs w:val="16"/>
                <w:color w:val="D13438"/>
              </w:rPr>
              <w:t>or officer, as applicable</w:t>
            </w:r>
            <w:r>
              <w:rPr>
                <w:rFonts w:ascii="Arial" w:cs="Arial" w:eastAsia="Arial" w:hAnsi="Arial"/>
                <w:sz w:val="16"/>
                <w:szCs w:val="16"/>
                <w:color w:val="3D3935"/>
              </w:rPr>
              <w:t xml:space="preserve"> , except for liability  </w:t>
            </w:r>
            <w:r>
              <w:rPr>
                <w:rFonts w:ascii="Arial" w:cs="Arial" w:eastAsia="Arial" w:hAnsi="Arial"/>
                <w:sz w:val="16"/>
                <w:szCs w:val="16"/>
                <w:color w:val="D13438"/>
              </w:rPr>
              <w:t>of</w:t>
            </w:r>
            <w:r>
              <w:rPr>
                <w:rFonts w:ascii="Arial" w:cs="Arial" w:eastAsia="Arial" w:hAnsi="Arial"/>
                <w:sz w:val="16"/>
                <w:szCs w:val="16"/>
                <w:color w:val="3D3935"/>
              </w:rPr>
              <w:t xml:space="preserve"> (i) </w:t>
            </w:r>
            <w:r>
              <w:rPr>
                <w:rFonts w:ascii="Arial" w:cs="Arial" w:eastAsia="Arial" w:hAnsi="Arial"/>
                <w:sz w:val="16"/>
                <w:szCs w:val="16"/>
                <w:color w:val="D13438"/>
              </w:rPr>
              <w:t>a director or officer</w:t>
            </w:r>
          </w:p>
        </w:tc>
        <w:tc>
          <w:tcPr>
            <w:tcW w:w="1740" w:type="dxa"/>
            <w:vAlign w:val="bottom"/>
            <w:gridSpan w:val="4"/>
          </w:tcPr>
          <w:p>
            <w:pPr>
              <w:jc w:val="right"/>
              <w:ind w:right="100"/>
              <w:spacing w:after="0" w:line="178" w:lineRule="exact"/>
              <w:rPr>
                <w:sz w:val="20"/>
                <w:szCs w:val="20"/>
                <w:color w:val="auto"/>
              </w:rPr>
            </w:pPr>
            <w:r>
              <w:rPr>
                <w:rFonts w:ascii="Arial" w:cs="Arial" w:eastAsia="Arial" w:hAnsi="Arial"/>
                <w:sz w:val="16"/>
                <w:szCs w:val="16"/>
                <w:color w:val="3D3935"/>
              </w:rPr>
              <w:t>for any breach of the</w:t>
            </w:r>
          </w:p>
        </w:tc>
      </w:tr>
      <w:tr>
        <w:trPr>
          <w:trHeight w:val="20"/>
        </w:trPr>
        <w:tc>
          <w:tcPr>
            <w:tcW w:w="2020" w:type="dxa"/>
            <w:vAlign w:val="bottom"/>
          </w:tcPr>
          <w:p>
            <w:pPr>
              <w:spacing w:after="0" w:line="20" w:lineRule="exact"/>
              <w:rPr>
                <w:sz w:val="1"/>
                <w:szCs w:val="1"/>
                <w:color w:val="auto"/>
              </w:rPr>
            </w:pPr>
          </w:p>
        </w:tc>
        <w:tc>
          <w:tcPr>
            <w:tcW w:w="1180" w:type="dxa"/>
            <w:vAlign w:val="bottom"/>
            <w:gridSpan w:val="2"/>
            <w:shd w:val="clear" w:color="auto" w:fill="D13438"/>
          </w:tcPr>
          <w:p>
            <w:pPr>
              <w:spacing w:after="0" w:line="20" w:lineRule="exact"/>
              <w:rPr>
                <w:sz w:val="1"/>
                <w:szCs w:val="1"/>
                <w:color w:val="auto"/>
              </w:rPr>
            </w:pPr>
          </w:p>
        </w:tc>
        <w:tc>
          <w:tcPr>
            <w:tcW w:w="520" w:type="dxa"/>
            <w:vAlign w:val="bottom"/>
            <w:shd w:val="clear" w:color="auto" w:fill="D13438"/>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D1343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D13438"/>
          </w:tcPr>
          <w:p>
            <w:pPr>
              <w:spacing w:after="0" w:line="20" w:lineRule="exact"/>
              <w:rPr>
                <w:sz w:val="1"/>
                <w:szCs w:val="1"/>
                <w:color w:val="auto"/>
              </w:rPr>
            </w:pPr>
          </w:p>
        </w:tc>
        <w:tc>
          <w:tcPr>
            <w:tcW w:w="840" w:type="dxa"/>
            <w:vAlign w:val="bottom"/>
            <w:shd w:val="clear" w:color="auto" w:fill="D13438"/>
          </w:tcPr>
          <w:p>
            <w:pPr>
              <w:spacing w:after="0" w:line="20" w:lineRule="exact"/>
              <w:rPr>
                <w:sz w:val="1"/>
                <w:szCs w:val="1"/>
                <w:color w:val="auto"/>
              </w:rPr>
            </w:pPr>
          </w:p>
        </w:tc>
        <w:tc>
          <w:tcPr>
            <w:tcW w:w="240" w:type="dxa"/>
            <w:vAlign w:val="bottom"/>
            <w:gridSpan w:val="2"/>
            <w:shd w:val="clear" w:color="auto" w:fill="D13438"/>
          </w:tcPr>
          <w:p>
            <w:pPr>
              <w:spacing w:after="0" w:line="20" w:lineRule="exact"/>
              <w:rPr>
                <w:sz w:val="1"/>
                <w:szCs w:val="1"/>
                <w:color w:val="auto"/>
              </w:rPr>
            </w:pPr>
          </w:p>
        </w:tc>
        <w:tc>
          <w:tcPr>
            <w:tcW w:w="200" w:type="dxa"/>
            <w:vAlign w:val="bottom"/>
            <w:shd w:val="clear" w:color="auto" w:fill="D1343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500" w:type="dxa"/>
            <w:vAlign w:val="bottom"/>
            <w:gridSpan w:val="9"/>
          </w:tcPr>
          <w:p>
            <w:pPr>
              <w:spacing w:after="0"/>
              <w:rPr>
                <w:sz w:val="20"/>
                <w:szCs w:val="20"/>
                <w:color w:val="auto"/>
              </w:rPr>
            </w:pPr>
            <w:r>
              <w:rPr>
                <w:rFonts w:ascii="Arial" w:cs="Arial" w:eastAsia="Arial" w:hAnsi="Arial"/>
                <w:sz w:val="16"/>
                <w:szCs w:val="16"/>
                <w:color w:val="3D3935"/>
              </w:rPr>
              <w:t>director’s or officer’s duty of loyalty to the Corporation or its stockholders, (ii)</w:t>
            </w:r>
          </w:p>
        </w:tc>
        <w:tc>
          <w:tcPr>
            <w:tcW w:w="220" w:type="dxa"/>
            <w:vAlign w:val="bottom"/>
          </w:tcPr>
          <w:p>
            <w:pPr>
              <w:spacing w:after="0"/>
              <w:rPr>
                <w:sz w:val="17"/>
                <w:szCs w:val="17"/>
                <w:color w:val="auto"/>
              </w:rPr>
            </w:pPr>
          </w:p>
        </w:tc>
        <w:tc>
          <w:tcPr>
            <w:tcW w:w="1360" w:type="dxa"/>
            <w:vAlign w:val="bottom"/>
            <w:gridSpan w:val="5"/>
          </w:tcPr>
          <w:p>
            <w:pPr>
              <w:ind w:left="80"/>
              <w:spacing w:after="0"/>
              <w:rPr>
                <w:sz w:val="20"/>
                <w:szCs w:val="20"/>
                <w:color w:val="auto"/>
              </w:rPr>
            </w:pPr>
            <w:r>
              <w:rPr>
                <w:rFonts w:ascii="Arial" w:cs="Arial" w:eastAsia="Arial" w:hAnsi="Arial"/>
                <w:sz w:val="16"/>
                <w:szCs w:val="16"/>
                <w:color w:val="D13438"/>
                <w:w w:val="92"/>
              </w:rPr>
              <w:t>a director or officer</w:t>
            </w:r>
          </w:p>
        </w:tc>
        <w:tc>
          <w:tcPr>
            <w:tcW w:w="1740" w:type="dxa"/>
            <w:vAlign w:val="bottom"/>
            <w:gridSpan w:val="4"/>
          </w:tcPr>
          <w:p>
            <w:pPr>
              <w:jc w:val="right"/>
              <w:ind w:right="60"/>
              <w:spacing w:after="0"/>
              <w:rPr>
                <w:sz w:val="20"/>
                <w:szCs w:val="20"/>
                <w:color w:val="auto"/>
              </w:rPr>
            </w:pPr>
            <w:r>
              <w:rPr>
                <w:rFonts w:ascii="Arial" w:cs="Arial" w:eastAsia="Arial" w:hAnsi="Arial"/>
                <w:sz w:val="16"/>
                <w:szCs w:val="16"/>
                <w:color w:val="3D3935"/>
              </w:rPr>
              <w:t>for acts or omissions</w:t>
            </w:r>
          </w:p>
        </w:tc>
      </w:tr>
      <w:tr>
        <w:trPr>
          <w:trHeight w:val="20"/>
        </w:trPr>
        <w:tc>
          <w:tcPr>
            <w:tcW w:w="320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840" w:type="dxa"/>
            <w:vAlign w:val="bottom"/>
            <w:shd w:val="clear" w:color="auto" w:fill="D13438"/>
          </w:tcPr>
          <w:p>
            <w:pPr>
              <w:spacing w:after="0" w:line="20" w:lineRule="exact"/>
              <w:rPr>
                <w:sz w:val="1"/>
                <w:szCs w:val="1"/>
                <w:color w:val="auto"/>
              </w:rPr>
            </w:pPr>
          </w:p>
        </w:tc>
        <w:tc>
          <w:tcPr>
            <w:tcW w:w="60" w:type="dxa"/>
            <w:vAlign w:val="bottom"/>
            <w:shd w:val="clear" w:color="auto" w:fill="D13438"/>
          </w:tcPr>
          <w:p>
            <w:pPr>
              <w:spacing w:after="0" w:line="20" w:lineRule="exact"/>
              <w:rPr>
                <w:sz w:val="1"/>
                <w:szCs w:val="1"/>
                <w:color w:val="auto"/>
              </w:rPr>
            </w:pPr>
          </w:p>
        </w:tc>
        <w:tc>
          <w:tcPr>
            <w:tcW w:w="180" w:type="dxa"/>
            <w:vAlign w:val="bottom"/>
            <w:shd w:val="clear" w:color="auto" w:fill="D13438"/>
          </w:tcPr>
          <w:p>
            <w:pPr>
              <w:spacing w:after="0" w:line="20" w:lineRule="exact"/>
              <w:rPr>
                <w:sz w:val="1"/>
                <w:szCs w:val="1"/>
                <w:color w:val="auto"/>
              </w:rPr>
            </w:pPr>
          </w:p>
        </w:tc>
        <w:tc>
          <w:tcPr>
            <w:tcW w:w="200" w:type="dxa"/>
            <w:vAlign w:val="bottom"/>
            <w:shd w:val="clear" w:color="auto" w:fill="D13438"/>
          </w:tcPr>
          <w:p>
            <w:pPr>
              <w:spacing w:after="0" w:line="20" w:lineRule="exact"/>
              <w:rPr>
                <w:sz w:val="1"/>
                <w:szCs w:val="1"/>
                <w:color w:val="auto"/>
              </w:rPr>
            </w:pPr>
          </w:p>
        </w:tc>
        <w:tc>
          <w:tcPr>
            <w:tcW w:w="340" w:type="dxa"/>
            <w:vAlign w:val="bottom"/>
            <w:tcBorders>
              <w:left w:val="single" w:sz="8" w:color="D13438"/>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2"/>
        </w:trPr>
        <w:tc>
          <w:tcPr>
            <w:tcW w:w="6700" w:type="dxa"/>
            <w:vAlign w:val="bottom"/>
            <w:gridSpan w:val="13"/>
          </w:tcPr>
          <w:p>
            <w:pPr>
              <w:spacing w:after="0" w:line="183" w:lineRule="exact"/>
              <w:rPr>
                <w:sz w:val="20"/>
                <w:szCs w:val="20"/>
                <w:color w:val="auto"/>
              </w:rPr>
            </w:pPr>
            <w:r>
              <w:rPr>
                <w:rFonts w:ascii="Arial" w:cs="Arial" w:eastAsia="Arial" w:hAnsi="Arial"/>
                <w:sz w:val="16"/>
                <w:szCs w:val="16"/>
                <w:color w:val="3D3935"/>
              </w:rPr>
              <w:t>not in good faith or which involve intentional misconduct or a knowing violation of law, (iii)</w:t>
            </w:r>
          </w:p>
        </w:tc>
        <w:tc>
          <w:tcPr>
            <w:tcW w:w="2120" w:type="dxa"/>
            <w:vAlign w:val="bottom"/>
            <w:gridSpan w:val="6"/>
          </w:tcPr>
          <w:p>
            <w:pPr>
              <w:jc w:val="right"/>
              <w:spacing w:after="0" w:line="183" w:lineRule="exact"/>
              <w:rPr>
                <w:sz w:val="20"/>
                <w:szCs w:val="20"/>
                <w:color w:val="auto"/>
              </w:rPr>
            </w:pPr>
            <w:r>
              <w:rPr>
                <w:rFonts w:ascii="Arial" w:cs="Arial" w:eastAsia="Arial" w:hAnsi="Arial"/>
                <w:sz w:val="16"/>
                <w:szCs w:val="16"/>
                <w:color w:val="D13438"/>
              </w:rPr>
              <w:t xml:space="preserve">a director </w:t>
            </w:r>
            <w:r>
              <w:rPr>
                <w:rFonts w:ascii="Arial" w:cs="Arial" w:eastAsia="Arial" w:hAnsi="Arial"/>
                <w:sz w:val="16"/>
                <w:szCs w:val="16"/>
                <w:color w:val="3D3935"/>
              </w:rPr>
              <w:t>under Section 174,</w:t>
            </w:r>
          </w:p>
        </w:tc>
      </w:tr>
      <w:tr>
        <w:trPr>
          <w:trHeight w:val="20"/>
        </w:trPr>
        <w:tc>
          <w:tcPr>
            <w:tcW w:w="320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D13438"/>
          </w:tcPr>
          <w:p>
            <w:pPr>
              <w:spacing w:after="0" w:line="20" w:lineRule="exact"/>
              <w:rPr>
                <w:sz w:val="1"/>
                <w:szCs w:val="1"/>
                <w:color w:val="auto"/>
              </w:rPr>
            </w:pPr>
          </w:p>
        </w:tc>
        <w:tc>
          <w:tcPr>
            <w:tcW w:w="200" w:type="dxa"/>
            <w:vAlign w:val="bottom"/>
            <w:shd w:val="clear" w:color="auto" w:fill="D13438"/>
          </w:tcPr>
          <w:p>
            <w:pPr>
              <w:spacing w:after="0" w:line="20" w:lineRule="exact"/>
              <w:rPr>
                <w:sz w:val="1"/>
                <w:szCs w:val="1"/>
                <w:color w:val="auto"/>
              </w:rPr>
            </w:pPr>
          </w:p>
        </w:tc>
        <w:tc>
          <w:tcPr>
            <w:tcW w:w="340" w:type="dxa"/>
            <w:vAlign w:val="bottom"/>
            <w:tcBorders>
              <w:left w:val="single" w:sz="8" w:color="D13438"/>
              <w:right w:val="single" w:sz="8" w:color="D13438"/>
            </w:tcBorders>
            <w:shd w:val="clear" w:color="auto" w:fill="D13438"/>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6700" w:type="dxa"/>
            <w:vAlign w:val="bottom"/>
            <w:gridSpan w:val="13"/>
          </w:tcPr>
          <w:p>
            <w:pPr>
              <w:spacing w:after="0"/>
              <w:rPr>
                <w:sz w:val="20"/>
                <w:szCs w:val="20"/>
                <w:color w:val="auto"/>
              </w:rPr>
            </w:pPr>
            <w:r>
              <w:rPr>
                <w:rFonts w:ascii="Arial" w:cs="Arial" w:eastAsia="Arial" w:hAnsi="Arial"/>
                <w:sz w:val="16"/>
                <w:szCs w:val="16"/>
                <w:color w:val="3D3935"/>
              </w:rPr>
              <w:t>or any successor provision thereto, of the General Corporation Law of the State of Delaware,</w:t>
            </w:r>
          </w:p>
        </w:tc>
        <w:tc>
          <w:tcPr>
            <w:tcW w:w="180" w:type="dxa"/>
            <w:vAlign w:val="bottom"/>
          </w:tcPr>
          <w:p>
            <w:pPr>
              <w:spacing w:after="0"/>
              <w:rPr>
                <w:sz w:val="17"/>
                <w:szCs w:val="17"/>
                <w:color w:val="auto"/>
              </w:rPr>
            </w:pPr>
          </w:p>
        </w:tc>
        <w:tc>
          <w:tcPr>
            <w:tcW w:w="1940" w:type="dxa"/>
            <w:vAlign w:val="bottom"/>
            <w:gridSpan w:val="5"/>
          </w:tcPr>
          <w:p>
            <w:pPr>
              <w:jc w:val="right"/>
              <w:ind w:right="100"/>
              <w:spacing w:after="0"/>
              <w:rPr>
                <w:sz w:val="20"/>
                <w:szCs w:val="20"/>
                <w:color w:val="auto"/>
              </w:rPr>
            </w:pPr>
            <w:r>
              <w:rPr>
                <w:rFonts w:ascii="Arial" w:cs="Arial" w:eastAsia="Arial" w:hAnsi="Arial"/>
                <w:sz w:val="16"/>
                <w:szCs w:val="16"/>
                <w:color w:val="D13438"/>
              </w:rPr>
              <w:t xml:space="preserve">or </w:t>
            </w:r>
            <w:r>
              <w:rPr>
                <w:rFonts w:ascii="Arial" w:cs="Arial" w:eastAsia="Arial" w:hAnsi="Arial"/>
                <w:sz w:val="16"/>
                <w:szCs w:val="16"/>
                <w:color w:val="3D3935"/>
              </w:rPr>
              <w:t>(iv)</w:t>
            </w:r>
            <w:r>
              <w:rPr>
                <w:rFonts w:ascii="Arial" w:cs="Arial" w:eastAsia="Arial" w:hAnsi="Arial"/>
                <w:sz w:val="16"/>
                <w:szCs w:val="16"/>
                <w:color w:val="D13438"/>
              </w:rPr>
              <w:t xml:space="preserve"> a director or officer</w:t>
            </w:r>
          </w:p>
        </w:tc>
      </w:tr>
      <w:tr>
        <w:trPr>
          <w:trHeight w:val="20"/>
        </w:trPr>
        <w:tc>
          <w:tcPr>
            <w:tcW w:w="320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shd w:val="clear" w:color="auto" w:fill="D13438"/>
          </w:tcPr>
          <w:p>
            <w:pPr>
              <w:spacing w:after="0" w:line="20" w:lineRule="exact"/>
              <w:rPr>
                <w:sz w:val="1"/>
                <w:szCs w:val="1"/>
                <w:color w:val="auto"/>
              </w:rPr>
            </w:pPr>
          </w:p>
        </w:tc>
        <w:tc>
          <w:tcPr>
            <w:tcW w:w="340" w:type="dxa"/>
            <w:vAlign w:val="bottom"/>
            <w:tcBorders>
              <w:right w:val="single" w:sz="8" w:color="D13438"/>
            </w:tcBorders>
          </w:tcPr>
          <w:p>
            <w:pPr>
              <w:spacing w:after="0" w:line="20" w:lineRule="exact"/>
              <w:rPr>
                <w:sz w:val="1"/>
                <w:szCs w:val="1"/>
                <w:color w:val="auto"/>
              </w:rPr>
            </w:pPr>
          </w:p>
        </w:tc>
        <w:tc>
          <w:tcPr>
            <w:tcW w:w="1300" w:type="dxa"/>
            <w:vAlign w:val="bottom"/>
            <w:shd w:val="clear" w:color="auto" w:fill="D1343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880" w:type="dxa"/>
            <w:vAlign w:val="bottom"/>
            <w:gridSpan w:val="5"/>
          </w:tcPr>
          <w:p>
            <w:pPr>
              <w:spacing w:after="0"/>
              <w:rPr>
                <w:sz w:val="20"/>
                <w:szCs w:val="20"/>
                <w:color w:val="auto"/>
              </w:rPr>
            </w:pPr>
            <w:r>
              <w:rPr>
                <w:rFonts w:ascii="Arial" w:cs="Arial" w:eastAsia="Arial" w:hAnsi="Arial"/>
                <w:sz w:val="16"/>
                <w:szCs w:val="16"/>
                <w:color w:val="3D3935"/>
              </w:rPr>
              <w:t xml:space="preserve">for any transaction from which the director  </w:t>
            </w:r>
            <w:r>
              <w:rPr>
                <w:rFonts w:ascii="Arial" w:cs="Arial" w:eastAsia="Arial" w:hAnsi="Arial"/>
                <w:sz w:val="16"/>
                <w:szCs w:val="16"/>
                <w:color w:val="D13438"/>
              </w:rPr>
              <w:t>or officer</w:t>
            </w:r>
          </w:p>
        </w:tc>
        <w:tc>
          <w:tcPr>
            <w:tcW w:w="4940" w:type="dxa"/>
            <w:vAlign w:val="bottom"/>
            <w:gridSpan w:val="14"/>
          </w:tcPr>
          <w:p>
            <w:pPr>
              <w:jc w:val="right"/>
              <w:ind w:right="60"/>
              <w:spacing w:after="0"/>
              <w:rPr>
                <w:sz w:val="20"/>
                <w:szCs w:val="20"/>
                <w:color w:val="auto"/>
              </w:rPr>
            </w:pPr>
            <w:r>
              <w:rPr>
                <w:rFonts w:ascii="Arial" w:cs="Arial" w:eastAsia="Arial" w:hAnsi="Arial"/>
                <w:sz w:val="16"/>
                <w:szCs w:val="16"/>
                <w:color w:val="3D3935"/>
              </w:rPr>
              <w:t xml:space="preserve">derived an improper personal benefit </w:t>
            </w:r>
            <w:r>
              <w:rPr>
                <w:rFonts w:ascii="Arial" w:cs="Arial" w:eastAsia="Arial" w:hAnsi="Arial"/>
                <w:sz w:val="16"/>
                <w:szCs w:val="16"/>
                <w:color w:val="D13438"/>
              </w:rPr>
              <w:t>, or (v) an officer in any action</w:t>
            </w:r>
          </w:p>
        </w:tc>
      </w:tr>
      <w:tr>
        <w:trPr>
          <w:trHeight w:val="20"/>
        </w:trPr>
        <w:tc>
          <w:tcPr>
            <w:tcW w:w="25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gridSpan w:val="2"/>
            <w:shd w:val="clear" w:color="auto" w:fill="D1343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2120" w:type="dxa"/>
            <w:vAlign w:val="bottom"/>
            <w:gridSpan w:val="6"/>
            <w:shd w:val="clear" w:color="auto" w:fill="D1343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520" w:type="dxa"/>
            <w:vAlign w:val="bottom"/>
            <w:tcBorders>
              <w:bottom w:val="single" w:sz="8" w:color="D13438"/>
            </w:tcBorders>
            <w:gridSpan w:val="2"/>
          </w:tcPr>
          <w:p>
            <w:pPr>
              <w:spacing w:after="0"/>
              <w:rPr>
                <w:sz w:val="20"/>
                <w:szCs w:val="20"/>
                <w:color w:val="auto"/>
              </w:rPr>
            </w:pPr>
            <w:r>
              <w:rPr>
                <w:rFonts w:ascii="Arial" w:cs="Arial" w:eastAsia="Arial" w:hAnsi="Arial"/>
                <w:sz w:val="16"/>
                <w:szCs w:val="16"/>
                <w:color w:val="D13438"/>
              </w:rPr>
              <w:t>by or in the right of the Corporation</w:t>
            </w:r>
          </w:p>
        </w:tc>
        <w:tc>
          <w:tcPr>
            <w:tcW w:w="6300" w:type="dxa"/>
            <w:vAlign w:val="bottom"/>
            <w:gridSpan w:val="17"/>
          </w:tcPr>
          <w:p>
            <w:pPr>
              <w:jc w:val="right"/>
              <w:ind w:right="540"/>
              <w:spacing w:after="0"/>
              <w:rPr>
                <w:sz w:val="20"/>
                <w:szCs w:val="20"/>
                <w:color w:val="auto"/>
              </w:rPr>
            </w:pPr>
            <w:r>
              <w:rPr>
                <w:rFonts w:ascii="Arial" w:cs="Arial" w:eastAsia="Arial" w:hAnsi="Arial"/>
                <w:sz w:val="16"/>
                <w:szCs w:val="16"/>
                <w:color w:val="D13438"/>
              </w:rPr>
              <w:t xml:space="preserve">. </w:t>
            </w:r>
            <w:r>
              <w:rPr>
                <w:rFonts w:ascii="Arial" w:cs="Arial" w:eastAsia="Arial" w:hAnsi="Arial"/>
                <w:sz w:val="16"/>
                <w:szCs w:val="16"/>
                <w:color w:val="3D3935"/>
              </w:rPr>
              <w:t>Any amendment, modification or repeal of the foregoing sentence shall not</w:t>
            </w:r>
          </w:p>
        </w:tc>
      </w:tr>
      <w:tr>
        <w:trPr>
          <w:trHeight w:val="196"/>
        </w:trPr>
        <w:tc>
          <w:tcPr>
            <w:tcW w:w="3880" w:type="dxa"/>
            <w:vAlign w:val="bottom"/>
            <w:gridSpan w:val="5"/>
          </w:tcPr>
          <w:p>
            <w:pPr>
              <w:spacing w:after="0"/>
              <w:rPr>
                <w:sz w:val="20"/>
                <w:szCs w:val="20"/>
                <w:color w:val="auto"/>
              </w:rPr>
            </w:pPr>
            <w:r>
              <w:rPr>
                <w:rFonts w:ascii="Arial" w:cs="Arial" w:eastAsia="Arial" w:hAnsi="Arial"/>
                <w:sz w:val="16"/>
                <w:szCs w:val="16"/>
                <w:color w:val="3D3935"/>
              </w:rPr>
              <w:t>adversely affect any right or protection of a director</w:t>
            </w:r>
          </w:p>
        </w:tc>
        <w:tc>
          <w:tcPr>
            <w:tcW w:w="140" w:type="dxa"/>
            <w:vAlign w:val="bottom"/>
          </w:tcPr>
          <w:p>
            <w:pPr>
              <w:spacing w:after="0"/>
              <w:rPr>
                <w:sz w:val="17"/>
                <w:szCs w:val="17"/>
                <w:color w:val="auto"/>
              </w:rPr>
            </w:pPr>
          </w:p>
        </w:tc>
        <w:tc>
          <w:tcPr>
            <w:tcW w:w="4800" w:type="dxa"/>
            <w:vAlign w:val="bottom"/>
            <w:gridSpan w:val="13"/>
          </w:tcPr>
          <w:p>
            <w:pPr>
              <w:jc w:val="right"/>
              <w:ind w:right="280"/>
              <w:spacing w:after="0"/>
              <w:rPr>
                <w:sz w:val="20"/>
                <w:szCs w:val="20"/>
                <w:color w:val="auto"/>
              </w:rPr>
            </w:pPr>
            <w:r>
              <w:rPr>
                <w:rFonts w:ascii="Arial" w:cs="Arial" w:eastAsia="Arial" w:hAnsi="Arial"/>
                <w:sz w:val="16"/>
                <w:szCs w:val="16"/>
                <w:color w:val="D13438"/>
              </w:rPr>
              <w:t xml:space="preserve">or officer  </w:t>
            </w:r>
            <w:r>
              <w:rPr>
                <w:rFonts w:ascii="Arial" w:cs="Arial" w:eastAsia="Arial" w:hAnsi="Arial"/>
                <w:sz w:val="16"/>
                <w:szCs w:val="16"/>
                <w:color w:val="3D3935"/>
              </w:rPr>
              <w:t>of the Corporation hereunder in respect of any act or</w:t>
            </w:r>
          </w:p>
        </w:tc>
      </w:tr>
      <w:tr>
        <w:trPr>
          <w:trHeight w:val="20"/>
        </w:trPr>
        <w:tc>
          <w:tcPr>
            <w:tcW w:w="2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D1343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9200"/>
          </w:cols>
          <w:pgMar w:left="1400" w:top="111" w:right="1299" w:bottom="0" w:gutter="0" w:footer="0" w:header="0"/>
        </w:sectPr>
      </w:pPr>
    </w:p>
    <w:bookmarkStart w:id="93" w:name="page94"/>
    <w:bookmarkEnd w:id="93"/>
    <w:p>
      <w:pPr>
        <w:spacing w:after="0" w:line="66" w:lineRule="exact"/>
        <w:rPr>
          <w:sz w:val="20"/>
          <w:szCs w:val="20"/>
          <w:color w:val="auto"/>
        </w:rPr>
      </w:pPr>
    </w:p>
    <w:p>
      <w:pPr>
        <w:ind w:left="260"/>
        <w:spacing w:after="0"/>
        <w:rPr>
          <w:sz w:val="20"/>
          <w:szCs w:val="20"/>
          <w:color w:val="auto"/>
        </w:rPr>
      </w:pPr>
      <w:r>
        <w:rPr>
          <w:rFonts w:ascii="Arial" w:cs="Arial" w:eastAsia="Arial" w:hAnsi="Arial"/>
          <w:sz w:val="16"/>
          <w:szCs w:val="16"/>
          <w:color w:val="3D3935"/>
        </w:rPr>
        <w:t>omission occurring prior to the time of such amendment, modification, or repeal.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-98425</wp:posOffset>
            </wp:positionV>
            <wp:extent cx="6810375" cy="54540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10375" cy="5454015"/>
                    </a:xfrm>
                    <a:prstGeom prst="rect">
                      <a:avLst/>
                    </a:prstGeom>
                    <a:noFill/>
                  </pic:spPr>
                </pic:pic>
              </a:graphicData>
            </a:graphic>
          </wp:anchor>
        </w:drawing>
      </w:r>
    </w:p>
    <w:p>
      <w:pPr>
        <w:spacing w:after="0" w:line="1" w:lineRule="exact"/>
        <w:rPr>
          <w:sz w:val="20"/>
          <w:szCs w:val="20"/>
          <w:color w:val="auto"/>
        </w:rPr>
      </w:pPr>
    </w:p>
    <w:p>
      <w:pPr>
        <w:ind w:left="260" w:right="179"/>
        <w:spacing w:after="0" w:line="285" w:lineRule="auto"/>
        <w:rPr>
          <w:sz w:val="20"/>
          <w:szCs w:val="20"/>
          <w:color w:val="auto"/>
        </w:rPr>
      </w:pPr>
      <w:r>
        <w:rPr>
          <w:rFonts w:ascii="Arial" w:cs="Arial" w:eastAsia="Arial" w:hAnsi="Arial"/>
          <w:sz w:val="16"/>
          <w:szCs w:val="16"/>
          <w:color w:val="3D3935"/>
        </w:rPr>
        <w:t>EIGHTH. The Corporation reserves the right at any time, and from time to time, to amend, alter, change, or repeal any provision contained in this Certificate of Incorporation and other provisions authorized by the laws of the State of Delaware at the time in force may be added or inserted, in the manner now or hereafter prescribed by law; and all rights, preferences, and privileges of any nature conferred upon stockholders, directors, or any other persons by and pursuant to this Certificate of Incorporation in its present form or as hereafter amended are granted subject to the rights reserved in this article.</w:t>
      </w:r>
    </w:p>
    <w:p>
      <w:pPr>
        <w:spacing w:after="0" w:line="77" w:lineRule="exact"/>
        <w:rPr>
          <w:sz w:val="20"/>
          <w:szCs w:val="20"/>
          <w:color w:val="auto"/>
        </w:rPr>
      </w:pPr>
    </w:p>
    <w:p>
      <w:pPr>
        <w:ind w:left="260" w:right="19"/>
        <w:spacing w:after="0" w:line="295" w:lineRule="auto"/>
        <w:rPr>
          <w:sz w:val="20"/>
          <w:szCs w:val="20"/>
          <w:color w:val="auto"/>
        </w:rPr>
      </w:pPr>
      <w:r>
        <w:rPr>
          <w:rFonts w:ascii="Arial" w:cs="Arial" w:eastAsia="Arial" w:hAnsi="Arial"/>
          <w:sz w:val="16"/>
          <w:szCs w:val="16"/>
          <w:color w:val="D13438"/>
          <w:strike w:val="1"/>
        </w:rPr>
        <w:t>NINTH. Following the time of the Initial Public Offering (as defined below) of the Corporation, no</w:t>
      </w:r>
      <w:r>
        <w:rPr>
          <w:rFonts w:ascii="Arial" w:cs="Arial" w:eastAsia="Arial" w:hAnsi="Arial"/>
          <w:sz w:val="16"/>
          <w:szCs w:val="16"/>
          <w:color w:val="D13438"/>
        </w:rPr>
        <w:t xml:space="preserve"> </w:t>
      </w:r>
      <w:r>
        <w:rPr>
          <w:rFonts w:ascii="Arial" w:cs="Arial" w:eastAsia="Arial" w:hAnsi="Arial"/>
          <w:sz w:val="16"/>
          <w:szCs w:val="16"/>
          <w:u w:val="single" w:color="auto"/>
          <w:color w:val="D13438"/>
        </w:rPr>
        <w:t>NINTH. No</w:t>
      </w:r>
      <w:r>
        <w:rPr>
          <w:rFonts w:ascii="Arial" w:cs="Arial" w:eastAsia="Arial" w:hAnsi="Arial"/>
          <w:sz w:val="16"/>
          <w:szCs w:val="16"/>
          <w:color w:val="D13438"/>
        </w:rPr>
        <w:t xml:space="preserve"> </w:t>
      </w:r>
      <w:r>
        <w:rPr>
          <w:rFonts w:ascii="Arial" w:cs="Arial" w:eastAsia="Arial" w:hAnsi="Arial"/>
          <w:sz w:val="16"/>
          <w:szCs w:val="16"/>
          <w:color w:val="3D3935"/>
        </w:rPr>
        <w:t>action that</w:t>
      </w:r>
      <w:r>
        <w:rPr>
          <w:rFonts w:ascii="Arial" w:cs="Arial" w:eastAsia="Arial" w:hAnsi="Arial"/>
          <w:sz w:val="16"/>
          <w:szCs w:val="16"/>
          <w:color w:val="D13438"/>
        </w:rPr>
        <w:t xml:space="preserve"> </w:t>
      </w:r>
      <w:r>
        <w:rPr>
          <w:rFonts w:ascii="Arial" w:cs="Arial" w:eastAsia="Arial" w:hAnsi="Arial"/>
          <w:sz w:val="16"/>
          <w:szCs w:val="16"/>
          <w:color w:val="3D3935"/>
        </w:rPr>
        <w:t>is required or permitted to be taken by the stockholders of the Corporation at any annual or special meeting of stockholders may be effected by written consent of stockholders in lieu of a meeting of stockholders except where such consent is signed by the holders of all shares of stock of the Corporation then outstanding and entitled to vote thereon.</w:t>
      </w:r>
    </w:p>
    <w:p>
      <w:pPr>
        <w:spacing w:after="0" w:line="67" w:lineRule="exact"/>
        <w:rPr>
          <w:sz w:val="20"/>
          <w:szCs w:val="20"/>
          <w:color w:val="auto"/>
        </w:rPr>
      </w:pPr>
    </w:p>
    <w:p>
      <w:pPr>
        <w:ind w:right="59"/>
        <w:spacing w:after="0" w:line="284" w:lineRule="auto"/>
        <w:rPr>
          <w:sz w:val="20"/>
          <w:szCs w:val="20"/>
          <w:color w:val="auto"/>
        </w:rPr>
      </w:pPr>
      <w:r>
        <w:rPr>
          <w:rFonts w:ascii="Arial" w:cs="Arial" w:eastAsia="Arial" w:hAnsi="Arial"/>
          <w:sz w:val="16"/>
          <w:szCs w:val="16"/>
          <w:color w:val="D13438"/>
          <w:strike w:val="1"/>
        </w:rPr>
        <w:t>“Initial Public Offering” means the earlier to occur of (i) the initial public offering of the Common Stock (whether such offering is primary or secondary) that is underwritten by a nationally recognized investment bank, pursuant to an effective registration statement filed under the Securities Act of 1933, as amended (other than a registration effected solely to implement an employee benefit plan or a transaction to which Rule 145 under the Securities Act of 1933, as amended, is applicable, or a registration statement on Form S-4, Form S-8 or a successor to one of those forms) or (ii) the later of (x) the date on which a Corporation registration statement filed under Section 12(b) or 12(g) of the Securities Exchange Act of 1934 (the “Exchange Act”), as amended, shall have been declared effective by the Securities and Exchange Commission or otherwise became effective under the Exchange Act and (y) the date of distribution of the shares of Common Stock beneficially owned (within the meaning given in Rule 13d-3 of the Exchange Act) by Motors Liquidation Company, a Delaware corporation, pursuant to its plan of reorganization.</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D13438"/>
          <w:strike w:val="1"/>
        </w:rPr>
        <w:t>TENTH.</w:t>
      </w:r>
    </w:p>
    <w:p>
      <w:pPr>
        <w:spacing w:after="0" w:line="181" w:lineRule="exact"/>
        <w:rPr>
          <w:sz w:val="20"/>
          <w:szCs w:val="20"/>
          <w:color w:val="auto"/>
        </w:rPr>
      </w:pPr>
    </w:p>
    <w:p>
      <w:pPr>
        <w:ind w:right="179"/>
        <w:spacing w:after="0" w:line="301" w:lineRule="auto"/>
        <w:rPr>
          <w:sz w:val="20"/>
          <w:szCs w:val="20"/>
          <w:color w:val="auto"/>
        </w:rPr>
      </w:pPr>
      <w:r>
        <w:rPr>
          <w:rFonts w:ascii="Arial" w:cs="Arial" w:eastAsia="Arial" w:hAnsi="Arial"/>
          <w:sz w:val="16"/>
          <w:szCs w:val="16"/>
          <w:color w:val="D13438"/>
        </w:rPr>
        <w:t xml:space="preserve">Section 1. </w:t>
      </w:r>
      <w:r>
        <w:rPr>
          <w:rFonts w:ascii="Arial" w:cs="Arial" w:eastAsia="Arial" w:hAnsi="Arial"/>
          <w:sz w:val="16"/>
          <w:szCs w:val="16"/>
          <w:u w:val="single" w:color="auto"/>
          <w:color w:val="D13438"/>
          <w:strike w:val="1"/>
        </w:rPr>
        <w:t>Definitions</w:t>
      </w:r>
      <w:r>
        <w:rPr>
          <w:rFonts w:ascii="Arial" w:cs="Arial" w:eastAsia="Arial" w:hAnsi="Arial"/>
          <w:sz w:val="16"/>
          <w:szCs w:val="16"/>
          <w:color w:val="D13438"/>
        </w:rPr>
        <w:t xml:space="preserve"> </w:t>
      </w:r>
      <w:r>
        <w:rPr>
          <w:rFonts w:ascii="Arial" w:cs="Arial" w:eastAsia="Arial" w:hAnsi="Arial"/>
          <w:sz w:val="16"/>
          <w:szCs w:val="16"/>
          <w:color w:val="D13438"/>
          <w:strike w:val="1"/>
        </w:rPr>
        <w:t>. As used in this ARTICLE TENTH, the following capitalized terms have the following meanings when</w:t>
      </w:r>
      <w:r>
        <w:rPr>
          <w:rFonts w:ascii="Arial" w:cs="Arial" w:eastAsia="Arial" w:hAnsi="Arial"/>
          <w:sz w:val="16"/>
          <w:szCs w:val="16"/>
          <w:color w:val="D13438"/>
        </w:rPr>
        <w:t xml:space="preserve"> </w:t>
      </w:r>
      <w:r>
        <w:rPr>
          <w:rFonts w:ascii="Arial" w:cs="Arial" w:eastAsia="Arial" w:hAnsi="Arial"/>
          <w:sz w:val="16"/>
          <w:szCs w:val="16"/>
          <w:color w:val="D13438"/>
          <w:strike w:val="1"/>
        </w:rPr>
        <w:t>used herein with initial capital letters (and any references to any portions of Treasury Regulation §1.382−2T shall include any successor provisions):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D13438"/>
          <w:strike w:val="1"/>
        </w:rPr>
        <w:t>“Agent” has the meaning set forth in Section 5 of this ARTICLE TENTH.</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D13438"/>
          <w:strike w:val="1"/>
        </w:rPr>
        <w:t>“Board of Directors” or “Board” means the board of directors of the Corporation.</w:t>
      </w:r>
    </w:p>
    <w:p>
      <w:pPr>
        <w:spacing w:after="0" w:line="181" w:lineRule="exact"/>
        <w:rPr>
          <w:sz w:val="20"/>
          <w:szCs w:val="20"/>
          <w:color w:val="auto"/>
        </w:rPr>
      </w:pPr>
    </w:p>
    <w:p>
      <w:pPr>
        <w:ind w:right="339"/>
        <w:spacing w:after="0" w:line="321" w:lineRule="auto"/>
        <w:rPr>
          <w:sz w:val="20"/>
          <w:szCs w:val="20"/>
          <w:color w:val="auto"/>
        </w:rPr>
      </w:pPr>
      <w:r>
        <w:rPr>
          <w:rFonts w:ascii="Arial" w:cs="Arial" w:eastAsia="Arial" w:hAnsi="Arial"/>
          <w:sz w:val="16"/>
          <w:szCs w:val="16"/>
          <w:color w:val="D13438"/>
          <w:strike w:val="1"/>
        </w:rPr>
        <w:t>“Business Day” shall mean any day other than a Saturday, a Sunday, or a day on which banking institutions in the State of New York are authorized or obligated by law or executive order to close.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4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80" w:type="dxa"/>
            <w:vAlign w:val="bottom"/>
          </w:tcPr>
          <w:p>
            <w:pPr>
              <w:ind w:left="140"/>
              <w:spacing w:after="0"/>
              <w:rPr>
                <w:sz w:val="20"/>
                <w:szCs w:val="20"/>
                <w:color w:val="auto"/>
              </w:rPr>
            </w:pPr>
            <w:r>
              <w:rPr>
                <w:rFonts w:ascii="Arial" w:cs="Arial" w:eastAsia="Arial" w:hAnsi="Arial"/>
                <w:sz w:val="14"/>
                <w:szCs w:val="14"/>
                <w:b w:val="1"/>
                <w:bCs w:val="1"/>
                <w:color w:val="3D3935"/>
                <w:w w:val="97"/>
              </w:rPr>
              <w:t>B-3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49796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10375" cy="4979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Appendix B: Proposed Amendments to the Company’s Certificate of Incorporation</w:t>
      </w:r>
    </w:p>
    <w:p>
      <w:pPr>
        <w:spacing w:after="0" w:line="200" w:lineRule="exact"/>
        <w:rPr>
          <w:sz w:val="20"/>
          <w:szCs w:val="20"/>
          <w:color w:val="auto"/>
        </w:rPr>
      </w:pPr>
    </w:p>
    <w:p>
      <w:pPr>
        <w:spacing w:after="0" w:line="377" w:lineRule="exact"/>
        <w:rPr>
          <w:sz w:val="20"/>
          <w:szCs w:val="20"/>
          <w:color w:val="auto"/>
        </w:rPr>
      </w:pPr>
    </w:p>
    <w:p>
      <w:pPr>
        <w:ind w:right="39"/>
        <w:spacing w:after="0" w:line="321" w:lineRule="auto"/>
        <w:rPr>
          <w:sz w:val="20"/>
          <w:szCs w:val="20"/>
          <w:color w:val="auto"/>
        </w:rPr>
      </w:pPr>
      <w:r>
        <w:rPr>
          <w:rFonts w:ascii="Arial" w:cs="Arial" w:eastAsia="Arial" w:hAnsi="Arial"/>
          <w:sz w:val="16"/>
          <w:szCs w:val="16"/>
          <w:color w:val="D13438"/>
          <w:strike w:val="1"/>
        </w:rPr>
        <w:t xml:space="preserve">“Close of Business” on any given date shall mean 5:00 p.m., New York time, on such date; </w:t>
      </w:r>
      <w:r>
        <w:rPr>
          <w:rFonts w:ascii="Arial" w:cs="Arial" w:eastAsia="Arial" w:hAnsi="Arial"/>
          <w:sz w:val="16"/>
          <w:szCs w:val="16"/>
          <w:u w:val="single" w:color="auto"/>
          <w:color w:val="D13438"/>
          <w:strike w:val="1"/>
        </w:rPr>
        <w:t>provided</w:t>
      </w:r>
      <w:r>
        <w:rPr>
          <w:rFonts w:ascii="Arial" w:cs="Arial" w:eastAsia="Arial" w:hAnsi="Arial"/>
          <w:sz w:val="16"/>
          <w:szCs w:val="16"/>
          <w:color w:val="D13438"/>
          <w:strike w:val="1"/>
        </w:rPr>
        <w:t xml:space="preserve"> , however, that, if such date is not a Business Day, it shall mean 5:00 p.m., New York time, on the next succeeding Business Day.</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D13438"/>
          <w:strike w:val="1"/>
        </w:rPr>
        <w:t>“Code” means the United States Internal Revenue Code of 1986, as amended, including any successor statute.</w:t>
      </w:r>
    </w:p>
    <w:p>
      <w:pPr>
        <w:spacing w:after="0" w:line="167" w:lineRule="exact"/>
        <w:rPr>
          <w:sz w:val="20"/>
          <w:szCs w:val="20"/>
          <w:color w:val="auto"/>
        </w:rPr>
      </w:pPr>
    </w:p>
    <w:p>
      <w:pPr>
        <w:ind w:right="139"/>
        <w:spacing w:after="0" w:line="321" w:lineRule="auto"/>
        <w:rPr>
          <w:sz w:val="20"/>
          <w:szCs w:val="20"/>
          <w:color w:val="auto"/>
        </w:rPr>
      </w:pPr>
      <w:r>
        <w:rPr>
          <w:rFonts w:ascii="Arial" w:cs="Arial" w:eastAsia="Arial" w:hAnsi="Arial"/>
          <w:sz w:val="16"/>
          <w:szCs w:val="16"/>
          <w:color w:val="D13438"/>
          <w:strike w:val="1"/>
        </w:rPr>
        <w:t>“Common Stock” means the common stock, par value $0.01 per share, of the Corporation, and any Security Entitlement with respect to such Common Stock.</w:t>
      </w:r>
    </w:p>
    <w:p>
      <w:pPr>
        <w:spacing w:after="0" w:line="88" w:lineRule="exact"/>
        <w:rPr>
          <w:sz w:val="20"/>
          <w:szCs w:val="20"/>
          <w:color w:val="auto"/>
        </w:rPr>
      </w:pPr>
    </w:p>
    <w:p>
      <w:pPr>
        <w:ind w:right="159"/>
        <w:spacing w:after="0" w:line="281" w:lineRule="auto"/>
        <w:rPr>
          <w:sz w:val="20"/>
          <w:szCs w:val="20"/>
          <w:color w:val="auto"/>
        </w:rPr>
      </w:pPr>
      <w:r>
        <w:rPr>
          <w:rFonts w:ascii="Arial" w:cs="Arial" w:eastAsia="Arial" w:hAnsi="Arial"/>
          <w:sz w:val="16"/>
          <w:szCs w:val="16"/>
          <w:color w:val="D13438"/>
          <w:strike w:val="1"/>
        </w:rPr>
        <w:t>“Corporation Security” or “Corporation Securities” means (i) shares of Common Stock, (ii) shares of Preferred Stock (other than preferred stock described in Section 1504(a)(4) of the Code or treated as so described pursuant to Treasury Regulation §1.382−2(a)(3)(i)), (iii) warrants, rights, or options (including options within the meaning of Treasury Regulation</w:t>
      </w:r>
    </w:p>
    <w:p>
      <w:pPr>
        <w:spacing w:after="0" w:line="2" w:lineRule="exact"/>
        <w:rPr>
          <w:sz w:val="20"/>
          <w:szCs w:val="20"/>
          <w:color w:val="auto"/>
        </w:rPr>
      </w:pPr>
    </w:p>
    <w:p>
      <w:pPr>
        <w:ind w:right="99"/>
        <w:spacing w:after="0" w:line="301" w:lineRule="auto"/>
        <w:rPr>
          <w:sz w:val="20"/>
          <w:szCs w:val="20"/>
          <w:color w:val="auto"/>
        </w:rPr>
      </w:pPr>
      <w:r>
        <w:rPr>
          <w:rFonts w:ascii="Arial" w:cs="Arial" w:eastAsia="Arial" w:hAnsi="Arial"/>
          <w:sz w:val="16"/>
          <w:szCs w:val="16"/>
          <w:color w:val="D13438"/>
          <w:strike w:val="1"/>
        </w:rPr>
        <w:t xml:space="preserve">§1.382−2T(h)(4)(v)) to purchase Securities of the Corporation and (iv) any Stock; </w:t>
      </w:r>
      <w:r>
        <w:rPr>
          <w:rFonts w:ascii="Arial" w:cs="Arial" w:eastAsia="Arial" w:hAnsi="Arial"/>
          <w:sz w:val="16"/>
          <w:szCs w:val="16"/>
          <w:u w:val="single" w:color="auto"/>
          <w:color w:val="D13438"/>
          <w:strike w:val="1"/>
        </w:rPr>
        <w:t>provided</w:t>
      </w:r>
      <w:r>
        <w:rPr>
          <w:rFonts w:ascii="Arial" w:cs="Arial" w:eastAsia="Arial" w:hAnsi="Arial"/>
          <w:sz w:val="16"/>
          <w:szCs w:val="16"/>
          <w:color w:val="D13438"/>
          <w:strike w:val="1"/>
        </w:rPr>
        <w:t xml:space="preserve"> , </w:t>
      </w:r>
      <w:r>
        <w:rPr>
          <w:rFonts w:ascii="Arial" w:cs="Arial" w:eastAsia="Arial" w:hAnsi="Arial"/>
          <w:sz w:val="16"/>
          <w:szCs w:val="16"/>
          <w:u w:val="single" w:color="auto"/>
          <w:color w:val="D13438"/>
          <w:strike w:val="1"/>
        </w:rPr>
        <w:t>however</w:t>
      </w:r>
      <w:r>
        <w:rPr>
          <w:rFonts w:ascii="Arial" w:cs="Arial" w:eastAsia="Arial" w:hAnsi="Arial"/>
          <w:sz w:val="16"/>
          <w:szCs w:val="16"/>
          <w:color w:val="D13438"/>
          <w:strike w:val="1"/>
        </w:rPr>
        <w:t>, that “Corporation Security” or “Corporation Securities” shall not mean shares of Series A Fixed Rate Cumulative Perpetual Preferred Stock, par value $0.01 per share, of the Corporation.</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D13438"/>
          <w:strike w:val="1"/>
        </w:rPr>
        <w:t>“Excess Securities” has the meaning given such term in Section 4(a) of this ARTICLE TENTH;</w:t>
      </w:r>
    </w:p>
    <w:p>
      <w:pPr>
        <w:spacing w:after="0" w:line="181" w:lineRule="exact"/>
        <w:rPr>
          <w:sz w:val="20"/>
          <w:szCs w:val="20"/>
          <w:color w:val="auto"/>
        </w:rPr>
      </w:pPr>
    </w:p>
    <w:p>
      <w:pPr>
        <w:ind w:right="179"/>
        <w:spacing w:after="0" w:line="289" w:lineRule="auto"/>
        <w:rPr>
          <w:sz w:val="20"/>
          <w:szCs w:val="20"/>
          <w:color w:val="auto"/>
        </w:rPr>
      </w:pPr>
      <w:r>
        <w:rPr>
          <w:rFonts w:ascii="Arial" w:cs="Arial" w:eastAsia="Arial" w:hAnsi="Arial"/>
          <w:sz w:val="16"/>
          <w:szCs w:val="16"/>
          <w:color w:val="D13438"/>
          <w:strike w:val="1"/>
        </w:rPr>
        <w:t>“Expiration Date” means the earliest of (i) the Close of Business on December 31, 2013, subject to extension in accordance with Section 2(b) of this ARTICLE TENTH; (ii) the date upon which the Board of Directors determines by resolution that due to the repeal of Section 382 of the Code, or any other change in law, this ARTICLE TENTH is no longer necessary for the preservation of Tax Benefits; (iii) the first day of any taxable year of the Corporation to which the Board of Directors determines by resolution that no Tax Benefits may be carried forward; or (iv) such date as the Board of Directors determines for the restrictions set forth in Section 2 of this ARTICLE TENTH to terminate.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D13438"/>
          <w:strike w:val="1"/>
        </w:rPr>
        <w:t>“Exchange Act” means the Securities Exchange Act of 1934, as amended.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D13438"/>
          <w:strike w:val="1"/>
        </w:rPr>
        <w:t>“Five Percent Transaction” has the meaning set forth in Section 2(a) of this ARTICLE TENTH.</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D13438"/>
          <w:strike w:val="1"/>
        </w:rPr>
        <w:t>“Five Percent Stockholder” means a Person with a Percentage Stock Ownership of 4.9% or more.</w:t>
      </w:r>
    </w:p>
    <w:p>
      <w:pPr>
        <w:spacing w:after="0" w:line="167" w:lineRule="exact"/>
        <w:rPr>
          <w:sz w:val="20"/>
          <w:szCs w:val="20"/>
          <w:color w:val="auto"/>
        </w:rPr>
      </w:pPr>
    </w:p>
    <w:p>
      <w:pPr>
        <w:ind w:right="259"/>
        <w:spacing w:after="0" w:line="295" w:lineRule="auto"/>
        <w:rPr>
          <w:sz w:val="20"/>
          <w:szCs w:val="20"/>
          <w:color w:val="auto"/>
        </w:rPr>
      </w:pPr>
      <w:r>
        <w:rPr>
          <w:rFonts w:ascii="Arial" w:cs="Arial" w:eastAsia="Arial" w:hAnsi="Arial"/>
          <w:sz w:val="16"/>
          <w:szCs w:val="16"/>
          <w:color w:val="D13438"/>
          <w:strike w:val="1"/>
        </w:rPr>
        <w:t>“MLC Entity” means Motors Liquidation Company or any trust (whether one or more) created pursuant to a chapter 11 plan of Motors Liquidation Company, as amended or modified from time to time, which has been confirmed by the United States Bankruptcy Court for the Southern District of New York or any other entity distributing Corporation Securities pursuant to such chapter 11 plan.</w:t>
      </w:r>
    </w:p>
    <w:p>
      <w:pPr>
        <w:sectPr>
          <w:pgSz w:w="11900" w:h="16904" w:orient="portrait"/>
          <w:cols w:equalWidth="0" w:num="1">
            <w:col w:w="9059"/>
          </w:cols>
          <w:pgMar w:left="1400" w:top="111" w:right="1440" w:bottom="0" w:gutter="0" w:footer="0" w:header="0"/>
        </w:sectPr>
      </w:pPr>
    </w:p>
    <w:bookmarkStart w:id="94" w:name="page95"/>
    <w:bookmarkEnd w:id="94"/>
    <w:p>
      <w:pPr>
        <w:spacing w:after="0"/>
        <w:rPr>
          <w:sz w:val="20"/>
          <w:szCs w:val="20"/>
          <w:color w:val="auto"/>
        </w:rPr>
      </w:pPr>
      <w:r>
        <w:rPr>
          <w:rFonts w:ascii="Arial" w:cs="Arial" w:eastAsia="Arial" w:hAnsi="Arial"/>
          <w:sz w:val="16"/>
          <w:szCs w:val="16"/>
          <w:color w:val="D13438"/>
          <w:strike w:val="1"/>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38766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10375" cy="3876675"/>
                    </a:xfrm>
                    <a:prstGeom prst="rect">
                      <a:avLst/>
                    </a:prstGeom>
                    <a:noFill/>
                  </pic:spPr>
                </pic:pic>
              </a:graphicData>
            </a:graphic>
          </wp:anchor>
        </w:drawing>
        <w:t>“Percentage Stock Ownership” means the percentage stock ownership interest of any Person for purposes of Section 382</w:t>
      </w:r>
    </w:p>
    <w:p>
      <w:pPr>
        <w:spacing w:after="0" w:line="3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D13438"/>
          <w:strike w:val="1"/>
        </w:rPr>
        <w:t xml:space="preserve">of the Code as determined in accordance with Treasury Regulation §§1.382−2T(g), (h) and (k) and 1.382–4; </w:t>
      </w:r>
      <w:r>
        <w:rPr>
          <w:rFonts w:ascii="Arial" w:cs="Arial" w:eastAsia="Arial" w:hAnsi="Arial"/>
          <w:sz w:val="16"/>
          <w:szCs w:val="16"/>
          <w:u w:val="single" w:color="auto"/>
          <w:color w:val="D13438"/>
          <w:strike w:val="1"/>
        </w:rPr>
        <w:t>provided</w:t>
      </w:r>
      <w:r>
        <w:rPr>
          <w:rFonts w:ascii="Arial" w:cs="Arial" w:eastAsia="Arial" w:hAnsi="Arial"/>
          <w:sz w:val="16"/>
          <w:szCs w:val="16"/>
          <w:color w:val="D13438"/>
          <w:strike w:val="1"/>
        </w:rPr>
        <w:t xml:space="preserve"> , that (1) for purposes of applying Treasury Regulation §1.382−2T(k)(2), the Corporation shall be treated as having “actual knowledge” of the beneficial ownership of all outstanding shares of Stock that would be ttributed to any individual or entity, and (2) for the sole purpose of determining the Percentage Stock Ownership of any entity (and not for the purpose of determining the Percentage Stock Ownership of any other Person), Corporation Securities held by such entity shall not be treated as no longer owned by such entity pursuant to Treasury Regulation §1.382−2T(h)(2)(i)(A).</w:t>
      </w:r>
    </w:p>
    <w:p>
      <w:pPr>
        <w:spacing w:after="0" w:line="116" w:lineRule="exact"/>
        <w:rPr>
          <w:sz w:val="20"/>
          <w:szCs w:val="20"/>
          <w:color w:val="auto"/>
        </w:rPr>
      </w:pPr>
    </w:p>
    <w:p>
      <w:pPr>
        <w:ind w:right="520"/>
        <w:spacing w:after="0" w:line="295" w:lineRule="auto"/>
        <w:rPr>
          <w:sz w:val="20"/>
          <w:szCs w:val="20"/>
          <w:color w:val="auto"/>
        </w:rPr>
      </w:pPr>
      <w:r>
        <w:rPr>
          <w:rFonts w:ascii="Arial" w:cs="Arial" w:eastAsia="Arial" w:hAnsi="Arial"/>
          <w:sz w:val="16"/>
          <w:szCs w:val="16"/>
          <w:color w:val="D13438"/>
          <w:strike w:val="1"/>
        </w:rPr>
        <w:t xml:space="preserve">“Person” means any individual, firm, corporation, business trust, joint stock company, partnership, trust, limited liability company, limited partnership, governmental or other entity, or any group of Persons making a “coordinated acquisition” of shares or otherwise treated as an entity within the meaning of Treasury Regulation §1.382−3(a)(1), and shall include any successor (by merger or otherwise) of any such entity; </w:t>
      </w:r>
      <w:r>
        <w:rPr>
          <w:rFonts w:ascii="Arial" w:cs="Arial" w:eastAsia="Arial" w:hAnsi="Arial"/>
          <w:sz w:val="16"/>
          <w:szCs w:val="16"/>
          <w:u w:val="single" w:color="auto"/>
          <w:color w:val="D13438"/>
          <w:strike w:val="1"/>
        </w:rPr>
        <w:t>provided</w:t>
      </w:r>
      <w:r>
        <w:rPr>
          <w:rFonts w:ascii="Arial" w:cs="Arial" w:eastAsia="Arial" w:hAnsi="Arial"/>
          <w:sz w:val="16"/>
          <w:szCs w:val="16"/>
          <w:color w:val="D13438"/>
          <w:strike w:val="1"/>
        </w:rPr>
        <w:t xml:space="preserve"> , however, that a Person shall not mean a Public Group.</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D13438"/>
          <w:strike w:val="1"/>
        </w:rPr>
        <w:t>“Preferred Stock” means the preferred stock, par value $0.01 per share, of the Corporation.</w:t>
      </w:r>
    </w:p>
    <w:p>
      <w:pPr>
        <w:spacing w:after="0" w:line="167" w:lineRule="exact"/>
        <w:rPr>
          <w:sz w:val="20"/>
          <w:szCs w:val="20"/>
          <w:color w:val="auto"/>
        </w:rPr>
      </w:pPr>
    </w:p>
    <w:p>
      <w:pPr>
        <w:ind w:right="700"/>
        <w:spacing w:after="0" w:line="321" w:lineRule="auto"/>
        <w:rPr>
          <w:sz w:val="20"/>
          <w:szCs w:val="20"/>
          <w:color w:val="auto"/>
        </w:rPr>
      </w:pPr>
      <w:r>
        <w:rPr>
          <w:rFonts w:ascii="Arial" w:cs="Arial" w:eastAsia="Arial" w:hAnsi="Arial"/>
          <w:sz w:val="16"/>
          <w:szCs w:val="16"/>
          <w:color w:val="D13438"/>
          <w:strike w:val="1"/>
        </w:rPr>
        <w:t>“Prohibited Distributions” means any and all dividends or other distributions paid by the Corporation with respect to any Excess Securities received by a Purported Transferee.</w:t>
      </w:r>
    </w:p>
    <w:p>
      <w:pPr>
        <w:spacing w:after="0" w:line="88" w:lineRule="exact"/>
        <w:rPr>
          <w:sz w:val="20"/>
          <w:szCs w:val="20"/>
          <w:color w:val="auto"/>
        </w:rPr>
      </w:pPr>
    </w:p>
    <w:p>
      <w:pPr>
        <w:ind w:right="560"/>
        <w:spacing w:after="0" w:line="321" w:lineRule="auto"/>
        <w:rPr>
          <w:sz w:val="20"/>
          <w:szCs w:val="20"/>
          <w:color w:val="auto"/>
        </w:rPr>
      </w:pPr>
      <w:r>
        <w:rPr>
          <w:rFonts w:ascii="Arial" w:cs="Arial" w:eastAsia="Arial" w:hAnsi="Arial"/>
          <w:sz w:val="16"/>
          <w:szCs w:val="16"/>
          <w:color w:val="D13438"/>
          <w:strike w:val="1"/>
        </w:rPr>
        <w:t>“Prohibited Transfer” means any Transfer or purported Transfer of Corporation Securities to the extent that such Transfer is prohibited and/or void under this ARTICLE TENTH.</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D13438"/>
          <w:strike w:val="1"/>
        </w:rPr>
        <w:t>“Proposed Transaction” has the meaning set forth in Section 3(b) of this ARTICLE TENTH.</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D13438"/>
          <w:strike w:val="1"/>
        </w:rPr>
        <w:t>“Public Group” has the meaning set forth in Treasury Regulation §1.382−2T(f)(13).</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65570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10375" cy="6557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Appendix B: Proposed Amendments to the Company’s Certificate of Incorporation</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D13438"/>
          <w:strike w:val="1"/>
        </w:rPr>
        <w:t>“Purported Transferee” has the meaning set forth in Section 4(a) of this ARTICLE TENTH.</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D13438"/>
          <w:strike w:val="1"/>
        </w:rPr>
        <w:t>“Request” has the meaning set forth in Section 3(b) of this ARTICLE TENTH.</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D13438"/>
          <w:strike w:val="1"/>
        </w:rPr>
        <w:t>“Requesting Person” has the meaning set forth in Section 3(b) of this ARTICLE TENTH.</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D13438"/>
          <w:strike w:val="1"/>
        </w:rPr>
        <w:t>“Securities” and “Security” each has the meaning set forth in Section 7 of this ARTICLE TENTH.</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D13438"/>
          <w:strike w:val="1"/>
        </w:rPr>
        <w:t>“Security Entitlement” has the meaning set forth in Section 8-102(17) of the Uniform Commercial Code.</w:t>
      </w:r>
    </w:p>
    <w:p>
      <w:pPr>
        <w:spacing w:after="0" w:line="167" w:lineRule="exact"/>
        <w:rPr>
          <w:sz w:val="20"/>
          <w:szCs w:val="20"/>
          <w:color w:val="auto"/>
        </w:rPr>
      </w:pPr>
    </w:p>
    <w:p>
      <w:pPr>
        <w:ind w:right="1080"/>
        <w:spacing w:after="0" w:line="321" w:lineRule="auto"/>
        <w:rPr>
          <w:sz w:val="20"/>
          <w:szCs w:val="20"/>
          <w:color w:val="auto"/>
        </w:rPr>
      </w:pPr>
      <w:r>
        <w:rPr>
          <w:rFonts w:ascii="Arial" w:cs="Arial" w:eastAsia="Arial" w:hAnsi="Arial"/>
          <w:sz w:val="16"/>
          <w:szCs w:val="16"/>
          <w:color w:val="D13438"/>
          <w:strike w:val="1"/>
        </w:rPr>
        <w:t>“Stock” means any interest or Security Entitlement that would be treated as “stock” of the Corporation pursuant to Treasury Regulation §1.382−2T(f)(18).</w:t>
      </w:r>
    </w:p>
    <w:p>
      <w:pPr>
        <w:spacing w:after="0" w:line="88" w:lineRule="exact"/>
        <w:rPr>
          <w:sz w:val="20"/>
          <w:szCs w:val="20"/>
          <w:color w:val="auto"/>
        </w:rPr>
      </w:pPr>
    </w:p>
    <w:p>
      <w:pPr>
        <w:ind w:right="580"/>
        <w:spacing w:after="0" w:line="295" w:lineRule="auto"/>
        <w:rPr>
          <w:sz w:val="20"/>
          <w:szCs w:val="20"/>
          <w:color w:val="auto"/>
        </w:rPr>
      </w:pPr>
      <w:r>
        <w:rPr>
          <w:rFonts w:ascii="Arial" w:cs="Arial" w:eastAsia="Arial" w:hAnsi="Arial"/>
          <w:sz w:val="16"/>
          <w:szCs w:val="16"/>
          <w:color w:val="D13438"/>
          <w:strike w:val="1"/>
        </w:rPr>
        <w:t>“Subsidiary” or “Subsidiaries” of any Person means any corporation or other entity of which securities or other ownership interests having ordinary voting power sufficient to elect a majority of the board of directors or other Persons performing similar functions are beneficially owned, directly or indirectly, by such Person, and any corporation or other entity that is otherwise controlled by such Person.</w:t>
      </w:r>
    </w:p>
    <w:p>
      <w:pPr>
        <w:spacing w:after="0" w:line="94" w:lineRule="exact"/>
        <w:rPr>
          <w:sz w:val="20"/>
          <w:szCs w:val="20"/>
          <w:color w:val="auto"/>
        </w:rPr>
      </w:pPr>
    </w:p>
    <w:p>
      <w:pPr>
        <w:ind w:right="440"/>
        <w:spacing w:after="0" w:line="295" w:lineRule="auto"/>
        <w:rPr>
          <w:sz w:val="20"/>
          <w:szCs w:val="20"/>
          <w:color w:val="auto"/>
        </w:rPr>
      </w:pPr>
      <w:r>
        <w:rPr>
          <w:rFonts w:ascii="Arial" w:cs="Arial" w:eastAsia="Arial" w:hAnsi="Arial"/>
          <w:sz w:val="16"/>
          <w:szCs w:val="16"/>
          <w:color w:val="D13438"/>
          <w:strike w:val="1"/>
        </w:rPr>
        <w:t>“Tax Benefits” means the net operating loss carryovers, capital loss carryovers, general business credit carryovers, alternative minimum tax credit carryovers and foreign tax credit carryovers, as well as any loss or deduction attributable to a “net unrealized built-in loss” of the Corporation or any of its Subsidiaries as of December 31, 2009, within the meaning of Section 382 of the Code.</w:t>
      </w:r>
    </w:p>
    <w:p>
      <w:pPr>
        <w:spacing w:after="0" w:line="108" w:lineRule="exact"/>
        <w:rPr>
          <w:sz w:val="20"/>
          <w:szCs w:val="20"/>
          <w:color w:val="auto"/>
        </w:rPr>
      </w:pPr>
    </w:p>
    <w:p>
      <w:pPr>
        <w:ind w:right="280"/>
        <w:spacing w:after="0" w:line="280" w:lineRule="auto"/>
        <w:rPr>
          <w:sz w:val="20"/>
          <w:szCs w:val="20"/>
          <w:color w:val="auto"/>
        </w:rPr>
      </w:pPr>
      <w:r>
        <w:rPr>
          <w:rFonts w:ascii="Arial" w:cs="Arial" w:eastAsia="Arial" w:hAnsi="Arial"/>
          <w:sz w:val="16"/>
          <w:szCs w:val="16"/>
          <w:color w:val="D13438"/>
          <w:strike w:val="1"/>
        </w:rPr>
        <w:t>“Transfer” means, any direct or indirect sale, transfer, assignment, conveyance, pledge or other disposition or other action taken by a Person, other than the Corporation, that alters the Percentage Stock Ownership of any Person. A Transfer also shall include the creation or grant of an option (including an option within the meaning of Treasury Regulation §1.382−2T(h)(4)(v)). Notwithstanding anything to the contrary, a Transfer shall not include any Transfer (determined without regard to this sentence) (i) by any MLC Entity to or for the benefit of creditors of Motors Liquidation Company, beneficiaries of any trust created pursuant to a chapter 11 plan of Motors Liquidation Company as amended or modified from time to time, which has been confirmed by the United States Bankruptcy Court for the Southern District of New York or another MLC Entity, (ii) by any Person distributing Corporation Securities pursuant to a chapter 11 plan of Motors Liquidation Company as amended or modified from time to time, hich has been confirmed by the United States Bankruptcy Court for the Southern District of New York, and (iii) by any Person for distribution in the Initial Public Offering (as defined in ARTICLE NINTH). For the avoidance of doubt, a Transfer shall not include (i) the creation or grant of an option by the Corporation or</w:t>
      </w:r>
    </w:p>
    <w:p>
      <w:pPr>
        <w:spacing w:after="0" w:line="1" w:lineRule="exact"/>
        <w:rPr>
          <w:sz w:val="20"/>
          <w:szCs w:val="20"/>
          <w:color w:val="auto"/>
        </w:rPr>
      </w:pPr>
    </w:p>
    <w:p>
      <w:pPr>
        <w:ind w:right="400" w:firstLine="8"/>
        <w:spacing w:after="0" w:line="321" w:lineRule="auto"/>
        <w:tabs>
          <w:tab w:leader="none" w:pos="225" w:val="left"/>
        </w:tabs>
        <w:numPr>
          <w:ilvl w:val="0"/>
          <w:numId w:val="131"/>
        </w:numPr>
        <w:rPr>
          <w:rFonts w:ascii="Arial" w:cs="Arial" w:eastAsia="Arial" w:hAnsi="Arial"/>
          <w:sz w:val="16"/>
          <w:szCs w:val="16"/>
          <w:color w:val="D13438"/>
          <w:strike w:val="1"/>
        </w:rPr>
      </w:pPr>
      <w:r>
        <w:rPr>
          <w:rFonts w:ascii="Arial" w:cs="Arial" w:eastAsia="Arial" w:hAnsi="Arial"/>
          <w:sz w:val="16"/>
          <w:szCs w:val="16"/>
          <w:color w:val="D13438"/>
          <w:strike w:val="1"/>
        </w:rPr>
        <w:t>the issuance or grant of Stock by the Corporation (including, but not limited to, the exercise of any warrant issued by the Corporation).</w:t>
      </w:r>
    </w:p>
    <w:p>
      <w:pPr>
        <w:spacing w:after="0" w:line="88" w:lineRule="exact"/>
        <w:rPr>
          <w:sz w:val="20"/>
          <w:szCs w:val="20"/>
          <w:color w:val="auto"/>
        </w:rPr>
      </w:pPr>
    </w:p>
    <w:p>
      <w:pPr>
        <w:ind w:right="520"/>
        <w:spacing w:after="0" w:line="321" w:lineRule="auto"/>
        <w:rPr>
          <w:sz w:val="20"/>
          <w:szCs w:val="20"/>
          <w:color w:val="auto"/>
        </w:rPr>
      </w:pPr>
      <w:r>
        <w:rPr>
          <w:rFonts w:ascii="Arial" w:cs="Arial" w:eastAsia="Arial" w:hAnsi="Arial"/>
          <w:sz w:val="16"/>
          <w:szCs w:val="16"/>
          <w:color w:val="D13438"/>
          <w:strike w:val="1"/>
        </w:rPr>
        <w:t>“Transferee” means, with respect to any Transfer, any Person to whom Corporation Securities are, or are proposed to be, Transferred.</w:t>
      </w:r>
    </w:p>
    <w:p>
      <w:pPr>
        <w:spacing w:after="0" w:line="75" w:lineRule="exact"/>
        <w:rPr>
          <w:sz w:val="20"/>
          <w:szCs w:val="20"/>
          <w:color w:val="auto"/>
        </w:rPr>
      </w:pPr>
    </w:p>
    <w:p>
      <w:pPr>
        <w:ind w:right="420"/>
        <w:spacing w:after="0" w:line="321" w:lineRule="auto"/>
        <w:rPr>
          <w:sz w:val="20"/>
          <w:szCs w:val="20"/>
          <w:color w:val="auto"/>
        </w:rPr>
      </w:pPr>
      <w:r>
        <w:rPr>
          <w:rFonts w:ascii="Arial" w:cs="Arial" w:eastAsia="Arial" w:hAnsi="Arial"/>
          <w:sz w:val="16"/>
          <w:szCs w:val="16"/>
          <w:color w:val="D13438"/>
          <w:strike w:val="1"/>
        </w:rPr>
        <w:t>“Transferor” means, with respect to any Transfer, any Person by or from whom Corporation Securities are, or are proposed to be, Transferred.</w:t>
      </w:r>
    </w:p>
    <w:p>
      <w:pPr>
        <w:spacing w:after="0" w:line="88" w:lineRule="exact"/>
        <w:rPr>
          <w:sz w:val="20"/>
          <w:szCs w:val="20"/>
          <w:color w:val="auto"/>
        </w:rPr>
      </w:pPr>
    </w:p>
    <w:p>
      <w:pPr>
        <w:ind w:right="520"/>
        <w:spacing w:after="0" w:line="321" w:lineRule="auto"/>
        <w:rPr>
          <w:sz w:val="20"/>
          <w:szCs w:val="20"/>
          <w:color w:val="auto"/>
        </w:rPr>
      </w:pPr>
      <w:r>
        <w:rPr>
          <w:rFonts w:ascii="Arial" w:cs="Arial" w:eastAsia="Arial" w:hAnsi="Arial"/>
          <w:sz w:val="16"/>
          <w:szCs w:val="16"/>
          <w:color w:val="D13438"/>
          <w:strike w:val="1"/>
        </w:rPr>
        <w:t>“Treasury Regulations” means the regulations, including temporary regulations or any successor regulations promulgated under the Code, as amended from time to time.</w:t>
      </w:r>
    </w:p>
    <w:p>
      <w:pPr>
        <w:sectPr>
          <w:pgSz w:w="11900" w:h="16838" w:orient="portrait"/>
          <w:cols w:equalWidth="0" w:num="1">
            <w:col w:w="9200"/>
          </w:cols>
          <w:pgMar w:left="1400" w:top="233" w:right="1299" w:bottom="0" w:gutter="0" w:footer="0" w:header="0"/>
        </w:sectPr>
      </w:pPr>
    </w:p>
    <w:bookmarkStart w:id="95" w:name="page96"/>
    <w:bookmarkEnd w:id="95"/>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D13438"/>
          <w:strike w:val="1"/>
        </w:rPr>
        <w:t xml:space="preserve">Section 2.  </w:t>
      </w:r>
      <w:r>
        <w:rPr>
          <w:rFonts w:ascii="Arial" w:cs="Arial" w:eastAsia="Arial" w:hAnsi="Arial"/>
          <w:sz w:val="16"/>
          <w:szCs w:val="16"/>
          <w:u w:val="single" w:color="auto"/>
          <w:color w:val="D13438"/>
          <w:strike w:val="1"/>
        </w:rPr>
        <w:t>Transfer and Ownership Restrictions</w:t>
      </w:r>
      <w:r>
        <w:rPr>
          <w:rFonts w:ascii="Arial" w:cs="Arial" w:eastAsia="Arial" w:hAnsi="Arial"/>
          <w:sz w:val="16"/>
          <w:szCs w:val="16"/>
          <w:color w:val="D13438"/>
          <w:strike w:val="1"/>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-98425</wp:posOffset>
            </wp:positionV>
            <wp:extent cx="6810375" cy="22993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10375" cy="2299335"/>
                    </a:xfrm>
                    <a:prstGeom prst="rect">
                      <a:avLst/>
                    </a:prstGeom>
                    <a:noFill/>
                  </pic:spPr>
                </pic:pic>
              </a:graphicData>
            </a:graphic>
          </wp:anchor>
        </w:drawing>
      </w:r>
    </w:p>
    <w:p>
      <w:pPr>
        <w:spacing w:after="0" w:line="12" w:lineRule="exact"/>
        <w:rPr>
          <w:sz w:val="20"/>
          <w:szCs w:val="20"/>
          <w:color w:val="auto"/>
        </w:rPr>
      </w:pPr>
    </w:p>
    <w:p>
      <w:pPr>
        <w:ind w:left="520" w:right="160" w:hanging="253"/>
        <w:spacing w:after="0" w:line="285" w:lineRule="auto"/>
        <w:tabs>
          <w:tab w:leader="none" w:pos="520" w:val="left"/>
        </w:tabs>
        <w:numPr>
          <w:ilvl w:val="0"/>
          <w:numId w:val="132"/>
        </w:numPr>
        <w:rPr>
          <w:rFonts w:ascii="Arial" w:cs="Arial" w:eastAsia="Arial" w:hAnsi="Arial"/>
          <w:sz w:val="16"/>
          <w:szCs w:val="16"/>
          <w:b w:val="1"/>
          <w:bCs w:val="1"/>
          <w:color w:val="D13438"/>
          <w:strike w:val="1"/>
        </w:rPr>
      </w:pPr>
      <w:r>
        <w:rPr>
          <w:rFonts w:ascii="Arial" w:cs="Arial" w:eastAsia="Arial" w:hAnsi="Arial"/>
          <w:sz w:val="16"/>
          <w:szCs w:val="16"/>
          <w:color w:val="D13438"/>
          <w:strike w:val="1"/>
        </w:rPr>
        <w:t>In order to preserve the Tax Benefits, from and after the day prior to the Initial Public Offering (as defined in ARTICLE NINTH), any attempted Transfer of Corporation Securities prior to the Expiration Date and any attempted Transfer of Corporation Securities pursuant to an agreement entered into prior to the Expiration Date shall be prohibited and void ab initio to the extent that, as a result of such Transfer (or any series of Transfers of which such Transfer is a part), either (i) any Person would become a Five Percent Stockholder or (ii) the Percentage Stock Ownership in the Corporation of any Five Percent Stockholder would be increased (any such Transfer that would have the result described in clauses (i) or (ii), a “Five Percent Transaction”). The prior sentence is not intended to prevent the Corporation Securities from being DTC-eligible or CDS-eligible and shall not preclude either the transfer to DTC, CDS or to any other securities intermediary, as such term is defined in § 8-102(14) of the Uniform Commercial Code, of Corporation Securities not previously held through DTC, CDS or such intermediary or the settlement of any transactions in the Corporation Securities entered into through the facilities of a national securities exchange, any</w:t>
      </w:r>
    </w:p>
    <w:p>
      <w:pPr>
        <w:spacing w:after="0" w:line="200" w:lineRule="exact"/>
        <w:rPr>
          <w:sz w:val="20"/>
          <w:szCs w:val="20"/>
          <w:color w:val="auto"/>
        </w:rPr>
      </w:pPr>
    </w:p>
    <w:p>
      <w:pPr>
        <w:spacing w:after="0" w:line="277"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4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80" w:type="dxa"/>
            <w:vAlign w:val="bottom"/>
          </w:tcPr>
          <w:p>
            <w:pPr>
              <w:ind w:left="140"/>
              <w:spacing w:after="0"/>
              <w:rPr>
                <w:sz w:val="20"/>
                <w:szCs w:val="20"/>
                <w:color w:val="auto"/>
              </w:rPr>
            </w:pPr>
            <w:r>
              <w:rPr>
                <w:rFonts w:ascii="Arial" w:cs="Arial" w:eastAsia="Arial" w:hAnsi="Arial"/>
                <w:sz w:val="14"/>
                <w:szCs w:val="14"/>
                <w:b w:val="1"/>
                <w:bCs w:val="1"/>
                <w:color w:val="3D3935"/>
                <w:w w:val="97"/>
              </w:rPr>
              <w:t>B-5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8134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10375" cy="813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Appendix B: Proposed Amendments to the Company’s Certificate of Incorporation</w:t>
      </w:r>
    </w:p>
    <w:p>
      <w:pPr>
        <w:spacing w:after="0" w:line="200" w:lineRule="exact"/>
        <w:rPr>
          <w:sz w:val="20"/>
          <w:szCs w:val="20"/>
          <w:color w:val="auto"/>
        </w:rPr>
      </w:pPr>
    </w:p>
    <w:p>
      <w:pPr>
        <w:spacing w:after="0" w:line="377" w:lineRule="exact"/>
        <w:rPr>
          <w:sz w:val="20"/>
          <w:szCs w:val="20"/>
          <w:color w:val="auto"/>
        </w:rPr>
      </w:pPr>
    </w:p>
    <w:p>
      <w:pPr>
        <w:ind w:left="520" w:right="140"/>
        <w:spacing w:after="0" w:line="301" w:lineRule="auto"/>
        <w:rPr>
          <w:sz w:val="20"/>
          <w:szCs w:val="20"/>
          <w:color w:val="auto"/>
        </w:rPr>
      </w:pPr>
      <w:r>
        <w:rPr>
          <w:rFonts w:ascii="Arial" w:cs="Arial" w:eastAsia="Arial" w:hAnsi="Arial"/>
          <w:sz w:val="16"/>
          <w:szCs w:val="16"/>
          <w:color w:val="D13438"/>
          <w:strike w:val="1"/>
        </w:rPr>
        <w:t>national securities quotation system or any electronic or other alternative trading system;</w:t>
      </w:r>
      <w:r>
        <w:rPr>
          <w:rFonts w:ascii="Arial" w:cs="Arial" w:eastAsia="Arial" w:hAnsi="Arial"/>
          <w:sz w:val="16"/>
          <w:szCs w:val="16"/>
          <w:color w:val="D13438"/>
        </w:rPr>
        <w:t xml:space="preserve"> </w:t>
      </w:r>
      <w:r>
        <w:rPr>
          <w:rFonts w:ascii="Arial" w:cs="Arial" w:eastAsia="Arial" w:hAnsi="Arial"/>
          <w:sz w:val="16"/>
          <w:szCs w:val="16"/>
          <w:u w:val="single" w:color="auto"/>
          <w:color w:val="D13438"/>
          <w:strike w:val="1"/>
        </w:rPr>
        <w:t>provided</w:t>
      </w:r>
      <w:r>
        <w:rPr>
          <w:rFonts w:ascii="Arial" w:cs="Arial" w:eastAsia="Arial" w:hAnsi="Arial"/>
          <w:sz w:val="16"/>
          <w:szCs w:val="16"/>
          <w:color w:val="D13438"/>
        </w:rPr>
        <w:t xml:space="preserve"> that if such </w:t>
      </w:r>
      <w:r>
        <w:rPr>
          <w:rFonts w:ascii="Arial" w:cs="Arial" w:eastAsia="Arial" w:hAnsi="Arial"/>
          <w:sz w:val="16"/>
          <w:szCs w:val="16"/>
          <w:color w:val="D13438"/>
          <w:strike w:val="1"/>
        </w:rPr>
        <w:t>transfer or the settlement of the transaction would result in a Prohibited Transfer, such Transfer shall nonetheless be a Prohibited Transfer subject to all of the provisions and limitations set forth in the remainder of this ARTICLE TENTH.</w:t>
      </w:r>
    </w:p>
    <w:p>
      <w:pPr>
        <w:spacing w:after="0" w:line="226" w:lineRule="exact"/>
        <w:rPr>
          <w:sz w:val="20"/>
          <w:szCs w:val="20"/>
          <w:color w:val="auto"/>
        </w:rPr>
      </w:pPr>
    </w:p>
    <w:p>
      <w:pPr>
        <w:ind w:left="520" w:hanging="253"/>
        <w:spacing w:after="0" w:line="281" w:lineRule="auto"/>
        <w:tabs>
          <w:tab w:leader="none" w:pos="520" w:val="left"/>
        </w:tabs>
        <w:numPr>
          <w:ilvl w:val="0"/>
          <w:numId w:val="133"/>
        </w:numPr>
        <w:rPr>
          <w:rFonts w:ascii="Arial" w:cs="Arial" w:eastAsia="Arial" w:hAnsi="Arial"/>
          <w:sz w:val="16"/>
          <w:szCs w:val="16"/>
          <w:b w:val="1"/>
          <w:bCs w:val="1"/>
          <w:color w:val="D13438"/>
          <w:strike w:val="1"/>
        </w:rPr>
      </w:pPr>
      <w:r>
        <w:rPr>
          <w:rFonts w:ascii="Arial" w:cs="Arial" w:eastAsia="Arial" w:hAnsi="Arial"/>
          <w:sz w:val="16"/>
          <w:szCs w:val="16"/>
          <w:color w:val="D13438"/>
          <w:strike w:val="1"/>
        </w:rPr>
        <w:t xml:space="preserve">The Expiration Date is subject to extension for two (2) additional one (1) year terms ( </w:t>
      </w:r>
      <w:r>
        <w:rPr>
          <w:rFonts w:ascii="Arial" w:cs="Arial" w:eastAsia="Arial" w:hAnsi="Arial"/>
          <w:sz w:val="16"/>
          <w:szCs w:val="16"/>
          <w:i w:val="1"/>
          <w:iCs w:val="1"/>
          <w:color w:val="D13438"/>
          <w:strike w:val="1"/>
        </w:rPr>
        <w:t>i.e.,</w:t>
      </w:r>
      <w:r>
        <w:rPr>
          <w:rFonts w:ascii="Arial" w:cs="Arial" w:eastAsia="Arial" w:hAnsi="Arial"/>
          <w:sz w:val="16"/>
          <w:szCs w:val="16"/>
          <w:color w:val="D13438"/>
          <w:strike w:val="1"/>
        </w:rPr>
        <w:t xml:space="preserve"> until December 31, 2014, and December 31, 2015) if, in each case, the Board of Directors determines by a resolution adopted not more than three</w:t>
      </w:r>
    </w:p>
    <w:p>
      <w:pPr>
        <w:spacing w:after="0" w:line="1" w:lineRule="exact"/>
        <w:rPr>
          <w:rFonts w:ascii="Arial" w:cs="Arial" w:eastAsia="Arial" w:hAnsi="Arial"/>
          <w:sz w:val="16"/>
          <w:szCs w:val="16"/>
          <w:b w:val="1"/>
          <w:bCs w:val="1"/>
          <w:color w:val="D13438"/>
          <w:strike w:val="1"/>
        </w:rPr>
      </w:pPr>
    </w:p>
    <w:p>
      <w:pPr>
        <w:ind w:left="520"/>
        <w:spacing w:after="0"/>
        <w:rPr>
          <w:rFonts w:ascii="Arial" w:cs="Arial" w:eastAsia="Arial" w:hAnsi="Arial"/>
          <w:sz w:val="16"/>
          <w:szCs w:val="16"/>
          <w:b w:val="1"/>
          <w:bCs w:val="1"/>
          <w:color w:val="D13438"/>
          <w:strike w:val="1"/>
        </w:rPr>
      </w:pPr>
      <w:r>
        <w:rPr>
          <w:rFonts w:ascii="Arial" w:cs="Arial" w:eastAsia="Arial" w:hAnsi="Arial"/>
          <w:sz w:val="16"/>
          <w:szCs w:val="16"/>
          <w:color w:val="D13438"/>
          <w:strike w:val="1"/>
        </w:rPr>
        <w:t>(3) months prior to the then scheduled Expiration Date that the extension of the transfer restrictions provided in</w:t>
      </w:r>
    </w:p>
    <w:p>
      <w:pPr>
        <w:spacing w:after="0" w:line="32" w:lineRule="exact"/>
        <w:rPr>
          <w:sz w:val="20"/>
          <w:szCs w:val="20"/>
          <w:color w:val="auto"/>
        </w:rPr>
      </w:pPr>
    </w:p>
    <w:p>
      <w:pPr>
        <w:ind w:left="520" w:right="300"/>
        <w:spacing w:after="0" w:line="316" w:lineRule="auto"/>
        <w:rPr>
          <w:sz w:val="20"/>
          <w:szCs w:val="20"/>
          <w:color w:val="auto"/>
        </w:rPr>
      </w:pPr>
      <w:r>
        <w:rPr>
          <w:rFonts w:ascii="Arial" w:cs="Arial" w:eastAsia="Arial" w:hAnsi="Arial"/>
          <w:sz w:val="16"/>
          <w:szCs w:val="16"/>
          <w:color w:val="D13438"/>
          <w:strike w:val="1"/>
        </w:rPr>
        <w:t>Section 2(a) of this ARTICLE TENTH is reasonably necessary in order to preserve the Tax Benefits and would be in the best interests of the Corporation and its stockholders.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D13438"/>
          <w:strike w:val="1"/>
        </w:rPr>
        <w:t xml:space="preserve">Section 3.  </w:t>
      </w:r>
      <w:r>
        <w:rPr>
          <w:rFonts w:ascii="Arial" w:cs="Arial" w:eastAsia="Arial" w:hAnsi="Arial"/>
          <w:sz w:val="16"/>
          <w:szCs w:val="16"/>
          <w:u w:val="single" w:color="auto"/>
          <w:color w:val="D13438"/>
          <w:strike w:val="1"/>
        </w:rPr>
        <w:t>Exceptions; Waiver of Transfer and Ownership Restrictions</w:t>
      </w:r>
      <w:r>
        <w:rPr>
          <w:rFonts w:ascii="Arial" w:cs="Arial" w:eastAsia="Arial" w:hAnsi="Arial"/>
          <w:sz w:val="16"/>
          <w:szCs w:val="16"/>
          <w:color w:val="D13438"/>
          <w:strike w:val="1"/>
        </w:rPr>
        <w:t xml:space="preserve"> .</w:t>
      </w:r>
    </w:p>
    <w:p>
      <w:pPr>
        <w:spacing w:after="0" w:line="167" w:lineRule="exact"/>
        <w:rPr>
          <w:sz w:val="20"/>
          <w:szCs w:val="20"/>
          <w:color w:val="auto"/>
        </w:rPr>
      </w:pPr>
    </w:p>
    <w:p>
      <w:pPr>
        <w:ind w:left="520" w:right="160" w:hanging="253"/>
        <w:spacing w:after="0" w:line="281" w:lineRule="auto"/>
        <w:tabs>
          <w:tab w:leader="none" w:pos="520" w:val="left"/>
        </w:tabs>
        <w:numPr>
          <w:ilvl w:val="0"/>
          <w:numId w:val="134"/>
        </w:numPr>
        <w:rPr>
          <w:rFonts w:ascii="Arial" w:cs="Arial" w:eastAsia="Arial" w:hAnsi="Arial"/>
          <w:sz w:val="16"/>
          <w:szCs w:val="16"/>
          <w:b w:val="1"/>
          <w:bCs w:val="1"/>
          <w:color w:val="D13438"/>
          <w:strike w:val="1"/>
        </w:rPr>
      </w:pPr>
      <w:r>
        <w:rPr>
          <w:rFonts w:ascii="Arial" w:cs="Arial" w:eastAsia="Arial" w:hAnsi="Arial"/>
          <w:sz w:val="16"/>
          <w:szCs w:val="16"/>
          <w:color w:val="D13438"/>
          <w:strike w:val="1"/>
        </w:rPr>
        <w:t>Any Transfer of Corporation Securities that would otherwise be prohibited pursuant to Section 2(a) of this ARTICLE TENTH shall nonetheless be permitted if (i) prior to such Transfer being consummated (or, in the case of an involuntary Transfer, as soon as practicable after the transaction is consummated), the Board of Directors approves the Transfer in accordance with Sections 3(b) or 3(c) of this ARTICLE TENTH (such approval may relate to a Transfer or series of identified Transfers), (ii) such Transfer is pursuant to any transaction, including, but not limited to, a merger or consolidation, in which all holders of Corporation Securities receive, or are offered the same opportunity to</w:t>
      </w:r>
    </w:p>
    <w:p>
      <w:pPr>
        <w:spacing w:after="0" w:line="4" w:lineRule="exact"/>
        <w:rPr>
          <w:sz w:val="20"/>
          <w:szCs w:val="20"/>
          <w:color w:val="auto"/>
        </w:rPr>
      </w:pPr>
    </w:p>
    <w:p>
      <w:pPr>
        <w:ind w:left="520" w:right="260"/>
        <w:spacing w:after="0" w:line="281" w:lineRule="auto"/>
        <w:rPr>
          <w:sz w:val="20"/>
          <w:szCs w:val="20"/>
          <w:color w:val="auto"/>
        </w:rPr>
      </w:pPr>
      <w:r>
        <w:rPr>
          <w:rFonts w:ascii="Arial" w:cs="Arial" w:eastAsia="Arial" w:hAnsi="Arial"/>
          <w:sz w:val="16"/>
          <w:szCs w:val="16"/>
          <w:color w:val="D13438"/>
          <w:strike w:val="1"/>
        </w:rPr>
        <w:t>receive, cash or other consideration for all such Corporation Securities, and upon the consummation of which the acquiror will own at least a majority of the outstanding shares of Common Stock or (iii) such Transfer is a Transfer to</w:t>
      </w:r>
    </w:p>
    <w:p>
      <w:pPr>
        <w:spacing w:after="0" w:line="1" w:lineRule="exact"/>
        <w:rPr>
          <w:sz w:val="20"/>
          <w:szCs w:val="20"/>
          <w:color w:val="auto"/>
        </w:rPr>
      </w:pPr>
    </w:p>
    <w:p>
      <w:pPr>
        <w:ind w:left="520" w:right="400"/>
        <w:spacing w:after="0" w:line="316" w:lineRule="auto"/>
        <w:rPr>
          <w:sz w:val="20"/>
          <w:szCs w:val="20"/>
          <w:color w:val="auto"/>
        </w:rPr>
      </w:pPr>
      <w:r>
        <w:rPr>
          <w:rFonts w:ascii="Arial" w:cs="Arial" w:eastAsia="Arial" w:hAnsi="Arial"/>
          <w:sz w:val="16"/>
          <w:szCs w:val="16"/>
          <w:color w:val="D13438"/>
          <w:strike w:val="1"/>
        </w:rPr>
        <w:t xml:space="preserve">an underwriter for distribution in a public offering; </w:t>
      </w:r>
      <w:r>
        <w:rPr>
          <w:rFonts w:ascii="Arial" w:cs="Arial" w:eastAsia="Arial" w:hAnsi="Arial"/>
          <w:sz w:val="16"/>
          <w:szCs w:val="16"/>
          <w:u w:val="single" w:color="auto"/>
          <w:color w:val="D13438"/>
          <w:strike w:val="1"/>
        </w:rPr>
        <w:t>provided</w:t>
      </w:r>
      <w:r>
        <w:rPr>
          <w:rFonts w:ascii="Arial" w:cs="Arial" w:eastAsia="Arial" w:hAnsi="Arial"/>
          <w:sz w:val="16"/>
          <w:szCs w:val="16"/>
          <w:color w:val="D13438"/>
          <w:strike w:val="1"/>
        </w:rPr>
        <w:t xml:space="preserve"> , however, that Transfers by such underwriter to purchasers in such offering remain subject to this ARTICLE TENTH.</w:t>
      </w:r>
    </w:p>
    <w:p>
      <w:pPr>
        <w:spacing w:after="0" w:line="2" w:lineRule="exact"/>
        <w:rPr>
          <w:sz w:val="20"/>
          <w:szCs w:val="20"/>
          <w:color w:val="auto"/>
        </w:rPr>
      </w:pPr>
    </w:p>
    <w:p>
      <w:pPr>
        <w:ind w:left="520" w:right="100" w:hanging="253"/>
        <w:spacing w:after="0" w:line="282" w:lineRule="auto"/>
        <w:tabs>
          <w:tab w:leader="none" w:pos="520" w:val="left"/>
        </w:tabs>
        <w:numPr>
          <w:ilvl w:val="0"/>
          <w:numId w:val="135"/>
        </w:numPr>
        <w:rPr>
          <w:rFonts w:ascii="Arial" w:cs="Arial" w:eastAsia="Arial" w:hAnsi="Arial"/>
          <w:sz w:val="16"/>
          <w:szCs w:val="16"/>
          <w:b w:val="1"/>
          <w:bCs w:val="1"/>
          <w:color w:val="D13438"/>
          <w:strike w:val="1"/>
        </w:rPr>
      </w:pPr>
      <w:r>
        <w:rPr>
          <w:rFonts w:ascii="Arial" w:cs="Arial" w:eastAsia="Arial" w:hAnsi="Arial"/>
          <w:sz w:val="16"/>
          <w:szCs w:val="16"/>
          <w:color w:val="D13438"/>
          <w:strike w:val="1"/>
        </w:rPr>
        <w:t>The restrictions contained in this ARTICLE TENTH are for the purposes of reducing the risk that any “ownership change” (as defined in the Code) with respect to the Corporation may limit the Corporation’s ability to utilize its Tax Benefits. The restrictions set forth in Section 2(a) of this ARTICLE TENTH shall not apply to a proposed Transfer that is a Five Percent Transaction if the Transferor or the Transferee obtains the authorization of the Board of Directors in the manner described below. In connection therewith, and to provide for effective policing of these provisions, any Person who desires to effect a Five Percent Transaction (a “Requesting Person”) shall, prior to the date of such transaction for which the Requesting Person seeks authorization (the “Proposed Transaction”), request in writing (a “Request”) that the Board of Directors review the Proposed Transaction and authorize or not authorize the Proposed Transaction in accordance with this Section 3(b). A Request shall be mailed or delivered to the Secretary of the Corporation at the Corporation’s principal place of business. Such Request shall be deemed to have been received by the Corporation when actually received by the Corporation. A Request shall include: (i) the name, address and telephone number of the Requesting Person; (ii) the number and Percentage Stock Ownership of Corporation Securities then beneficially owned by the Requesting Person; (iii) a reasonably detailed description of the Proposed Transaction or Proposed Transactions for which the Requesting Person seeks authorization; and (iv) a request that the Board of Directors authorize the Proposed Transaction pursuant to this Section 3(b). The Board of Directors shall, in good faith, endeavor to respond to each Request within twenty (20) Business Days of receiving such Request. The Board of Directors may authorize a Proposed Transaction if it determines that the Proposed Transaction would not jeopardize the Corporation’s ability to preserve and use the Tax Benefits. Any determination by the Board of Directors not to authorize a Proposed Transaction shall cause such Proposed Transaction to be deemed a Prohibited Transfer. The Board of Directors may impose any conditions that it deems reasonable and appropriate in connection with authorizing any Proposed Transaction. In addition, the Board of Directors may require an affidavit or representations from such Requesting Person or opinions of counsel to be rendered by counsel selected by the Requesting Person (and reasonably acceptable to the Board of Directors), in each case, as to such matters as the Board of Directors may reasonably determine with respect to the preservation of the Tax Benefits. Any Requesting Person who makes a Request to the Board of Directors shall reimburse the Corporation, within thirty (30) days of demand therefor, for all reasonable out-of-pocket costs and expenses incurred by the Corporation with respect to any Proposed Transaction, including, without limitation, the Corporation’s reasonable costs and expenses incurred in determining whether to authorize the Proposed Transaction, which costs may include, but are not limited to, any expenses of counsel and/or tax advisors engaged by the Board of Directors to advise the Board of Directors or deliver an opinion thereto. Any authorization of the Board of Directors hereunder may be given prospectively or retroactively. Furthermore, the Board of Directors shall approve within ten (10) Business Days of receiving a Request as provided in this Section 3(b) any proposed Transfer: (x) that does not add to any aggregate increase in Percentage Stock Ownership by the Five Percent Stockholders (as determined after giving effect to the proposed Transfer) over</w:t>
      </w:r>
    </w:p>
    <w:p>
      <w:pPr>
        <w:sectPr>
          <w:pgSz w:w="11900" w:h="16964" w:orient="portrait"/>
          <w:cols w:equalWidth="0" w:num="1">
            <w:col w:w="9100"/>
          </w:cols>
          <w:pgMar w:left="1400" w:top="111" w:right="1399" w:bottom="0" w:gutter="0" w:footer="0" w:header="0"/>
        </w:sectPr>
      </w:pPr>
    </w:p>
    <w:bookmarkStart w:id="96" w:name="page97"/>
    <w:bookmarkEnd w:id="96"/>
    <w:p>
      <w:pPr>
        <w:ind w:left="60"/>
        <w:spacing w:after="0"/>
        <w:rPr>
          <w:sz w:val="20"/>
          <w:szCs w:val="20"/>
          <w:color w:val="auto"/>
        </w:rPr>
      </w:pPr>
      <w:r>
        <w:rPr>
          <w:rFonts w:ascii="Arial" w:cs="Arial" w:eastAsia="Arial" w:hAnsi="Arial"/>
          <w:sz w:val="14"/>
          <w:szCs w:val="14"/>
          <w:b w:val="1"/>
          <w:bCs w:val="1"/>
          <w:color w:val="3D3935"/>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7219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10375" cy="721995"/>
                    </a:xfrm>
                    <a:prstGeom prst="rect">
                      <a:avLst/>
                    </a:prstGeom>
                    <a:noFill/>
                  </pic:spPr>
                </pic:pic>
              </a:graphicData>
            </a:graphic>
          </wp:anchor>
        </w:drawing>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88677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Appendix B: Proposed Amendments to the Company’s Certificate of Incorporation</w:t>
      </w:r>
    </w:p>
    <w:p>
      <w:pPr>
        <w:spacing w:after="0" w:line="200" w:lineRule="exact"/>
        <w:rPr>
          <w:sz w:val="20"/>
          <w:szCs w:val="20"/>
          <w:color w:val="auto"/>
        </w:rPr>
      </w:pPr>
    </w:p>
    <w:p>
      <w:pPr>
        <w:spacing w:after="0" w:line="377" w:lineRule="exact"/>
        <w:rPr>
          <w:sz w:val="20"/>
          <w:szCs w:val="20"/>
          <w:color w:val="auto"/>
        </w:rPr>
      </w:pPr>
    </w:p>
    <w:p>
      <w:pPr>
        <w:ind w:left="520" w:right="240"/>
        <w:spacing w:after="0" w:line="285" w:lineRule="auto"/>
        <w:rPr>
          <w:sz w:val="20"/>
          <w:szCs w:val="20"/>
          <w:color w:val="auto"/>
        </w:rPr>
      </w:pPr>
      <w:r>
        <w:rPr>
          <w:rFonts w:ascii="Arial" w:cs="Arial" w:eastAsia="Arial" w:hAnsi="Arial"/>
          <w:sz w:val="16"/>
          <w:szCs w:val="16"/>
          <w:color w:val="D13438"/>
          <w:strike w:val="1"/>
        </w:rPr>
        <w:t>the lowest Percentage Stock Ownership by the Five Percent Stockholders (as determined immediately before the proposed Transfer) at any time during the relevant testing period, in all cases for purposes of Section 382 of the Code, (y) if such proposed Transfer and all prior and anticipated Transfers effected or expected to be effected during the relevant testing period do not result in an aggregate “owner shift” (as defined in the Code) of more than 40% for purposes of Section 382 of the Code, or (z) that results in or is part of an “ownership change” (as defined in the Code) that is described in Section 382(n)(1) of the Code, as interpreted by any applicable regulations or official interpretations, including without limitation, any private letter rulings received by the Corporation (and the Corporation will promptly seek any such private letter ruling reasonably requested by a stockholder). For purposes of clause (x) of the preceding sentence, any MLC Entity’s ownership shall be considered as having been acquired during the relevant testing period, and, for the avoidance of doubt, Percentage Stock Ownership shall be determined without regard to the potential application of Code Section 382(n) to an “ownership change” attributable, in part, to such Percentage Stock Ownership.</w:t>
      </w:r>
    </w:p>
    <w:p>
      <w:pPr>
        <w:spacing w:after="0" w:line="24" w:lineRule="exact"/>
        <w:rPr>
          <w:sz w:val="20"/>
          <w:szCs w:val="20"/>
          <w:color w:val="auto"/>
        </w:rPr>
      </w:pPr>
    </w:p>
    <w:p>
      <w:pPr>
        <w:ind w:left="520" w:right="300" w:hanging="253"/>
        <w:spacing w:after="0" w:line="287" w:lineRule="auto"/>
        <w:tabs>
          <w:tab w:leader="none" w:pos="520" w:val="left"/>
        </w:tabs>
        <w:numPr>
          <w:ilvl w:val="0"/>
          <w:numId w:val="136"/>
        </w:numPr>
        <w:rPr>
          <w:rFonts w:ascii="Arial" w:cs="Arial" w:eastAsia="Arial" w:hAnsi="Arial"/>
          <w:sz w:val="16"/>
          <w:szCs w:val="16"/>
          <w:b w:val="1"/>
          <w:bCs w:val="1"/>
          <w:color w:val="D13438"/>
          <w:strike w:val="1"/>
        </w:rPr>
      </w:pPr>
      <w:r>
        <w:rPr>
          <w:rFonts w:ascii="Arial" w:cs="Arial" w:eastAsia="Arial" w:hAnsi="Arial"/>
          <w:sz w:val="16"/>
          <w:szCs w:val="16"/>
          <w:color w:val="D13438"/>
          <w:strike w:val="1"/>
        </w:rPr>
        <w:t>Notwithstanding the foregoing, the Board of Directors may determine that the restrictions set forth in Section 2(a) of this ARTICLE TENTH shall not apply to any particular transaction or transactions, whether or not a request has been made to the Board of Directors, including a Request pursuant to Section 3(b) of this ARTICLE TENTH, subject to any conditions that it deems reasonable and appropriate in connection therewith. Any determination of the Board of Directors hereunder may be made prospectively or retroactively.</w:t>
      </w:r>
    </w:p>
    <w:p>
      <w:pPr>
        <w:spacing w:after="0" w:line="20" w:lineRule="exact"/>
        <w:rPr>
          <w:rFonts w:ascii="Arial" w:cs="Arial" w:eastAsia="Arial" w:hAnsi="Arial"/>
          <w:sz w:val="16"/>
          <w:szCs w:val="16"/>
          <w:b w:val="1"/>
          <w:bCs w:val="1"/>
          <w:color w:val="D13438"/>
          <w:strike w:val="1"/>
        </w:rPr>
      </w:pPr>
    </w:p>
    <w:p>
      <w:pPr>
        <w:ind w:left="520" w:right="400" w:hanging="253"/>
        <w:spacing w:after="0" w:line="301" w:lineRule="auto"/>
        <w:tabs>
          <w:tab w:leader="none" w:pos="520" w:val="left"/>
        </w:tabs>
        <w:numPr>
          <w:ilvl w:val="0"/>
          <w:numId w:val="136"/>
        </w:numPr>
        <w:rPr>
          <w:rFonts w:ascii="Arial" w:cs="Arial" w:eastAsia="Arial" w:hAnsi="Arial"/>
          <w:sz w:val="16"/>
          <w:szCs w:val="16"/>
          <w:b w:val="1"/>
          <w:bCs w:val="1"/>
          <w:color w:val="D13438"/>
          <w:strike w:val="1"/>
        </w:rPr>
      </w:pPr>
      <w:r>
        <w:rPr>
          <w:rFonts w:ascii="Arial" w:cs="Arial" w:eastAsia="Arial" w:hAnsi="Arial"/>
          <w:sz w:val="16"/>
          <w:szCs w:val="16"/>
          <w:color w:val="D13438"/>
          <w:strike w:val="1"/>
        </w:rPr>
        <w:t>The Board of Directors, to the fullest extent permitted by law, may exercise the authority granted by this ARTICLE TENTH through duly authorized officers or agents of the Corporation. Nothing in this Section 3 shall be construed to limit or restrict the Board of Directors in the exercise of its fiduciary duties under applicable law.</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D13438"/>
          <w:strike w:val="1"/>
        </w:rPr>
        <w:t xml:space="preserve">Section 4.  </w:t>
      </w:r>
      <w:r>
        <w:rPr>
          <w:rFonts w:ascii="Arial" w:cs="Arial" w:eastAsia="Arial" w:hAnsi="Arial"/>
          <w:sz w:val="16"/>
          <w:szCs w:val="16"/>
          <w:u w:val="single" w:color="auto"/>
          <w:color w:val="D13438"/>
          <w:strike w:val="1"/>
        </w:rPr>
        <w:t>Excess Securities</w:t>
      </w:r>
      <w:r>
        <w:rPr>
          <w:rFonts w:ascii="Arial" w:cs="Arial" w:eastAsia="Arial" w:hAnsi="Arial"/>
          <w:sz w:val="16"/>
          <w:szCs w:val="16"/>
          <w:color w:val="D13438"/>
          <w:strike w:val="1"/>
        </w:rPr>
        <w:t>.</w:t>
      </w:r>
    </w:p>
    <w:p>
      <w:pPr>
        <w:spacing w:after="0" w:line="181" w:lineRule="exact"/>
        <w:rPr>
          <w:sz w:val="20"/>
          <w:szCs w:val="20"/>
          <w:color w:val="auto"/>
        </w:rPr>
      </w:pPr>
    </w:p>
    <w:p>
      <w:pPr>
        <w:ind w:left="520" w:right="260" w:hanging="253"/>
        <w:spacing w:after="0" w:line="283" w:lineRule="auto"/>
        <w:tabs>
          <w:tab w:leader="none" w:pos="520" w:val="left"/>
        </w:tabs>
        <w:numPr>
          <w:ilvl w:val="0"/>
          <w:numId w:val="137"/>
        </w:numPr>
        <w:rPr>
          <w:rFonts w:ascii="Arial" w:cs="Arial" w:eastAsia="Arial" w:hAnsi="Arial"/>
          <w:sz w:val="16"/>
          <w:szCs w:val="16"/>
          <w:b w:val="1"/>
          <w:bCs w:val="1"/>
          <w:color w:val="D13438"/>
          <w:strike w:val="1"/>
        </w:rPr>
      </w:pPr>
      <w:r>
        <w:rPr>
          <w:rFonts w:ascii="Arial" w:cs="Arial" w:eastAsia="Arial" w:hAnsi="Arial"/>
          <w:sz w:val="16"/>
          <w:szCs w:val="16"/>
          <w:color w:val="D13438"/>
          <w:strike w:val="1"/>
        </w:rPr>
        <w:t>No employee or agent of the Corporation shall record any Prohibited Transfer, and the purported Transferee of such a Prohibited Transfer (the “Purported Transferee”) shall not be recognized as a stockholder of the Corporation for any purpose whatsoever in respect of the Corporation Securities which are the subject of the Prohibited Transfer (the “Excess Securities”). Until the Excess Securities are acquired by another Person in a Transfer that is not a Prohibited Transfer, the Purported Transferee shall not be entitled to any rights of stockholders of the Corporation with respect to such Excess Securities, including, without limitation, the right to vote such Excess Securities and to receive dividends or distributions, whether liquidating or otherwise, in respect thereof, if any, and the Excess Securities shall be deemed to remain with the Transferor unless and until the Excess Securities are transferred to the Agent pursuant to Section 5 of this ARTICLE TENTH or until an approval is obtained under Section 3 of this ARTICLE TENTH. After the Excess Securities have been acquired in a Transfer that is not a Prohibited Transfer, the Corporation Securities shall cease to be Excess Securities. For this purpose, any Transfer of Excess Securities not in accordance with the provisions of this Section 4 or Section 5 of this ARTICLE TENTH shall also be a Prohibited Transfer.</w:t>
      </w:r>
    </w:p>
    <w:p>
      <w:pPr>
        <w:spacing w:after="0" w:line="245" w:lineRule="exact"/>
        <w:rPr>
          <w:rFonts w:ascii="Arial" w:cs="Arial" w:eastAsia="Arial" w:hAnsi="Arial"/>
          <w:sz w:val="16"/>
          <w:szCs w:val="16"/>
          <w:b w:val="1"/>
          <w:bCs w:val="1"/>
          <w:color w:val="D13438"/>
          <w:strike w:val="1"/>
        </w:rPr>
      </w:pPr>
    </w:p>
    <w:p>
      <w:pPr>
        <w:ind w:left="520" w:right="440" w:hanging="253"/>
        <w:spacing w:after="0" w:line="289" w:lineRule="auto"/>
        <w:tabs>
          <w:tab w:leader="none" w:pos="520" w:val="left"/>
        </w:tabs>
        <w:numPr>
          <w:ilvl w:val="0"/>
          <w:numId w:val="137"/>
        </w:numPr>
        <w:rPr>
          <w:rFonts w:ascii="Arial" w:cs="Arial" w:eastAsia="Arial" w:hAnsi="Arial"/>
          <w:sz w:val="16"/>
          <w:szCs w:val="16"/>
          <w:b w:val="1"/>
          <w:bCs w:val="1"/>
          <w:color w:val="D13438"/>
          <w:strike w:val="1"/>
        </w:rPr>
      </w:pPr>
      <w:r>
        <w:rPr>
          <w:rFonts w:ascii="Arial" w:cs="Arial" w:eastAsia="Arial" w:hAnsi="Arial"/>
          <w:sz w:val="16"/>
          <w:szCs w:val="16"/>
          <w:color w:val="D13438"/>
          <w:strike w:val="1"/>
        </w:rPr>
        <w:t>The Corporation may make such arrangements or issue such instructions to its stock transfer agent as may be determined by the Board of Directors to be necessary or advisable to implement this ARTICLE TENTH, including, without limitation, authorizing, in accordance with Section 9 of this ARTICLE TENTH, such transfer agent to require an affidavit from a Purported Transferee regarding such Person’s actual and constructive ownership of stock and other evidence that a Transfer will not be prohibited by this ARTICLE TENTH as a condition to registering any Transfer.</w:t>
      </w:r>
    </w:p>
    <w:p>
      <w:pPr>
        <w:spacing w:after="0" w:line="21" w:lineRule="exact"/>
        <w:rPr>
          <w:sz w:val="20"/>
          <w:szCs w:val="20"/>
          <w:color w:val="auto"/>
        </w:rPr>
      </w:pPr>
    </w:p>
    <w:p>
      <w:pPr>
        <w:ind w:right="420"/>
        <w:spacing w:after="0" w:line="281" w:lineRule="auto"/>
        <w:rPr>
          <w:sz w:val="20"/>
          <w:szCs w:val="20"/>
          <w:color w:val="auto"/>
        </w:rPr>
      </w:pPr>
      <w:r>
        <w:rPr>
          <w:rFonts w:ascii="Arial" w:cs="Arial" w:eastAsia="Arial" w:hAnsi="Arial"/>
          <w:sz w:val="16"/>
          <w:szCs w:val="16"/>
          <w:color w:val="D13438"/>
        </w:rPr>
        <w:t xml:space="preserve">Section 5. </w:t>
      </w:r>
      <w:r>
        <w:rPr>
          <w:rFonts w:ascii="Arial" w:cs="Arial" w:eastAsia="Arial" w:hAnsi="Arial"/>
          <w:sz w:val="16"/>
          <w:szCs w:val="16"/>
          <w:u w:val="single" w:color="auto"/>
          <w:color w:val="D13438"/>
          <w:strike w:val="1"/>
        </w:rPr>
        <w:t>Transfer to Agent</w:t>
      </w:r>
      <w:r>
        <w:rPr>
          <w:rFonts w:ascii="Arial" w:cs="Arial" w:eastAsia="Arial" w:hAnsi="Arial"/>
          <w:sz w:val="16"/>
          <w:szCs w:val="16"/>
          <w:color w:val="D13438"/>
        </w:rPr>
        <w:t xml:space="preserve"> </w:t>
      </w:r>
      <w:r>
        <w:rPr>
          <w:rFonts w:ascii="Arial" w:cs="Arial" w:eastAsia="Arial" w:hAnsi="Arial"/>
          <w:sz w:val="16"/>
          <w:szCs w:val="16"/>
          <w:color w:val="D13438"/>
          <w:strike w:val="1"/>
        </w:rPr>
        <w:t>. If the Board of Directors determines that a Transfer of Corporation Securities constitutes a</w:t>
      </w:r>
      <w:r>
        <w:rPr>
          <w:rFonts w:ascii="Arial" w:cs="Arial" w:eastAsia="Arial" w:hAnsi="Arial"/>
          <w:sz w:val="16"/>
          <w:szCs w:val="16"/>
          <w:color w:val="D13438"/>
        </w:rPr>
        <w:t xml:space="preserve"> </w:t>
      </w:r>
      <w:r>
        <w:rPr>
          <w:rFonts w:ascii="Arial" w:cs="Arial" w:eastAsia="Arial" w:hAnsi="Arial"/>
          <w:sz w:val="16"/>
          <w:szCs w:val="16"/>
          <w:color w:val="D13438"/>
          <w:strike w:val="1"/>
        </w:rPr>
        <w:t>Prohibited Transfer then, upon written demand by the Corporation sent within thirty (30) days of the date on which the Board of Directors determines that the attempted Transfer constitutes a Prohibited Transfer, the Purported Transferee shall transfer or cause to be transferred any certificate or other evidence of ownership of the Excess Securities within the Purported Transferee’s possession or control, together with any Prohibited Distributions, to an agent designated by the Board of Directors (the “Agent”). The Agent shall thereupon sell to a buyer or buyers, which may include the Corporation, the Excess Securities transferred to it in one or more arm’s-length transactions (on the public securities market on which</w:t>
      </w:r>
    </w:p>
    <w:p>
      <w:pPr>
        <w:spacing w:after="0" w:line="4" w:lineRule="exact"/>
        <w:rPr>
          <w:sz w:val="20"/>
          <w:szCs w:val="20"/>
          <w:color w:val="auto"/>
        </w:rPr>
      </w:pPr>
    </w:p>
    <w:p>
      <w:pPr>
        <w:spacing w:after="0"/>
        <w:tabs>
          <w:tab w:leader="none" w:pos="5400" w:val="left"/>
        </w:tabs>
        <w:rPr>
          <w:sz w:val="20"/>
          <w:szCs w:val="20"/>
          <w:color w:val="auto"/>
        </w:rPr>
      </w:pPr>
      <w:r>
        <w:rPr>
          <w:rFonts w:ascii="Arial" w:cs="Arial" w:eastAsia="Arial" w:hAnsi="Arial"/>
          <w:sz w:val="16"/>
          <w:szCs w:val="16"/>
          <w:color w:val="D13438"/>
          <w:strike w:val="1"/>
        </w:rPr>
        <w:t>such Excess Securities are traded, if possible, or otherwise privately);</w:t>
      </w:r>
      <w:r>
        <w:rPr>
          <w:sz w:val="20"/>
          <w:szCs w:val="20"/>
          <w:color w:val="auto"/>
        </w:rPr>
        <w:tab/>
      </w:r>
      <w:r>
        <w:rPr>
          <w:rFonts w:ascii="Arial" w:cs="Arial" w:eastAsia="Arial" w:hAnsi="Arial"/>
          <w:sz w:val="16"/>
          <w:szCs w:val="16"/>
          <w:u w:val="single" w:color="auto"/>
          <w:color w:val="D13438"/>
          <w:strike w:val="1"/>
        </w:rPr>
        <w:t xml:space="preserve">provided </w:t>
      </w:r>
      <w:r>
        <w:rPr>
          <w:rFonts w:ascii="Arial" w:cs="Arial" w:eastAsia="Arial" w:hAnsi="Arial"/>
          <w:sz w:val="16"/>
          <w:szCs w:val="16"/>
          <w:color w:val="D13438"/>
          <w:strike w:val="1"/>
        </w:rPr>
        <w:t>, however, that any such sale must not</w:t>
      </w:r>
    </w:p>
    <w:p>
      <w:pPr>
        <w:spacing w:after="0" w:line="32"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D13438"/>
          <w:strike w:val="1"/>
        </w:rPr>
        <w:t xml:space="preserve">constitute a Prohibited Transfer and </w:t>
      </w:r>
      <w:r>
        <w:rPr>
          <w:rFonts w:ascii="Arial" w:cs="Arial" w:eastAsia="Arial" w:hAnsi="Arial"/>
          <w:sz w:val="16"/>
          <w:szCs w:val="16"/>
          <w:u w:val="single" w:color="auto"/>
          <w:color w:val="D13438"/>
          <w:strike w:val="1"/>
        </w:rPr>
        <w:t>provided</w:t>
      </w:r>
      <w:r>
        <w:rPr>
          <w:rFonts w:ascii="Arial" w:cs="Arial" w:eastAsia="Arial" w:hAnsi="Arial"/>
          <w:sz w:val="16"/>
          <w:szCs w:val="16"/>
          <w:color w:val="D13438"/>
          <w:strike w:val="1"/>
        </w:rPr>
        <w:t xml:space="preserve"> , </w:t>
      </w:r>
      <w:r>
        <w:rPr>
          <w:rFonts w:ascii="Arial" w:cs="Arial" w:eastAsia="Arial" w:hAnsi="Arial"/>
          <w:sz w:val="16"/>
          <w:szCs w:val="16"/>
          <w:u w:val="single" w:color="auto"/>
          <w:color w:val="D13438"/>
          <w:strike w:val="1"/>
        </w:rPr>
        <w:t>further</w:t>
      </w:r>
      <w:r>
        <w:rPr>
          <w:rFonts w:ascii="Arial" w:cs="Arial" w:eastAsia="Arial" w:hAnsi="Arial"/>
          <w:sz w:val="16"/>
          <w:szCs w:val="16"/>
          <w:color w:val="D13438"/>
          <w:strike w:val="1"/>
        </w:rPr>
        <w:t xml:space="preserve"> , that the Agent shall effect such sale or sales in an orderly fashion and shall not be required to effect any such sale within any specific time frame if, in the Agent’s discretion, such sale or sales would disrupt the market for the Corporation Securities, would otherwise adversely affect the value of the Corporation Securities or would be in violation of applicable securities laws. If the Purported Transferee has resold the Excess Securities before receiving the Corporation’s demand to surrender Excess Securities to the Agent, the Purported Transferee shall be</w:t>
      </w:r>
    </w:p>
    <w:p>
      <w:pPr>
        <w:spacing w:after="0" w:line="200" w:lineRule="exact"/>
        <w:rPr>
          <w:sz w:val="20"/>
          <w:szCs w:val="20"/>
          <w:color w:val="auto"/>
        </w:rPr>
      </w:pPr>
    </w:p>
    <w:p>
      <w:pPr>
        <w:spacing w:after="0" w:line="215"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4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80" w:type="dxa"/>
            <w:vAlign w:val="bottom"/>
          </w:tcPr>
          <w:p>
            <w:pPr>
              <w:ind w:left="160"/>
              <w:spacing w:after="0"/>
              <w:rPr>
                <w:sz w:val="20"/>
                <w:szCs w:val="20"/>
                <w:color w:val="auto"/>
              </w:rPr>
            </w:pPr>
            <w:r>
              <w:rPr>
                <w:rFonts w:ascii="Arial" w:cs="Arial" w:eastAsia="Arial" w:hAnsi="Arial"/>
                <w:sz w:val="14"/>
                <w:szCs w:val="14"/>
                <w:b w:val="1"/>
                <w:bCs w:val="1"/>
                <w:color w:val="3D3935"/>
                <w:w w:val="88"/>
              </w:rPr>
              <w:t>B-7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7620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10375" cy="762000"/>
                    </a:xfrm>
                    <a:prstGeom prst="rect">
                      <a:avLst/>
                    </a:prstGeom>
                    <a:noFill/>
                  </pic:spPr>
                </pic:pic>
              </a:graphicData>
            </a:graphic>
          </wp:anchor>
        </w:drawing>
      </w:r>
    </w:p>
    <w:p>
      <w:pPr>
        <w:sectPr>
          <w:pgSz w:w="11900" w:h="16838" w:orient="portrait"/>
          <w:cols w:equalWidth="0" w:num="1">
            <w:col w:w="9200"/>
          </w:cols>
          <w:pgMar w:left="1400" w:top="724" w:right="1299" w:bottom="22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Appendix B: Proposed Amendments to the Company’s Certificate of Incorporation</w:t>
      </w:r>
    </w:p>
    <w:p>
      <w:pPr>
        <w:sectPr>
          <w:pgSz w:w="11900" w:h="16838" w:orient="portrait"/>
          <w:cols w:equalWidth="0" w:num="1">
            <w:col w:w="9200"/>
          </w:cols>
          <w:pgMar w:left="1400" w:top="724" w:right="1299" w:bottom="228" w:gutter="0" w:footer="0" w:header="0"/>
          <w:type w:val="continuous"/>
        </w:sectPr>
      </w:pPr>
    </w:p>
    <w:bookmarkStart w:id="97" w:name="page98"/>
    <w:bookmarkEnd w:id="97"/>
    <w:p>
      <w:pPr>
        <w:ind w:right="740"/>
        <w:spacing w:after="0" w:line="237" w:lineRule="auto"/>
        <w:rPr>
          <w:sz w:val="20"/>
          <w:szCs w:val="20"/>
          <w:color w:val="auto"/>
        </w:rPr>
      </w:pPr>
      <w:r>
        <w:rPr>
          <w:rFonts w:ascii="Arial" w:cs="Arial" w:eastAsia="Arial" w:hAnsi="Arial"/>
          <w:sz w:val="16"/>
          <w:szCs w:val="16"/>
          <w:color w:val="D13438"/>
          <w:strike w:val="1"/>
        </w:rPr>
        <w:t>deemed to have sold the Excess Securities for the Agent, and shall be required to transfer to the Agent any Prohibited Distributions and proceeds of such sale, except to the extent that the Corporation grants written permission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-212090</wp:posOffset>
            </wp:positionV>
            <wp:extent cx="6810375" cy="80943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10375" cy="8094345"/>
                    </a:xfrm>
                    <a:prstGeom prst="rect">
                      <a:avLst/>
                    </a:prstGeom>
                    <a:noFill/>
                  </pic:spPr>
                </pic:pic>
              </a:graphicData>
            </a:graphic>
          </wp:anchor>
        </w:drawing>
      </w:r>
    </w:p>
    <w:p>
      <w:pPr>
        <w:jc w:val="both"/>
        <w:ind w:right="520"/>
        <w:spacing w:after="0" w:line="301" w:lineRule="auto"/>
        <w:rPr>
          <w:sz w:val="20"/>
          <w:szCs w:val="20"/>
          <w:color w:val="auto"/>
        </w:rPr>
      </w:pPr>
      <w:r>
        <w:rPr>
          <w:rFonts w:ascii="Arial" w:cs="Arial" w:eastAsia="Arial" w:hAnsi="Arial"/>
          <w:sz w:val="16"/>
          <w:szCs w:val="16"/>
          <w:color w:val="D13438"/>
          <w:strike w:val="1"/>
        </w:rPr>
        <w:t>Purported Transferee to retain a portion of such sales proceeds not exceeding the amount that the Purported Transferee would have received from the Agent pursuant to Section 6 of this ARTICLE TENTH if the Agent rather than the Purported Transferee had resold the Excess Securities.</w:t>
      </w:r>
    </w:p>
    <w:p>
      <w:pPr>
        <w:spacing w:after="0" w:line="91"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D13438"/>
          <w:strike w:val="1"/>
        </w:rPr>
        <w:t xml:space="preserve">Section 6. </w:t>
      </w:r>
      <w:r>
        <w:rPr>
          <w:rFonts w:ascii="Arial" w:cs="Arial" w:eastAsia="Arial" w:hAnsi="Arial"/>
          <w:sz w:val="16"/>
          <w:szCs w:val="16"/>
          <w:u w:val="single" w:color="auto"/>
          <w:color w:val="D13438"/>
          <w:strike w:val="1"/>
        </w:rPr>
        <w:t>Application of Proceeds and Prohibited Distributions</w:t>
      </w:r>
      <w:r>
        <w:rPr>
          <w:rFonts w:ascii="Arial" w:cs="Arial" w:eastAsia="Arial" w:hAnsi="Arial"/>
          <w:sz w:val="16"/>
          <w:szCs w:val="16"/>
          <w:color w:val="D13438"/>
          <w:strike w:val="1"/>
        </w:rPr>
        <w:t xml:space="preserve"> . The Agent shall apply any proceeds of a sale by it of Excess Securities and, if the Purported Transferee has previously resold the Excess Securities, any amounts received by the Agent from a Purported Transferee, together, in either case, with any Prohibited Distributions, as follows: (a) first, such amounts shall be paid to the Agent to the extent necessary to cover its costs and expenses incurred in connection with its duties hereunder; (b) second, any remaining amounts shall be paid to the Purported Transferee, up to the amount paid by the Purported Transferee for the Excess Securities (or the fair market value at the time of the Transfer, in the event the purported Transfer of the Excess Securities was, in whole or in part, a gift, inheritance or similar Transfer, such fair market value to be calculated on the basis of the closing market price for the Corporation Securities on the principal U.S. stock exchange on which the Corporation Securities are listed or admitted for trading on the day before the Prohibited Transfer, </w:t>
      </w:r>
      <w:r>
        <w:rPr>
          <w:rFonts w:ascii="Arial" w:cs="Arial" w:eastAsia="Arial" w:hAnsi="Arial"/>
          <w:sz w:val="16"/>
          <w:szCs w:val="16"/>
          <w:u w:val="single" w:color="auto"/>
          <w:color w:val="D13438"/>
          <w:strike w:val="1"/>
        </w:rPr>
        <w:t xml:space="preserve">provided </w:t>
      </w:r>
      <w:r>
        <w:rPr>
          <w:rFonts w:ascii="Arial" w:cs="Arial" w:eastAsia="Arial" w:hAnsi="Arial"/>
          <w:sz w:val="16"/>
          <w:szCs w:val="16"/>
          <w:color w:val="D13438"/>
          <w:strike w:val="1"/>
        </w:rPr>
        <w:t>, however, that (1) if the Corporation Securities are not listed or admitted for trading on any U.S. stock exchange but</w:t>
      </w:r>
      <w:r>
        <w:rPr>
          <w:rFonts w:ascii="Arial" w:cs="Arial" w:eastAsia="Arial" w:hAnsi="Arial"/>
          <w:sz w:val="16"/>
          <w:szCs w:val="16"/>
          <w:u w:val="single" w:color="auto"/>
          <w:color w:val="D13438"/>
          <w:strike w:val="1"/>
        </w:rPr>
        <w:t xml:space="preserve"> </w:t>
      </w:r>
      <w:r>
        <w:rPr>
          <w:rFonts w:ascii="Arial" w:cs="Arial" w:eastAsia="Arial" w:hAnsi="Arial"/>
          <w:sz w:val="16"/>
          <w:szCs w:val="16"/>
          <w:color w:val="D13438"/>
          <w:strike w:val="1"/>
        </w:rPr>
        <w:t>are traded in the over-the-counter market, such fair market value shall be calculated based upon the difference between the highest bid and lowest asked prices, as such prices are reported by the National Association of Securities Dealers through its NASDAQ system or any successor system on the day before the Prohibited Transfer or, if not so reported, on the last preceding day for which such quotations exist, or (2) if the Corporation Securities are neither listed nor admitted to trading</w:t>
      </w:r>
    </w:p>
    <w:p>
      <w:pPr>
        <w:spacing w:after="0" w:line="8"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D13438"/>
          <w:strike w:val="1"/>
        </w:rPr>
        <w:t>on any U.S. stock exchange and are not traded in the over-the-counter market, then such fair market value shall be determined in good faith by the Board of Directors); and (c) third, any remaining amounts shall be paid to the Transferor that was party to the subject Prohibited Transfer, or, if the Transferor that was party to the subject Prohibited Transfer cannot be readily identified, to one or more organizations qualifying under section 501(c)(3) of the Code (or any comparable successor provision) selected by the Board of Directors. The Purported Transferee of Excess Securities shall have no claim, cause of action or any other recourse whatsoever against any Transferor of Excess Securities. The Purported Transferee’s sole right with respect to such shares shall be limited to the amount payable to the Purported Transferee pursuant to this Section 6. In no event shall the proceeds of any sale of Excess Securities pursuant to this Section 6 inure to the benefit of the Corporation or the Agent, except to the extent used to cover costs and expenses incurred by the Agent in performing its duties hereunder.</w:t>
      </w:r>
    </w:p>
    <w:p>
      <w:pPr>
        <w:spacing w:after="0" w:line="322" w:lineRule="exact"/>
        <w:rPr>
          <w:sz w:val="20"/>
          <w:szCs w:val="20"/>
          <w:color w:val="auto"/>
        </w:rPr>
      </w:pPr>
    </w:p>
    <w:p>
      <w:pPr>
        <w:ind w:right="260"/>
        <w:spacing w:after="0" w:line="283" w:lineRule="auto"/>
        <w:rPr>
          <w:sz w:val="20"/>
          <w:szCs w:val="20"/>
          <w:color w:val="auto"/>
        </w:rPr>
      </w:pPr>
      <w:r>
        <w:rPr>
          <w:rFonts w:ascii="Arial" w:cs="Arial" w:eastAsia="Arial" w:hAnsi="Arial"/>
          <w:sz w:val="16"/>
          <w:szCs w:val="16"/>
          <w:color w:val="D13438"/>
        </w:rPr>
        <w:t xml:space="preserve">Section 7. </w:t>
      </w:r>
      <w:r>
        <w:rPr>
          <w:rFonts w:ascii="Arial" w:cs="Arial" w:eastAsia="Arial" w:hAnsi="Arial"/>
          <w:sz w:val="16"/>
          <w:szCs w:val="16"/>
          <w:u w:val="single" w:color="auto"/>
          <w:color w:val="D13438"/>
          <w:strike w:val="1"/>
        </w:rPr>
        <w:t>Modification of Remedies for Certain Indirect Transfers</w:t>
      </w:r>
      <w:r>
        <w:rPr>
          <w:rFonts w:ascii="Arial" w:cs="Arial" w:eastAsia="Arial" w:hAnsi="Arial"/>
          <w:sz w:val="16"/>
          <w:szCs w:val="16"/>
          <w:color w:val="D13438"/>
        </w:rPr>
        <w:t xml:space="preserve"> </w:t>
      </w:r>
      <w:r>
        <w:rPr>
          <w:rFonts w:ascii="Arial" w:cs="Arial" w:eastAsia="Arial" w:hAnsi="Arial"/>
          <w:sz w:val="16"/>
          <w:szCs w:val="16"/>
          <w:color w:val="D13438"/>
          <w:strike w:val="1"/>
        </w:rPr>
        <w:t>. In the event of any Transfer that does not involve a</w:t>
      </w:r>
      <w:r>
        <w:rPr>
          <w:rFonts w:ascii="Arial" w:cs="Arial" w:eastAsia="Arial" w:hAnsi="Arial"/>
          <w:sz w:val="16"/>
          <w:szCs w:val="16"/>
          <w:color w:val="D13438"/>
        </w:rPr>
        <w:t xml:space="preserve"> </w:t>
      </w:r>
      <w:r>
        <w:rPr>
          <w:rFonts w:ascii="Arial" w:cs="Arial" w:eastAsia="Arial" w:hAnsi="Arial"/>
          <w:sz w:val="16"/>
          <w:szCs w:val="16"/>
          <w:color w:val="D13438"/>
          <w:strike w:val="1"/>
        </w:rPr>
        <w:t>transfer of securities of the Corporation within the meaning of Delaware law (“Securities,” and individually, a “Security”) but which would cause (i) any Person to become a Five Percent Stockholder or (ii) the Percentage Stock Ownership in the Corporation of any Five Percent Stockholder to be increased, the application of Section 5 and Section 6 of this ARTICLE TENTH shall be modified as described in this Section 7. In such case, no such Five Percent Stockholder shall be required to dispose of any interest that is not a Security, but such Five Percent Stockholder and/or any Person whose ownership of Securities is attributed to such Five Percent Stockholder shall be deemed to have disposed of and shall be required to dispose of sufficient Securities (which Securities shall be disposed of in the inverse order in which they were acquired) to cause such Five Percent Stockholder, following such disposition, not to be in violation of this ARTICLE TENTH. Such disposition shall be deemed to occur simultaneously with the Transfer giving rise to the application of this provision, and such number of Securities that are deemed to be disposed of shall be considered Excess Securities and shall be disposed of through the Agent as provided in Sections 5 and 6 of this ARTICLE TENTH, except that the maximum aggregate amount payable either to such Five Percent Stockholder, or to such other Person that was the direct holder of such Excess Securities, in connection with such sale shall be the fair market value of such Excess Securities at the time of the purported Transfer. All expenses incurred by the Agent in disposing of such Excess Securities shall be paid out of any amounts due such Five Percent Stockholder or such other Person. The purpose of this Section 7 is to extend the restrictions in Sections 2 and 5 of this ARTICLE TENTH to situations in which there is a Five Percent Transaction without a direct Transfer of Securities, and this Section 7, along with the other provisions of this ARTICLE TENTH, shall be interpreted to produce the same results, with differences as the context requires, as a direct Transfer of Corporation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23393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10375" cy="2339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72CE"/>
        </w:rPr>
        <w:t>Appendix B: Proposed Amendments to the Company’s Certificate of Incorporation</w:t>
      </w:r>
    </w:p>
    <w:p>
      <w:pPr>
        <w:spacing w:after="0" w:line="200" w:lineRule="exact"/>
        <w:rPr>
          <w:sz w:val="20"/>
          <w:szCs w:val="20"/>
          <w:color w:val="auto"/>
        </w:rPr>
      </w:pPr>
    </w:p>
    <w:p>
      <w:pPr>
        <w:spacing w:after="0" w:line="377"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D13438"/>
        </w:rPr>
        <w:t xml:space="preserve">Section 8. </w:t>
      </w:r>
      <w:r>
        <w:rPr>
          <w:rFonts w:ascii="Arial" w:cs="Arial" w:eastAsia="Arial" w:hAnsi="Arial"/>
          <w:sz w:val="16"/>
          <w:szCs w:val="16"/>
          <w:u w:val="single" w:color="auto"/>
          <w:color w:val="D13438"/>
          <w:strike w:val="1"/>
        </w:rPr>
        <w:t>Legal Proceedings; Prompt Enforcement</w:t>
      </w:r>
      <w:r>
        <w:rPr>
          <w:rFonts w:ascii="Arial" w:cs="Arial" w:eastAsia="Arial" w:hAnsi="Arial"/>
          <w:sz w:val="16"/>
          <w:szCs w:val="16"/>
          <w:color w:val="D13438"/>
        </w:rPr>
        <w:t xml:space="preserve"> </w:t>
      </w:r>
      <w:r>
        <w:rPr>
          <w:rFonts w:ascii="Arial" w:cs="Arial" w:eastAsia="Arial" w:hAnsi="Arial"/>
          <w:sz w:val="16"/>
          <w:szCs w:val="16"/>
          <w:color w:val="D13438"/>
          <w:strike w:val="1"/>
        </w:rPr>
        <w:t>. If the Purported Transferee fails to surrender the Excess Securities or</w:t>
      </w:r>
      <w:r>
        <w:rPr>
          <w:rFonts w:ascii="Arial" w:cs="Arial" w:eastAsia="Arial" w:hAnsi="Arial"/>
          <w:sz w:val="16"/>
          <w:szCs w:val="16"/>
          <w:color w:val="D13438"/>
        </w:rPr>
        <w:t xml:space="preserve"> </w:t>
      </w:r>
      <w:r>
        <w:rPr>
          <w:rFonts w:ascii="Arial" w:cs="Arial" w:eastAsia="Arial" w:hAnsi="Arial"/>
          <w:sz w:val="16"/>
          <w:szCs w:val="16"/>
          <w:color w:val="D13438"/>
          <w:strike w:val="1"/>
        </w:rPr>
        <w:t>the proceeds of a sale thereof, in either case, with any Prohibited Distributions, to the Agent within thirty (30) days from the date on which the Corporation makes a written demand pursuant to Section 5 of this ARTICLE TENTH (whether or not made within the time specified in Section 5 of this ARTICLE TENTH), then the Corporation may take any actions it deems necessary to enforce the provisions hereof, including the institution of legal proceedings to compel the surrender. Nothing in this Section 8 shall (a) be deemed inconsistent with any Transfer of the Excess Securities provided in this ARTICLE TENTH being void ab initio, (b) preclude the Corporation in its discretion from immediately bringing legal proceedings without a prior demand or (c) cause any failure of the Corporation to act within the time periods set forth in Section 5 of this ARTICLE TENTH to constitute a waiver or loss of any right of the Corporation under this ARTICLE TENTH. The Board of Directors may authorize such additional actions as it deems advisable to give effect to the provisions of this ARTICLE TENTH.</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D13438"/>
          <w:strike w:val="1"/>
        </w:rPr>
        <w:t xml:space="preserve">Section 9.  </w:t>
      </w:r>
      <w:r>
        <w:rPr>
          <w:rFonts w:ascii="Arial" w:cs="Arial" w:eastAsia="Arial" w:hAnsi="Arial"/>
          <w:sz w:val="16"/>
          <w:szCs w:val="16"/>
          <w:u w:val="single" w:color="auto"/>
          <w:color w:val="D13438"/>
          <w:strike w:val="1"/>
        </w:rPr>
        <w:t>Obligation to Provide Information</w:t>
      </w:r>
      <w:r>
        <w:rPr>
          <w:rFonts w:ascii="Arial" w:cs="Arial" w:eastAsia="Arial" w:hAnsi="Arial"/>
          <w:sz w:val="16"/>
          <w:szCs w:val="16"/>
          <w:color w:val="D13438"/>
          <w:strike w:val="1"/>
        </w:rPr>
        <w:t xml:space="preserve"> . As a condition to the registration of the Transfer of any Stock, any Person who</w:t>
      </w:r>
    </w:p>
    <w:p>
      <w:pPr>
        <w:sectPr>
          <w:pgSz w:w="11900" w:h="16838" w:orient="portrait"/>
          <w:cols w:equalWidth="0" w:num="1">
            <w:col w:w="9200"/>
          </w:cols>
          <w:pgMar w:left="1400" w:top="111" w:right="1299" w:bottom="0" w:gutter="0" w:footer="0" w:header="0"/>
        </w:sectPr>
      </w:pPr>
    </w:p>
    <w:bookmarkStart w:id="98" w:name="page99"/>
    <w:bookmarkEnd w:id="98"/>
    <w:p>
      <w:pPr>
        <w:spacing w:after="0" w:line="47" w:lineRule="exact"/>
        <w:rPr>
          <w:sz w:val="20"/>
          <w:szCs w:val="20"/>
          <w:color w:val="auto"/>
        </w:rPr>
      </w:pPr>
    </w:p>
    <w:p>
      <w:pPr>
        <w:ind w:right="880"/>
        <w:spacing w:after="0" w:line="255" w:lineRule="auto"/>
        <w:rPr>
          <w:sz w:val="20"/>
          <w:szCs w:val="20"/>
          <w:color w:val="auto"/>
        </w:rPr>
      </w:pPr>
      <w:r>
        <w:rPr>
          <w:rFonts w:ascii="Arial" w:cs="Arial" w:eastAsia="Arial" w:hAnsi="Arial"/>
          <w:sz w:val="16"/>
          <w:szCs w:val="16"/>
          <w:color w:val="D13438"/>
          <w:strike w:val="1"/>
        </w:rPr>
        <w:t>is a beneficial, legal or record holder of Stock, and any proposed Transferee and any Person controlling, controlled by or under common control with the proposed Transferee, shall provide an affidavit containing such information, to the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-229870</wp:posOffset>
            </wp:positionV>
            <wp:extent cx="6810375" cy="65170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10375" cy="6517005"/>
                    </a:xfrm>
                    <a:prstGeom prst="rect">
                      <a:avLst/>
                    </a:prstGeom>
                    <a:noFill/>
                  </pic:spPr>
                </pic:pic>
              </a:graphicData>
            </a:graphic>
          </wp:anchor>
        </w:drawing>
      </w:r>
    </w:p>
    <w:p>
      <w:pPr>
        <w:ind w:right="1100"/>
        <w:spacing w:after="0" w:line="321" w:lineRule="auto"/>
        <w:rPr>
          <w:sz w:val="20"/>
          <w:szCs w:val="20"/>
          <w:color w:val="auto"/>
        </w:rPr>
      </w:pPr>
      <w:r>
        <w:rPr>
          <w:rFonts w:ascii="Arial" w:cs="Arial" w:eastAsia="Arial" w:hAnsi="Arial"/>
          <w:sz w:val="16"/>
          <w:szCs w:val="16"/>
          <w:color w:val="D13438"/>
          <w:strike w:val="1"/>
        </w:rPr>
        <w:t>reasonably available and legally permissible, as the Corporation may reasonably request from time to time in order to determine compliance with this ARTICLE TENTH or the status of the Tax Benefits of the Corporation.</w:t>
      </w:r>
    </w:p>
    <w:p>
      <w:pPr>
        <w:spacing w:after="0" w:line="88" w:lineRule="exact"/>
        <w:rPr>
          <w:sz w:val="20"/>
          <w:szCs w:val="20"/>
          <w:color w:val="auto"/>
        </w:rPr>
      </w:pPr>
    </w:p>
    <w:p>
      <w:pPr>
        <w:jc w:val="both"/>
        <w:ind w:right="1040"/>
        <w:spacing w:after="0" w:line="301" w:lineRule="auto"/>
        <w:rPr>
          <w:sz w:val="20"/>
          <w:szCs w:val="20"/>
          <w:color w:val="auto"/>
        </w:rPr>
      </w:pPr>
      <w:r>
        <w:rPr>
          <w:rFonts w:ascii="Arial" w:cs="Arial" w:eastAsia="Arial" w:hAnsi="Arial"/>
          <w:sz w:val="16"/>
          <w:szCs w:val="16"/>
          <w:color w:val="D13438"/>
        </w:rPr>
        <w:t xml:space="preserve">Section 10. </w:t>
      </w:r>
      <w:r>
        <w:rPr>
          <w:rFonts w:ascii="Arial" w:cs="Arial" w:eastAsia="Arial" w:hAnsi="Arial"/>
          <w:sz w:val="16"/>
          <w:szCs w:val="16"/>
          <w:u w:val="single" w:color="auto"/>
          <w:color w:val="D13438"/>
          <w:strike w:val="1"/>
        </w:rPr>
        <w:t>Legends</w:t>
      </w:r>
      <w:r>
        <w:rPr>
          <w:rFonts w:ascii="Arial" w:cs="Arial" w:eastAsia="Arial" w:hAnsi="Arial"/>
          <w:sz w:val="16"/>
          <w:szCs w:val="16"/>
          <w:color w:val="D13438"/>
          <w:strike w:val="1"/>
        </w:rPr>
        <w:t>. The Board of Directors may require that any certificates issued by the Corporation evidencing</w:t>
      </w:r>
      <w:r>
        <w:rPr>
          <w:rFonts w:ascii="Arial" w:cs="Arial" w:eastAsia="Arial" w:hAnsi="Arial"/>
          <w:sz w:val="16"/>
          <w:szCs w:val="16"/>
          <w:color w:val="D13438"/>
        </w:rPr>
        <w:t xml:space="preserve"> </w:t>
      </w:r>
      <w:r>
        <w:rPr>
          <w:rFonts w:ascii="Arial" w:cs="Arial" w:eastAsia="Arial" w:hAnsi="Arial"/>
          <w:sz w:val="16"/>
          <w:szCs w:val="16"/>
          <w:color w:val="D13438"/>
          <w:strike w:val="1"/>
        </w:rPr>
        <w:t>ownership of shares of Stock that are subject to the restrictions on transfer and ownership contained in this ARTICLE TENTH bear the following legend:</w:t>
      </w:r>
    </w:p>
    <w:p>
      <w:pPr>
        <w:spacing w:after="0" w:line="91" w:lineRule="exact"/>
        <w:rPr>
          <w:sz w:val="20"/>
          <w:szCs w:val="20"/>
          <w:color w:val="auto"/>
        </w:rPr>
      </w:pPr>
    </w:p>
    <w:p>
      <w:pPr>
        <w:spacing w:after="0" w:line="301" w:lineRule="auto"/>
        <w:rPr>
          <w:sz w:val="20"/>
          <w:szCs w:val="20"/>
          <w:color w:val="auto"/>
        </w:rPr>
      </w:pPr>
      <w:r>
        <w:rPr>
          <w:rFonts w:ascii="Arial" w:cs="Arial" w:eastAsia="Arial" w:hAnsi="Arial"/>
          <w:sz w:val="16"/>
          <w:szCs w:val="16"/>
          <w:color w:val="D13438"/>
          <w:strike w:val="1"/>
        </w:rPr>
        <w:t>“THE TRANSFER OF SECURITIES REPRESENTED HEREBY IS SUBJECT TO RESTRICTION PURSUANT TO ARTICLE TENTH OF THE AMENDED AND RESTATED CERTIFICATE OF INCORPORATION OF GENERAL MOTORS COMPANY, AS AMENDED AND IN EFFECT FROM TIME TO TIME, A COPY OF WHICH MAY BE OBTAINED FROM THE CORPORATION UPON REQUEST.”</w:t>
      </w:r>
    </w:p>
    <w:p>
      <w:pPr>
        <w:spacing w:after="0" w:line="104" w:lineRule="exact"/>
        <w:rPr>
          <w:sz w:val="20"/>
          <w:szCs w:val="20"/>
          <w:color w:val="auto"/>
        </w:rPr>
      </w:pPr>
    </w:p>
    <w:p>
      <w:pPr>
        <w:ind w:right="680"/>
        <w:spacing w:after="0" w:line="301" w:lineRule="auto"/>
        <w:rPr>
          <w:sz w:val="20"/>
          <w:szCs w:val="20"/>
          <w:color w:val="auto"/>
        </w:rPr>
      </w:pPr>
      <w:r>
        <w:rPr>
          <w:rFonts w:ascii="Arial" w:cs="Arial" w:eastAsia="Arial" w:hAnsi="Arial"/>
          <w:sz w:val="16"/>
          <w:szCs w:val="16"/>
          <w:color w:val="D13438"/>
          <w:strike w:val="1"/>
        </w:rPr>
        <w:t>The Board of Directors may also require that any certificates issued by the Corporation evidencing ownership of shares of Stock that are subject to conditions imposed by the Board of Directors under Section 3 of this ARTICLE TENTH also bear a conspicuous legend referencing the applicable restrictions.</w:t>
      </w:r>
    </w:p>
    <w:p>
      <w:pPr>
        <w:spacing w:after="0" w:line="91" w:lineRule="exact"/>
        <w:rPr>
          <w:sz w:val="20"/>
          <w:szCs w:val="20"/>
          <w:color w:val="auto"/>
        </w:rPr>
      </w:pPr>
    </w:p>
    <w:p>
      <w:pPr>
        <w:ind w:right="760"/>
        <w:spacing w:after="0" w:line="301" w:lineRule="auto"/>
        <w:rPr>
          <w:sz w:val="20"/>
          <w:szCs w:val="20"/>
          <w:color w:val="auto"/>
        </w:rPr>
      </w:pPr>
      <w:r>
        <w:rPr>
          <w:rFonts w:ascii="Arial" w:cs="Arial" w:eastAsia="Arial" w:hAnsi="Arial"/>
          <w:sz w:val="16"/>
          <w:szCs w:val="16"/>
          <w:color w:val="D13438"/>
          <w:strike w:val="1"/>
        </w:rPr>
        <w:t>The Corporation shall have the power to make appropriate notations upon its stock transfer records and to instruct any transfer agent, registrar, securities intermediary or depository with respect to the requirements of this ARTICLE TENTH for any uncertificated Corporation Securities or Corporation Securities held in an indirect holding system.</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D13438"/>
          <w:strike w:val="1"/>
        </w:rPr>
        <w:t xml:space="preserve">Section 11. </w:t>
      </w:r>
      <w:r>
        <w:rPr>
          <w:rFonts w:ascii="Arial" w:cs="Arial" w:eastAsia="Arial" w:hAnsi="Arial"/>
          <w:sz w:val="16"/>
          <w:szCs w:val="16"/>
          <w:u w:val="single" w:color="auto"/>
          <w:color w:val="D13438"/>
          <w:strike w:val="1"/>
        </w:rPr>
        <w:t>Authority of Board of Directors</w:t>
      </w:r>
      <w:r>
        <w:rPr>
          <w:rFonts w:ascii="Arial" w:cs="Arial" w:eastAsia="Arial" w:hAnsi="Arial"/>
          <w:sz w:val="16"/>
          <w:szCs w:val="16"/>
          <w:color w:val="D13438"/>
          <w:strike w:val="1"/>
        </w:rPr>
        <w:t xml:space="preserve"> .</w:t>
      </w:r>
    </w:p>
    <w:p>
      <w:pPr>
        <w:spacing w:after="0" w:line="181" w:lineRule="exact"/>
        <w:rPr>
          <w:sz w:val="20"/>
          <w:szCs w:val="20"/>
          <w:color w:val="auto"/>
        </w:rPr>
      </w:pPr>
    </w:p>
    <w:p>
      <w:pPr>
        <w:ind w:left="520" w:right="760" w:hanging="253"/>
        <w:spacing w:after="0" w:line="308" w:lineRule="auto"/>
        <w:tabs>
          <w:tab w:leader="none" w:pos="520" w:val="left"/>
        </w:tabs>
        <w:numPr>
          <w:ilvl w:val="0"/>
          <w:numId w:val="138"/>
        </w:numPr>
        <w:rPr>
          <w:rFonts w:ascii="Arial" w:cs="Arial" w:eastAsia="Arial" w:hAnsi="Arial"/>
          <w:sz w:val="16"/>
          <w:szCs w:val="16"/>
          <w:b w:val="1"/>
          <w:bCs w:val="1"/>
          <w:color w:val="D13438"/>
          <w:strike w:val="1"/>
        </w:rPr>
      </w:pPr>
      <w:r>
        <w:rPr>
          <w:rFonts w:ascii="Arial" w:cs="Arial" w:eastAsia="Arial" w:hAnsi="Arial"/>
          <w:sz w:val="16"/>
          <w:szCs w:val="16"/>
          <w:color w:val="D13438"/>
          <w:strike w:val="1"/>
        </w:rPr>
        <w:t>All determinations and interpretations of the Board of Directors shall be interpreted or determined, as the case may be, by the Board of Directors in its sole discretion.</w:t>
      </w:r>
    </w:p>
    <w:p>
      <w:pPr>
        <w:ind w:left="520" w:right="680" w:hanging="253"/>
        <w:spacing w:after="0" w:line="285" w:lineRule="auto"/>
        <w:tabs>
          <w:tab w:leader="none" w:pos="520" w:val="left"/>
        </w:tabs>
        <w:numPr>
          <w:ilvl w:val="0"/>
          <w:numId w:val="138"/>
        </w:numPr>
        <w:rPr>
          <w:rFonts w:ascii="Arial" w:cs="Arial" w:eastAsia="Arial" w:hAnsi="Arial"/>
          <w:sz w:val="16"/>
          <w:szCs w:val="16"/>
          <w:b w:val="1"/>
          <w:bCs w:val="1"/>
          <w:color w:val="D13438"/>
          <w:strike w:val="1"/>
        </w:rPr>
      </w:pPr>
      <w:r>
        <w:rPr>
          <w:rFonts w:ascii="Arial" w:cs="Arial" w:eastAsia="Arial" w:hAnsi="Arial"/>
          <w:sz w:val="16"/>
          <w:szCs w:val="16"/>
          <w:color w:val="D13438"/>
          <w:strike w:val="1"/>
        </w:rPr>
        <w:t>The Board of Directors shall have the power to determine all matters necessary for assessing compliance with this ARTICLE TENTH, including, without limitation, (i) the identification of Five Percent Stockholders, (ii) whether a Transfer is a Five Percent Transaction or a Prohibited Transfer, (iii) the Percentage Stock Ownership in the Corporation of any Five Percent Stockholder, (iv) whether an instrument constitutes a Corporation Security, (v) the amount (or fair market value) due to a Purported Transferee pursuant to Section 6 of this ARTICLE TENTH, and (vi) any other matters which the Board of Directors determines to be relevant; and the good faith determination of the Board of Directors on such matters shall be conclusive and binding for all the purposes of this ARTICLE TENTH. In addition, the Board of Directors may, to the extent permitted by law, from time to time establish, modify, amend or rescind by-laws, regulations and procedures of the Corporation not inconsistent with the provisions of this ARTICLE TENTH for purposes of determining whether any Transfer of Corporation Securities would jeopardize the Corporation’s ability to preserve and use the Tax Benefits and for the orderly application, administration and implementation of this ARTICLE TENTH.</w:t>
      </w:r>
    </w:p>
    <w:p>
      <w:pPr>
        <w:spacing w:after="0" w:line="24" w:lineRule="exact"/>
        <w:rPr>
          <w:rFonts w:ascii="Arial" w:cs="Arial" w:eastAsia="Arial" w:hAnsi="Arial"/>
          <w:sz w:val="16"/>
          <w:szCs w:val="16"/>
          <w:b w:val="1"/>
          <w:bCs w:val="1"/>
          <w:color w:val="D13438"/>
          <w:strike w:val="1"/>
        </w:rPr>
      </w:pPr>
    </w:p>
    <w:p>
      <w:pPr>
        <w:ind w:left="520" w:right="440" w:hanging="253"/>
        <w:spacing w:after="0" w:line="288" w:lineRule="auto"/>
        <w:tabs>
          <w:tab w:leader="none" w:pos="520" w:val="left"/>
        </w:tabs>
        <w:numPr>
          <w:ilvl w:val="0"/>
          <w:numId w:val="138"/>
        </w:numPr>
        <w:rPr>
          <w:rFonts w:ascii="Arial" w:cs="Arial" w:eastAsia="Arial" w:hAnsi="Arial"/>
          <w:sz w:val="16"/>
          <w:szCs w:val="16"/>
          <w:b w:val="1"/>
          <w:bCs w:val="1"/>
          <w:color w:val="D13438"/>
          <w:strike w:val="1"/>
        </w:rPr>
      </w:pPr>
      <w:r>
        <w:rPr>
          <w:rFonts w:ascii="Arial" w:cs="Arial" w:eastAsia="Arial" w:hAnsi="Arial"/>
          <w:sz w:val="16"/>
          <w:szCs w:val="16"/>
          <w:color w:val="D13438"/>
          <w:strike w:val="1"/>
        </w:rPr>
        <w:t>Nothing contained in this ARTICLE TENTH shall limit the authority of the Board of Directors to take such other action to the extent permitted by law as it deems necessary or advisable to protect the Corporation and its stockholders in preserving the Tax Benefits. Without limiting the generality of the foregoing, in the event of a change in law making one or more of the following actions necessary or desirable, the Board of Directors may, by adopting a written resolution, (i) modify the ownership interest percentage in the Corporation or the Persons covered by this ARTICLE TENTH, (ii) modify the definitions of any terms set forth in this ARTICLE TENTH or (iii) modify the terms of this ARTICLE TENTH as appropriate, in each case, in order to prevent an ownership change for purposes of Section 382 of</w:t>
      </w:r>
    </w:p>
    <w:p>
      <w:pPr>
        <w:spacing w:after="0" w:line="200" w:lineRule="exact"/>
        <w:rPr>
          <w:sz w:val="20"/>
          <w:szCs w:val="20"/>
          <w:color w:val="auto"/>
        </w:rPr>
      </w:pPr>
    </w:p>
    <w:p>
      <w:pPr>
        <w:spacing w:after="0" w:line="379" w:lineRule="exact"/>
        <w:rPr>
          <w:sz w:val="20"/>
          <w:szCs w:val="20"/>
          <w:color w:val="auto"/>
        </w:rPr>
      </w:pPr>
    </w:p>
    <w:tbl>
      <w:tblPr>
        <w:tblLayout w:type="fixed"/>
        <w:tblInd w:w="7000" w:type="dxa"/>
        <w:tblCellMar>
          <w:top w:w="0" w:type="dxa"/>
          <w:left w:w="0" w:type="dxa"/>
          <w:bottom w:w="0" w:type="dxa"/>
          <w:right w:w="0" w:type="dxa"/>
        </w:tblCellMar>
      </w:tblPr>
      <w:tr>
        <w:trPr>
          <w:trHeight w:val="196"/>
        </w:trPr>
        <w:tc>
          <w:tcPr>
            <w:tcW w:w="1640" w:type="dxa"/>
            <w:vAlign w:val="bottom"/>
          </w:tcPr>
          <w:p>
            <w:pPr>
              <w:spacing w:after="0"/>
              <w:rPr>
                <w:sz w:val="20"/>
                <w:szCs w:val="20"/>
                <w:color w:val="auto"/>
              </w:rPr>
            </w:pPr>
            <w:r>
              <w:rPr>
                <w:rFonts w:ascii="Arial" w:cs="Arial" w:eastAsia="Arial" w:hAnsi="Arial"/>
                <w:sz w:val="14"/>
                <w:szCs w:val="14"/>
                <w:b w:val="1"/>
                <w:bCs w:val="1"/>
                <w:color w:val="0072CE"/>
              </w:rPr>
              <w:t>2025 Proxy Statement</w:t>
            </w:r>
          </w:p>
        </w:tc>
        <w:tc>
          <w:tcPr>
            <w:tcW w:w="380" w:type="dxa"/>
            <w:vAlign w:val="bottom"/>
          </w:tcPr>
          <w:p>
            <w:pPr>
              <w:ind w:left="140"/>
              <w:spacing w:after="0"/>
              <w:rPr>
                <w:sz w:val="20"/>
                <w:szCs w:val="20"/>
                <w:color w:val="auto"/>
              </w:rPr>
            </w:pPr>
            <w:r>
              <w:rPr>
                <w:rFonts w:ascii="Arial" w:cs="Arial" w:eastAsia="Arial" w:hAnsi="Arial"/>
                <w:sz w:val="14"/>
                <w:szCs w:val="14"/>
                <w:b w:val="1"/>
                <w:bCs w:val="1"/>
                <w:color w:val="3D3935"/>
                <w:w w:val="97"/>
              </w:rPr>
              <w:t>B-9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307975</wp:posOffset>
            </wp:positionV>
            <wp:extent cx="6810375" cy="39166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10375" cy="3916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0072CE"/>
        </w:rPr>
        <w:t>Appendix B: Proposed Amendments to the Company’s Certificate of Incorporation</w:t>
      </w:r>
    </w:p>
    <w:p>
      <w:pPr>
        <w:spacing w:after="0" w:line="200" w:lineRule="exact"/>
        <w:rPr>
          <w:sz w:val="20"/>
          <w:szCs w:val="20"/>
          <w:color w:val="auto"/>
        </w:rPr>
      </w:pPr>
    </w:p>
    <w:p>
      <w:pPr>
        <w:spacing w:after="0" w:line="377" w:lineRule="exact"/>
        <w:rPr>
          <w:sz w:val="20"/>
          <w:szCs w:val="20"/>
          <w:color w:val="auto"/>
        </w:rPr>
      </w:pPr>
    </w:p>
    <w:p>
      <w:pPr>
        <w:ind w:left="520" w:right="500"/>
        <w:spacing w:after="0" w:line="286" w:lineRule="auto"/>
        <w:rPr>
          <w:sz w:val="20"/>
          <w:szCs w:val="20"/>
          <w:color w:val="auto"/>
        </w:rPr>
      </w:pPr>
      <w:r>
        <w:rPr>
          <w:rFonts w:ascii="Arial" w:cs="Arial" w:eastAsia="Arial" w:hAnsi="Arial"/>
          <w:sz w:val="16"/>
          <w:szCs w:val="16"/>
          <w:color w:val="D13438"/>
          <w:strike w:val="1"/>
        </w:rPr>
        <w:t xml:space="preserve">the Code as a result of any changes in applicable Treasury Regulations or otherwise; </w:t>
      </w:r>
      <w:r>
        <w:rPr>
          <w:rFonts w:ascii="Arial" w:cs="Arial" w:eastAsia="Arial" w:hAnsi="Arial"/>
          <w:sz w:val="16"/>
          <w:szCs w:val="16"/>
          <w:u w:val="single" w:color="auto"/>
          <w:color w:val="D13438"/>
          <w:strike w:val="1"/>
        </w:rPr>
        <w:t>provided</w:t>
      </w:r>
      <w:r>
        <w:rPr>
          <w:rFonts w:ascii="Arial" w:cs="Arial" w:eastAsia="Arial" w:hAnsi="Arial"/>
          <w:sz w:val="16"/>
          <w:szCs w:val="16"/>
          <w:color w:val="D13438"/>
          <w:strike w:val="1"/>
        </w:rPr>
        <w:t xml:space="preserve"> , </w:t>
      </w:r>
      <w:r>
        <w:rPr>
          <w:rFonts w:ascii="Arial" w:cs="Arial" w:eastAsia="Arial" w:hAnsi="Arial"/>
          <w:sz w:val="16"/>
          <w:szCs w:val="16"/>
          <w:u w:val="single" w:color="auto"/>
          <w:color w:val="D13438"/>
          <w:strike w:val="1"/>
        </w:rPr>
        <w:t>however</w:t>
      </w:r>
      <w:r>
        <w:rPr>
          <w:rFonts w:ascii="Arial" w:cs="Arial" w:eastAsia="Arial" w:hAnsi="Arial"/>
          <w:sz w:val="16"/>
          <w:szCs w:val="16"/>
          <w:color w:val="D13438"/>
          <w:strike w:val="1"/>
        </w:rPr>
        <w:t xml:space="preserve">, that the Board of Directors shall not cause there to be such modification unless it determines, by adopting a written resolution, that such action is reasonably necessary or advisable to preserve the Tax Benefits or that the continuation of these restrictions is no longer reasonably necessary for the preservation of the Tax Benefits; </w:t>
      </w:r>
      <w:r>
        <w:rPr>
          <w:rFonts w:ascii="Arial" w:cs="Arial" w:eastAsia="Arial" w:hAnsi="Arial"/>
          <w:sz w:val="16"/>
          <w:szCs w:val="16"/>
          <w:u w:val="single" w:color="auto"/>
          <w:color w:val="D13438"/>
          <w:strike w:val="1"/>
        </w:rPr>
        <w:t xml:space="preserve">provided </w:t>
      </w:r>
      <w:r>
        <w:rPr>
          <w:rFonts w:ascii="Arial" w:cs="Arial" w:eastAsia="Arial" w:hAnsi="Arial"/>
          <w:sz w:val="16"/>
          <w:szCs w:val="16"/>
          <w:color w:val="D13438"/>
          <w:strike w:val="1"/>
        </w:rPr>
        <w:t>,</w:t>
      </w:r>
      <w:r>
        <w:rPr>
          <w:rFonts w:ascii="Arial" w:cs="Arial" w:eastAsia="Arial" w:hAnsi="Arial"/>
          <w:sz w:val="16"/>
          <w:szCs w:val="16"/>
          <w:u w:val="single" w:color="auto"/>
          <w:color w:val="D13438"/>
          <w:strike w:val="1"/>
        </w:rPr>
        <w:t xml:space="preserve"> further </w:t>
      </w:r>
      <w:r>
        <w:rPr>
          <w:rFonts w:ascii="Arial" w:cs="Arial" w:eastAsia="Arial" w:hAnsi="Arial"/>
          <w:sz w:val="16"/>
          <w:szCs w:val="16"/>
          <w:color w:val="D13438"/>
          <w:strike w:val="1"/>
        </w:rPr>
        <w:t>, that notwithstanding anything to the contrary herein, the Board of Directors shall not amend this</w:t>
      </w:r>
      <w:r>
        <w:rPr>
          <w:rFonts w:ascii="Arial" w:cs="Arial" w:eastAsia="Arial" w:hAnsi="Arial"/>
          <w:sz w:val="16"/>
          <w:szCs w:val="16"/>
          <w:u w:val="single" w:color="auto"/>
          <w:color w:val="D13438"/>
          <w:strike w:val="1"/>
        </w:rPr>
        <w:t xml:space="preserve"> </w:t>
      </w:r>
      <w:r>
        <w:rPr>
          <w:rFonts w:ascii="Arial" w:cs="Arial" w:eastAsia="Arial" w:hAnsi="Arial"/>
          <w:sz w:val="16"/>
          <w:szCs w:val="16"/>
          <w:color w:val="D13438"/>
          <w:strike w:val="1"/>
        </w:rPr>
        <w:t>ARTICLE TENTH so as to prohibit, restrict or condition a Transfer described in the last two sentences of the definition of “Transfer,” change, alter or modify the definition of “Person” nor amend this proviso. Stockholders of the Corporation shall be notified of such determination through a filing with the Securities and Exchange Commission or such other method of notice as the Secretary of the Corporation shall deem appropriate.</w:t>
      </w:r>
    </w:p>
    <w:p>
      <w:pPr>
        <w:spacing w:after="0" w:line="25" w:lineRule="exact"/>
        <w:rPr>
          <w:sz w:val="20"/>
          <w:szCs w:val="20"/>
          <w:color w:val="auto"/>
        </w:rPr>
      </w:pPr>
    </w:p>
    <w:p>
      <w:pPr>
        <w:ind w:left="520" w:right="540" w:hanging="253"/>
        <w:spacing w:after="0" w:line="283" w:lineRule="auto"/>
        <w:tabs>
          <w:tab w:leader="none" w:pos="520" w:val="left"/>
        </w:tabs>
        <w:numPr>
          <w:ilvl w:val="0"/>
          <w:numId w:val="139"/>
        </w:numPr>
        <w:rPr>
          <w:rFonts w:ascii="Arial" w:cs="Arial" w:eastAsia="Arial" w:hAnsi="Arial"/>
          <w:sz w:val="16"/>
          <w:szCs w:val="16"/>
          <w:b w:val="1"/>
          <w:bCs w:val="1"/>
          <w:color w:val="D13438"/>
          <w:strike w:val="1"/>
        </w:rPr>
      </w:pPr>
      <w:r>
        <w:rPr>
          <w:rFonts w:ascii="Arial" w:cs="Arial" w:eastAsia="Arial" w:hAnsi="Arial"/>
          <w:sz w:val="16"/>
          <w:szCs w:val="16"/>
          <w:color w:val="D13438"/>
          <w:strike w:val="1"/>
        </w:rPr>
        <w:t>In the case of an ambiguity in the application of any of the provisions of this ARTICLE TENTH, including any definition used herein, the Board of Directors shall have the power to determine the application of such provisions with respect to any situation based on its reasonable belief, understanding or knowledge of the circumstances. In the event this ARTICLE TENTH requires an action by the Board of Directors but fails to provide specific guidance with respect to such action, the Board of Directors shall have the power to determine the action to be taken so long as such action is not contrary to the provisions of this ARTICLE TENTH. All such actions, calculations, interpretations and determinations that are done or made by the Board of Directors in good faith shall be conclusive and binding on the Corporation, the Agent, and all other parties for all other purposes of this ARTICLE TENTH. The Board of Directors may delegate all or any portion of its duties and powers under this ARTICLE TENTH to a committee of the Board of Directors as it deems necessary or advisable and, to the fullest extent permitted by law, may exercise the authority granted by this ARTICLE TENTH through duly authorized officers or agents of the Corporation. Nothing in this ARTICLE TENTH shall be construed to limit or restrict the Board of Directors in the exercise of its fiduciary duties under applicable law.</w:t>
      </w:r>
    </w:p>
    <w:p>
      <w:pPr>
        <w:spacing w:after="0" w:line="28"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D13438"/>
        </w:rPr>
        <w:t>Section 12.</w:t>
      </w:r>
      <w:r>
        <w:rPr>
          <w:sz w:val="20"/>
          <w:szCs w:val="20"/>
          <w:color w:val="auto"/>
        </w:rPr>
        <w:tab/>
      </w:r>
      <w:r>
        <w:rPr>
          <w:rFonts w:ascii="Arial" w:cs="Arial" w:eastAsia="Arial" w:hAnsi="Arial"/>
          <w:sz w:val="16"/>
          <w:szCs w:val="16"/>
          <w:u w:val="single" w:color="auto"/>
          <w:color w:val="D13438"/>
          <w:strike w:val="1"/>
        </w:rPr>
        <w:t>Reliance</w:t>
      </w:r>
      <w:r>
        <w:rPr>
          <w:rFonts w:ascii="Arial" w:cs="Arial" w:eastAsia="Arial" w:hAnsi="Arial"/>
          <w:sz w:val="16"/>
          <w:szCs w:val="16"/>
          <w:color w:val="D13438"/>
          <w:strike w:val="1"/>
        </w:rPr>
        <w:t>. To the fullest extent permitted by law, the Corporation and the members of the Board of Directors</w:t>
      </w:r>
    </w:p>
    <w:p>
      <w:pPr>
        <w:sectPr>
          <w:pgSz w:w="11900" w:h="16885" w:orient="portrait"/>
          <w:cols w:equalWidth="0" w:num="1">
            <w:col w:w="9500"/>
          </w:cols>
          <w:pgMar w:left="1400" w:top="111" w:right="999" w:bottom="0" w:gutter="0" w:footer="0" w:header="0"/>
        </w:sectPr>
      </w:pPr>
    </w:p>
    <w:bookmarkStart w:id="99" w:name="page100"/>
    <w:bookmarkEnd w:id="99"/>
    <w:p>
      <w:pPr>
        <w:ind w:right="260"/>
        <w:spacing w:after="0" w:line="287" w:lineRule="auto"/>
        <w:rPr>
          <w:sz w:val="20"/>
          <w:szCs w:val="20"/>
          <w:color w:val="auto"/>
        </w:rPr>
      </w:pPr>
      <w:r>
        <w:rPr>
          <w:rFonts w:ascii="Arial" w:cs="Arial" w:eastAsia="Arial" w:hAnsi="Arial"/>
          <w:sz w:val="16"/>
          <w:szCs w:val="16"/>
          <w:color w:val="D13438"/>
          <w:strike w:val="1"/>
        </w:rPr>
        <w:t>shall be fully protected in relying in good faith upon the information, opinions, reports or statements of the chief executive officer, the chief financial officer, the chief accounting officer or the corporate controller of the Corporation or of the Corporation’s legal counsel, independent auditors, transfer agent, investment bankers or other employees and agents in making the determinations and findings contemplated by this ARTICLE TENTH, and the members of the Board of Directors shall not be responsible for any good faith errors made in connection therewith. For purposes of determining the existence and identity of, and the amount of any Corporation Securities owned by any stockholder, the Corporation is entitled to rely on the existence and absence of filings of Schedule 13D or 13G under the Exchange Act (or similar filings), as of any date, subject to its actual knowledge of the ownership of Corporation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-1116330</wp:posOffset>
            </wp:positionV>
            <wp:extent cx="6810375" cy="49396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10375" cy="4939665"/>
                    </a:xfrm>
                    <a:prstGeom prst="rect">
                      <a:avLst/>
                    </a:prstGeom>
                    <a:noFill/>
                  </pic:spPr>
                </pic:pic>
              </a:graphicData>
            </a:graphic>
          </wp:anchor>
        </w:drawing>
      </w:r>
    </w:p>
    <w:p>
      <w:pPr>
        <w:spacing w:after="0" w:line="83" w:lineRule="exact"/>
        <w:rPr>
          <w:sz w:val="20"/>
          <w:szCs w:val="20"/>
          <w:color w:val="auto"/>
        </w:rPr>
      </w:pPr>
    </w:p>
    <w:p>
      <w:pPr>
        <w:spacing w:after="0" w:line="301" w:lineRule="auto"/>
        <w:rPr>
          <w:sz w:val="20"/>
          <w:szCs w:val="20"/>
          <w:color w:val="auto"/>
        </w:rPr>
      </w:pPr>
      <w:r>
        <w:rPr>
          <w:rFonts w:ascii="Arial" w:cs="Arial" w:eastAsia="Arial" w:hAnsi="Arial"/>
          <w:sz w:val="16"/>
          <w:szCs w:val="16"/>
          <w:color w:val="D13438"/>
          <w:strike w:val="1"/>
        </w:rPr>
        <w:t xml:space="preserve">Section 13. </w:t>
      </w:r>
      <w:r>
        <w:rPr>
          <w:rFonts w:ascii="Arial" w:cs="Arial" w:eastAsia="Arial" w:hAnsi="Arial"/>
          <w:sz w:val="16"/>
          <w:szCs w:val="16"/>
          <w:u w:val="single" w:color="auto"/>
          <w:color w:val="D13438"/>
          <w:strike w:val="1"/>
        </w:rPr>
        <w:t>Benefits of This ARTICLE TENTH.</w:t>
      </w:r>
      <w:r>
        <w:rPr>
          <w:rFonts w:ascii="Arial" w:cs="Arial" w:eastAsia="Arial" w:hAnsi="Arial"/>
          <w:sz w:val="16"/>
          <w:szCs w:val="16"/>
          <w:color w:val="D13438"/>
          <w:strike w:val="1"/>
        </w:rPr>
        <w:t xml:space="preserve"> Nothing in this ARTICLE TENTH shall be construed to give to any Person other than the Corporation or the Agent any legal or equitable right, remedy or claim under this ARTICLE TENTH. This ARTICLE TENTH shall be for the sole and exclusive benefit of the Corporation and the Agent.</w:t>
      </w:r>
    </w:p>
    <w:p>
      <w:pPr>
        <w:spacing w:after="0" w:line="104" w:lineRule="exact"/>
        <w:rPr>
          <w:sz w:val="20"/>
          <w:szCs w:val="20"/>
          <w:color w:val="auto"/>
        </w:rPr>
      </w:pPr>
    </w:p>
    <w:p>
      <w:pPr>
        <w:ind w:right="260"/>
        <w:spacing w:after="0" w:line="295" w:lineRule="auto"/>
        <w:rPr>
          <w:sz w:val="20"/>
          <w:szCs w:val="20"/>
          <w:color w:val="auto"/>
        </w:rPr>
      </w:pPr>
      <w:r>
        <w:rPr>
          <w:rFonts w:ascii="Arial" w:cs="Arial" w:eastAsia="Arial" w:hAnsi="Arial"/>
          <w:sz w:val="16"/>
          <w:szCs w:val="16"/>
          <w:color w:val="D13438"/>
        </w:rPr>
        <w:t xml:space="preserve">Section 14. </w:t>
      </w:r>
      <w:r>
        <w:rPr>
          <w:rFonts w:ascii="Arial" w:cs="Arial" w:eastAsia="Arial" w:hAnsi="Arial"/>
          <w:sz w:val="16"/>
          <w:szCs w:val="16"/>
          <w:u w:val="single" w:color="auto"/>
          <w:color w:val="D13438"/>
          <w:strike w:val="1"/>
        </w:rPr>
        <w:t>Severability</w:t>
      </w:r>
      <w:r>
        <w:rPr>
          <w:rFonts w:ascii="Arial" w:cs="Arial" w:eastAsia="Arial" w:hAnsi="Arial"/>
          <w:sz w:val="16"/>
          <w:szCs w:val="16"/>
          <w:color w:val="D13438"/>
        </w:rPr>
        <w:t xml:space="preserve"> </w:t>
      </w:r>
      <w:r>
        <w:rPr>
          <w:rFonts w:ascii="Arial" w:cs="Arial" w:eastAsia="Arial" w:hAnsi="Arial"/>
          <w:sz w:val="16"/>
          <w:szCs w:val="16"/>
          <w:color w:val="D13438"/>
          <w:strike w:val="1"/>
        </w:rPr>
        <w:t>. The purpose of this ARTICLE TENTH is to facilitate the Corporation’s ability to maintain or</w:t>
      </w:r>
      <w:r>
        <w:rPr>
          <w:rFonts w:ascii="Arial" w:cs="Arial" w:eastAsia="Arial" w:hAnsi="Arial"/>
          <w:sz w:val="16"/>
          <w:szCs w:val="16"/>
          <w:color w:val="D13438"/>
        </w:rPr>
        <w:t xml:space="preserve"> </w:t>
      </w:r>
      <w:r>
        <w:rPr>
          <w:rFonts w:ascii="Arial" w:cs="Arial" w:eastAsia="Arial" w:hAnsi="Arial"/>
          <w:sz w:val="16"/>
          <w:szCs w:val="16"/>
          <w:color w:val="D13438"/>
          <w:strike w:val="1"/>
        </w:rPr>
        <w:t>preserve its Tax Benefits. If any provision of this ARTICLE TENTH or the application of any such provision to any Person or under any circumstance shall be held invalid, illegal or unenforceable in any respect by a court of competent jurisdiction, such invalidity, illegality or unenforceability shall not affect any other provision of this ARTICLE TENTH.</w:t>
      </w:r>
    </w:p>
    <w:p>
      <w:pPr>
        <w:spacing w:after="0" w:line="94"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D13438"/>
          <w:strike w:val="1"/>
        </w:rPr>
        <w:t xml:space="preserve">Section 15. </w:t>
      </w:r>
      <w:r>
        <w:rPr>
          <w:rFonts w:ascii="Arial" w:cs="Arial" w:eastAsia="Arial" w:hAnsi="Arial"/>
          <w:sz w:val="16"/>
          <w:szCs w:val="16"/>
          <w:u w:val="single" w:color="auto"/>
          <w:color w:val="D13438"/>
          <w:strike w:val="1"/>
        </w:rPr>
        <w:t>Waiver</w:t>
      </w:r>
      <w:r>
        <w:rPr>
          <w:rFonts w:ascii="Arial" w:cs="Arial" w:eastAsia="Arial" w:hAnsi="Arial"/>
          <w:sz w:val="16"/>
          <w:szCs w:val="16"/>
          <w:color w:val="D13438"/>
          <w:strike w:val="1"/>
        </w:rPr>
        <w:t>. With regard to any power, remedy or right provided herein or otherwise available to the Corporation or the Agent under this ARTICLE TENTH, (a) no waiver will be effective unless expressly contained in a writing signed by the waiving party, and (b) no alteration, modification or impairment will be implied by reason of any previous waiver, extension of time, delay or omission in exercise, or other indulgence.</w:t>
      </w:r>
    </w:p>
    <w:p>
      <w:pPr>
        <w:spacing w:after="0" w:line="108"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b w:val="1"/>
          <w:bCs w:val="1"/>
          <w:color w:val="3D3935"/>
        </w:rPr>
        <w:t>IN WITNESS WHEREOF</w:t>
      </w:r>
      <w:r>
        <w:rPr>
          <w:rFonts w:ascii="Arial" w:cs="Arial" w:eastAsia="Arial" w:hAnsi="Arial"/>
          <w:sz w:val="16"/>
          <w:szCs w:val="16"/>
          <w:color w:val="3D3935"/>
        </w:rPr>
        <w:t>, General Motors Company has caused this</w:t>
      </w:r>
      <w:r>
        <w:rPr>
          <w:rFonts w:ascii="Arial" w:cs="Arial" w:eastAsia="Arial" w:hAnsi="Arial"/>
          <w:sz w:val="16"/>
          <w:szCs w:val="16"/>
          <w:b w:val="1"/>
          <w:bCs w:val="1"/>
          <w:color w:val="3D3935"/>
        </w:rPr>
        <w:t xml:space="preserve"> </w:t>
      </w:r>
      <w:r>
        <w:rPr>
          <w:rFonts w:ascii="Arial" w:cs="Arial" w:eastAsia="Arial" w:hAnsi="Arial"/>
          <w:sz w:val="16"/>
          <w:szCs w:val="16"/>
          <w:u w:val="single" w:color="auto"/>
          <w:color w:val="D13438"/>
        </w:rPr>
        <w:t>Amended and</w:t>
      </w:r>
      <w:r>
        <w:rPr>
          <w:rFonts w:ascii="Arial" w:cs="Arial" w:eastAsia="Arial" w:hAnsi="Arial"/>
          <w:sz w:val="16"/>
          <w:szCs w:val="16"/>
          <w:b w:val="1"/>
          <w:bCs w:val="1"/>
          <w:color w:val="3D3935"/>
        </w:rPr>
        <w:t xml:space="preserve"> </w:t>
      </w:r>
      <w:r>
        <w:rPr>
          <w:rFonts w:ascii="Arial" w:cs="Arial" w:eastAsia="Arial" w:hAnsi="Arial"/>
          <w:sz w:val="16"/>
          <w:szCs w:val="16"/>
          <w:color w:val="3D3935"/>
        </w:rPr>
        <w:t>Restated Certificate of Incorporation to be</w:t>
      </w:r>
      <w:r>
        <w:rPr>
          <w:rFonts w:ascii="Arial" w:cs="Arial" w:eastAsia="Arial" w:hAnsi="Arial"/>
          <w:sz w:val="16"/>
          <w:szCs w:val="16"/>
          <w:b w:val="1"/>
          <w:bCs w:val="1"/>
          <w:color w:val="3D3935"/>
        </w:rPr>
        <w:t xml:space="preserve"> </w:t>
      </w:r>
      <w:r>
        <w:rPr>
          <w:rFonts w:ascii="Arial" w:cs="Arial" w:eastAsia="Arial" w:hAnsi="Arial"/>
          <w:sz w:val="16"/>
          <w:szCs w:val="16"/>
          <w:color w:val="3D3935"/>
        </w:rPr>
        <w:t xml:space="preserve">executed by its duly authorized officer on this ___ day of </w:t>
      </w:r>
      <w:r>
        <w:rPr>
          <w:rFonts w:ascii="Arial" w:cs="Arial" w:eastAsia="Arial" w:hAnsi="Arial"/>
          <w:sz w:val="16"/>
          <w:szCs w:val="16"/>
          <w:color w:val="D13438"/>
          <w:strike w:val="1"/>
        </w:rPr>
        <w:t>December, 2010</w:t>
      </w:r>
      <w:r>
        <w:rPr>
          <w:rFonts w:ascii="Arial" w:cs="Arial" w:eastAsia="Arial" w:hAnsi="Arial"/>
          <w:sz w:val="16"/>
          <w:szCs w:val="16"/>
          <w:u w:val="single" w:color="auto"/>
          <w:color w:val="D13438"/>
        </w:rPr>
        <w:t>June, 2025</w:t>
      </w:r>
      <w:r>
        <w:rPr>
          <w:rFonts w:ascii="Arial" w:cs="Arial" w:eastAsia="Arial" w:hAnsi="Arial"/>
          <w:sz w:val="16"/>
          <w:szCs w:val="16"/>
          <w:color w:val="3D3935"/>
        </w:rPr>
        <w:t xml:space="preserve"> </w:t>
      </w:r>
      <w:r>
        <w:rPr>
          <w:rFonts w:ascii="Arial" w:cs="Arial" w:eastAsia="Arial" w:hAnsi="Arial"/>
          <w:sz w:val="16"/>
          <w:szCs w:val="16"/>
          <w:color w:val="D13438"/>
        </w:rPr>
        <w: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360"/>
        <w:spacing w:after="0"/>
        <w:rPr>
          <w:sz w:val="20"/>
          <w:szCs w:val="20"/>
          <w:color w:val="auto"/>
        </w:rPr>
      </w:pPr>
      <w:r>
        <w:rPr>
          <w:rFonts w:ascii="Arial" w:cs="Arial" w:eastAsia="Arial" w:hAnsi="Arial"/>
          <w:sz w:val="16"/>
          <w:szCs w:val="16"/>
          <w:color w:val="3D3935"/>
        </w:rPr>
        <w:t xml:space="preserve">Name: </w:t>
      </w:r>
      <w:r>
        <w:rPr>
          <w:rFonts w:ascii="Arial" w:cs="Arial" w:eastAsia="Arial" w:hAnsi="Arial"/>
          <w:sz w:val="16"/>
          <w:szCs w:val="16"/>
          <w:color w:val="D13438"/>
          <w:strike w:val="1"/>
        </w:rPr>
        <w:t>Anne T. Larin</w:t>
      </w:r>
      <w:r>
        <w:rPr>
          <w:rFonts w:ascii="Arial" w:cs="Arial" w:eastAsia="Arial" w:hAnsi="Arial"/>
          <w:sz w:val="16"/>
          <w:szCs w:val="16"/>
          <w:color w:val="3D3935"/>
        </w:rPr>
        <w:t xml:space="preserve"> Grant Dixton</w:t>
      </w:r>
    </w:p>
    <w:p>
      <w:pPr>
        <w:spacing w:after="0" w:line="32" w:lineRule="exact"/>
        <w:rPr>
          <w:sz w:val="20"/>
          <w:szCs w:val="20"/>
          <w:color w:val="auto"/>
        </w:rPr>
      </w:pPr>
    </w:p>
    <w:p>
      <w:pPr>
        <w:ind w:left="5360"/>
        <w:spacing w:after="0"/>
        <w:rPr>
          <w:sz w:val="20"/>
          <w:szCs w:val="20"/>
          <w:color w:val="auto"/>
        </w:rPr>
      </w:pPr>
      <w:r>
        <w:rPr>
          <w:rFonts w:ascii="Arial" w:cs="Arial" w:eastAsia="Arial" w:hAnsi="Arial"/>
          <w:sz w:val="16"/>
          <w:szCs w:val="16"/>
          <w:color w:val="3D3935"/>
        </w:rPr>
        <w:t xml:space="preserve">Title: </w:t>
      </w:r>
      <w:r>
        <w:rPr>
          <w:rFonts w:ascii="Arial" w:cs="Arial" w:eastAsia="Arial" w:hAnsi="Arial"/>
          <w:sz w:val="16"/>
          <w:szCs w:val="16"/>
          <w:u w:val="single" w:color="auto"/>
          <w:color w:val="D13438"/>
        </w:rPr>
        <w:t>Executive Vice President, Chief Legal, Public</w:t>
      </w:r>
    </w:p>
    <w:p>
      <w:pPr>
        <w:spacing w:after="0" w:line="32" w:lineRule="exact"/>
        <w:rPr>
          <w:sz w:val="20"/>
          <w:szCs w:val="20"/>
          <w:color w:val="auto"/>
        </w:rPr>
      </w:pPr>
    </w:p>
    <w:p>
      <w:pPr>
        <w:ind w:left="5360"/>
        <w:spacing w:after="0"/>
        <w:rPr>
          <w:sz w:val="20"/>
          <w:szCs w:val="20"/>
          <w:color w:val="auto"/>
        </w:rPr>
      </w:pPr>
      <w:r>
        <w:rPr>
          <w:rFonts w:ascii="Arial" w:cs="Arial" w:eastAsia="Arial" w:hAnsi="Arial"/>
          <w:sz w:val="16"/>
          <w:szCs w:val="16"/>
          <w:u w:val="single" w:color="auto"/>
          <w:color w:val="D13438"/>
        </w:rPr>
        <w:t>Policy Officer &amp;</w:t>
      </w:r>
      <w:r>
        <w:rPr>
          <w:rFonts w:ascii="Arial" w:cs="Arial" w:eastAsia="Arial" w:hAnsi="Arial"/>
          <w:sz w:val="16"/>
          <w:szCs w:val="16"/>
          <w:color w:val="D13438"/>
        </w:rPr>
        <w:t xml:space="preserve"> </w:t>
      </w:r>
      <w:r>
        <w:rPr>
          <w:rFonts w:ascii="Arial" w:cs="Arial" w:eastAsia="Arial" w:hAnsi="Arial"/>
          <w:sz w:val="16"/>
          <w:szCs w:val="16"/>
          <w:color w:val="3D3935"/>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3D3935"/>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330200</wp:posOffset>
            </wp:positionV>
            <wp:extent cx="6810375" cy="54940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10375" cy="5494020"/>
                    </a:xfrm>
                    <a:prstGeom prst="rect">
                      <a:avLst/>
                    </a:prstGeom>
                    <a:noFill/>
                  </pic:spPr>
                </pic:pic>
              </a:graphicData>
            </a:graphic>
          </wp:anchor>
        </w:drawing>
      </w:r>
    </w:p>
    <w:p>
      <w:pPr>
        <w:sectPr>
          <w:pgSz w:w="11900" w:h="16838" w:orient="portrait"/>
          <w:cols w:equalWidth="0" w:num="1">
            <w:col w:w="9080"/>
          </w:cols>
          <w:pgMar w:left="1400" w:top="139" w:right="1419" w:bottom="1440"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105156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103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105156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103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91573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10375" cy="91573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Webdings">
    <w:panose1 w:val="05030102010509060703"/>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F5E7FD0"/>
    <w:multiLevelType w:val="hybridMultilevel"/>
    <w:lvl w:ilvl="0">
      <w:lvlJc w:val="left"/>
      <w:lvlText w:val="☑"/>
      <w:numFmt w:val="bullet"/>
      <w:start w:val="1"/>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
      <w:numFmt w:val="bullet"/>
      <w:start w:val="1"/>
    </w:lvl>
  </w:abstractNum>
  <w:abstractNum w:abstractNumId="3">
    <w:nsid w:val="6B94764"/>
    <w:multiLevelType w:val="hybridMultilevel"/>
    <w:lvl w:ilvl="0">
      <w:lvlJc w:val="left"/>
      <w:lvlText w:val="•"/>
      <w:numFmt w:val="bullet"/>
      <w:start w:val="1"/>
    </w:lvl>
  </w:abstractNum>
  <w:abstractNum w:abstractNumId="4">
    <w:nsid w:val="42C296BD"/>
    <w:multiLevelType w:val="hybridMultilevel"/>
    <w:lvl w:ilvl="0">
      <w:lvlJc w:val="left"/>
      <w:lvlText w:val="%1"/>
      <w:numFmt w:val="decimal"/>
      <w:start w:val="29"/>
    </w:lvl>
  </w:abstractNum>
  <w:abstractNum w:abstractNumId="5">
    <w:nsid w:val="168E121F"/>
    <w:multiLevelType w:val="hybridMultilevel"/>
    <w:lvl w:ilvl="0">
      <w:lvlJc w:val="left"/>
      <w:lvlText w:val="%1"/>
      <w:numFmt w:val="decimal"/>
      <w:start w:val="34"/>
    </w:lvl>
  </w:abstractNum>
  <w:abstractNum w:abstractNumId="6">
    <w:nsid w:val="1EBA5D23"/>
    <w:multiLevelType w:val="hybridMultilevel"/>
    <w:lvl w:ilvl="0">
      <w:lvlJc w:val="left"/>
      <w:lvlText w:val="•"/>
      <w:numFmt w:val="bullet"/>
      <w:start w:val="1"/>
    </w:lvl>
  </w:abstractNum>
  <w:abstractNum w:abstractNumId="7">
    <w:nsid w:val="661E3F1E"/>
    <w:multiLevelType w:val="hybridMultilevel"/>
    <w:lvl w:ilvl="0">
      <w:lvlJc w:val="left"/>
      <w:lvlText w:val="•"/>
      <w:numFmt w:val="bullet"/>
      <w:start w:val="1"/>
    </w:lvl>
  </w:abstractNum>
  <w:abstractNum w:abstractNumId="8">
    <w:nsid w:val="5DC79EA8"/>
    <w:multiLevelType w:val="hybridMultilevel"/>
    <w:lvl w:ilvl="0">
      <w:lvlJc w:val="left"/>
      <w:lvlText w:val="•"/>
      <w:numFmt w:val="bullet"/>
      <w:start w:val="1"/>
    </w:lvl>
  </w:abstractNum>
  <w:abstractNum w:abstractNumId="9">
    <w:nsid w:val="540A471C"/>
    <w:multiLevelType w:val="hybridMultilevel"/>
    <w:lvl w:ilvl="0">
      <w:lvlJc w:val="left"/>
      <w:lvlText w:val="•"/>
      <w:numFmt w:val="bullet"/>
      <w:start w:val="1"/>
    </w:lvl>
  </w:abstractNum>
  <w:abstractNum w:abstractNumId="10">
    <w:nsid w:val="7BD3EE7B"/>
    <w:multiLevelType w:val="hybridMultilevel"/>
    <w:lvl w:ilvl="0">
      <w:lvlJc w:val="left"/>
      <w:lvlText w:val="(%1)"/>
      <w:numFmt w:val="decimal"/>
      <w:start w:val="1"/>
    </w:lvl>
  </w:abstractNum>
  <w:abstractNum w:abstractNumId="11">
    <w:nsid w:val="51D9C564"/>
    <w:multiLevelType w:val="hybridMultilevel"/>
    <w:lvl w:ilvl="0">
      <w:lvlJc w:val="left"/>
      <w:lvlText w:val="•"/>
      <w:numFmt w:val="bullet"/>
      <w:start w:val="1"/>
    </w:lvl>
  </w:abstractNum>
  <w:abstractNum w:abstractNumId="12">
    <w:nsid w:val="613EFDC5"/>
    <w:multiLevelType w:val="hybridMultilevel"/>
    <w:lvl w:ilvl="0">
      <w:lvlJc w:val="left"/>
      <w:lvlText w:val="%1"/>
      <w:numFmt w:val="decimal"/>
      <w:start w:val="60"/>
    </w:lvl>
  </w:abstractNum>
  <w:abstractNum w:abstractNumId="13">
    <w:nsid w:val="BF72B14"/>
    <w:multiLevelType w:val="hybridMultilevel"/>
    <w:lvl w:ilvl="0">
      <w:lvlJc w:val="left"/>
      <w:lvlText w:val="•"/>
      <w:numFmt w:val="bullet"/>
      <w:start w:val="1"/>
    </w:lvl>
  </w:abstractNum>
  <w:abstractNum w:abstractNumId="14">
    <w:nsid w:val="11447B73"/>
    <w:multiLevelType w:val="hybridMultilevel"/>
    <w:lvl w:ilvl="0">
      <w:lvlJc w:val="left"/>
      <w:lvlText w:val="•"/>
      <w:numFmt w:val="bullet"/>
      <w:start w:val="1"/>
    </w:lvl>
  </w:abstractNum>
  <w:abstractNum w:abstractNumId="15">
    <w:nsid w:val="42963E5A"/>
    <w:multiLevelType w:val="hybridMultilevel"/>
    <w:lvl w:ilvl="0">
      <w:lvlJc w:val="left"/>
      <w:lvlText w:val="•"/>
      <w:numFmt w:val="bullet"/>
      <w:start w:val="1"/>
    </w:lvl>
  </w:abstractNum>
  <w:abstractNum w:abstractNumId="16">
    <w:nsid w:val="A0382C5"/>
    <w:multiLevelType w:val="hybridMultilevel"/>
    <w:lvl w:ilvl="0">
      <w:lvlJc w:val="left"/>
      <w:lvlText w:val="•"/>
      <w:numFmt w:val="bullet"/>
      <w:start w:val="1"/>
    </w:lvl>
  </w:abstractNum>
  <w:abstractNum w:abstractNumId="17">
    <w:nsid w:val="8F2B15E"/>
    <w:multiLevelType w:val="hybridMultilevel"/>
    <w:lvl w:ilvl="0">
      <w:lvlJc w:val="left"/>
      <w:lvlText w:val="•"/>
      <w:numFmt w:val="bullet"/>
      <w:start w:val="1"/>
    </w:lvl>
  </w:abstractNum>
  <w:abstractNum w:abstractNumId="18">
    <w:nsid w:val="1A32234B"/>
    <w:multiLevelType w:val="hybridMultilevel"/>
    <w:lvl w:ilvl="0">
      <w:lvlJc w:val="left"/>
      <w:lvlText w:val="•"/>
      <w:numFmt w:val="bullet"/>
      <w:start w:val="1"/>
    </w:lvl>
  </w:abstractNum>
  <w:abstractNum w:abstractNumId="19">
    <w:nsid w:val="3B0FD379"/>
    <w:multiLevelType w:val="hybridMultilevel"/>
    <w:lvl w:ilvl="0">
      <w:lvlJc w:val="left"/>
      <w:lvlText w:val="•"/>
      <w:numFmt w:val="bullet"/>
      <w:start w:val="1"/>
    </w:lvl>
  </w:abstractNum>
  <w:abstractNum w:abstractNumId="20">
    <w:nsid w:val="68EB2F63"/>
    <w:multiLevelType w:val="hybridMultilevel"/>
    <w:lvl w:ilvl="0">
      <w:lvlJc w:val="left"/>
      <w:lvlText w:val="•"/>
      <w:numFmt w:val="bullet"/>
      <w:start w:val="1"/>
    </w:lvl>
  </w:abstractNum>
  <w:abstractNum w:abstractNumId="21">
    <w:nsid w:val="4962813B"/>
    <w:multiLevelType w:val="hybridMultilevel"/>
    <w:lvl w:ilvl="0">
      <w:lvlJc w:val="left"/>
      <w:lvlText w:val="•"/>
      <w:numFmt w:val="bullet"/>
      <w:start w:val="1"/>
    </w:lvl>
  </w:abstractNum>
  <w:abstractNum w:abstractNumId="22">
    <w:nsid w:val="60B6DF70"/>
    <w:multiLevelType w:val="hybridMultilevel"/>
    <w:lvl w:ilvl="0">
      <w:lvlJc w:val="left"/>
      <w:lvlText w:val="•"/>
      <w:numFmt w:val="bullet"/>
      <w:start w:val="1"/>
    </w:lvl>
  </w:abstractNum>
  <w:abstractNum w:abstractNumId="23">
    <w:nsid w:val="6A5EE64"/>
    <w:multiLevelType w:val="hybridMultilevel"/>
    <w:lvl w:ilvl="0">
      <w:lvlJc w:val="left"/>
      <w:lvlText w:val="Q"/>
      <w:numFmt w:val="bullet"/>
      <w:start w:val="1"/>
    </w:lvl>
  </w:abstractNum>
  <w:abstractNum w:abstractNumId="24">
    <w:nsid w:val="14330624"/>
    <w:multiLevelType w:val="hybridMultilevel"/>
    <w:lvl w:ilvl="0">
      <w:lvlJc w:val="left"/>
      <w:lvlText w:val="A"/>
      <w:numFmt w:val="bullet"/>
      <w:start w:val="1"/>
    </w:lvl>
  </w:abstractNum>
  <w:abstractNum w:abstractNumId="25">
    <w:nsid w:val="7FFFCA11"/>
    <w:multiLevelType w:val="hybridMultilevel"/>
    <w:lvl w:ilvl="0">
      <w:lvlJc w:val="left"/>
      <w:lvlText w:val="Q"/>
      <w:numFmt w:val="bullet"/>
      <w:start w:val="1"/>
    </w:lvl>
  </w:abstractNum>
  <w:abstractNum w:abstractNumId="26">
    <w:nsid w:val="1A27709E"/>
    <w:multiLevelType w:val="hybridMultilevel"/>
    <w:lvl w:ilvl="0">
      <w:lvlJc w:val="left"/>
      <w:lvlText w:val="A"/>
      <w:numFmt w:val="bullet"/>
      <w:start w:val="1"/>
    </w:lvl>
  </w:abstractNum>
  <w:abstractNum w:abstractNumId="27">
    <w:nsid w:val="71EA1109"/>
    <w:multiLevelType w:val="hybridMultilevel"/>
    <w:lvl w:ilvl="0">
      <w:lvlJc w:val="left"/>
      <w:lvlText w:val="Q"/>
      <w:numFmt w:val="bullet"/>
      <w:start w:val="1"/>
    </w:lvl>
  </w:abstractNum>
  <w:abstractNum w:abstractNumId="28">
    <w:nsid w:val="100F59DC"/>
    <w:multiLevelType w:val="hybridMultilevel"/>
    <w:lvl w:ilvl="0">
      <w:lvlJc w:val="left"/>
      <w:lvlText w:val="A"/>
      <w:numFmt w:val="bullet"/>
      <w:start w:val="1"/>
    </w:lvl>
  </w:abstractNum>
  <w:abstractNum w:abstractNumId="29">
    <w:nsid w:val="7FB7E0AA"/>
    <w:multiLevelType w:val="hybridMultilevel"/>
    <w:lvl w:ilvl="0">
      <w:lvlJc w:val="left"/>
      <w:lvlText w:val="Q"/>
      <w:numFmt w:val="bullet"/>
      <w:start w:val="1"/>
    </w:lvl>
  </w:abstractNum>
  <w:abstractNum w:abstractNumId="30">
    <w:nsid w:val="6EB5BD4"/>
    <w:multiLevelType w:val="hybridMultilevel"/>
    <w:lvl w:ilvl="0">
      <w:lvlJc w:val="left"/>
      <w:lvlText w:val="A"/>
      <w:numFmt w:val="bullet"/>
      <w:start w:val="1"/>
    </w:lvl>
  </w:abstractNum>
  <w:abstractNum w:abstractNumId="31">
    <w:nsid w:val="6F6DD9AC"/>
    <w:multiLevelType w:val="hybridMultilevel"/>
    <w:lvl w:ilvl="0">
      <w:lvlJc w:val="left"/>
      <w:lvlText w:val="Q"/>
      <w:numFmt w:val="bullet"/>
      <w:start w:val="1"/>
    </w:lvl>
  </w:abstractNum>
  <w:abstractNum w:abstractNumId="32">
    <w:nsid w:val="94211F2"/>
    <w:multiLevelType w:val="hybridMultilevel"/>
    <w:lvl w:ilvl="0">
      <w:lvlJc w:val="left"/>
      <w:lvlText w:val="A"/>
      <w:numFmt w:val="bullet"/>
      <w:start w:val="1"/>
    </w:lvl>
  </w:abstractNum>
  <w:abstractNum w:abstractNumId="33">
    <w:nsid w:val="885E1B"/>
    <w:multiLevelType w:val="hybridMultilevel"/>
    <w:lvl w:ilvl="0">
      <w:lvlJc w:val="left"/>
      <w:lvlText w:val="Q"/>
      <w:numFmt w:val="bullet"/>
      <w:start w:val="1"/>
    </w:lvl>
  </w:abstractNum>
  <w:abstractNum w:abstractNumId="34">
    <w:nsid w:val="76272110"/>
    <w:multiLevelType w:val="hybridMultilevel"/>
    <w:lvl w:ilvl="0">
      <w:lvlJc w:val="left"/>
      <w:lvlText w:val="A"/>
      <w:numFmt w:val="bullet"/>
      <w:start w:val="1"/>
    </w:lvl>
  </w:abstractNum>
  <w:abstractNum w:abstractNumId="35">
    <w:nsid w:val="4C04A8AF"/>
    <w:multiLevelType w:val="hybridMultilevel"/>
    <w:lvl w:ilvl="0">
      <w:lvlJc w:val="left"/>
      <w:lvlText w:val="Q"/>
      <w:numFmt w:val="bullet"/>
      <w:start w:val="1"/>
    </w:lvl>
  </w:abstractNum>
  <w:abstractNum w:abstractNumId="36">
    <w:nsid w:val="1716703B"/>
    <w:multiLevelType w:val="hybridMultilevel"/>
    <w:lvl w:ilvl="0">
      <w:lvlJc w:val="left"/>
      <w:lvlText w:val="A"/>
      <w:numFmt w:val="bullet"/>
      <w:start w:val="1"/>
    </w:lvl>
  </w:abstractNum>
  <w:abstractNum w:abstractNumId="37">
    <w:nsid w:val="14E17E33"/>
    <w:multiLevelType w:val="hybridMultilevel"/>
    <w:lvl w:ilvl="0">
      <w:lvlJc w:val="left"/>
      <w:lvlText w:val="Q"/>
      <w:numFmt w:val="bullet"/>
      <w:start w:val="1"/>
    </w:lvl>
  </w:abstractNum>
  <w:abstractNum w:abstractNumId="38">
    <w:nsid w:val="3222E7CD"/>
    <w:multiLevelType w:val="hybridMultilevel"/>
    <w:lvl w:ilvl="0">
      <w:lvlJc w:val="left"/>
      <w:lvlText w:val="A"/>
      <w:numFmt w:val="bullet"/>
      <w:start w:val="1"/>
    </w:lvl>
  </w:abstractNum>
  <w:abstractNum w:abstractNumId="39">
    <w:nsid w:val="74DE0EE3"/>
    <w:multiLevelType w:val="hybridMultilevel"/>
    <w:lvl w:ilvl="0">
      <w:lvlJc w:val="left"/>
      <w:lvlText w:val="Q"/>
      <w:numFmt w:val="bullet"/>
      <w:start w:val="1"/>
    </w:lvl>
  </w:abstractNum>
  <w:abstractNum w:abstractNumId="40">
    <w:nsid w:val="68EBC550"/>
    <w:multiLevelType w:val="hybridMultilevel"/>
    <w:lvl w:ilvl="0">
      <w:lvlJc w:val="left"/>
      <w:lvlText w:val="A"/>
      <w:numFmt w:val="bullet"/>
      <w:start w:val="1"/>
    </w:lvl>
  </w:abstractNum>
  <w:abstractNum w:abstractNumId="41">
    <w:nsid w:val="2DF6D648"/>
    <w:multiLevelType w:val="hybridMultilevel"/>
    <w:lvl w:ilvl="0">
      <w:lvlJc w:val="left"/>
      <w:lvlText w:val="•"/>
      <w:numFmt w:val="bullet"/>
      <w:start w:val="1"/>
    </w:lvl>
  </w:abstractNum>
  <w:abstractNum w:abstractNumId="42">
    <w:nsid w:val="46B7D447"/>
    <w:multiLevelType w:val="hybridMultilevel"/>
    <w:lvl w:ilvl="0">
      <w:lvlJc w:val="left"/>
      <w:lvlText w:val="•"/>
      <w:numFmt w:val="bullet"/>
      <w:start w:val="1"/>
    </w:lvl>
  </w:abstractNum>
  <w:abstractNum w:abstractNumId="43">
    <w:nsid w:val="4A2AC315"/>
    <w:multiLevelType w:val="hybridMultilevel"/>
    <w:lvl w:ilvl="0">
      <w:lvlJc w:val="left"/>
      <w:lvlText w:val="•"/>
      <w:numFmt w:val="bullet"/>
      <w:start w:val="1"/>
    </w:lvl>
  </w:abstractNum>
  <w:abstractNum w:abstractNumId="44">
    <w:nsid w:val="39EE015C"/>
    <w:multiLevelType w:val="hybridMultilevel"/>
    <w:lvl w:ilvl="0">
      <w:lvlJc w:val="left"/>
      <w:lvlText w:val="•"/>
      <w:numFmt w:val="bullet"/>
      <w:start w:val="1"/>
    </w:lvl>
  </w:abstractNum>
  <w:abstractNum w:abstractNumId="45">
    <w:nsid w:val="57FC4FBB"/>
    <w:multiLevelType w:val="hybridMultilevel"/>
    <w:lvl w:ilvl="0">
      <w:lvlJc w:val="left"/>
      <w:lvlText w:val="•"/>
      <w:numFmt w:val="bullet"/>
      <w:start w:val="1"/>
    </w:lvl>
  </w:abstractNum>
  <w:abstractNum w:abstractNumId="46">
    <w:nsid w:val="CC1016F"/>
    <w:multiLevelType w:val="hybridMultilevel"/>
    <w:lvl w:ilvl="0">
      <w:lvlJc w:val="left"/>
      <w:lvlText w:val="•"/>
      <w:numFmt w:val="bullet"/>
      <w:start w:val="1"/>
    </w:lvl>
  </w:abstractNum>
  <w:abstractNum w:abstractNumId="47">
    <w:nsid w:val="43F18422"/>
    <w:multiLevelType w:val="hybridMultilevel"/>
    <w:lvl w:ilvl="0">
      <w:lvlJc w:val="left"/>
      <w:lvlText w:val="•"/>
      <w:numFmt w:val="bullet"/>
      <w:start w:val="1"/>
    </w:lvl>
  </w:abstractNum>
  <w:abstractNum w:abstractNumId="48">
    <w:nsid w:val="60EF0119"/>
    <w:multiLevelType w:val="hybridMultilevel"/>
    <w:lvl w:ilvl="0">
      <w:lvlJc w:val="left"/>
      <w:lvlText w:val="^"/>
      <w:numFmt w:val="bullet"/>
      <w:start w:val="1"/>
    </w:lvl>
    <w:lvl w:ilvl="1">
      <w:lvlJc w:val="left"/>
      <w:lvlText w:val="•"/>
      <w:numFmt w:val="bullet"/>
      <w:start w:val="1"/>
    </w:lvl>
  </w:abstractNum>
  <w:abstractNum w:abstractNumId="49">
    <w:nsid w:val="26F324BA"/>
    <w:multiLevelType w:val="hybridMultilevel"/>
    <w:lvl w:ilvl="0">
      <w:lvlJc w:val="left"/>
      <w:lvlText w:val="•"/>
      <w:numFmt w:val="bullet"/>
      <w:start w:val="1"/>
    </w:lvl>
  </w:abstractNum>
  <w:abstractNum w:abstractNumId="50">
    <w:nsid w:val="7F01579B"/>
    <w:multiLevelType w:val="hybridMultilevel"/>
    <w:lvl w:ilvl="0">
      <w:lvlJc w:val="left"/>
      <w:lvlText w:val="•"/>
      <w:numFmt w:val="bullet"/>
      <w:start w:val="1"/>
    </w:lvl>
  </w:abstractNum>
  <w:abstractNum w:abstractNumId="51">
    <w:nsid w:val="49DA307D"/>
    <w:multiLevelType w:val="hybridMultilevel"/>
    <w:lvl w:ilvl="0">
      <w:lvlJc w:val="left"/>
      <w:lvlText w:val="•"/>
      <w:numFmt w:val="bullet"/>
      <w:start w:val="1"/>
    </w:lvl>
  </w:abstractNum>
  <w:abstractNum w:abstractNumId="52">
    <w:nsid w:val="7055A5F5"/>
    <w:multiLevelType w:val="hybridMultilevel"/>
    <w:lvl w:ilvl="0">
      <w:lvlJc w:val="left"/>
      <w:lvlText w:val="•"/>
      <w:numFmt w:val="bullet"/>
      <w:start w:val="1"/>
    </w:lvl>
  </w:abstractNum>
  <w:abstractNum w:abstractNumId="53">
    <w:nsid w:val="5FB8370B"/>
    <w:multiLevelType w:val="hybridMultilevel"/>
    <w:lvl w:ilvl="0">
      <w:lvlJc w:val="left"/>
      <w:lvlText w:val="•"/>
      <w:numFmt w:val="bullet"/>
      <w:start w:val="1"/>
    </w:lvl>
  </w:abstractNum>
  <w:abstractNum w:abstractNumId="54">
    <w:nsid w:val="50801EE1"/>
    <w:multiLevelType w:val="hybridMultilevel"/>
    <w:lvl w:ilvl="0">
      <w:lvlJc w:val="left"/>
      <w:lvlText w:val="•"/>
      <w:numFmt w:val="bullet"/>
      <w:start w:val="1"/>
    </w:lvl>
  </w:abstractNum>
  <w:abstractNum w:abstractNumId="55">
    <w:nsid w:val="488AC1A"/>
    <w:multiLevelType w:val="hybridMultilevel"/>
    <w:lvl w:ilvl="0">
      <w:lvlJc w:val="left"/>
      <w:lvlText w:val="•"/>
      <w:numFmt w:val="bullet"/>
      <w:start w:val="1"/>
    </w:lvl>
  </w:abstractNum>
  <w:abstractNum w:abstractNumId="56">
    <w:nsid w:val="5FB8011C"/>
    <w:multiLevelType w:val="hybridMultilevel"/>
    <w:lvl w:ilvl="0">
      <w:lvlJc w:val="left"/>
      <w:lvlText w:val="•"/>
      <w:numFmt w:val="bullet"/>
      <w:start w:val="1"/>
    </w:lvl>
  </w:abstractNum>
  <w:abstractNum w:abstractNumId="57">
    <w:nsid w:val="6AA78F7F"/>
    <w:multiLevelType w:val="hybridMultilevel"/>
    <w:lvl w:ilvl="0">
      <w:lvlJc w:val="left"/>
      <w:lvlText w:val="•"/>
      <w:numFmt w:val="bullet"/>
      <w:start w:val="1"/>
    </w:lvl>
  </w:abstractNum>
  <w:abstractNum w:abstractNumId="58">
    <w:nsid w:val="7672BD23"/>
    <w:multiLevelType w:val="hybridMultilevel"/>
    <w:lvl w:ilvl="0">
      <w:lvlJc w:val="left"/>
      <w:lvlText w:val="•"/>
      <w:numFmt w:val="bullet"/>
      <w:start w:val="1"/>
    </w:lvl>
  </w:abstractNum>
  <w:abstractNum w:abstractNumId="59">
    <w:nsid w:val="6FC75AF8"/>
    <w:multiLevelType w:val="hybridMultilevel"/>
    <w:lvl w:ilvl="0">
      <w:lvlJc w:val="left"/>
      <w:lvlText w:val="•"/>
      <w:numFmt w:val="bullet"/>
      <w:start w:val="1"/>
    </w:lvl>
  </w:abstractNum>
  <w:abstractNum w:abstractNumId="60">
    <w:nsid w:val="6A5F7029"/>
    <w:multiLevelType w:val="hybridMultilevel"/>
    <w:lvl w:ilvl="0">
      <w:lvlJc w:val="left"/>
      <w:lvlText w:val="•"/>
      <w:numFmt w:val="bullet"/>
      <w:start w:val="1"/>
    </w:lvl>
  </w:abstractNum>
  <w:abstractNum w:abstractNumId="61">
    <w:nsid w:val="7D5E18F8"/>
    <w:multiLevelType w:val="hybridMultilevel"/>
    <w:lvl w:ilvl="0">
      <w:lvlJc w:val="left"/>
      <w:lvlText w:val="•"/>
      <w:numFmt w:val="bullet"/>
      <w:start w:val="1"/>
    </w:lvl>
  </w:abstractNum>
  <w:abstractNum w:abstractNumId="62">
    <w:nsid w:val="5F3534A4"/>
    <w:multiLevelType w:val="hybridMultilevel"/>
    <w:lvl w:ilvl="0">
      <w:lvlJc w:val="left"/>
      <w:lvlText w:val="(%1)"/>
      <w:numFmt w:val="decimal"/>
      <w:start w:val="1"/>
    </w:lvl>
  </w:abstractNum>
  <w:abstractNum w:abstractNumId="63">
    <w:nsid w:val="73A1821B"/>
    <w:multiLevelType w:val="hybridMultilevel"/>
    <w:lvl w:ilvl="0">
      <w:lvlJc w:val="left"/>
      <w:lvlText w:val="(%1)"/>
      <w:numFmt w:val="decimal"/>
      <w:start w:val="3"/>
    </w:lvl>
  </w:abstractNum>
  <w:abstractNum w:abstractNumId="64">
    <w:nsid w:val="7DE67713"/>
    <w:multiLevelType w:val="hybridMultilevel"/>
    <w:lvl w:ilvl="0">
      <w:lvlJc w:val="left"/>
      <w:lvlText w:val="(%1)"/>
      <w:numFmt w:val="lowerLetter"/>
      <w:start w:val="1"/>
    </w:lvl>
  </w:abstractNum>
  <w:abstractNum w:abstractNumId="65">
    <w:nsid w:val="555C55B5"/>
    <w:multiLevelType w:val="hybridMultilevel"/>
    <w:lvl w:ilvl="0">
      <w:lvlJc w:val="left"/>
      <w:lvlText w:val="(%1)"/>
      <w:numFmt w:val="decimal"/>
      <w:start w:val="5"/>
    </w:lvl>
  </w:abstractNum>
  <w:abstractNum w:abstractNumId="66">
    <w:nsid w:val="3FA62ACA"/>
    <w:multiLevelType w:val="hybridMultilevel"/>
    <w:lvl w:ilvl="0">
      <w:lvlJc w:val="left"/>
      <w:lvlText w:val="•"/>
      <w:numFmt w:val="bullet"/>
      <w:start w:val="1"/>
    </w:lvl>
  </w:abstractNum>
  <w:abstractNum w:abstractNumId="67">
    <w:nsid w:val="14FCE74E"/>
    <w:multiLevelType w:val="hybridMultilevel"/>
    <w:lvl w:ilvl="0">
      <w:lvlJc w:val="left"/>
      <w:lvlText w:val="-"/>
      <w:numFmt w:val="bullet"/>
      <w:start w:val="1"/>
    </w:lvl>
  </w:abstractNum>
  <w:abstractNum w:abstractNumId="68">
    <w:nsid w:val="6A3DD3E8"/>
    <w:multiLevelType w:val="hybridMultilevel"/>
    <w:lvl w:ilvl="0">
      <w:lvlJc w:val="left"/>
      <w:lvlText w:val="(%1)"/>
      <w:numFmt w:val="decimal"/>
      <w:start w:val="1"/>
    </w:lvl>
  </w:abstractNum>
  <w:abstractNum w:abstractNumId="69">
    <w:nsid w:val="71C91298"/>
    <w:multiLevelType w:val="hybridMultilevel"/>
    <w:lvl w:ilvl="0">
      <w:lvlJc w:val="left"/>
      <w:lvlText w:val="(%1)"/>
      <w:numFmt w:val="decimal"/>
      <w:start w:val="2"/>
    </w:lvl>
  </w:abstractNum>
  <w:abstractNum w:abstractNumId="70">
    <w:nsid w:val="9DAF632"/>
    <w:multiLevelType w:val="hybridMultilevel"/>
    <w:lvl w:ilvl="0">
      <w:lvlJc w:val="left"/>
      <w:lvlText w:val="•"/>
      <w:numFmt w:val="bullet"/>
      <w:start w:val="1"/>
    </w:lvl>
  </w:abstractNum>
  <w:abstractNum w:abstractNumId="71">
    <w:nsid w:val="53299938"/>
    <w:multiLevelType w:val="hybridMultilevel"/>
    <w:lvl w:ilvl="0">
      <w:lvlJc w:val="left"/>
      <w:lvlText w:val="•"/>
      <w:numFmt w:val="bullet"/>
      <w:start w:val="1"/>
    </w:lvl>
  </w:abstractNum>
  <w:abstractNum w:abstractNumId="72">
    <w:nsid w:val="1FBFE8E0"/>
    <w:multiLevelType w:val="hybridMultilevel"/>
    <w:lvl w:ilvl="0">
      <w:lvlJc w:val="left"/>
      <w:lvlText w:val="•"/>
      <w:numFmt w:val="bullet"/>
      <w:start w:val="1"/>
    </w:lvl>
  </w:abstractNum>
  <w:abstractNum w:abstractNumId="73">
    <w:nsid w:val="5092CA79"/>
    <w:multiLevelType w:val="hybridMultilevel"/>
    <w:lvl w:ilvl="0">
      <w:lvlJc w:val="left"/>
      <w:lvlText w:val="•"/>
      <w:numFmt w:val="bullet"/>
      <w:start w:val="1"/>
    </w:lvl>
  </w:abstractNum>
  <w:abstractNum w:abstractNumId="74">
    <w:nsid w:val="1D545C4D"/>
    <w:multiLevelType w:val="hybridMultilevel"/>
    <w:lvl w:ilvl="0">
      <w:lvlJc w:val="left"/>
      <w:lvlText w:val="(%1)"/>
      <w:numFmt w:val="decimal"/>
      <w:start w:val="1"/>
    </w:lvl>
  </w:abstractNum>
  <w:abstractNum w:abstractNumId="75">
    <w:nsid w:val="59ADEA3D"/>
    <w:multiLevelType w:val="hybridMultilevel"/>
    <w:lvl w:ilvl="0">
      <w:lvlJc w:val="left"/>
      <w:lvlText w:val="•"/>
      <w:numFmt w:val="bullet"/>
      <w:start w:val="1"/>
    </w:lvl>
  </w:abstractNum>
  <w:abstractNum w:abstractNumId="76">
    <w:nsid w:val="288F1A34"/>
    <w:multiLevelType w:val="hybridMultilevel"/>
    <w:lvl w:ilvl="0">
      <w:lvlJc w:val="left"/>
      <w:lvlText w:val="•"/>
      <w:numFmt w:val="bullet"/>
      <w:start w:val="1"/>
    </w:lvl>
  </w:abstractNum>
  <w:abstractNum w:abstractNumId="77">
    <w:nsid w:val="2A155DBC"/>
    <w:multiLevelType w:val="hybridMultilevel"/>
    <w:lvl w:ilvl="0">
      <w:lvlJc w:val="left"/>
      <w:lvlText w:val="(%1)"/>
      <w:numFmt w:val="decimal"/>
      <w:start w:val="1"/>
    </w:lvl>
  </w:abstractNum>
  <w:abstractNum w:abstractNumId="78">
    <w:nsid w:val="1D9F6E5F"/>
    <w:multiLevelType w:val="hybridMultilevel"/>
    <w:lvl w:ilvl="0">
      <w:lvlJc w:val="left"/>
      <w:lvlText w:val="(%1)"/>
      <w:numFmt w:val="decimal"/>
      <w:start w:val="1"/>
    </w:lvl>
  </w:abstractNum>
  <w:abstractNum w:abstractNumId="79">
    <w:nsid w:val="97E1B4E"/>
    <w:multiLevelType w:val="hybridMultilevel"/>
    <w:lvl w:ilvl="0">
      <w:lvlJc w:val="left"/>
      <w:lvlText w:val="•"/>
      <w:numFmt w:val="bullet"/>
      <w:start w:val="1"/>
    </w:lvl>
    <w:lvl w:ilvl="1">
      <w:lvlJc w:val="left"/>
      <w:lvlText w:val="\endash "/>
      <w:numFmt w:val="bullet"/>
      <w:start w:val="1"/>
    </w:lvl>
  </w:abstractNum>
  <w:abstractNum w:abstractNumId="80">
    <w:nsid w:val="51088277"/>
    <w:multiLevelType w:val="hybridMultilevel"/>
    <w:lvl w:ilvl="0">
      <w:lvlJc w:val="left"/>
      <w:lvlText w:val="(%1)"/>
      <w:numFmt w:val="decimal"/>
      <w:start w:val="1"/>
    </w:lvl>
  </w:abstractNum>
  <w:abstractNum w:abstractNumId="81">
    <w:nsid w:val="1CA0C5FA"/>
    <w:multiLevelType w:val="hybridMultilevel"/>
    <w:lvl w:ilvl="0">
      <w:lvlJc w:val="left"/>
      <w:lvlText w:val="(%1)"/>
      <w:numFmt w:val="decimal"/>
      <w:start w:val="1"/>
    </w:lvl>
  </w:abstractNum>
  <w:abstractNum w:abstractNumId="82">
    <w:nsid w:val="53584BCB"/>
    <w:multiLevelType w:val="hybridMultilevel"/>
    <w:lvl w:ilvl="0">
      <w:lvlJc w:val="left"/>
      <w:lvlText w:val="(%1)"/>
      <w:numFmt w:val="decimal"/>
      <w:start w:val="1"/>
    </w:lvl>
  </w:abstractNum>
  <w:abstractNum w:abstractNumId="83">
    <w:nsid w:val="415E286C"/>
    <w:multiLevelType w:val="hybridMultilevel"/>
    <w:lvl w:ilvl="0">
      <w:lvlJc w:val="left"/>
      <w:lvlText w:val="(%1)"/>
      <w:numFmt w:val="decimal"/>
      <w:start w:val="1"/>
    </w:lvl>
  </w:abstractNum>
  <w:abstractNum w:abstractNumId="84">
    <w:nsid w:val="7C58FD05"/>
    <w:multiLevelType w:val="hybridMultilevel"/>
    <w:lvl w:ilvl="0">
      <w:lvlJc w:val="left"/>
      <w:lvlText w:val="(%1)"/>
      <w:numFmt w:val="decimal"/>
      <w:start w:val="1"/>
    </w:lvl>
  </w:abstractNum>
  <w:abstractNum w:abstractNumId="85">
    <w:nsid w:val="23D86AAC"/>
    <w:multiLevelType w:val="hybridMultilevel"/>
    <w:lvl w:ilvl="0">
      <w:lvlJc w:val="left"/>
      <w:lvlText w:val="•"/>
      <w:numFmt w:val="bullet"/>
      <w:start w:val="1"/>
    </w:lvl>
  </w:abstractNum>
  <w:abstractNum w:abstractNumId="86">
    <w:nsid w:val="45E6D486"/>
    <w:multiLevelType w:val="hybridMultilevel"/>
    <w:lvl w:ilvl="0">
      <w:lvlJc w:val="left"/>
      <w:lvlText w:val="•"/>
      <w:numFmt w:val="bullet"/>
      <w:start w:val="1"/>
    </w:lvl>
  </w:abstractNum>
  <w:abstractNum w:abstractNumId="87">
    <w:nsid w:val="5C10FE21"/>
    <w:multiLevelType w:val="hybridMultilevel"/>
    <w:lvl w:ilvl="0">
      <w:lvlJc w:val="left"/>
      <w:lvlText w:val="•"/>
      <w:numFmt w:val="bullet"/>
      <w:start w:val="1"/>
    </w:lvl>
  </w:abstractNum>
  <w:abstractNum w:abstractNumId="88">
    <w:nsid w:val="E7FFA2B"/>
    <w:multiLevelType w:val="hybridMultilevel"/>
    <w:lvl w:ilvl="0">
      <w:lvlJc w:val="left"/>
      <w:lvlText w:val="•"/>
      <w:numFmt w:val="bullet"/>
      <w:start w:val="1"/>
    </w:lvl>
  </w:abstractNum>
  <w:abstractNum w:abstractNumId="89">
    <w:nsid w:val="3C5991AA"/>
    <w:multiLevelType w:val="hybridMultilevel"/>
    <w:lvl w:ilvl="0">
      <w:lvlJc w:val="left"/>
      <w:lvlText w:val="(%1)"/>
      <w:numFmt w:val="decimal"/>
      <w:start w:val="1"/>
    </w:lvl>
  </w:abstractNum>
  <w:abstractNum w:abstractNumId="90">
    <w:nsid w:val="4BD8591A"/>
    <w:multiLevelType w:val="hybridMultilevel"/>
    <w:lvl w:ilvl="0">
      <w:lvlJc w:val="left"/>
      <w:lvlText w:val="•"/>
      <w:numFmt w:val="bullet"/>
      <w:start w:val="1"/>
    </w:lvl>
  </w:abstractNum>
  <w:abstractNum w:abstractNumId="91">
    <w:nsid w:val="78DF6A55"/>
    <w:multiLevelType w:val="hybridMultilevel"/>
    <w:lvl w:ilvl="0">
      <w:lvlJc w:val="left"/>
      <w:lvlText w:val="•"/>
      <w:numFmt w:val="bullet"/>
      <w:start w:val="1"/>
    </w:lvl>
  </w:abstractNum>
  <w:abstractNum w:abstractNumId="92">
    <w:nsid w:val="39B7AAA2"/>
    <w:multiLevelType w:val="hybridMultilevel"/>
    <w:lvl w:ilvl="0">
      <w:lvlJc w:val="left"/>
      <w:lvlText w:val="•"/>
      <w:numFmt w:val="bullet"/>
      <w:start w:val="1"/>
    </w:lvl>
  </w:abstractNum>
  <w:abstractNum w:abstractNumId="93">
    <w:nsid w:val="2B0D8DBE"/>
    <w:multiLevelType w:val="hybridMultilevel"/>
    <w:lvl w:ilvl="0">
      <w:lvlJc w:val="left"/>
      <w:lvlText w:val="•"/>
      <w:numFmt w:val="bullet"/>
      <w:start w:val="1"/>
    </w:lvl>
  </w:abstractNum>
  <w:abstractNum w:abstractNumId="94">
    <w:nsid w:val="6C80EC70"/>
    <w:multiLevelType w:val="hybridMultilevel"/>
    <w:lvl w:ilvl="0">
      <w:lvlJc w:val="left"/>
      <w:lvlText w:val="•"/>
      <w:numFmt w:val="bullet"/>
      <w:start w:val="1"/>
    </w:lvl>
  </w:abstractNum>
  <w:abstractNum w:abstractNumId="95">
    <w:nsid w:val="379E21B5"/>
    <w:multiLevelType w:val="hybridMultilevel"/>
    <w:lvl w:ilvl="0">
      <w:lvlJc w:val="left"/>
      <w:lvlText w:val="(%1)"/>
      <w:numFmt w:val="decimal"/>
      <w:start w:val="1"/>
    </w:lvl>
  </w:abstractNum>
  <w:abstractNum w:abstractNumId="96">
    <w:nsid w:val="69E373"/>
    <w:multiLevelType w:val="hybridMultilevel"/>
    <w:lvl w:ilvl="0">
      <w:lvlJc w:val="left"/>
      <w:lvlText w:val="(%1)"/>
      <w:numFmt w:val="decimal"/>
      <w:start w:val="4"/>
    </w:lvl>
  </w:abstractNum>
  <w:abstractNum w:abstractNumId="97">
    <w:nsid w:val="2C27173B"/>
    <w:multiLevelType w:val="hybridMultilevel"/>
    <w:lvl w:ilvl="0">
      <w:lvlJc w:val="left"/>
      <w:lvlText w:val="(%1)"/>
      <w:numFmt w:val="decimal"/>
      <w:start w:val="7"/>
    </w:lvl>
  </w:abstractNum>
  <w:abstractNum w:abstractNumId="98">
    <w:nsid w:val="4C9B0904"/>
    <w:multiLevelType w:val="hybridMultilevel"/>
    <w:lvl w:ilvl="0">
      <w:lvlJc w:val="left"/>
      <w:lvlText w:val="(%1)"/>
      <w:numFmt w:val="decimal"/>
      <w:start w:val="1"/>
    </w:lvl>
  </w:abstractNum>
  <w:abstractNum w:abstractNumId="99">
    <w:nsid w:val="6AA7B75C"/>
    <w:multiLevelType w:val="hybridMultilevel"/>
    <w:lvl w:ilvl="0">
      <w:lvlJc w:val="left"/>
      <w:lvlText w:val="(%1)"/>
      <w:numFmt w:val="decimal"/>
      <w:start w:val="2"/>
    </w:lvl>
  </w:abstractNum>
  <w:abstractNum w:abstractNumId="100">
    <w:nsid w:val="1DF029D3"/>
    <w:multiLevelType w:val="hybridMultilevel"/>
    <w:lvl w:ilvl="0">
      <w:lvlJc w:val="left"/>
      <w:lvlText w:val="(%1)"/>
      <w:numFmt w:val="decimal"/>
      <w:start w:val="1"/>
    </w:lvl>
  </w:abstractNum>
  <w:abstractNum w:abstractNumId="101">
    <w:nsid w:val="5675FF36"/>
    <w:multiLevelType w:val="hybridMultilevel"/>
    <w:lvl w:ilvl="0">
      <w:lvlJc w:val="left"/>
      <w:lvlText w:val="(%1)"/>
      <w:numFmt w:val="decimal"/>
      <w:start w:val="1"/>
    </w:lvl>
  </w:abstractNum>
  <w:abstractNum w:abstractNumId="102">
    <w:nsid w:val="3DD15094"/>
    <w:multiLevelType w:val="hybridMultilevel"/>
    <w:lvl w:ilvl="0">
      <w:lvlJc w:val="left"/>
      <w:lvlText w:val="(%1)"/>
      <w:numFmt w:val="decimal"/>
      <w:start w:val="3"/>
    </w:lvl>
  </w:abstractNum>
  <w:abstractNum w:abstractNumId="103">
    <w:nsid w:val="3DB012B3"/>
    <w:multiLevelType w:val="hybridMultilevel"/>
    <w:lvl w:ilvl="0">
      <w:lvlJc w:val="left"/>
      <w:lvlText w:val="(%1)"/>
      <w:numFmt w:val="decimal"/>
      <w:start w:val="1"/>
    </w:lvl>
  </w:abstractNum>
  <w:abstractNum w:abstractNumId="104">
    <w:nsid w:val="2708C9AF"/>
    <w:multiLevelType w:val="hybridMultilevel"/>
    <w:lvl w:ilvl="0">
      <w:lvlJc w:val="left"/>
      <w:lvlText w:val="(%1)"/>
      <w:numFmt w:val="decimal"/>
      <w:start w:val="1"/>
    </w:lvl>
  </w:abstractNum>
  <w:abstractNum w:abstractNumId="105">
    <w:nsid w:val="5B25ACE2"/>
    <w:multiLevelType w:val="hybridMultilevel"/>
    <w:lvl w:ilvl="0">
      <w:lvlJc w:val="left"/>
      <w:lvlText w:val="(%1)"/>
      <w:numFmt w:val="decimal"/>
      <w:start w:val="1"/>
    </w:lvl>
  </w:abstractNum>
  <w:abstractNum w:abstractNumId="106">
    <w:nsid w:val="175DFCF0"/>
    <w:multiLevelType w:val="hybridMultilevel"/>
    <w:lvl w:ilvl="0">
      <w:lvlJc w:val="left"/>
      <w:lvlText w:val="(%1)"/>
      <w:numFmt w:val="decimal"/>
      <w:start w:val="1"/>
    </w:lvl>
  </w:abstractNum>
  <w:abstractNum w:abstractNumId="107">
    <w:nsid w:val="4F97E3E4"/>
    <w:multiLevelType w:val="hybridMultilevel"/>
    <w:lvl w:ilvl="0">
      <w:lvlJc w:val="left"/>
      <w:lvlText w:val="(%1)"/>
      <w:numFmt w:val="decimal"/>
      <w:start w:val="4"/>
    </w:lvl>
  </w:abstractNum>
  <w:abstractNum w:abstractNumId="108">
    <w:nsid w:val="53B0A9E"/>
    <w:multiLevelType w:val="hybridMultilevel"/>
    <w:lvl w:ilvl="0">
      <w:lvlJc w:val="left"/>
      <w:lvlText w:val="%1."/>
      <w:numFmt w:val="decimal"/>
      <w:start w:val="1"/>
    </w:lvl>
  </w:abstractNum>
  <w:abstractNum w:abstractNumId="109">
    <w:nsid w:val="34FD6B4F"/>
    <w:multiLevelType w:val="hybridMultilevel"/>
    <w:lvl w:ilvl="0">
      <w:lvlJc w:val="left"/>
      <w:lvlText w:val="(%1)"/>
      <w:numFmt w:val="decimal"/>
      <w:start w:val="1"/>
    </w:lvl>
  </w:abstractNum>
  <w:abstractNum w:abstractNumId="110">
    <w:nsid w:val="5915FF32"/>
    <w:multiLevelType w:val="hybridMultilevel"/>
    <w:lvl w:ilvl="0">
      <w:lvlJc w:val="left"/>
      <w:lvlText w:val="(%1)"/>
      <w:numFmt w:val="decimal"/>
      <w:start w:val="4"/>
    </w:lvl>
  </w:abstractNum>
  <w:abstractNum w:abstractNumId="111">
    <w:nsid w:val="56438D15"/>
    <w:multiLevelType w:val="hybridMultilevel"/>
    <w:lvl w:ilvl="0">
      <w:lvlJc w:val="left"/>
      <w:lvlText w:val="(%1)"/>
      <w:numFmt w:val="decimal"/>
      <w:start w:val="6"/>
    </w:lvl>
  </w:abstractNum>
  <w:abstractNum w:abstractNumId="112">
    <w:nsid w:val="519E3149"/>
    <w:multiLevelType w:val="hybridMultilevel"/>
    <w:lvl w:ilvl="0">
      <w:lvlJc w:val="left"/>
      <w:lvlText w:val="•"/>
      <w:numFmt w:val="bullet"/>
      <w:start w:val="1"/>
    </w:lvl>
  </w:abstractNum>
  <w:abstractNum w:abstractNumId="113">
    <w:nsid w:val="2C6E4AFD"/>
    <w:multiLevelType w:val="hybridMultilevel"/>
    <w:lvl w:ilvl="0">
      <w:lvlJc w:val="left"/>
      <w:lvlText w:val="(%1)"/>
      <w:numFmt w:val="decimal"/>
    </w:lvl>
    <w:lvl w:ilvl="1">
      <w:lvlJc w:val="left"/>
      <w:lvlText w:val="•"/>
      <w:numFmt w:val="bullet"/>
      <w:start w:val="1"/>
    </w:lvl>
  </w:abstractNum>
  <w:abstractNum w:abstractNumId="114">
    <w:nsid w:val="17A1B582"/>
    <w:multiLevelType w:val="hybridMultilevel"/>
    <w:lvl w:ilvl="0">
      <w:lvlJc w:val="left"/>
      <w:lvlText w:val="(%1)"/>
      <w:numFmt w:val="decimal"/>
      <w:start w:val="12"/>
    </w:lvl>
  </w:abstractNum>
  <w:abstractNum w:abstractNumId="115">
    <w:nsid w:val="4DF72E4E"/>
    <w:multiLevelType w:val="hybridMultilevel"/>
    <w:lvl w:ilvl="0">
      <w:lvlJc w:val="left"/>
      <w:lvlText w:val="•"/>
      <w:numFmt w:val="bullet"/>
      <w:start w:val="1"/>
    </w:lvl>
  </w:abstractNum>
  <w:abstractNum w:abstractNumId="116">
    <w:nsid w:val="5046B5A9"/>
    <w:multiLevelType w:val="hybridMultilevel"/>
    <w:lvl w:ilvl="0">
      <w:lvlJc w:val="left"/>
      <w:lvlText w:val="(%1)"/>
      <w:numFmt w:val="decimal"/>
      <w:start w:val="1"/>
    </w:lvl>
  </w:abstractNum>
  <w:abstractNum w:abstractNumId="117">
    <w:nsid w:val="5D888A08"/>
    <w:multiLevelType w:val="hybridMultilevel"/>
    <w:lvl w:ilvl="0">
      <w:lvlJc w:val="left"/>
      <w:lvlText w:val="(%1)"/>
      <w:numFmt w:val="decimal"/>
      <w:start w:val="6"/>
    </w:lvl>
  </w:abstractNum>
  <w:abstractNum w:abstractNumId="118">
    <w:nsid w:val="2A082C70"/>
    <w:multiLevelType w:val="hybridMultilevel"/>
    <w:lvl w:ilvl="0">
      <w:lvlJc w:val="left"/>
      <w:lvlText w:val="(%1)"/>
      <w:numFmt w:val="decimal"/>
      <w:start w:val="1"/>
    </w:lvl>
    <w:lvl w:ilvl="1">
      <w:lvlJc w:val="left"/>
      <w:lvlText w:val="(%2)"/>
      <w:numFmt w:val="lowerLetter"/>
      <w:start w:val="1"/>
    </w:lvl>
  </w:abstractNum>
  <w:abstractNum w:abstractNumId="119">
    <w:nsid w:val="5EC6AFD4"/>
    <w:multiLevelType w:val="hybridMultilevel"/>
    <w:lvl w:ilvl="0">
      <w:lvlJc w:val="left"/>
      <w:lvlText w:val="(%1)"/>
      <w:numFmt w:val="lowerLetter"/>
      <w:start w:val="3"/>
    </w:lvl>
  </w:abstractNum>
  <w:abstractNum w:abstractNumId="120">
    <w:nsid w:val="19E21BB2"/>
    <w:multiLevelType w:val="hybridMultilevel"/>
    <w:lvl w:ilvl="0">
      <w:lvlJc w:val="left"/>
      <w:lvlText w:val="(%1)"/>
      <w:numFmt w:val="decimal"/>
      <w:start w:val="3"/>
    </w:lvl>
  </w:abstractNum>
  <w:abstractNum w:abstractNumId="121">
    <w:nsid w:val="75E0858A"/>
    <w:multiLevelType w:val="hybridMultilevel"/>
    <w:lvl w:ilvl="0">
      <w:lvlJc w:val="left"/>
      <w:lvlText w:val="*"/>
      <w:numFmt w:val="bullet"/>
      <w:start w:val="1"/>
    </w:lvl>
  </w:abstractNum>
  <w:abstractNum w:abstractNumId="122">
    <w:nsid w:val="57A61A29"/>
    <w:multiLevelType w:val="hybridMultilevel"/>
    <w:lvl w:ilvl="0">
      <w:lvlJc w:val="left"/>
      <w:lvlText w:val="•"/>
      <w:numFmt w:val="bullet"/>
      <w:start w:val="1"/>
    </w:lvl>
  </w:abstractNum>
  <w:abstractNum w:abstractNumId="123">
    <w:nsid w:val="5399C654"/>
    <w:multiLevelType w:val="hybridMultilevel"/>
    <w:lvl w:ilvl="0">
      <w:lvlJc w:val="left"/>
      <w:lvlText w:val="•"/>
      <w:numFmt w:val="bullet"/>
      <w:start w:val="1"/>
    </w:lvl>
  </w:abstractNum>
  <w:abstractNum w:abstractNumId="124">
    <w:nsid w:val="20EE1348"/>
    <w:multiLevelType w:val="hybridMultilevel"/>
    <w:lvl w:ilvl="0">
      <w:lvlJc w:val="left"/>
      <w:lvlText w:val="(%1)"/>
      <w:numFmt w:val="decimal"/>
      <w:start w:val="1"/>
    </w:lvl>
  </w:abstractNum>
  <w:abstractNum w:abstractNumId="125">
    <w:nsid w:val="4427069A"/>
    <w:multiLevelType w:val="hybridMultilevel"/>
    <w:lvl w:ilvl="0">
      <w:lvlJc w:val="left"/>
      <w:lvlText w:val="(%1)"/>
      <w:numFmt w:val="decimal"/>
      <w:start w:val="1"/>
    </w:lvl>
  </w:abstractNum>
  <w:abstractNum w:abstractNumId="126">
    <w:nsid w:val="B37E80A"/>
    <w:multiLevelType w:val="hybridMultilevel"/>
    <w:lvl w:ilvl="0">
      <w:lvlJc w:val="left"/>
      <w:lvlText w:val="(%1)"/>
      <w:numFmt w:val="decimal"/>
      <w:start w:val="1"/>
    </w:lvl>
  </w:abstractNum>
  <w:abstractNum w:abstractNumId="127">
    <w:nsid w:val="2157F6BC"/>
    <w:multiLevelType w:val="hybridMultilevel"/>
    <w:lvl w:ilvl="0">
      <w:lvlJc w:val="left"/>
      <w:lvlText w:val="(%1)"/>
      <w:numFmt w:val="decimal"/>
      <w:start w:val="1"/>
    </w:lvl>
  </w:abstractNum>
  <w:abstractNum w:abstractNumId="128">
    <w:nsid w:val="704E1DD5"/>
    <w:multiLevelType w:val="hybridMultilevel"/>
    <w:lvl w:ilvl="0">
      <w:lvlJc w:val="left"/>
      <w:lvlText w:val="%1."/>
      <w:numFmt w:val="decimal"/>
      <w:start w:val="1"/>
    </w:lvl>
  </w:abstractNum>
  <w:abstractNum w:abstractNumId="129">
    <w:nsid w:val="57D2F10E"/>
    <w:multiLevelType w:val="hybridMultilevel"/>
    <w:lvl w:ilvl="0">
      <w:lvlJc w:val="left"/>
      <w:lvlText w:val="(%1)"/>
      <w:numFmt w:val="lowerLetter"/>
      <w:start w:val="1"/>
    </w:lvl>
  </w:abstractNum>
  <w:abstractNum w:abstractNumId="130">
    <w:nsid w:val="BFFAE18"/>
    <w:multiLevelType w:val="hybridMultilevel"/>
    <w:lvl w:ilvl="0">
      <w:lvlJc w:val="left"/>
      <w:lvlText w:val="(%1)"/>
      <w:numFmt w:val="lowerRoman"/>
      <w:start w:val="2"/>
    </w:lvl>
  </w:abstractNum>
  <w:abstractNum w:abstractNumId="131">
    <w:nsid w:val="E3E47A8"/>
    <w:multiLevelType w:val="hybridMultilevel"/>
    <w:lvl w:ilvl="0">
      <w:lvlJc w:val="left"/>
      <w:lvlText w:val="(%1)"/>
      <w:numFmt w:val="lowerLetter"/>
      <w:start w:val="1"/>
    </w:lvl>
  </w:abstractNum>
  <w:abstractNum w:abstractNumId="132">
    <w:nsid w:val="2E48F044"/>
    <w:multiLevelType w:val="hybridMultilevel"/>
    <w:lvl w:ilvl="0">
      <w:lvlJc w:val="left"/>
      <w:lvlText w:val="(%1)"/>
      <w:numFmt w:val="lowerLetter"/>
      <w:start w:val="2"/>
    </w:lvl>
  </w:abstractNum>
  <w:abstractNum w:abstractNumId="133">
    <w:nsid w:val="49D0FEAC"/>
    <w:multiLevelType w:val="hybridMultilevel"/>
    <w:lvl w:ilvl="0">
      <w:lvlJc w:val="left"/>
      <w:lvlText w:val="(%1)"/>
      <w:numFmt w:val="lowerLetter"/>
      <w:start w:val="1"/>
    </w:lvl>
  </w:abstractNum>
  <w:abstractNum w:abstractNumId="134">
    <w:nsid w:val="4BEE5A5B"/>
    <w:multiLevelType w:val="hybridMultilevel"/>
    <w:lvl w:ilvl="0">
      <w:lvlJc w:val="left"/>
      <w:lvlText w:val="(%1)"/>
      <w:numFmt w:val="lowerLetter"/>
      <w:start w:val="2"/>
    </w:lvl>
  </w:abstractNum>
  <w:abstractNum w:abstractNumId="135">
    <w:nsid w:val="5551B9F3"/>
    <w:multiLevelType w:val="hybridMultilevel"/>
    <w:lvl w:ilvl="0">
      <w:lvlJc w:val="left"/>
      <w:lvlText w:val="(%1)"/>
      <w:numFmt w:val="lowerLetter"/>
      <w:start w:val="3"/>
    </w:lvl>
  </w:abstractNum>
  <w:abstractNum w:abstractNumId="136">
    <w:nsid w:val="24F6AB8E"/>
    <w:multiLevelType w:val="hybridMultilevel"/>
    <w:lvl w:ilvl="0">
      <w:lvlJc w:val="left"/>
      <w:lvlText w:val="(%1)"/>
      <w:numFmt w:val="lowerLetter"/>
      <w:start w:val="1"/>
    </w:lvl>
  </w:abstractNum>
  <w:abstractNum w:abstractNumId="137">
    <w:nsid w:val="634C574C"/>
    <w:multiLevelType w:val="hybridMultilevel"/>
    <w:lvl w:ilvl="0">
      <w:lvlJc w:val="left"/>
      <w:lvlText w:val="(%1)"/>
      <w:numFmt w:val="lowerLetter"/>
      <w:start w:val="1"/>
    </w:lvl>
  </w:abstractNum>
  <w:abstractNum w:abstractNumId="138">
    <w:nsid w:val="24E99DD7"/>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2025-04-22T15:50:31Z</dcterms:created>
  <dcterms:modified xsi:type="dcterms:W3CDTF">2025-04-22T15:50:31Z</dcterms:modified>
</cp:coreProperties>
</file>