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424(b)(2)</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333-195601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6"/>
              </w:rPr>
              <w:t>Title of Each</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6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Pr>
          <w:p>
            <w:pPr>
              <w:jc w:val="center"/>
              <w:ind w:left="19"/>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 of 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6"/>
              </w:rPr>
              <w:t>Per Unit (1)</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3"/>
              </w:rPr>
              <w:t>Registration Fee (2)</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6.600% Senior Notes due 2036</w:t>
            </w:r>
          </w:p>
        </w:tc>
        <w:tc>
          <w:tcPr>
            <w:tcW w:w="160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8"/>
                <w:szCs w:val="18"/>
                <w:color w:val="auto"/>
              </w:rPr>
              <w:t>$1,250,000,000</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99.920%</w:t>
            </w:r>
          </w:p>
        </w:tc>
        <w:tc>
          <w:tcPr>
            <w:tcW w:w="160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8"/>
                <w:szCs w:val="18"/>
                <w:color w:val="auto"/>
              </w:rPr>
              <w:t>$1,249,000,000</w:t>
            </w: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$125,774.30</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6.750% Senior Notes due 2046</w:t>
            </w:r>
          </w:p>
        </w:tc>
        <w:tc>
          <w:tcPr>
            <w:tcW w:w="16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$750,000,000</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99.909%</w:t>
            </w:r>
          </w:p>
        </w:tc>
        <w:tc>
          <w:tcPr>
            <w:tcW w:w="1600" w:type="dxa"/>
            <w:vAlign w:val="bottom"/>
            <w:tcBorders>
              <w:bottom w:val="single" w:sz="8" w:color="auto"/>
              <w:right w:val="single" w:sz="8" w:color="auto"/>
            </w:tcBorders>
          </w:tcPr>
          <w:p>
            <w:pPr>
              <w:jc w:val="right"/>
              <w:ind w:right="184"/>
              <w:spacing w:after="0"/>
              <w:rPr>
                <w:sz w:val="20"/>
                <w:szCs w:val="20"/>
                <w:color w:val="auto"/>
              </w:rPr>
            </w:pPr>
            <w:r>
              <w:rPr>
                <w:rFonts w:ascii="Arial" w:cs="Arial" w:eastAsia="Arial" w:hAnsi="Arial"/>
                <w:sz w:val="18"/>
                <w:szCs w:val="18"/>
                <w:color w:val="auto"/>
              </w:rPr>
              <w:t>$749,317,500</w:t>
            </w: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rPr>
              <w:t>$75,456.27</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fee is calculated pursuant to Rule 457(r) under the Securities Act of 1933, as amended.</w:t>
      </w:r>
    </w:p>
    <w:p>
      <w:pPr>
        <w:spacing w:after="0" w:line="2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Paid herewith.</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April 30, 2014)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88265</wp:posOffset>
            </wp:positionV>
            <wp:extent cx="45281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$1,250,000,000 6.600% Senior Notes due 2036</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  750,000,000 6.750% Senior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6" w:lineRule="exact"/>
        <w:rPr>
          <w:sz w:val="20"/>
          <w:szCs w:val="20"/>
          <w:color w:val="auto"/>
        </w:rPr>
      </w:pPr>
    </w:p>
    <w:p>
      <w:pPr>
        <w:ind w:right="380" w:firstLine="799"/>
        <w:spacing w:after="0" w:line="342" w:lineRule="auto"/>
        <w:rPr>
          <w:sz w:val="20"/>
          <w:szCs w:val="20"/>
          <w:color w:val="auto"/>
        </w:rPr>
      </w:pPr>
      <w:r>
        <w:rPr>
          <w:rFonts w:ascii="Arial" w:cs="Arial" w:eastAsia="Arial" w:hAnsi="Arial"/>
          <w:sz w:val="16"/>
          <w:szCs w:val="16"/>
          <w:color w:val="auto"/>
        </w:rPr>
        <w:t>General Motors Company is offering $1,250,000,000 in aggregate principal amount of 6.600% Senior Notes due 2036 (the “2036 Notes”) and $750,000,000 in aggregate principal amount of 6.750% Senior Notes due 2046 (the “2046 Notes” and, together with the 2036 Notes, the “Notes”).</w:t>
      </w:r>
    </w:p>
    <w:p>
      <w:pPr>
        <w:spacing w:after="0" w:line="16"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The 2036 Notes will mature on April 1, 2036 and the 2046 Notes will mature on April 1, 2046. Interest on the Notes will accrue from February 23, 2016. We will pay interest on the Notes on April 1 and October 1 of each year, commencing on October 1, 2016. The Notes will be our senior unsecured obligations and will rank equally in right of payment with all of our existing and future senior unsecured indebtedness.</w:t>
      </w:r>
    </w:p>
    <w:p>
      <w:pPr>
        <w:spacing w:after="0" w:line="73" w:lineRule="exact"/>
        <w:rPr>
          <w:sz w:val="20"/>
          <w:szCs w:val="20"/>
          <w:color w:val="auto"/>
        </w:rPr>
      </w:pPr>
    </w:p>
    <w:p>
      <w:pPr>
        <w:ind w:right="420" w:firstLine="799"/>
        <w:spacing w:after="0" w:line="277" w:lineRule="auto"/>
        <w:rPr>
          <w:sz w:val="20"/>
          <w:szCs w:val="20"/>
          <w:color w:val="auto"/>
        </w:rPr>
      </w:pPr>
      <w:r>
        <w:rPr>
          <w:rFonts w:ascii="Arial" w:cs="Arial" w:eastAsia="Arial" w:hAnsi="Arial"/>
          <w:sz w:val="18"/>
          <w:szCs w:val="18"/>
          <w:color w:val="auto"/>
        </w:rPr>
        <w:t>We may, at our option, redeem some or all of the Notes at any time and from time to time at the applicable redemption prices described under “Description of the Notes—Optional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2" w:lineRule="exact"/>
        <w:rPr>
          <w:sz w:val="20"/>
          <w:szCs w:val="20"/>
          <w:color w:val="auto"/>
        </w:rPr>
      </w:pPr>
    </w:p>
    <w:p>
      <w:pPr>
        <w:ind w:right="580" w:firstLine="799"/>
        <w:spacing w:after="0" w:line="313"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the Notes involves risks. See “</w:t>
      </w:r>
      <w:hyperlink w:anchor="page12">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S-7 of this prospectus supplement, in the accompanying prospectus and in our periodic reports filed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ind w:right="180" w:firstLine="79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132080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Per 2036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560" w:type="dxa"/>
            <w:vAlign w:val="bottom"/>
            <w:vMerge w:val="restart"/>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Per 2046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3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Price to Public (1)</w:t>
            </w:r>
          </w:p>
        </w:tc>
        <w:tc>
          <w:tcPr>
            <w:tcW w:w="13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99.920%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1,249,000,000</w:t>
            </w:r>
          </w:p>
        </w:tc>
        <w:tc>
          <w:tcPr>
            <w:tcW w:w="5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99.909%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749,317,500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line="149" w:lineRule="exact"/>
              <w:rPr>
                <w:sz w:val="20"/>
                <w:szCs w:val="20"/>
                <w:color w:val="auto"/>
              </w:rPr>
            </w:pPr>
            <w:r>
              <w:rPr>
                <w:rFonts w:ascii="Arial" w:cs="Arial" w:eastAsia="Arial" w:hAnsi="Arial"/>
                <w:sz w:val="14"/>
                <w:szCs w:val="14"/>
                <w:color w:val="auto"/>
              </w:rPr>
              <w:t>Underwriting Discounts</w:t>
            </w: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0.775%</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9,687,500</w:t>
            </w: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0.875%</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6,562,500</w:t>
            </w: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 (1)</w:t>
            </w: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99.145%</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1"/>
              </w:rPr>
              <w:t>1,239,312,500</w:t>
            </w: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99.034%</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742,755,000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Plus accrued interest, if any, from February 23, 2016.</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Notes will not be listed on any securities exchange or automated quotation system. Currently there is no market for the Notes.</w:t>
      </w:r>
    </w:p>
    <w:p>
      <w:pPr>
        <w:spacing w:after="0" w:line="117" w:lineRule="exact"/>
        <w:rPr>
          <w:sz w:val="20"/>
          <w:szCs w:val="20"/>
          <w:color w:val="auto"/>
        </w:rPr>
      </w:pPr>
    </w:p>
    <w:p>
      <w:pPr>
        <w:ind w:right="400" w:firstLine="799"/>
        <w:spacing w:after="0" w:line="308" w:lineRule="auto"/>
        <w:rPr>
          <w:sz w:val="20"/>
          <w:szCs w:val="20"/>
          <w:color w:val="auto"/>
        </w:rPr>
      </w:pPr>
      <w:r>
        <w:rPr>
          <w:rFonts w:ascii="Arial" w:cs="Arial" w:eastAsia="Arial" w:hAnsi="Arial"/>
          <w:sz w:val="17"/>
          <w:szCs w:val="17"/>
          <w:color w:val="auto"/>
        </w:rPr>
        <w:t xml:space="preserve">The underwriters expect to deliver the Notes to purchasers in book-entry form through the facilities of The Depository Trust Company and its participants, including Euroclear Bank S.A./N.V. and Clearstream Banking, </w:t>
      </w:r>
      <w:r>
        <w:rPr>
          <w:rFonts w:ascii="Arial" w:cs="Arial" w:eastAsia="Arial" w:hAnsi="Arial"/>
          <w:sz w:val="17"/>
          <w:szCs w:val="17"/>
          <w:i w:val="1"/>
          <w:iCs w:val="1"/>
          <w:color w:val="auto"/>
        </w:rPr>
        <w:t>société anonyme</w:t>
      </w:r>
      <w:r>
        <w:rPr>
          <w:rFonts w:ascii="Arial" w:cs="Arial" w:eastAsia="Arial" w:hAnsi="Arial"/>
          <w:sz w:val="17"/>
          <w:szCs w:val="17"/>
          <w:color w:val="auto"/>
        </w:rPr>
        <w:t>, on or about February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110490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4580" w:type="dxa"/>
            <w:vAlign w:val="bottom"/>
          </w:tcPr>
          <w:p>
            <w:pPr>
              <w:spacing w:after="0"/>
              <w:rPr>
                <w:sz w:val="20"/>
                <w:szCs w:val="20"/>
                <w:color w:val="auto"/>
              </w:rPr>
            </w:pPr>
            <w:r>
              <w:rPr>
                <w:rFonts w:ascii="Arial" w:cs="Arial" w:eastAsia="Arial" w:hAnsi="Arial"/>
                <w:sz w:val="25"/>
                <w:szCs w:val="25"/>
                <w:b w:val="1"/>
                <w:bCs w:val="1"/>
                <w:color w:val="auto"/>
              </w:rPr>
              <w:t>Goldman, Sachs &amp; Co.</w:t>
            </w:r>
          </w:p>
        </w:tc>
        <w:tc>
          <w:tcPr>
            <w:tcW w:w="3260" w:type="dxa"/>
            <w:vAlign w:val="bottom"/>
          </w:tcPr>
          <w:p>
            <w:pPr>
              <w:ind w:left="1100"/>
              <w:spacing w:after="0"/>
              <w:rPr>
                <w:sz w:val="20"/>
                <w:szCs w:val="20"/>
                <w:color w:val="auto"/>
              </w:rPr>
            </w:pPr>
            <w:r>
              <w:rPr>
                <w:rFonts w:ascii="Arial" w:cs="Arial" w:eastAsia="Arial" w:hAnsi="Arial"/>
                <w:sz w:val="25"/>
                <w:szCs w:val="25"/>
                <w:b w:val="1"/>
                <w:bCs w:val="1"/>
                <w:color w:val="auto"/>
                <w:w w:val="96"/>
              </w:rPr>
              <w:t>BofA Merrill Lynch</w:t>
            </w:r>
          </w:p>
        </w:tc>
        <w:tc>
          <w:tcPr>
            <w:tcW w:w="3580" w:type="dxa"/>
            <w:vAlign w:val="bottom"/>
          </w:tcPr>
          <w:p>
            <w:pPr>
              <w:jc w:val="right"/>
              <w:spacing w:after="0"/>
              <w:rPr>
                <w:sz w:val="20"/>
                <w:szCs w:val="20"/>
                <w:color w:val="auto"/>
              </w:rPr>
            </w:pPr>
            <w:r>
              <w:rPr>
                <w:rFonts w:ascii="Arial" w:cs="Arial" w:eastAsia="Arial" w:hAnsi="Arial"/>
                <w:sz w:val="25"/>
                <w:szCs w:val="25"/>
                <w:b w:val="1"/>
                <w:bCs w:val="1"/>
                <w:color w:val="auto"/>
              </w:rPr>
              <w:t>Citigroup</w:t>
            </w:r>
          </w:p>
        </w:tc>
      </w:tr>
      <w:tr>
        <w:trPr>
          <w:trHeight w:val="338"/>
        </w:trPr>
        <w:tc>
          <w:tcPr>
            <w:tcW w:w="4580" w:type="dxa"/>
            <w:vAlign w:val="bottom"/>
          </w:tcPr>
          <w:p>
            <w:pPr>
              <w:ind w:left="1560"/>
              <w:spacing w:after="0"/>
              <w:rPr>
                <w:sz w:val="20"/>
                <w:szCs w:val="20"/>
                <w:color w:val="auto"/>
              </w:rPr>
            </w:pPr>
            <w:r>
              <w:rPr>
                <w:rFonts w:ascii="Arial" w:cs="Arial" w:eastAsia="Arial" w:hAnsi="Arial"/>
                <w:sz w:val="25"/>
                <w:szCs w:val="25"/>
                <w:b w:val="1"/>
                <w:bCs w:val="1"/>
                <w:color w:val="auto"/>
                <w:w w:val="97"/>
              </w:rPr>
              <w:t>Deutsche Bank Securities</w:t>
            </w:r>
          </w:p>
        </w:tc>
        <w:tc>
          <w:tcPr>
            <w:tcW w:w="3260" w:type="dxa"/>
            <w:vAlign w:val="bottom"/>
          </w:tcPr>
          <w:p>
            <w:pPr>
              <w:spacing w:after="0"/>
              <w:rPr>
                <w:sz w:val="24"/>
                <w:szCs w:val="24"/>
                <w:color w:val="auto"/>
              </w:rPr>
            </w:pPr>
          </w:p>
        </w:tc>
        <w:tc>
          <w:tcPr>
            <w:tcW w:w="3580" w:type="dxa"/>
            <w:vAlign w:val="bottom"/>
          </w:tcPr>
          <w:p>
            <w:pPr>
              <w:jc w:val="right"/>
              <w:ind w:right="1714"/>
              <w:spacing w:after="0"/>
              <w:rPr>
                <w:sz w:val="20"/>
                <w:szCs w:val="20"/>
                <w:color w:val="auto"/>
              </w:rPr>
            </w:pPr>
            <w:r>
              <w:rPr>
                <w:rFonts w:ascii="Arial" w:cs="Arial" w:eastAsia="Arial" w:hAnsi="Arial"/>
                <w:sz w:val="25"/>
                <w:szCs w:val="25"/>
                <w:b w:val="1"/>
                <w:bCs w:val="1"/>
                <w:color w:val="auto"/>
                <w:w w:val="93"/>
              </w:rPr>
              <w:t>Morgan Stanley</w:t>
            </w:r>
          </w:p>
        </w:tc>
      </w:tr>
      <w:tr>
        <w:trPr>
          <w:trHeight w:val="316"/>
        </w:trPr>
        <w:tc>
          <w:tcPr>
            <w:tcW w:w="4580" w:type="dxa"/>
            <w:vAlign w:val="bottom"/>
          </w:tcPr>
          <w:p>
            <w:pPr>
              <w:spacing w:after="0"/>
              <w:rPr>
                <w:sz w:val="24"/>
                <w:szCs w:val="24"/>
                <w:color w:val="auto"/>
              </w:rPr>
            </w:pPr>
          </w:p>
        </w:tc>
        <w:tc>
          <w:tcPr>
            <w:tcW w:w="3260" w:type="dxa"/>
            <w:vAlign w:val="bottom"/>
          </w:tcPr>
          <w:p>
            <w:pPr>
              <w:jc w:val="center"/>
              <w:ind w:right="899"/>
              <w:spacing w:after="0"/>
              <w:rPr>
                <w:sz w:val="20"/>
                <w:szCs w:val="20"/>
                <w:color w:val="auto"/>
              </w:rPr>
            </w:pPr>
            <w:r>
              <w:rPr>
                <w:rFonts w:ascii="Arial" w:cs="Arial" w:eastAsia="Arial" w:hAnsi="Arial"/>
                <w:sz w:val="18"/>
                <w:szCs w:val="18"/>
                <w:i w:val="1"/>
                <w:iCs w:val="1"/>
                <w:color w:val="auto"/>
                <w:w w:val="91"/>
              </w:rPr>
              <w:t>Joint Lead Managers</w:t>
            </w:r>
          </w:p>
        </w:tc>
        <w:tc>
          <w:tcPr>
            <w:tcW w:w="3580" w:type="dxa"/>
            <w:vAlign w:val="bottom"/>
          </w:tcPr>
          <w:p>
            <w:pPr>
              <w:spacing w:after="0"/>
              <w:rPr>
                <w:sz w:val="24"/>
                <w:szCs w:val="24"/>
                <w:color w:val="auto"/>
              </w:rPr>
            </w:pPr>
          </w:p>
        </w:tc>
      </w:tr>
      <w:tr>
        <w:trPr>
          <w:trHeight w:val="337"/>
        </w:trPr>
        <w:tc>
          <w:tcPr>
            <w:tcW w:w="458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3260" w:type="dxa"/>
            <w:vAlign w:val="bottom"/>
          </w:tcPr>
          <w:p>
            <w:pPr>
              <w:jc w:val="center"/>
              <w:ind w:right="859"/>
              <w:spacing w:after="0"/>
              <w:rPr>
                <w:sz w:val="20"/>
                <w:szCs w:val="20"/>
                <w:color w:val="auto"/>
              </w:rPr>
            </w:pPr>
            <w:r>
              <w:rPr>
                <w:rFonts w:ascii="Arial" w:cs="Arial" w:eastAsia="Arial" w:hAnsi="Arial"/>
                <w:sz w:val="22"/>
                <w:szCs w:val="22"/>
                <w:b w:val="1"/>
                <w:bCs w:val="1"/>
                <w:color w:val="auto"/>
                <w:w w:val="93"/>
              </w:rPr>
              <w:t>BNP PARIBAS</w:t>
            </w:r>
          </w:p>
        </w:tc>
        <w:tc>
          <w:tcPr>
            <w:tcW w:w="3580" w:type="dxa"/>
            <w:vAlign w:val="bottom"/>
          </w:tcPr>
          <w:p>
            <w:pPr>
              <w:jc w:val="right"/>
              <w:spacing w:after="0"/>
              <w:rPr>
                <w:sz w:val="20"/>
                <w:szCs w:val="20"/>
                <w:color w:val="auto"/>
              </w:rPr>
            </w:pPr>
            <w:r>
              <w:rPr>
                <w:rFonts w:ascii="Arial" w:cs="Arial" w:eastAsia="Arial" w:hAnsi="Arial"/>
                <w:sz w:val="22"/>
                <w:szCs w:val="22"/>
                <w:b w:val="1"/>
                <w:bCs w:val="1"/>
                <w:color w:val="auto"/>
              </w:rPr>
              <w:t>COMMERZBANK</w:t>
            </w:r>
          </w:p>
        </w:tc>
      </w:tr>
      <w:tr>
        <w:trPr>
          <w:trHeight w:val="243"/>
        </w:trPr>
        <w:tc>
          <w:tcPr>
            <w:tcW w:w="4580" w:type="dxa"/>
            <w:vAlign w:val="bottom"/>
          </w:tcPr>
          <w:p>
            <w:pPr>
              <w:ind w:left="220"/>
              <w:spacing w:after="0" w:line="243" w:lineRule="exact"/>
              <w:rPr>
                <w:sz w:val="20"/>
                <w:szCs w:val="20"/>
                <w:color w:val="auto"/>
              </w:rPr>
            </w:pPr>
            <w:r>
              <w:rPr>
                <w:rFonts w:ascii="Arial" w:cs="Arial" w:eastAsia="Arial" w:hAnsi="Arial"/>
                <w:sz w:val="22"/>
                <w:szCs w:val="22"/>
                <w:b w:val="1"/>
                <w:bCs w:val="1"/>
                <w:color w:val="auto"/>
              </w:rPr>
              <w:t>Credit Agricole CIB</w:t>
            </w:r>
          </w:p>
        </w:tc>
        <w:tc>
          <w:tcPr>
            <w:tcW w:w="3260" w:type="dxa"/>
            <w:vAlign w:val="bottom"/>
          </w:tcPr>
          <w:p>
            <w:pPr>
              <w:jc w:val="center"/>
              <w:ind w:right="859"/>
              <w:spacing w:after="0" w:line="243" w:lineRule="exact"/>
              <w:rPr>
                <w:sz w:val="20"/>
                <w:szCs w:val="20"/>
                <w:color w:val="auto"/>
              </w:rPr>
            </w:pPr>
            <w:r>
              <w:rPr>
                <w:rFonts w:ascii="Arial" w:cs="Arial" w:eastAsia="Arial" w:hAnsi="Arial"/>
                <w:sz w:val="22"/>
                <w:szCs w:val="22"/>
                <w:b w:val="1"/>
                <w:bCs w:val="1"/>
                <w:color w:val="auto"/>
                <w:w w:val="86"/>
              </w:rPr>
              <w:t>Credit Suisse</w:t>
            </w:r>
          </w:p>
        </w:tc>
        <w:tc>
          <w:tcPr>
            <w:tcW w:w="35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J.P. Morgan</w:t>
            </w:r>
          </w:p>
        </w:tc>
      </w:tr>
      <w:tr>
        <w:trPr>
          <w:trHeight w:val="281"/>
        </w:trPr>
        <w:tc>
          <w:tcPr>
            <w:tcW w:w="4580" w:type="dxa"/>
            <w:vAlign w:val="bottom"/>
          </w:tcPr>
          <w:p>
            <w:pPr>
              <w:ind w:left="440"/>
              <w:spacing w:after="0"/>
              <w:rPr>
                <w:sz w:val="20"/>
                <w:szCs w:val="20"/>
                <w:color w:val="auto"/>
              </w:rPr>
            </w:pPr>
            <w:r>
              <w:rPr>
                <w:rFonts w:ascii="Arial" w:cs="Arial" w:eastAsia="Arial" w:hAnsi="Arial"/>
                <w:sz w:val="22"/>
                <w:szCs w:val="22"/>
                <w:b w:val="1"/>
                <w:bCs w:val="1"/>
                <w:color w:val="auto"/>
              </w:rPr>
              <w:t>Lloyds Securities</w:t>
            </w:r>
          </w:p>
        </w:tc>
        <w:tc>
          <w:tcPr>
            <w:tcW w:w="3260" w:type="dxa"/>
            <w:vAlign w:val="bottom"/>
          </w:tcPr>
          <w:p>
            <w:pPr>
              <w:jc w:val="center"/>
              <w:ind w:right="859"/>
              <w:spacing w:after="0"/>
              <w:rPr>
                <w:sz w:val="20"/>
                <w:szCs w:val="20"/>
                <w:color w:val="auto"/>
              </w:rPr>
            </w:pPr>
            <w:r>
              <w:rPr>
                <w:rFonts w:ascii="Arial" w:cs="Arial" w:eastAsia="Arial" w:hAnsi="Arial"/>
                <w:sz w:val="22"/>
                <w:szCs w:val="22"/>
                <w:b w:val="1"/>
                <w:bCs w:val="1"/>
                <w:color w:val="auto"/>
                <w:w w:val="88"/>
              </w:rPr>
              <w:t>Mizuho Securities</w:t>
            </w:r>
          </w:p>
        </w:tc>
        <w:tc>
          <w:tcPr>
            <w:tcW w:w="3580" w:type="dxa"/>
            <w:vAlign w:val="bottom"/>
          </w:tcPr>
          <w:p>
            <w:pPr>
              <w:jc w:val="right"/>
              <w:spacing w:after="0"/>
              <w:rPr>
                <w:sz w:val="20"/>
                <w:szCs w:val="20"/>
                <w:color w:val="auto"/>
              </w:rPr>
            </w:pPr>
            <w:r>
              <w:rPr>
                <w:rFonts w:ascii="Arial" w:cs="Arial" w:eastAsia="Arial" w:hAnsi="Arial"/>
                <w:sz w:val="22"/>
                <w:szCs w:val="22"/>
                <w:b w:val="1"/>
                <w:bCs w:val="1"/>
                <w:color w:val="auto"/>
              </w:rPr>
              <w:t>SOCIETE GENERALE</w:t>
            </w:r>
          </w:p>
        </w:tc>
      </w:tr>
      <w:tr>
        <w:trPr>
          <w:trHeight w:val="314"/>
        </w:trPr>
        <w:tc>
          <w:tcPr>
            <w:tcW w:w="4580" w:type="dxa"/>
            <w:vAlign w:val="bottom"/>
          </w:tcPr>
          <w:p>
            <w:pPr>
              <w:spacing w:after="0"/>
              <w:rPr>
                <w:sz w:val="24"/>
                <w:szCs w:val="24"/>
                <w:color w:val="auto"/>
              </w:rPr>
            </w:pPr>
          </w:p>
        </w:tc>
        <w:tc>
          <w:tcPr>
            <w:tcW w:w="3260" w:type="dxa"/>
            <w:vAlign w:val="bottom"/>
          </w:tcPr>
          <w:p>
            <w:pPr>
              <w:jc w:val="center"/>
              <w:ind w:right="879"/>
              <w:spacing w:after="0"/>
              <w:rPr>
                <w:sz w:val="20"/>
                <w:szCs w:val="20"/>
                <w:color w:val="auto"/>
              </w:rPr>
            </w:pPr>
            <w:r>
              <w:rPr>
                <w:rFonts w:ascii="Arial" w:cs="Arial" w:eastAsia="Arial" w:hAnsi="Arial"/>
                <w:sz w:val="18"/>
                <w:szCs w:val="18"/>
                <w:i w:val="1"/>
                <w:iCs w:val="1"/>
                <w:color w:val="auto"/>
                <w:w w:val="91"/>
              </w:rPr>
              <w:t>Co-Managers</w:t>
            </w:r>
          </w:p>
        </w:tc>
        <w:tc>
          <w:tcPr>
            <w:tcW w:w="3580" w:type="dxa"/>
            <w:vAlign w:val="bottom"/>
          </w:tcPr>
          <w:p>
            <w:pPr>
              <w:spacing w:after="0"/>
              <w:rPr>
                <w:sz w:val="24"/>
                <w:szCs w:val="24"/>
                <w:color w:val="auto"/>
              </w:rPr>
            </w:pPr>
          </w:p>
        </w:tc>
      </w:tr>
      <w:tr>
        <w:trPr>
          <w:trHeight w:val="338"/>
        </w:trPr>
        <w:tc>
          <w:tcPr>
            <w:tcW w:w="4580" w:type="dxa"/>
            <w:vAlign w:val="bottom"/>
          </w:tcPr>
          <w:p>
            <w:pPr>
              <w:spacing w:after="0"/>
              <w:rPr>
                <w:sz w:val="20"/>
                <w:szCs w:val="20"/>
                <w:color w:val="auto"/>
              </w:rPr>
            </w:pPr>
            <w:r>
              <w:rPr>
                <w:rFonts w:ascii="Arial" w:cs="Arial" w:eastAsia="Arial" w:hAnsi="Arial"/>
                <w:sz w:val="18"/>
                <w:szCs w:val="18"/>
                <w:b w:val="1"/>
                <w:bCs w:val="1"/>
                <w:color w:val="auto"/>
              </w:rPr>
              <w:t>BB Securities</w:t>
            </w:r>
          </w:p>
        </w:tc>
        <w:tc>
          <w:tcPr>
            <w:tcW w:w="3260" w:type="dxa"/>
            <w:vAlign w:val="bottom"/>
          </w:tcPr>
          <w:p>
            <w:pPr>
              <w:ind w:left="720"/>
              <w:spacing w:after="0"/>
              <w:rPr>
                <w:sz w:val="20"/>
                <w:szCs w:val="20"/>
                <w:color w:val="auto"/>
              </w:rPr>
            </w:pPr>
            <w:r>
              <w:rPr>
                <w:rFonts w:ascii="Arial" w:cs="Arial" w:eastAsia="Arial" w:hAnsi="Arial"/>
                <w:sz w:val="18"/>
                <w:szCs w:val="18"/>
                <w:b w:val="1"/>
                <w:bCs w:val="1"/>
                <w:color w:val="auto"/>
              </w:rPr>
              <w:t>Bradesco BBI</w:t>
            </w:r>
          </w:p>
        </w:tc>
        <w:tc>
          <w:tcPr>
            <w:tcW w:w="3580" w:type="dxa"/>
            <w:vAlign w:val="bottom"/>
          </w:tcPr>
          <w:p>
            <w:pPr>
              <w:jc w:val="right"/>
              <w:spacing w:after="0"/>
              <w:rPr>
                <w:sz w:val="20"/>
                <w:szCs w:val="20"/>
                <w:color w:val="auto"/>
              </w:rPr>
            </w:pPr>
            <w:r>
              <w:rPr>
                <w:rFonts w:ascii="Arial" w:cs="Arial" w:eastAsia="Arial" w:hAnsi="Arial"/>
                <w:sz w:val="18"/>
                <w:szCs w:val="18"/>
                <w:b w:val="1"/>
                <w:bCs w:val="1"/>
                <w:color w:val="auto"/>
              </w:rPr>
              <w:t>RBC Capital Markets</w:t>
            </w:r>
          </w:p>
        </w:tc>
      </w:tr>
      <w:tr>
        <w:trPr>
          <w:trHeight w:val="284"/>
        </w:trPr>
        <w:tc>
          <w:tcPr>
            <w:tcW w:w="4580" w:type="dxa"/>
            <w:vAlign w:val="bottom"/>
          </w:tcPr>
          <w:p>
            <w:pPr>
              <w:ind w:left="180"/>
              <w:spacing w:after="0"/>
              <w:rPr>
                <w:sz w:val="20"/>
                <w:szCs w:val="20"/>
                <w:color w:val="auto"/>
              </w:rPr>
            </w:pPr>
            <w:r>
              <w:rPr>
                <w:rFonts w:ascii="Arial" w:cs="Arial" w:eastAsia="Arial" w:hAnsi="Arial"/>
                <w:sz w:val="18"/>
                <w:szCs w:val="18"/>
                <w:b w:val="1"/>
                <w:bCs w:val="1"/>
                <w:color w:val="auto"/>
              </w:rPr>
              <w:t>RBS</w:t>
            </w:r>
          </w:p>
        </w:tc>
        <w:tc>
          <w:tcPr>
            <w:tcW w:w="3260" w:type="dxa"/>
            <w:vAlign w:val="bottom"/>
          </w:tcPr>
          <w:p>
            <w:pPr>
              <w:ind w:left="740"/>
              <w:spacing w:after="0"/>
              <w:rPr>
                <w:sz w:val="20"/>
                <w:szCs w:val="20"/>
                <w:color w:val="auto"/>
              </w:rPr>
            </w:pPr>
            <w:r>
              <w:rPr>
                <w:rFonts w:ascii="Arial" w:cs="Arial" w:eastAsia="Arial" w:hAnsi="Arial"/>
                <w:sz w:val="18"/>
                <w:szCs w:val="18"/>
                <w:b w:val="1"/>
                <w:bCs w:val="1"/>
                <w:color w:val="auto"/>
              </w:rPr>
              <w:t>TD Securities</w:t>
            </w:r>
          </w:p>
        </w:tc>
        <w:tc>
          <w:tcPr>
            <w:tcW w:w="3580" w:type="dxa"/>
            <w:vAlign w:val="bottom"/>
          </w:tcPr>
          <w:p>
            <w:pPr>
              <w:jc w:val="right"/>
              <w:spacing w:after="0"/>
              <w:rPr>
                <w:sz w:val="20"/>
                <w:szCs w:val="20"/>
                <w:color w:val="auto"/>
              </w:rPr>
            </w:pPr>
            <w:r>
              <w:rPr>
                <w:rFonts w:ascii="Arial" w:cs="Arial" w:eastAsia="Arial" w:hAnsi="Arial"/>
                <w:sz w:val="18"/>
                <w:szCs w:val="18"/>
                <w:b w:val="1"/>
                <w:bCs w:val="1"/>
                <w:color w:val="auto"/>
              </w:rPr>
              <w:t>Blaylock Beal Van, LLC</w:t>
            </w:r>
          </w:p>
        </w:tc>
      </w:tr>
      <w:tr>
        <w:trPr>
          <w:trHeight w:val="284"/>
        </w:trPr>
        <w:tc>
          <w:tcPr>
            <w:tcW w:w="4580" w:type="dxa"/>
            <w:vAlign w:val="bottom"/>
          </w:tcPr>
          <w:p>
            <w:pPr>
              <w:ind w:left="540"/>
              <w:spacing w:after="0"/>
              <w:rPr>
                <w:sz w:val="20"/>
                <w:szCs w:val="20"/>
                <w:color w:val="auto"/>
              </w:rPr>
            </w:pPr>
            <w:r>
              <w:rPr>
                <w:rFonts w:ascii="Arial" w:cs="Arial" w:eastAsia="Arial" w:hAnsi="Arial"/>
                <w:sz w:val="18"/>
                <w:szCs w:val="18"/>
                <w:b w:val="1"/>
                <w:bCs w:val="1"/>
                <w:color w:val="auto"/>
              </w:rPr>
              <w:t>C.L. King &amp; Associates</w:t>
            </w:r>
          </w:p>
        </w:tc>
        <w:tc>
          <w:tcPr>
            <w:tcW w:w="326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8"/>
                <w:szCs w:val="18"/>
                <w:b w:val="1"/>
                <w:bCs w:val="1"/>
                <w:color w:val="auto"/>
              </w:rPr>
              <w:t>Mischler Financial Group, Inc.</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February 18, 2016.</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8"/>
              </w:rPr>
              <w:t>TABLE OF CONTENTS</w:t>
            </w:r>
          </w:p>
        </w:tc>
        <w:tc>
          <w:tcPr>
            <w:tcW w:w="2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7"/>
              </w:rPr>
              <w:t>Prospectus Supplement</w:t>
            </w: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560" w:type="dxa"/>
            <w:vAlign w:val="bottom"/>
            <w:gridSpan w:val="16"/>
            <w:vMerge w:val="restart"/>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About This Prospectus Supplement</w:t>
              </w:r>
            </w:hyperlink>
          </w:p>
        </w:tc>
        <w:tc>
          <w:tcPr>
            <w:tcW w:w="6280" w:type="dxa"/>
            <w:vAlign w:val="bottom"/>
            <w:gridSpan w:val="7"/>
            <w:vMerge w:val="restart"/>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2560" w:type="dxa"/>
            <w:vAlign w:val="bottom"/>
            <w:tcBorders>
              <w:bottom w:val="single" w:sz="8" w:color="0000EE"/>
            </w:tcBorders>
            <w:gridSpan w:val="16"/>
            <w:vMerge w:val="continue"/>
          </w:tcPr>
          <w:p>
            <w:pPr>
              <w:spacing w:after="0"/>
              <w:rPr>
                <w:sz w:val="14"/>
                <w:szCs w:val="14"/>
                <w:color w:val="auto"/>
              </w:rPr>
            </w:pPr>
          </w:p>
        </w:tc>
        <w:tc>
          <w:tcPr>
            <w:tcW w:w="6280" w:type="dxa"/>
            <w:vAlign w:val="bottom"/>
            <w:gridSpan w:val="7"/>
            <w:vMerge w:val="continue"/>
          </w:tcPr>
          <w:p>
            <w:pPr>
              <w:spacing w:after="0"/>
              <w:rPr>
                <w:sz w:val="14"/>
                <w:szCs w:val="14"/>
                <w:color w:val="auto"/>
              </w:rPr>
            </w:pPr>
          </w:p>
        </w:tc>
        <w:tc>
          <w:tcPr>
            <w:tcW w:w="216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4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21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6400" w:type="dxa"/>
            <w:vAlign w:val="bottom"/>
            <w:gridSpan w:val="8"/>
          </w:tcPr>
          <w:p>
            <w:pPr>
              <w:spacing w:after="0"/>
              <w:rPr>
                <w:sz w:val="17"/>
                <w:szCs w:val="17"/>
                <w:color w:val="auto"/>
              </w:rPr>
            </w:pPr>
          </w:p>
        </w:tc>
        <w:tc>
          <w:tcPr>
            <w:tcW w:w="21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Risk Factors</w:t>
              </w:r>
            </w:hyperlink>
          </w:p>
        </w:tc>
        <w:tc>
          <w:tcPr>
            <w:tcW w:w="7920" w:type="dxa"/>
            <w:vAlign w:val="bottom"/>
            <w:gridSpan w:val="21"/>
          </w:tcPr>
          <w:p>
            <w:pPr>
              <w:spacing w:after="0"/>
              <w:rPr>
                <w:sz w:val="17"/>
                <w:szCs w:val="17"/>
                <w:color w:val="auto"/>
              </w:rPr>
            </w:pPr>
          </w:p>
        </w:tc>
        <w:tc>
          <w:tcPr>
            <w:tcW w:w="21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Use of Proceeds</w:t>
              </w:r>
            </w:hyperlink>
          </w:p>
        </w:tc>
        <w:tc>
          <w:tcPr>
            <w:tcW w:w="7660" w:type="dxa"/>
            <w:vAlign w:val="bottom"/>
            <w:gridSpan w:val="18"/>
          </w:tcPr>
          <w:p>
            <w:pPr>
              <w:spacing w:after="0"/>
              <w:rPr>
                <w:sz w:val="17"/>
                <w:szCs w:val="17"/>
                <w:color w:val="auto"/>
              </w:rPr>
            </w:pPr>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8840" w:type="dxa"/>
            <w:vAlign w:val="bottom"/>
            <w:gridSpan w:val="2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Consolidated Ratio of Earnings to Fixed Charges</w:t>
              </w:r>
            </w:hyperlink>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Description of the Notes</w:t>
              </w:r>
            </w:hyperlink>
          </w:p>
        </w:tc>
        <w:tc>
          <w:tcPr>
            <w:tcW w:w="1760" w:type="dxa"/>
            <w:vAlign w:val="bottom"/>
            <w:tcBorders>
              <w:top w:val="single" w:sz="8" w:color="0000EE"/>
            </w:tcBorders>
            <w:gridSpan w:val="10"/>
          </w:tcPr>
          <w:p>
            <w:pPr>
              <w:spacing w:after="0"/>
              <w:rPr>
                <w:sz w:val="17"/>
                <w:szCs w:val="17"/>
                <w:color w:val="auto"/>
              </w:rPr>
            </w:pPr>
          </w:p>
        </w:tc>
        <w:tc>
          <w:tcPr>
            <w:tcW w:w="5300" w:type="dxa"/>
            <w:vAlign w:val="bottom"/>
            <w:gridSpan w:val="4"/>
          </w:tcPr>
          <w:p>
            <w:pPr>
              <w:spacing w:after="0"/>
              <w:rPr>
                <w:sz w:val="17"/>
                <w:szCs w:val="17"/>
                <w:color w:val="auto"/>
              </w:rPr>
            </w:pPr>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884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Certain U.S. Federal Tax Considerations</w:t>
              </w:r>
            </w:hyperlink>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Underwriting</w:t>
              </w:r>
            </w:hyperlink>
          </w:p>
        </w:tc>
        <w:tc>
          <w:tcPr>
            <w:tcW w:w="1940" w:type="dxa"/>
            <w:vAlign w:val="bottom"/>
            <w:tcBorders>
              <w:top w:val="single" w:sz="8" w:color="0000EE"/>
            </w:tcBorders>
            <w:gridSpan w:val="15"/>
          </w:tcPr>
          <w:p>
            <w:pPr>
              <w:spacing w:after="0"/>
              <w:rPr>
                <w:sz w:val="17"/>
                <w:szCs w:val="17"/>
                <w:color w:val="auto"/>
              </w:rPr>
            </w:pPr>
          </w:p>
        </w:tc>
        <w:tc>
          <w:tcPr>
            <w:tcW w:w="5920" w:type="dxa"/>
            <w:vAlign w:val="bottom"/>
            <w:gridSpan w:val="5"/>
          </w:tcPr>
          <w:p>
            <w:pPr>
              <w:spacing w:after="0"/>
              <w:rPr>
                <w:sz w:val="17"/>
                <w:szCs w:val="17"/>
                <w:color w:val="auto"/>
              </w:rPr>
            </w:pPr>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Legal Matters</w:t>
              </w:r>
            </w:hyperlink>
          </w:p>
        </w:tc>
        <w:tc>
          <w:tcPr>
            <w:tcW w:w="7820" w:type="dxa"/>
            <w:vAlign w:val="bottom"/>
            <w:gridSpan w:val="19"/>
          </w:tcPr>
          <w:p>
            <w:pPr>
              <w:spacing w:after="0"/>
              <w:rPr>
                <w:sz w:val="17"/>
                <w:szCs w:val="17"/>
                <w:color w:val="auto"/>
              </w:rPr>
            </w:pPr>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196"/>
        </w:trPr>
        <w:tc>
          <w:tcPr>
            <w:tcW w:w="8840" w:type="dxa"/>
            <w:vAlign w:val="bottom"/>
            <w:gridSpan w:val="2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Incorporation of Certain Documents by Reference</w:t>
              </w:r>
            </w:hyperlink>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Where You Can Find More Information</w:t>
              </w:r>
            </w:hyperlink>
          </w:p>
        </w:tc>
        <w:tc>
          <w:tcPr>
            <w:tcW w:w="5220" w:type="dxa"/>
            <w:vAlign w:val="bottom"/>
            <w:gridSpan w:val="3"/>
          </w:tcPr>
          <w:p>
            <w:pPr>
              <w:spacing w:after="0"/>
              <w:rPr>
                <w:sz w:val="17"/>
                <w:szCs w:val="17"/>
                <w:color w:val="auto"/>
              </w:rPr>
            </w:pPr>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5"/>
              </w:rPr>
              <w:t>Prospectus</w:t>
            </w: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840" w:type="dxa"/>
            <w:vAlign w:val="bottom"/>
            <w:gridSpan w:val="2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4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Incorporation of Certain Documents by Reference</w:t>
              </w:r>
            </w:hyperlink>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Risk Factors</w:t>
              </w:r>
            </w:hyperlink>
          </w:p>
        </w:tc>
        <w:tc>
          <w:tcPr>
            <w:tcW w:w="2700" w:type="dxa"/>
            <w:vAlign w:val="bottom"/>
            <w:tcBorders>
              <w:top w:val="single" w:sz="8" w:color="0000EE"/>
            </w:tcBorders>
            <w:gridSpan w:val="18"/>
          </w:tcPr>
          <w:p>
            <w:pPr>
              <w:spacing w:after="0"/>
              <w:rPr>
                <w:sz w:val="17"/>
                <w:szCs w:val="17"/>
                <w:color w:val="auto"/>
              </w:rPr>
            </w:pPr>
          </w:p>
        </w:tc>
        <w:tc>
          <w:tcPr>
            <w:tcW w:w="5220" w:type="dxa"/>
            <w:vAlign w:val="bottom"/>
            <w:gridSpan w:val="3"/>
          </w:tcPr>
          <w:p>
            <w:pPr>
              <w:spacing w:after="0"/>
              <w:rPr>
                <w:sz w:val="17"/>
                <w:szCs w:val="17"/>
                <w:color w:val="auto"/>
              </w:rPr>
            </w:pPr>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4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General Motors Company</w:t>
              </w:r>
            </w:hyperlink>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4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Ratio of Earnings to Fixed Charges</w:t>
              </w:r>
            </w:hyperlink>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Consolidated Ratio of Earnings to Combined Fixed Charges and Preferred Stock Dividends</w:t>
              </w:r>
            </w:hyperlink>
          </w:p>
        </w:tc>
        <w:tc>
          <w:tcPr>
            <w:tcW w:w="2240" w:type="dxa"/>
            <w:vAlign w:val="bottom"/>
          </w:tcPr>
          <w:p>
            <w:pPr>
              <w:spacing w:after="0"/>
              <w:rPr>
                <w:sz w:val="17"/>
                <w:szCs w:val="17"/>
                <w:color w:val="auto"/>
              </w:rPr>
            </w:pPr>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Use of Proceeds</w:t>
              </w:r>
            </w:hyperlink>
          </w:p>
        </w:tc>
        <w:tc>
          <w:tcPr>
            <w:tcW w:w="7660" w:type="dxa"/>
            <w:vAlign w:val="bottom"/>
            <w:gridSpan w:val="18"/>
          </w:tcPr>
          <w:p>
            <w:pPr>
              <w:spacing w:after="0"/>
              <w:rPr>
                <w:sz w:val="17"/>
                <w:szCs w:val="17"/>
                <w:color w:val="auto"/>
              </w:rPr>
            </w:pPr>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40" w:type="dxa"/>
            <w:vAlign w:val="bottom"/>
            <w:gridSpan w:val="2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Forward-Looking Statements</w:t>
              </w:r>
            </w:hyperlink>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Overview of Our Capital Stock</w:t>
              </w:r>
            </w:hyperlink>
          </w:p>
        </w:tc>
        <w:tc>
          <w:tcPr>
            <w:tcW w:w="6580" w:type="dxa"/>
            <w:vAlign w:val="bottom"/>
            <w:gridSpan w:val="9"/>
          </w:tcPr>
          <w:p>
            <w:pPr>
              <w:spacing w:after="0"/>
              <w:rPr>
                <w:sz w:val="17"/>
                <w:szCs w:val="17"/>
                <w:color w:val="auto"/>
              </w:rPr>
            </w:pPr>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840" w:type="dxa"/>
            <w:vAlign w:val="bottom"/>
            <w:gridSpan w:val="2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General Description of Securities That May Be Offered</w:t>
              </w:r>
            </w:hyperlink>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Description of Debt Securities</w:t>
              </w:r>
            </w:hyperlink>
          </w:p>
        </w:tc>
        <w:tc>
          <w:tcPr>
            <w:tcW w:w="1800" w:type="dxa"/>
            <w:vAlign w:val="bottom"/>
            <w:tcBorders>
              <w:top w:val="single" w:sz="8" w:color="0000EE"/>
            </w:tcBorders>
            <w:gridSpan w:val="9"/>
          </w:tcPr>
          <w:p>
            <w:pPr>
              <w:spacing w:after="0"/>
              <w:rPr>
                <w:sz w:val="17"/>
                <w:szCs w:val="17"/>
                <w:color w:val="auto"/>
              </w:rPr>
            </w:pPr>
          </w:p>
        </w:tc>
        <w:tc>
          <w:tcPr>
            <w:tcW w:w="4840" w:type="dxa"/>
            <w:vAlign w:val="bottom"/>
            <w:gridSpan w:val="2"/>
          </w:tcPr>
          <w:p>
            <w:pPr>
              <w:spacing w:after="0"/>
              <w:rPr>
                <w:sz w:val="17"/>
                <w:szCs w:val="17"/>
                <w:color w:val="auto"/>
              </w:rPr>
            </w:pPr>
          </w:p>
        </w:tc>
        <w:tc>
          <w:tcPr>
            <w:tcW w:w="2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Description of Preferred Stock</w:t>
              </w:r>
            </w:hyperlink>
          </w:p>
        </w:tc>
        <w:tc>
          <w:tcPr>
            <w:tcW w:w="6620" w:type="dxa"/>
            <w:vAlign w:val="bottom"/>
            <w:gridSpan w:val="10"/>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Description of Common Stock</w:t>
              </w:r>
            </w:hyperlink>
          </w:p>
        </w:tc>
        <w:tc>
          <w:tcPr>
            <w:tcW w:w="6620" w:type="dxa"/>
            <w:vAlign w:val="bottom"/>
            <w:gridSpan w:val="10"/>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Description of Warrants</w:t>
              </w:r>
            </w:hyperlink>
          </w:p>
        </w:tc>
        <w:tc>
          <w:tcPr>
            <w:tcW w:w="7100" w:type="dxa"/>
            <w:vAlign w:val="bottom"/>
            <w:gridSpan w:val="15"/>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Plan of Distribution</w:t>
              </w:r>
            </w:hyperlink>
          </w:p>
        </w:tc>
        <w:tc>
          <w:tcPr>
            <w:tcW w:w="7400" w:type="dxa"/>
            <w:vAlign w:val="bottom"/>
            <w:gridSpan w:val="17"/>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Legal Matters</w:t>
              </w:r>
            </w:hyperlink>
          </w:p>
        </w:tc>
        <w:tc>
          <w:tcPr>
            <w:tcW w:w="7820" w:type="dxa"/>
            <w:vAlign w:val="bottom"/>
            <w:gridSpan w:val="19"/>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Experts</w:t>
              </w:r>
            </w:hyperlink>
          </w:p>
        </w:tc>
        <w:tc>
          <w:tcPr>
            <w:tcW w:w="8280" w:type="dxa"/>
            <w:vAlign w:val="bottom"/>
            <w:gridSpan w:val="22"/>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Where You Can Find More Information</w:t>
              </w:r>
            </w:hyperlink>
          </w:p>
        </w:tc>
        <w:tc>
          <w:tcPr>
            <w:tcW w:w="5960" w:type="dxa"/>
            <w:vAlign w:val="bottom"/>
            <w:gridSpan w:val="6"/>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180" w:firstLine="799"/>
        <w:spacing w:after="0" w:line="255" w:lineRule="auto"/>
        <w:rPr>
          <w:sz w:val="20"/>
          <w:szCs w:val="20"/>
          <w:color w:val="auto"/>
        </w:rPr>
      </w:pPr>
      <w:r>
        <w:rPr>
          <w:rFonts w:ascii="Arial" w:cs="Arial" w:eastAsia="Arial" w:hAnsi="Arial"/>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any related free writing prospectus and our current and periodic reports filed from time to time with the SEC, as well as the additional information described under “Incorporation of Certain Documents by Reference” and “Where You Can Find More Information” in this prospectus supplement and the accompanying prospectus, before making an investment decision.</w:t>
      </w:r>
    </w:p>
    <w:p>
      <w:pPr>
        <w:spacing w:after="0" w:line="189"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In this prospectus supplement, unless the context indicates otherwise, references to “we,” “our,” “us,” “ourselves,” the “Company,” “General Motors” or “GM” refer to General Motors Company and, where appropriate, its subsidiaries. However, in the “Prospectus Supplement Summary—The Offering,” “Risk Factors—Risks Related to the Notes,” “Description of the Notes” and “Underwriting” sections of this prospectus supplement, references to “we,” “our,” “us,” “ourselves,” the “Company,” the “Issuer,” “General Motors” or “GM” refer to General Motors Company (parent company only) and not to any of our subsidiaries.</w:t>
      </w:r>
    </w:p>
    <w:p>
      <w:pPr>
        <w:spacing w:after="0" w:line="188"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to which we have referred you is accurate only as of their respective dates. Our business, financial condition, results of operations and prospects may have changed since those dates.</w:t>
      </w:r>
    </w:p>
    <w:p>
      <w:pPr>
        <w:spacing w:after="0" w:line="179" w:lineRule="exact"/>
        <w:rPr>
          <w:sz w:val="20"/>
          <w:szCs w:val="20"/>
          <w:color w:val="auto"/>
        </w:rPr>
      </w:pPr>
    </w:p>
    <w:p>
      <w:pPr>
        <w:jc w:val="both"/>
        <w:ind w:right="560" w:firstLine="799"/>
        <w:spacing w:after="0" w:line="264"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This prospectus supplement and the accompanying prospectus may include or incorporate by reference “forward-looking statements” within the meaning of Section 27A of the Securities Act of 1933, as amended (the “Securities Act”), and Section 21E of the Securities Exchange Act of 1934, as amended (the “Exchange Act”). We use words like “anticipate,” “appears,” “approximately,” “believe,” “continue,” “could,” “designed,” “effect,” “estimate,” “evaluate,” “expect,” “forecast,” “goal,” “initiative,” “intend,” “may,” “objective,” “outlook,” “plan,” “potential,” “priorities,” “project,” “pursue,” “seek,” “will,” “should,” “target,” “when,” “would,” or the negative of any of those words or similar expressions to identify forward-looking statements that represent our current judgment about possible future events. All statements included or incorporated by reference in this prospectus supplement and the 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79"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In making these statements, we rely on assumptions and analyses based on our experience and perception of historical trends, current conditions and expected future developments as well as other factors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consider appropriate under the circumstances. We believe these judgments are reasonable, but these statements are not guarantees of any events or financial results, and our actual results may differ materially due to a variety of important factors, both positive and negative,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87"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97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9761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20" w:firstLine="775"/>
        <w:spacing w:after="0" w:line="293" w:lineRule="auto"/>
        <w:rPr>
          <w:sz w:val="20"/>
          <w:szCs w:val="20"/>
          <w:color w:val="auto"/>
        </w:rPr>
      </w:pPr>
      <w:r>
        <w:rPr>
          <w:rFonts w:ascii="Arial" w:cs="Arial" w:eastAsia="Arial" w:hAnsi="Arial"/>
          <w:sz w:val="16"/>
          <w:szCs w:val="16"/>
          <w:i w:val="1"/>
          <w:iCs w:val="1"/>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S-7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320" w:firstLine="775"/>
        <w:spacing w:after="0" w:line="277" w:lineRule="auto"/>
        <w:rPr>
          <w:sz w:val="20"/>
          <w:szCs w:val="20"/>
          <w:color w:val="auto"/>
        </w:rPr>
      </w:pPr>
      <w:r>
        <w:rPr>
          <w:rFonts w:ascii="Arial" w:cs="Arial" w:eastAsia="Arial" w:hAnsi="Arial"/>
          <w:sz w:val="18"/>
          <w:szCs w:val="18"/>
          <w:color w:val="auto"/>
        </w:rPr>
        <w:t>We design, build and sell cars, trucks, crossovers and automobile parts worldwide. We also provide automotive financing services through General Motors Financial Company, Inc. (“GM Financial”).</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200" w:right="180" w:firstLine="775"/>
        <w:spacing w:after="0" w:line="277"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and GM South America.</w:t>
      </w:r>
    </w:p>
    <w:p>
      <w:pPr>
        <w:spacing w:after="0" w:line="170" w:lineRule="exact"/>
        <w:rPr>
          <w:sz w:val="20"/>
          <w:szCs w:val="20"/>
          <w:color w:val="auto"/>
        </w:rPr>
      </w:pPr>
    </w:p>
    <w:p>
      <w:pPr>
        <w:ind w:left="200" w:firstLine="775"/>
        <w:spacing w:after="0" w:line="25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have equity ownership stakes directly or indirectly in entities through various regional subsidiaries, primarily in Asia. These companies design, manufacture and market vehicles under the Baojun, Buick, Cadillac, Chevrolet, Jiefang and Wuling brands.</w:t>
      </w:r>
    </w:p>
    <w:p>
      <w:pPr>
        <w:spacing w:after="0" w:line="188" w:lineRule="exact"/>
        <w:rPr>
          <w:sz w:val="20"/>
          <w:szCs w:val="20"/>
          <w:color w:val="auto"/>
        </w:rPr>
      </w:pPr>
    </w:p>
    <w:p>
      <w:pPr>
        <w:ind w:left="200" w:firstLine="775"/>
        <w:spacing w:after="0" w:line="259" w:lineRule="auto"/>
        <w:rPr>
          <w:sz w:val="20"/>
          <w:szCs w:val="20"/>
          <w:color w:val="auto"/>
        </w:rPr>
      </w:pPr>
      <w:r>
        <w:rPr>
          <w:rFonts w:ascii="Arial" w:cs="Arial" w:eastAsia="Arial" w:hAnsi="Arial"/>
          <w:sz w:val="18"/>
          <w:szCs w:val="18"/>
          <w:color w:val="auto"/>
        </w:rPr>
        <w:t>In addition to the products we sell to our dealers for consumer retail sales, we also sell cars and trucks to fleet customers, including daily rental car companies, commercial fleet customers, leasing companies and governments. We sell vehicles to fleet customers directly or through our network of dealers. Our retail and fleet customers can obtain a wide range of aftersale vehicle services and products through our dealer network, such as maintenance, light repairs, collision repairs, vehicle accessories and extended service warranties.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Automotive Financial—GM Financial</w:t>
      </w:r>
    </w:p>
    <w:p>
      <w:pPr>
        <w:spacing w:after="0" w:line="225" w:lineRule="exact"/>
        <w:rPr>
          <w:sz w:val="20"/>
          <w:szCs w:val="20"/>
          <w:color w:val="auto"/>
        </w:rPr>
      </w:pPr>
    </w:p>
    <w:p>
      <w:pPr>
        <w:ind w:left="200" w:right="20" w:firstLine="775"/>
        <w:spacing w:after="0" w:line="264" w:lineRule="auto"/>
        <w:rPr>
          <w:sz w:val="20"/>
          <w:szCs w:val="20"/>
          <w:color w:val="auto"/>
        </w:rPr>
      </w:pPr>
      <w:r>
        <w:rPr>
          <w:rFonts w:ascii="Arial" w:cs="Arial" w:eastAsia="Arial" w:hAnsi="Arial"/>
          <w:sz w:val="18"/>
          <w:szCs w:val="18"/>
          <w:color w:val="auto"/>
        </w:rPr>
        <w:t>GM Financial is our global captive automotive finance company and our global provider of automobile finance solutions. GM Financial conducts its business in North America, Europe, South America and, as a result of the 2015 acquisition of Ally Financial, Inc.’s (“Ally Financial”) equity interest in SAIC-GMAC Automotive Finance Company Limited, in China.</w:t>
      </w:r>
    </w:p>
    <w:p>
      <w:pPr>
        <w:spacing w:after="0" w:line="181" w:lineRule="exact"/>
        <w:rPr>
          <w:sz w:val="20"/>
          <w:szCs w:val="20"/>
          <w:color w:val="auto"/>
        </w:rPr>
      </w:pPr>
    </w:p>
    <w:p>
      <w:pPr>
        <w:jc w:val="both"/>
        <w:ind w:left="200" w:right="80" w:firstLine="775"/>
        <w:spacing w:after="0" w:line="264" w:lineRule="auto"/>
        <w:rPr>
          <w:sz w:val="20"/>
          <w:szCs w:val="20"/>
          <w:color w:val="auto"/>
        </w:rPr>
      </w:pPr>
      <w:r>
        <w:rPr>
          <w:rFonts w:ascii="Arial" w:cs="Arial" w:eastAsia="Arial" w:hAnsi="Arial"/>
          <w:sz w:val="18"/>
          <w:szCs w:val="18"/>
          <w:color w:val="auto"/>
        </w:rPr>
        <w:t>GM Financial provides retail lending, both loan and lease, across the credit spectrum. Additionally, GM Financial offers commercial products to dealer customers that include new and used vehicle inventory financing, inventory insurance, working capital, capital improvement loans and storage center financing.</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40" w:firstLine="775"/>
        <w:spacing w:after="0" w:line="259" w:lineRule="auto"/>
        <w:rPr>
          <w:sz w:val="20"/>
          <w:szCs w:val="20"/>
          <w:color w:val="auto"/>
        </w:rPr>
      </w:pPr>
      <w:r>
        <w:rPr>
          <w:rFonts w:ascii="Arial" w:cs="Arial" w:eastAsia="Arial" w:hAnsi="Arial"/>
          <w:sz w:val="18"/>
          <w:szCs w:val="18"/>
          <w:color w:val="auto"/>
        </w:rPr>
        <w:t xml:space="preserve">Our principal executive offices are located at 300 Renaissance Center, Detroit, Michigan 48265-3000, and our telephone number is (313) 556-5000. Our website is </w:t>
      </w:r>
      <w:r>
        <w:rPr>
          <w:rFonts w:ascii="Arial" w:cs="Arial" w:eastAsia="Arial" w:hAnsi="Arial"/>
          <w:sz w:val="18"/>
          <w:szCs w:val="18"/>
          <w:u w:val="single" w:color="auto"/>
          <w:color w:val="auto"/>
        </w:rPr>
        <w:t>www.gm.com</w:t>
      </w:r>
      <w:r>
        <w:rPr>
          <w:rFonts w:ascii="Arial" w:cs="Arial" w:eastAsia="Arial" w:hAnsi="Arial"/>
          <w:sz w:val="18"/>
          <w:szCs w:val="18"/>
          <w:color w:val="auto"/>
        </w:rPr>
        <w:t>. Our website and the information 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56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256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300" w:firstLine="775"/>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ectPr>
          <w:pgSz w:w="11900" w:h="16838" w:orient="portrait"/>
          <w:cols w:equalWidth="0" w:num="1">
            <w:col w:w="11260"/>
          </w:cols>
          <w:pgMar w:left="240" w:top="459" w:right="399" w:bottom="1440" w:gutter="0" w:footer="0" w:header="0"/>
        </w:sect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200" w:lineRule="exact"/>
        <w:rPr>
          <w:sz w:val="20"/>
          <w:szCs w:val="20"/>
          <w:color w:val="auto"/>
        </w:rPr>
      </w:pPr>
    </w:p>
    <w:p>
      <w:pPr>
        <w:sectPr>
          <w:pgSz w:w="11900" w:h="16838" w:orient="portrait"/>
          <w:cols w:equalWidth="0" w:num="2">
            <w:col w:w="4660" w:space="720"/>
            <w:col w:w="588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Notes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$1,250,000,000 in aggregate principal amount of 6.600% Senior Notes due 2036.</w:t>
      </w:r>
    </w:p>
    <w:p>
      <w:pPr>
        <w:spacing w:after="0" w:line="200" w:lineRule="exact"/>
        <w:rPr>
          <w:sz w:val="20"/>
          <w:szCs w:val="20"/>
          <w:color w:val="auto"/>
        </w:rPr>
      </w:pPr>
    </w:p>
    <w:p>
      <w:pPr>
        <w:sectPr>
          <w:pgSz w:w="11900" w:h="16838" w:orient="portrait"/>
          <w:cols w:equalWidth="0" w:num="2">
            <w:col w:w="4660" w:space="720"/>
            <w:col w:w="5880"/>
          </w:cols>
          <w:pgMar w:left="240" w:top="459" w:right="399" w:bottom="1440" w:gutter="0" w:footer="0" w:header="0"/>
          <w:type w:val="continuous"/>
        </w:sectPr>
      </w:pPr>
    </w:p>
    <w:p>
      <w:pPr>
        <w:spacing w:after="0" w:line="8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$750,000,000 in aggregate principal amount of 6.750% Senior Notes due 2046.</w:t>
      </w:r>
    </w:p>
    <w:p>
      <w:pPr>
        <w:sectPr>
          <w:pgSz w:w="11900" w:h="16838" w:orient="portrait"/>
          <w:cols w:equalWidth="0" w:num="1">
            <w:col w:w="11260"/>
          </w:cols>
          <w:pgMar w:left="240" w:top="459" w:right="399" w:bottom="1440" w:gutter="0" w:footer="0" w:header="0"/>
          <w:type w:val="continuous"/>
        </w:sect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Original Issue Date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200" w:lineRule="exact"/>
        <w:rPr>
          <w:sz w:val="20"/>
          <w:szCs w:val="20"/>
          <w:color w:val="auto"/>
        </w:rPr>
      </w:pPr>
    </w:p>
    <w:p>
      <w:pPr>
        <w:sectPr>
          <w:pgSz w:w="11900" w:h="16838" w:orient="portrait"/>
          <w:cols w:equalWidth="0" w:num="2">
            <w:col w:w="4660" w:space="720"/>
            <w:col w:w="588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Maturity Dates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2036 Notes will mature on April 1, 2036 and the 2046 Notes will mature on April 1, 2046.</w:t>
      </w:r>
    </w:p>
    <w:p>
      <w:pPr>
        <w:spacing w:after="0" w:line="197" w:lineRule="exact"/>
        <w:rPr>
          <w:sz w:val="20"/>
          <w:szCs w:val="20"/>
          <w:color w:val="auto"/>
        </w:rPr>
      </w:pPr>
    </w:p>
    <w:p>
      <w:pPr>
        <w:sectPr>
          <w:pgSz w:w="11900" w:h="16838" w:orient="portrait"/>
          <w:cols w:equalWidth="0" w:num="2">
            <w:col w:w="4660" w:space="720"/>
            <w:col w:w="58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Interest Rates</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Interest on the 2036 Notes will accrue at a rate of 6.600% per year and interest on the 2046 Notes will accrue at a rate of 6.750% per year.</w:t>
      </w:r>
    </w:p>
    <w:p>
      <w:pPr>
        <w:spacing w:after="0" w:line="197" w:lineRule="exact"/>
        <w:rPr>
          <w:sz w:val="20"/>
          <w:szCs w:val="20"/>
          <w:color w:val="auto"/>
        </w:rPr>
      </w:pPr>
    </w:p>
    <w:p>
      <w:pPr>
        <w:sectPr>
          <w:pgSz w:w="11900" w:h="16838" w:orient="portrait"/>
          <w:cols w:equalWidth="0" w:num="2">
            <w:col w:w="4660" w:space="720"/>
            <w:col w:w="58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140"/>
        <w:spacing w:after="0" w:line="264" w:lineRule="auto"/>
        <w:rPr>
          <w:sz w:val="20"/>
          <w:szCs w:val="20"/>
          <w:color w:val="auto"/>
        </w:rPr>
      </w:pPr>
      <w:r>
        <w:rPr>
          <w:rFonts w:ascii="Arial" w:cs="Arial" w:eastAsia="Arial" w:hAnsi="Arial"/>
          <w:sz w:val="18"/>
          <w:szCs w:val="18"/>
          <w:color w:val="auto"/>
        </w:rPr>
        <w:t>Interest on the Notes will be paid semi-annually and in arrears on April 1 and October 1, commencing on October 1, 2016. Interest will accrue from February 23, 2016.</w:t>
      </w:r>
    </w:p>
    <w:p>
      <w:pPr>
        <w:spacing w:after="0" w:line="200" w:lineRule="exact"/>
        <w:rPr>
          <w:sz w:val="20"/>
          <w:szCs w:val="20"/>
          <w:color w:val="auto"/>
        </w:rPr>
      </w:pPr>
    </w:p>
    <w:p>
      <w:pPr>
        <w:sectPr>
          <w:pgSz w:w="11900" w:h="16838" w:orient="portrait"/>
          <w:cols w:equalWidth="0" w:num="2">
            <w:col w:w="4660" w:space="720"/>
            <w:col w:w="5880"/>
          </w:cols>
          <w:pgMar w:left="240" w:top="459" w:right="39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Ranking of the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will be our general unsecured obligations and will be:</w:t>
      </w:r>
    </w:p>
    <w:p>
      <w:pPr>
        <w:spacing w:after="0" w:line="200" w:lineRule="exact"/>
        <w:rPr>
          <w:sz w:val="20"/>
          <w:szCs w:val="20"/>
          <w:color w:val="auto"/>
        </w:rPr>
      </w:pPr>
    </w:p>
    <w:p>
      <w:pPr>
        <w:sectPr>
          <w:pgSz w:w="11900" w:h="16838" w:orient="portrait"/>
          <w:cols w:equalWidth="0" w:num="2">
            <w:col w:w="4660" w:space="720"/>
            <w:col w:w="5880"/>
          </w:cols>
          <w:pgMar w:left="240" w:top="459" w:right="399" w:bottom="1440" w:gutter="0" w:footer="0" w:header="0"/>
          <w:type w:val="continuous"/>
        </w:sectPr>
      </w:pPr>
    </w:p>
    <w:p>
      <w:pPr>
        <w:spacing w:after="0" w:line="89"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equal in right of payment to all of our existing and future indebtedness</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and other obligations that are not, by their terms, expressly subordinated</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in right of payment to the Notes;</w:t>
      </w:r>
    </w:p>
    <w:p>
      <w:pPr>
        <w:spacing w:after="0" w:line="23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senior in right of payment to any of our existing or future indebtedness</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and other obligations that are, by their terms, expressly subordinated in</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right of payment to the Notes;</w:t>
      </w:r>
    </w:p>
    <w:p>
      <w:pPr>
        <w:spacing w:after="0" w:line="23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effectively subordinated to all of our secured indebtedness and other</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secured obligations to the extent of the value of the assets securing such</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secured indebtedness or other secured obligations; and</w:t>
      </w:r>
    </w:p>
    <w:p>
      <w:pPr>
        <w:spacing w:after="0" w:line="23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structurally subordinated to all indebtedness and other obligations of</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our subsidiaries.</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1260"/>
          </w:cols>
          <w:pgMar w:left="240" w:top="459" w:right="39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998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may, at our option, redeem the Notes in whole or in part at any time and from time to time at redemption prices described under “Description of the Notes— Optional Redemption.”</w:t>
      </w:r>
    </w:p>
    <w:p>
      <w:pPr>
        <w:spacing w:after="0" w:line="200" w:lineRule="exact"/>
        <w:rPr>
          <w:sz w:val="20"/>
          <w:szCs w:val="20"/>
          <w:color w:val="auto"/>
        </w:rPr>
      </w:pPr>
    </w:p>
    <w:p>
      <w:pPr>
        <w:sectPr>
          <w:pgSz w:w="11900" w:h="16838" w:orient="portrait"/>
          <w:cols w:equalWidth="0" w:num="2">
            <w:col w:w="4660" w:space="720"/>
            <w:col w:w="586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Covenants</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The Notes will be issued under the Indenture, which will contain covenants that will limit:</w:t>
      </w:r>
    </w:p>
    <w:p>
      <w:pPr>
        <w:spacing w:after="0" w:line="197" w:lineRule="exact"/>
        <w:rPr>
          <w:sz w:val="20"/>
          <w:szCs w:val="20"/>
          <w:color w:val="auto"/>
        </w:rPr>
      </w:pPr>
    </w:p>
    <w:p>
      <w:pPr>
        <w:sectPr>
          <w:pgSz w:w="11900" w:h="16838" w:orient="portrait"/>
          <w:cols w:equalWidth="0" w:num="2">
            <w:col w:w="4660" w:space="720"/>
            <w:col w:w="5860"/>
          </w:cols>
          <w:pgMar w:left="240" w:top="459" w:right="419" w:bottom="1440" w:gutter="0" w:footer="0" w:header="0"/>
          <w:type w:val="continuous"/>
        </w:sectPr>
      </w:pPr>
    </w:p>
    <w:p>
      <w:pPr>
        <w:ind w:left="5880"/>
        <w:spacing w:after="0"/>
        <w:rPr>
          <w:sz w:val="20"/>
          <w:szCs w:val="20"/>
          <w:color w:val="auto"/>
        </w:rPr>
      </w:pPr>
      <w:r>
        <w:rPr>
          <w:rFonts w:ascii="Arial" w:cs="Arial" w:eastAsia="Arial" w:hAnsi="Arial"/>
          <w:sz w:val="17"/>
          <w:szCs w:val="17"/>
          <w:color w:val="auto"/>
        </w:rPr>
        <w:t>• the ability of GM and certain of its subsidiaries to incur indebtedness</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secured by certain principal domestic manufacturing properties or by</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any shares of stock or indebtedness of certain manufacturing</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subsidiaries and to enter into certain sale and leaseback transactions</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with respect to certain principal domestic manufacturing properties; and</w:t>
      </w:r>
    </w:p>
    <w:p>
      <w:pPr>
        <w:spacing w:after="0" w:line="261"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 the ability of GM to enter into certain mergers or certain conveyances,</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transfers or leases of all or substantially all of its properties and assets.</w:t>
      </w:r>
    </w:p>
    <w:p>
      <w:pPr>
        <w:spacing w:after="0" w:line="238" w:lineRule="exact"/>
        <w:rPr>
          <w:sz w:val="20"/>
          <w:szCs w:val="20"/>
          <w:color w:val="auto"/>
        </w:rPr>
      </w:pPr>
    </w:p>
    <w:p>
      <w:pPr>
        <w:ind w:left="5380" w:right="140"/>
        <w:spacing w:after="0" w:line="259" w:lineRule="auto"/>
        <w:rPr>
          <w:sz w:val="20"/>
          <w:szCs w:val="20"/>
          <w:color w:val="auto"/>
        </w:rPr>
      </w:pPr>
      <w:r>
        <w:rPr>
          <w:rFonts w:ascii="Arial" w:cs="Arial" w:eastAsia="Arial" w:hAnsi="Arial"/>
          <w:sz w:val="18"/>
          <w:szCs w:val="18"/>
          <w:color w:val="auto"/>
        </w:rPr>
        <w:t>Each of these covenants, however, is subject to significant exceptions. See “Description of the Notes—Certain Covenants” in this prospectus supplement and “Description of Debt Securities—Consolidation, Merger or Sale of Assets” in the accompanying prospectus.</w:t>
      </w:r>
    </w:p>
    <w:p>
      <w:pPr>
        <w:sectPr>
          <w:pgSz w:w="11900" w:h="16838" w:orient="portrait"/>
          <w:cols w:equalWidth="0" w:num="1">
            <w:col w:w="11240"/>
          </w:cols>
          <w:pgMar w:left="240" w:top="459" w:right="419" w:bottom="1440" w:gutter="0" w:footer="0" w:header="0"/>
          <w:type w:val="continuous"/>
        </w:sect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Indenture does not limit the amount of Notes that we may issue. We may issue additional Notes up to an aggregate principal amount as our board of directors may authorize from time to time.</w:t>
      </w:r>
    </w:p>
    <w:p>
      <w:pPr>
        <w:spacing w:after="0" w:line="200" w:lineRule="exact"/>
        <w:rPr>
          <w:sz w:val="20"/>
          <w:szCs w:val="20"/>
          <w:color w:val="auto"/>
        </w:rPr>
      </w:pPr>
    </w:p>
    <w:p>
      <w:pPr>
        <w:sectPr>
          <w:pgSz w:w="11900" w:h="16838" w:orient="portrait"/>
          <w:cols w:equalWidth="0" w:num="2">
            <w:col w:w="4660" w:space="720"/>
            <w:col w:w="586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Prior Market</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7"/>
          <w:szCs w:val="17"/>
          <w:color w:val="auto"/>
        </w:rPr>
        <w:t>The Notes will be new securities for which there is currently no existing market. The Notes will not be listed on any securities exchange. Although the underwriters have advised us that they currently intend to make a market in the Notes, they are not obligated to do so and may discontinue any market-making activities at any time without notice. Accordingly, we cannot assure you as to the liquidity of, or the trading market for, the Notes.</w:t>
      </w:r>
    </w:p>
    <w:p>
      <w:pPr>
        <w:spacing w:after="0" w:line="200" w:lineRule="exact"/>
        <w:rPr>
          <w:sz w:val="20"/>
          <w:szCs w:val="20"/>
          <w:color w:val="auto"/>
        </w:rPr>
      </w:pPr>
    </w:p>
    <w:p>
      <w:pPr>
        <w:sectPr>
          <w:pgSz w:w="11900" w:h="16838" w:orient="portrait"/>
          <w:cols w:equalWidth="0" w:num="2">
            <w:col w:w="4660" w:space="720"/>
            <w:col w:w="5860"/>
          </w:cols>
          <w:pgMar w:left="240" w:top="45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The Notes will be issued in fully registered form and will be represented by global notes without interest coupons. The global notes will be deposited with a custodian for and registered in the name of a nominee of The Depository Trust Company (“DTC”) in New York, New York. Investors may elect to hold interests in the global notes through DTC and its direct or indirect participants as described under “Description of Debt Securities—Book-Entry; Delivery and Form; Global Securities” in the accompanying prospectus. The Notes will be issued only in</w:t>
      </w:r>
    </w:p>
    <w:p>
      <w:pPr>
        <w:spacing w:after="0" w:line="200" w:lineRule="exact"/>
        <w:rPr>
          <w:sz w:val="20"/>
          <w:szCs w:val="20"/>
          <w:color w:val="auto"/>
        </w:rPr>
      </w:pPr>
    </w:p>
    <w:p>
      <w:pPr>
        <w:sectPr>
          <w:pgSz w:w="11900" w:h="16838" w:orient="portrait"/>
          <w:cols w:equalWidth="0" w:num="2">
            <w:col w:w="4660" w:space="720"/>
            <w:col w:w="5860"/>
          </w:cols>
          <w:pgMar w:left="240" w:top="459" w:right="41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83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3383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minimum denominations of $2,000 and integral multiples of $1,000 in excess</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thereof.</w:t>
      </w:r>
    </w:p>
    <w:p>
      <w:pPr>
        <w:sectPr>
          <w:pgSz w:w="11900" w:h="16838" w:orient="portrait"/>
          <w:cols w:equalWidth="0" w:num="1">
            <w:col w:w="11260"/>
          </w:cols>
          <w:pgMar w:left="240" w:top="459" w:right="399" w:bottom="1440" w:gutter="0" w:footer="0" w:header="0"/>
        </w:sect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Bank of New York Mellon (the “Trustee”).</w:t>
      </w:r>
    </w:p>
    <w:p>
      <w:pPr>
        <w:spacing w:after="0" w:line="200" w:lineRule="exact"/>
        <w:rPr>
          <w:sz w:val="20"/>
          <w:szCs w:val="20"/>
          <w:color w:val="auto"/>
        </w:rPr>
      </w:pPr>
    </w:p>
    <w:p>
      <w:pPr>
        <w:sectPr>
          <w:pgSz w:w="11900" w:h="16838" w:orient="portrait"/>
          <w:cols w:equalWidth="0" w:num="2">
            <w:col w:w="4660" w:space="720"/>
            <w:col w:w="588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intend to use the net proceeds from this offering to make a discretionary contribution to our U.S. hourly pension plan.</w:t>
      </w:r>
    </w:p>
    <w:p>
      <w:pPr>
        <w:spacing w:after="0" w:line="197" w:lineRule="exact"/>
        <w:rPr>
          <w:sz w:val="20"/>
          <w:szCs w:val="20"/>
          <w:color w:val="auto"/>
        </w:rPr>
      </w:pPr>
    </w:p>
    <w:p>
      <w:pPr>
        <w:sectPr>
          <w:pgSz w:w="11900" w:h="16838" w:orient="portrait"/>
          <w:cols w:equalWidth="0" w:num="2">
            <w:col w:w="4660" w:space="720"/>
            <w:col w:w="5880"/>
          </w:cols>
          <w:pgMar w:left="240" w:top="459" w:right="399" w:bottom="1440" w:gutter="0" w:footer="0" w:header="0"/>
          <w:type w:val="continuous"/>
        </w:sectPr>
      </w:pPr>
    </w:p>
    <w:p>
      <w:pPr>
        <w:ind w:left="5380" w:right="20"/>
        <w:spacing w:after="0" w:line="255" w:lineRule="auto"/>
        <w:rPr>
          <w:sz w:val="20"/>
          <w:szCs w:val="20"/>
          <w:color w:val="auto"/>
        </w:rPr>
      </w:pPr>
      <w:r>
        <w:rPr>
          <w:rFonts w:ascii="Arial" w:cs="Arial" w:eastAsia="Arial" w:hAnsi="Arial"/>
          <w:sz w:val="18"/>
          <w:szCs w:val="18"/>
          <w:color w:val="auto"/>
        </w:rPr>
        <w:t>Although we intend to make a discretionary contribution to our U.S. hourly pension plan, we are not required at this time to make any contributions to this plan. In the event that we do not use all of the net proceeds from this offering to make a discretionary contribution to our U.S. hourly pension plan, we expect that we would use any remaining net proceeds for general corporate purposes. See “Use of Proceeds.”</w:t>
      </w:r>
    </w:p>
    <w:p>
      <w:pPr>
        <w:sectPr>
          <w:pgSz w:w="11900" w:h="16838" w:orient="portrait"/>
          <w:cols w:equalWidth="0" w:num="1">
            <w:col w:w="11260"/>
          </w:cols>
          <w:pgMar w:left="240" w:top="459" w:right="399" w:bottom="1440" w:gutter="0" w:footer="0" w:header="0"/>
          <w:type w:val="continuous"/>
        </w:sectPr>
      </w:pPr>
    </w:p>
    <w:p>
      <w:pPr>
        <w:spacing w:after="0" w:line="2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4500"/>
        <w:spacing w:after="0"/>
        <w:rPr>
          <w:sz w:val="20"/>
          <w:szCs w:val="20"/>
          <w:color w:val="auto"/>
        </w:rPr>
      </w:pPr>
      <w:r>
        <w:rPr>
          <w:rFonts w:ascii="Arial" w:cs="Arial" w:eastAsia="Arial" w:hAnsi="Arial"/>
          <w:sz w:val="16"/>
          <w:szCs w:val="16"/>
          <w:color w:val="auto"/>
        </w:rPr>
        <w:t>State of New York.</w:t>
      </w:r>
    </w:p>
    <w:p>
      <w:pPr>
        <w:spacing w:after="0" w:line="200" w:lineRule="exact"/>
        <w:rPr>
          <w:sz w:val="20"/>
          <w:szCs w:val="20"/>
          <w:color w:val="auto"/>
        </w:rPr>
      </w:pPr>
    </w:p>
    <w:p>
      <w:pPr>
        <w:sectPr>
          <w:pgSz w:w="11900" w:h="16838" w:orient="portrait"/>
          <w:cols w:equalWidth="0" w:num="2">
            <w:col w:w="4660" w:space="720"/>
            <w:col w:w="588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See “Risk Factors” beginning on page S-7 of this prospectus supplement, in the accompanying prospectus and in our periodic reports filed from time to time with the SEC for a discussion of risks you should carefully consider before deciding to invest in the Notes.</w:t>
      </w:r>
    </w:p>
    <w:p>
      <w:pPr>
        <w:spacing w:after="0" w:line="200" w:lineRule="exact"/>
        <w:rPr>
          <w:sz w:val="20"/>
          <w:szCs w:val="20"/>
          <w:color w:val="auto"/>
        </w:rPr>
      </w:pPr>
    </w:p>
    <w:p>
      <w:pPr>
        <w:sectPr>
          <w:pgSz w:w="11900" w:h="16838" w:orient="portrait"/>
          <w:cols w:equalWidth="0" w:num="2">
            <w:col w:w="4660" w:space="720"/>
            <w:col w:w="5880"/>
          </w:cols>
          <w:pgMar w:left="240" w:top="459" w:right="39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229" w:lineRule="exact"/>
        <w:rPr>
          <w:sz w:val="20"/>
          <w:szCs w:val="20"/>
          <w:color w:val="auto"/>
        </w:rPr>
      </w:pPr>
    </w:p>
    <w:p>
      <w:pPr>
        <w:ind w:left="200" w:right="80" w:firstLine="775"/>
        <w:spacing w:after="0" w:line="288" w:lineRule="auto"/>
        <w:rPr>
          <w:sz w:val="20"/>
          <w:szCs w:val="20"/>
          <w:color w:val="auto"/>
        </w:rPr>
      </w:pPr>
      <w:r>
        <w:rPr>
          <w:rFonts w:ascii="Arial" w:cs="Arial" w:eastAsia="Arial" w:hAnsi="Arial"/>
          <w:sz w:val="16"/>
          <w:szCs w:val="16"/>
          <w:color w:val="auto"/>
        </w:rPr>
        <w:t>The following table presents summary consolidated financial data of GM and its consolidated subsidiaries. The summary consolidated financial data for the years ended December 31, 2015, 2014 and 2013 and as of December 31, 2015 and 2014 presented below were derived from GM’s audited annual consolidated financial statements and the notes thereto appearing in our Annual Report on Form 10-K for the year ended December 31, 2015, which is incorporated by reference in this prospectus supplement. The audited annual consolidated financial statements for the years ended December 31, 2015, 2014 and 2013 and as of December 31, 2015 and 2014 have been audited by Deloitte &amp; Touche LLP. The summary consolidated financial data as of December 31, 2013 presented below were derived from GM’s audited annual consolidated financial statements and the notes thereto, which are not incorporated by reference into this prospectus supplement. You should read the following information in conjunction with the section entitled “Management’s Discussion and Analysis of Financial Condition and Results of Operations” and GM’s consolidated financial statements and notes thereto included in our Annual Report on Form 10-K for the year ended December 31, 2015, which is incorporated by reference in this prospectus supplement. See “Incorporation of Certain Documents by Reference” and “Where You Can Find More Information.”</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Selected financial data is summarized in the following table (dollars in millions except per share amounts):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left="288"/>
              <w:spacing w:after="0"/>
              <w:rPr>
                <w:sz w:val="20"/>
                <w:szCs w:val="20"/>
                <w:color w:val="auto"/>
              </w:rPr>
            </w:pPr>
            <w:r>
              <w:rPr>
                <w:rFonts w:ascii="Arial" w:cs="Arial" w:eastAsia="Arial" w:hAnsi="Arial"/>
                <w:sz w:val="14"/>
                <w:szCs w:val="14"/>
                <w:b w:val="1"/>
                <w:bCs w:val="1"/>
                <w:color w:val="auto"/>
                <w:w w:val="92"/>
              </w:rPr>
              <w:t>Years Ended December 31,</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345"/>
        </w:trPr>
        <w:tc>
          <w:tcPr>
            <w:tcW w:w="82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CCEEFF"/>
            </w:tcBorders>
          </w:tcPr>
          <w:p>
            <w:pPr>
              <w:spacing w:after="0"/>
              <w:rPr>
                <w:sz w:val="24"/>
                <w:szCs w:val="24"/>
                <w:color w:val="auto"/>
              </w:rPr>
            </w:pPr>
          </w:p>
        </w:tc>
      </w:tr>
      <w:tr>
        <w:trPr>
          <w:trHeight w:val="129"/>
        </w:trPr>
        <w:tc>
          <w:tcPr>
            <w:tcW w:w="82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 Statement Data:</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8280" w:type="dxa"/>
            <w:vAlign w:val="bottom"/>
          </w:tcPr>
          <w:p>
            <w:pPr>
              <w:spacing w:after="0" w:line="149" w:lineRule="exact"/>
              <w:rPr>
                <w:sz w:val="20"/>
                <w:szCs w:val="20"/>
                <w:color w:val="auto"/>
              </w:rPr>
            </w:pPr>
            <w:r>
              <w:rPr>
                <w:rFonts w:ascii="Arial" w:cs="Arial" w:eastAsia="Arial" w:hAnsi="Arial"/>
                <w:sz w:val="14"/>
                <w:szCs w:val="14"/>
                <w:color w:val="auto"/>
              </w:rPr>
              <w:t>Total net sales and revenue</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152,356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155,929</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155,427</w:t>
            </w:r>
          </w:p>
        </w:tc>
      </w:tr>
      <w:tr>
        <w:trPr>
          <w:trHeight w:val="149"/>
        </w:trPr>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Income(a)</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9,615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4,018</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5,331</w:t>
            </w:r>
          </w:p>
        </w:tc>
      </w:tr>
      <w:tr>
        <w:trPr>
          <w:trHeight w:val="149"/>
        </w:trPr>
        <w:tc>
          <w:tcPr>
            <w:tcW w:w="8280" w:type="dxa"/>
            <w:vAlign w:val="bottom"/>
          </w:tcPr>
          <w:p>
            <w:pPr>
              <w:spacing w:after="0" w:line="149" w:lineRule="exact"/>
              <w:rPr>
                <w:sz w:val="20"/>
                <w:szCs w:val="20"/>
                <w:color w:val="auto"/>
              </w:rPr>
            </w:pPr>
            <w:r>
              <w:rPr>
                <w:rFonts w:ascii="Arial" w:cs="Arial" w:eastAsia="Arial" w:hAnsi="Arial"/>
                <w:sz w:val="14"/>
                <w:szCs w:val="14"/>
                <w:color w:val="auto"/>
              </w:rPr>
              <w:t>Net income attributable to stockholders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9,687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3,949</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5,346</w:t>
            </w:r>
          </w:p>
        </w:tc>
      </w:tr>
      <w:tr>
        <w:trPr>
          <w:trHeight w:val="149"/>
        </w:trPr>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common stockholders(b)</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9,687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2,804</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3,770</w:t>
            </w:r>
          </w:p>
        </w:tc>
      </w:tr>
      <w:tr>
        <w:trPr>
          <w:trHeight w:val="149"/>
        </w:trPr>
        <w:tc>
          <w:tcPr>
            <w:tcW w:w="8280" w:type="dxa"/>
            <w:vAlign w:val="bottom"/>
          </w:tcPr>
          <w:p>
            <w:pPr>
              <w:spacing w:after="0" w:line="149" w:lineRule="exact"/>
              <w:rPr>
                <w:sz w:val="20"/>
                <w:szCs w:val="20"/>
                <w:color w:val="auto"/>
              </w:rPr>
            </w:pPr>
            <w:r>
              <w:rPr>
                <w:rFonts w:ascii="Arial" w:cs="Arial" w:eastAsia="Arial" w:hAnsi="Arial"/>
                <w:sz w:val="14"/>
                <w:szCs w:val="14"/>
                <w:color w:val="auto"/>
              </w:rPr>
              <w:t>Basic earnings per common share(a)(b)</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6.11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1.75</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2.71</w:t>
            </w:r>
          </w:p>
        </w:tc>
      </w:tr>
      <w:tr>
        <w:trPr>
          <w:trHeight w:val="149"/>
        </w:trPr>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common share(a)(b)</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5.91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1.65</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w:t>
            </w:r>
          </w:p>
        </w:tc>
      </w:tr>
      <w:tr>
        <w:trPr>
          <w:trHeight w:val="182"/>
        </w:trPr>
        <w:tc>
          <w:tcPr>
            <w:tcW w:w="8280" w:type="dxa"/>
            <w:vAlign w:val="bottom"/>
          </w:tcPr>
          <w:p>
            <w:pPr>
              <w:spacing w:after="0"/>
              <w:rPr>
                <w:sz w:val="20"/>
                <w:szCs w:val="20"/>
                <w:color w:val="auto"/>
              </w:rPr>
            </w:pPr>
            <w:r>
              <w:rPr>
                <w:rFonts w:ascii="Arial" w:cs="Arial" w:eastAsia="Arial" w:hAnsi="Arial"/>
                <w:sz w:val="14"/>
                <w:szCs w:val="14"/>
                <w:color w:val="auto"/>
              </w:rPr>
              <w:t>Dividends declared per common share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1.38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1.20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2"/>
        </w:trPr>
        <w:tc>
          <w:tcPr>
            <w:tcW w:w="8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9"/>
        </w:trPr>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 (as of period end):</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8280" w:type="dxa"/>
            <w:vAlign w:val="bottom"/>
          </w:tcPr>
          <w:p>
            <w:pPr>
              <w:spacing w:after="0" w:line="149" w:lineRule="exact"/>
              <w:rPr>
                <w:sz w:val="20"/>
                <w:szCs w:val="20"/>
                <w:color w:val="auto"/>
              </w:rPr>
            </w:pPr>
            <w:r>
              <w:rPr>
                <w:rFonts w:ascii="Arial" w:cs="Arial" w:eastAsia="Arial" w:hAnsi="Arial"/>
                <w:sz w:val="14"/>
                <w:szCs w:val="14"/>
                <w:color w:val="auto"/>
              </w:rPr>
              <w:t>Total assets(c)</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194,520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177,501</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166,231</w:t>
            </w:r>
          </w:p>
        </w:tc>
      </w:tr>
      <w:tr>
        <w:trPr>
          <w:trHeight w:val="149"/>
        </w:trPr>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Automotive notes and loans payable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8,765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9,350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7,098</w:t>
            </w:r>
          </w:p>
        </w:tc>
      </w:tr>
      <w:tr>
        <w:trPr>
          <w:trHeight w:val="149"/>
        </w:trPr>
        <w:tc>
          <w:tcPr>
            <w:tcW w:w="8280" w:type="dxa"/>
            <w:vAlign w:val="bottom"/>
          </w:tcPr>
          <w:p>
            <w:pPr>
              <w:spacing w:after="0" w:line="149" w:lineRule="exact"/>
              <w:rPr>
                <w:sz w:val="20"/>
                <w:szCs w:val="20"/>
                <w:color w:val="auto"/>
              </w:rPr>
            </w:pPr>
            <w:r>
              <w:rPr>
                <w:rFonts w:ascii="Arial" w:cs="Arial" w:eastAsia="Arial" w:hAnsi="Arial"/>
                <w:sz w:val="14"/>
                <w:szCs w:val="14"/>
                <w:color w:val="auto"/>
              </w:rPr>
              <w:t>GM Financial notes and loans payable(c)</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54,346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37,315</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28,972</w:t>
            </w:r>
          </w:p>
        </w:tc>
      </w:tr>
      <w:tr>
        <w:trPr>
          <w:trHeight w:val="149"/>
        </w:trPr>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Series A Preferred Stock(b)</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3,109</w:t>
            </w:r>
          </w:p>
        </w:tc>
      </w:tr>
      <w:tr>
        <w:trPr>
          <w:trHeight w:val="149"/>
        </w:trPr>
        <w:tc>
          <w:tcPr>
            <w:tcW w:w="8280" w:type="dxa"/>
            <w:vAlign w:val="bottom"/>
          </w:tcPr>
          <w:p>
            <w:pPr>
              <w:spacing w:after="0" w:line="149" w:lineRule="exact"/>
              <w:rPr>
                <w:sz w:val="20"/>
                <w:szCs w:val="20"/>
                <w:color w:val="auto"/>
              </w:rPr>
            </w:pPr>
            <w:r>
              <w:rPr>
                <w:rFonts w:ascii="Arial" w:cs="Arial" w:eastAsia="Arial" w:hAnsi="Arial"/>
                <w:sz w:val="14"/>
                <w:szCs w:val="14"/>
                <w:color w:val="auto"/>
              </w:rPr>
              <w:t>Series B Preferred Stock(d)</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40,323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36,024</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43,174</w:t>
            </w:r>
          </w:p>
        </w:tc>
      </w:tr>
    </w:tbl>
    <w:p>
      <w:pPr>
        <w:spacing w:after="0" w:line="229" w:lineRule="exact"/>
        <w:rPr>
          <w:sz w:val="20"/>
          <w:szCs w:val="20"/>
          <w:color w:val="auto"/>
        </w:rPr>
      </w:pPr>
    </w:p>
    <w:p>
      <w:pPr>
        <w:jc w:val="both"/>
        <w:ind w:left="1840" w:right="20" w:hanging="873"/>
        <w:spacing w:after="0" w:line="268" w:lineRule="auto"/>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the year ended December 31, 2015, we recorded the reversal of deferred tax asset valuation allowances of $3.9 billion in GME and recorded charges related to the ignition switch recall for various legal matters of approximately $1.6 billion. In the year ended December 31, 2014 we recorded charges of approximately $2.9 billion in Automotive cost of sales related to recall campaigns and courtesy transportation, a catch-up adjustment of $0.9 billion recorded related to the change in estimate for recall campaigns and a charge of $0.4 billion related to the ignition switch recall compensation program.</w:t>
      </w:r>
    </w:p>
    <w:p>
      <w:pPr>
        <w:spacing w:after="0" w:line="3" w:lineRule="exact"/>
        <w:rPr>
          <w:rFonts w:ascii="Arial" w:cs="Arial" w:eastAsia="Arial" w:hAnsi="Arial"/>
          <w:sz w:val="17"/>
          <w:szCs w:val="17"/>
          <w:color w:val="auto"/>
        </w:rPr>
      </w:pPr>
    </w:p>
    <w:p>
      <w:pPr>
        <w:ind w:left="1840" w:right="60" w:hanging="873"/>
        <w:spacing w:after="0" w:line="254" w:lineRule="auto"/>
        <w:tabs>
          <w:tab w:leader="none" w:pos="1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December 2014, we redeemed all of the remaining shares of our Series A Preferred Stock for $3.9 billion, which reduced Net income attributable to common stockholders by $0.8 billion. In September 2013, we purchased 120 million shares of our Series A Preferred Stock held by the UAW Retiree Medical Benefits Trust for $3.2 billion, which reduced Net income attributable to common stockholders by $0.8 billion.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076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076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840" w:right="120" w:hanging="873"/>
        <w:spacing w:after="0" w:line="258" w:lineRule="auto"/>
        <w:tabs>
          <w:tab w:leader="none" w:pos="1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year ended December 31, 2013, GM Financial acquired Ally Financial’s international operations in Europe and Latin America.</w:t>
      </w:r>
    </w:p>
    <w:p>
      <w:pPr>
        <w:spacing w:after="0" w:line="1" w:lineRule="exact"/>
        <w:rPr>
          <w:rFonts w:ascii="Arial" w:cs="Arial" w:eastAsia="Arial" w:hAnsi="Arial"/>
          <w:sz w:val="18"/>
          <w:szCs w:val="18"/>
          <w:color w:val="auto"/>
        </w:rPr>
      </w:pPr>
    </w:p>
    <w:p>
      <w:pPr>
        <w:ind w:left="1840" w:hanging="873"/>
        <w:spacing w:after="0"/>
        <w:tabs>
          <w:tab w:leader="none" w:pos="1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December 2013, all of our Series B Preferred Stock automatically converted into 137 million shares of our common stock.</w:t>
      </w:r>
    </w:p>
    <w:p>
      <w:pPr>
        <w:spacing w:after="0" w:line="233" w:lineRule="exact"/>
        <w:rPr>
          <w:rFonts w:ascii="Arial" w:cs="Arial" w:eastAsia="Arial" w:hAnsi="Arial"/>
          <w:sz w:val="16"/>
          <w:szCs w:val="16"/>
          <w:color w:val="auto"/>
        </w:rPr>
      </w:pPr>
    </w:p>
    <w:p>
      <w:pPr>
        <w:ind w:left="514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860"/>
          </w:cols>
          <w:pgMar w:left="240" w:top="459" w:right="7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799"/>
        <w:spacing w:after="0" w:line="279" w:lineRule="auto"/>
        <w:rPr>
          <w:sz w:val="20"/>
          <w:szCs w:val="20"/>
          <w:color w:val="auto"/>
        </w:rPr>
      </w:pPr>
      <w:r>
        <w:rPr>
          <w:rFonts w:ascii="Arial" w:cs="Arial" w:eastAsia="Arial" w:hAnsi="Arial"/>
          <w:sz w:val="17"/>
          <w:szCs w:val="17"/>
          <w:i w:val="1"/>
          <w:iCs w:val="1"/>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2015, as updated by our subsequent filings under the Exchange Act, including our Quarterly Reports on Form 10-Q and our Current Reports on Form 8-K and any amendments thereof, before investing in the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225" w:lineRule="exact"/>
        <w:rPr>
          <w:sz w:val="20"/>
          <w:szCs w:val="20"/>
          <w:color w:val="auto"/>
        </w:rPr>
      </w:pPr>
    </w:p>
    <w:p>
      <w:pPr>
        <w:ind w:right="20" w:firstLine="799"/>
        <w:spacing w:after="0" w:line="287" w:lineRule="auto"/>
        <w:rPr>
          <w:sz w:val="20"/>
          <w:szCs w:val="20"/>
          <w:color w:val="auto"/>
        </w:rPr>
      </w:pPr>
      <w:r>
        <w:rPr>
          <w:rFonts w:ascii="Arial" w:cs="Arial" w:eastAsia="Arial" w:hAnsi="Arial"/>
          <w:sz w:val="16"/>
          <w:szCs w:val="16"/>
          <w:color w:val="auto"/>
        </w:rPr>
        <w:t>The Notes will be obligations exclusively of General Motors Company and not any of our subsidiaries, and none of our subsidiaries will guarantee the Notes. We are a holding company and, accordingly, substantially all of our operations are conducted through subsidiaries, which are separate and distinct legal entities. Our subsidiaries have no obligation to pay any amounts due under the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Notes) as an equity holder of such subsidiaries. Consequently, the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December 31, 2015, we had total consolidated liabilities of approximately $154.2 billion (including consolidated indebtedness of approximately $63.1 billion), of which $6.9 billion constitutes indebtedness of General Motors Company (parent company only) under our existing 4.000% senior notes due 2025, 5.000% senior notes due 2035, 5.200% senior notes due 2045, 3.500% senior notes due 2018, 4.875% senior notes due 2023 and 6.250% senior notes due 2043 and substantially all of the remainder of which are liabilities of our subsidiaries.</w:t>
      </w:r>
    </w:p>
    <w:p>
      <w:pPr>
        <w:spacing w:after="0" w:line="16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124" w:lineRule="exact"/>
        <w:rPr>
          <w:sz w:val="20"/>
          <w:szCs w:val="20"/>
          <w:color w:val="auto"/>
        </w:rPr>
      </w:pPr>
    </w:p>
    <w:p>
      <w:pPr>
        <w:ind w:right="60" w:firstLine="799"/>
        <w:spacing w:after="0" w:line="272" w:lineRule="auto"/>
        <w:rPr>
          <w:sz w:val="20"/>
          <w:szCs w:val="20"/>
          <w:color w:val="auto"/>
        </w:rPr>
      </w:pPr>
      <w:r>
        <w:rPr>
          <w:rFonts w:ascii="Arial" w:cs="Arial" w:eastAsia="Arial" w:hAnsi="Arial"/>
          <w:sz w:val="17"/>
          <w:szCs w:val="17"/>
          <w:color w:val="auto"/>
        </w:rPr>
        <w:t>Because we are a holding company and conduct substantially all of our operations through subsidiaries, our cash flow and ability to service debt, including the Notes and our $6.9 billion of other senior notes, will depend to a significant extent on the generation of cash flow by our subsidiaries and their ability to make such cash available to us, whether by dividends, distributions or other payments.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Notes.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limited covenants in the Indenture that will govern the Notes will not provide protection against many types of important corporate events and may not protect your investment.</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Indenture will not:</w:t>
      </w:r>
    </w:p>
    <w:p>
      <w:pPr>
        <w:spacing w:after="0" w:line="252" w:lineRule="exact"/>
        <w:rPr>
          <w:sz w:val="20"/>
          <w:szCs w:val="20"/>
          <w:color w:val="auto"/>
        </w:rPr>
      </w:pPr>
    </w:p>
    <w:p>
      <w:pPr>
        <w:ind w:left="1480" w:right="140" w:hanging="675"/>
        <w:spacing w:after="0" w:line="264"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675"/>
        <w:spacing w:after="0" w:line="342"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150" w:lineRule="exact"/>
        <w:rPr>
          <w:rFonts w:ascii="Arial" w:cs="Arial" w:eastAsia="Arial" w:hAnsi="Arial"/>
          <w:sz w:val="16"/>
          <w:szCs w:val="16"/>
          <w:color w:val="auto"/>
        </w:rPr>
      </w:pPr>
    </w:p>
    <w:p>
      <w:pPr>
        <w:ind w:left="1480" w:right="380" w:hanging="675"/>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entirely limit our ability to incur secured indebtedness that would effectively rank senior to the Notes to the extent of the value of the assets securing the indebtedness;</w:t>
      </w:r>
    </w:p>
    <w:p>
      <w:pPr>
        <w:spacing w:after="0" w:line="197" w:lineRule="exact"/>
        <w:rPr>
          <w:rFonts w:ascii="Arial" w:cs="Arial" w:eastAsia="Arial" w:hAnsi="Arial"/>
          <w:sz w:val="18"/>
          <w:szCs w:val="18"/>
          <w:color w:val="auto"/>
        </w:rPr>
      </w:pPr>
    </w:p>
    <w:p>
      <w:pPr>
        <w:ind w:left="1480" w:right="940" w:hanging="675"/>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ability to incur indebtedness that is equal or subordinate in right of payment to the Notes (other than certain secured indebtedness);</w:t>
      </w:r>
    </w:p>
    <w:p>
      <w:pPr>
        <w:spacing w:after="0" w:line="197" w:lineRule="exact"/>
        <w:rPr>
          <w:rFonts w:ascii="Arial" w:cs="Arial" w:eastAsia="Arial" w:hAnsi="Arial"/>
          <w:sz w:val="18"/>
          <w:szCs w:val="18"/>
          <w:color w:val="auto"/>
        </w:rPr>
      </w:pPr>
    </w:p>
    <w:p>
      <w:pPr>
        <w:ind w:left="1480" w:hanging="675"/>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our ability to repurchase our equity securities or prepay our other indebtedness;</w:t>
      </w:r>
    </w:p>
    <w:p>
      <w:pPr>
        <w:spacing w:after="0" w:line="252" w:lineRule="exact"/>
        <w:rPr>
          <w:rFonts w:ascii="Arial" w:cs="Arial" w:eastAsia="Arial" w:hAnsi="Arial"/>
          <w:sz w:val="18"/>
          <w:szCs w:val="18"/>
          <w:color w:val="auto"/>
        </w:rPr>
      </w:pPr>
    </w:p>
    <w:p>
      <w:pPr>
        <w:ind w:left="1480" w:right="760" w:hanging="675"/>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our ability to make investments or pay dividends or make other payments in respect of our equity securities or our other indebtedness;</w:t>
      </w:r>
    </w:p>
    <w:p>
      <w:pPr>
        <w:spacing w:after="0" w:line="197" w:lineRule="exact"/>
        <w:rPr>
          <w:rFonts w:ascii="Arial" w:cs="Arial" w:eastAsia="Arial" w:hAnsi="Arial"/>
          <w:sz w:val="18"/>
          <w:szCs w:val="18"/>
          <w:color w:val="auto"/>
        </w:rPr>
      </w:pPr>
    </w:p>
    <w:p>
      <w:pPr>
        <w:ind w:left="1480" w:hanging="675"/>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our ability to enter into highly leveraged transactions; or</w:t>
      </w:r>
    </w:p>
    <w:p>
      <w:pPr>
        <w:spacing w:after="0" w:line="252" w:lineRule="exact"/>
        <w:rPr>
          <w:rFonts w:ascii="Arial" w:cs="Arial" w:eastAsia="Arial" w:hAnsi="Arial"/>
          <w:sz w:val="18"/>
          <w:szCs w:val="18"/>
          <w:color w:val="auto"/>
        </w:rPr>
      </w:pPr>
    </w:p>
    <w:p>
      <w:pPr>
        <w:ind w:left="1480" w:hanging="675"/>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make an offer to repurchase the Notes in the event of a change in control transaction.</w:t>
      </w:r>
    </w:p>
    <w:p>
      <w:pPr>
        <w:spacing w:after="0" w:line="225" w:lineRule="exact"/>
        <w:rPr>
          <w:sz w:val="20"/>
          <w:szCs w:val="20"/>
          <w:color w:val="auto"/>
        </w:rPr>
      </w:pPr>
    </w:p>
    <w:p>
      <w:pPr>
        <w:ind w:right="300" w:firstLine="799"/>
        <w:spacing w:after="0" w:line="286" w:lineRule="auto"/>
        <w:rPr>
          <w:sz w:val="20"/>
          <w:szCs w:val="20"/>
          <w:color w:val="auto"/>
        </w:rPr>
      </w:pPr>
      <w:r>
        <w:rPr>
          <w:rFonts w:ascii="Arial" w:cs="Arial" w:eastAsia="Arial" w:hAnsi="Arial"/>
          <w:sz w:val="17"/>
          <w:szCs w:val="17"/>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unsecured and will be effectively subordinated to any of our secured debt.</w:t>
      </w:r>
    </w:p>
    <w:p>
      <w:pPr>
        <w:spacing w:after="0" w:line="225"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or any of our subsidiaries defaults on obligations to pay indebtedness, we may not be able to make payments on the Notes.</w:t>
      </w:r>
    </w:p>
    <w:p>
      <w:pPr>
        <w:spacing w:after="0" w:line="225"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Any default under agreements governing our indebtedness or the indebtedness of our subsidiaries, including any default under our $5.0 billion revolving credit facility by us or certain of our subsidiaries and any default under our $7.5 billion revolving credit facility by us or certain of our subsidiaries, that is not waived by the required lenders, and the remedies 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currently no market for the Notes, and we cannot assure you that an active trading market for the Notes will develop.</w:t>
      </w:r>
    </w:p>
    <w:p>
      <w:pPr>
        <w:spacing w:after="0" w:line="225"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The Notes will be new securities for which there currently is no established market. The Notes will not be listed on any securities exchange. We can give you no assurance as to whether any trading market for the Notes will ever develop, as to your ability to sell the Notes or as to the prices at which you may be able to sell your Notes. The liquidity of any market for the Notes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intend to make a market in the Notes. However, they are not obligated to do so and may discontinue such market-making at any time without notice. If no active trading market develops, you may be unable to resell the Notes at their fair value or at any price.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a trading market does develop, changes in our credit ratings or the debt markets could adversely affect the market prices of the Notes.</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market prices for the Notes will depend on many factors, including, among others:</w:t>
      </w:r>
    </w:p>
    <w:p>
      <w:pPr>
        <w:spacing w:after="0" w:line="252" w:lineRule="exact"/>
        <w:rPr>
          <w:sz w:val="20"/>
          <w:szCs w:val="20"/>
          <w:color w:val="auto"/>
        </w:rPr>
      </w:pPr>
    </w:p>
    <w:p>
      <w:pPr>
        <w:ind w:left="1480" w:hanging="675"/>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ratings on us and our debt securities, including the Notes, assigned by rating agencies;</w:t>
      </w:r>
    </w:p>
    <w:p>
      <w:pPr>
        <w:spacing w:after="0" w:line="252" w:lineRule="exact"/>
        <w:rPr>
          <w:rFonts w:ascii="Arial" w:cs="Arial" w:eastAsia="Arial" w:hAnsi="Arial"/>
          <w:sz w:val="18"/>
          <w:szCs w:val="18"/>
          <w:color w:val="auto"/>
        </w:rPr>
      </w:pPr>
    </w:p>
    <w:p>
      <w:pPr>
        <w:ind w:left="1480" w:hanging="675"/>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252" w:lineRule="exact"/>
        <w:rPr>
          <w:rFonts w:ascii="Arial" w:cs="Arial" w:eastAsia="Arial" w:hAnsi="Arial"/>
          <w:sz w:val="18"/>
          <w:szCs w:val="18"/>
          <w:color w:val="auto"/>
        </w:rPr>
      </w:pPr>
    </w:p>
    <w:p>
      <w:pPr>
        <w:ind w:left="1480" w:hanging="675"/>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prospects; and</w:t>
      </w:r>
    </w:p>
    <w:p>
      <w:pPr>
        <w:spacing w:after="0" w:line="252" w:lineRule="exact"/>
        <w:rPr>
          <w:rFonts w:ascii="Arial" w:cs="Arial" w:eastAsia="Arial" w:hAnsi="Arial"/>
          <w:sz w:val="18"/>
          <w:szCs w:val="18"/>
          <w:color w:val="auto"/>
        </w:rPr>
      </w:pPr>
    </w:p>
    <w:p>
      <w:pPr>
        <w:ind w:left="1480" w:hanging="675"/>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condition of the financial markets.</w:t>
      </w:r>
    </w:p>
    <w:p>
      <w:pPr>
        <w:spacing w:after="0" w:line="225"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81" w:lineRule="exact"/>
        <w:rPr>
          <w:sz w:val="20"/>
          <w:szCs w:val="20"/>
          <w:color w:val="auto"/>
        </w:rPr>
      </w:pPr>
    </w:p>
    <w:p>
      <w:pPr>
        <w:ind w:right="400" w:firstLine="799"/>
        <w:spacing w:after="0" w:line="308" w:lineRule="auto"/>
        <w:rPr>
          <w:sz w:val="20"/>
          <w:szCs w:val="20"/>
          <w:color w:val="auto"/>
        </w:rPr>
      </w:pPr>
      <w:r>
        <w:rPr>
          <w:rFonts w:ascii="Arial" w:cs="Arial" w:eastAsia="Arial" w:hAnsi="Arial"/>
          <w:sz w:val="17"/>
          <w:szCs w:val="17"/>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799"/>
        <w:spacing w:after="0" w:line="342" w:lineRule="auto"/>
        <w:rPr>
          <w:sz w:val="20"/>
          <w:szCs w:val="20"/>
          <w:color w:val="auto"/>
        </w:rPr>
      </w:pPr>
      <w:r>
        <w:rPr>
          <w:rFonts w:ascii="Arial" w:cs="Arial" w:eastAsia="Arial" w:hAnsi="Arial"/>
          <w:sz w:val="16"/>
          <w:szCs w:val="16"/>
          <w:color w:val="auto"/>
        </w:rPr>
        <w:t>We expect to receive total net proceeds of approximately $1.98 billion from the issuance of the Notes, after underwriter discounts and payment of our other offering expenses. We intend to use the net proceeds from this offering to make a discretionary contribution to our U.S. hourly pension plan.</w:t>
      </w:r>
    </w:p>
    <w:p>
      <w:pPr>
        <w:spacing w:after="0" w:line="124" w:lineRule="exact"/>
        <w:rPr>
          <w:sz w:val="20"/>
          <w:szCs w:val="20"/>
          <w:color w:val="auto"/>
        </w:rPr>
      </w:pPr>
    </w:p>
    <w:p>
      <w:pPr>
        <w:ind w:right="240" w:firstLine="799"/>
        <w:spacing w:after="0" w:line="264" w:lineRule="auto"/>
        <w:rPr>
          <w:sz w:val="20"/>
          <w:szCs w:val="20"/>
          <w:color w:val="auto"/>
        </w:rPr>
      </w:pPr>
      <w:r>
        <w:rPr>
          <w:rFonts w:ascii="Arial" w:cs="Arial" w:eastAsia="Arial" w:hAnsi="Arial"/>
          <w:sz w:val="18"/>
          <w:szCs w:val="18"/>
          <w:color w:val="auto"/>
        </w:rPr>
        <w:t>Although we intend to make a discretionary contribution to our U.S. hourly pension plan, we are not required at this time to make any contributions to this plan. In the event that we do not use all of the net proceeds from this offering to make a discretionary contribution to our U.S. hourly pension plan, we expect that we would use any remaining net proceeds for general corporate purposes.</w:t>
      </w:r>
    </w:p>
    <w:p>
      <w:pPr>
        <w:spacing w:after="0" w:line="181" w:lineRule="exact"/>
        <w:rPr>
          <w:sz w:val="20"/>
          <w:szCs w:val="20"/>
          <w:color w:val="auto"/>
        </w:rPr>
      </w:pPr>
    </w:p>
    <w:p>
      <w:pPr>
        <w:jc w:val="center"/>
        <w:ind w:left="420" w:right="620"/>
        <w:spacing w:after="0" w:line="449" w:lineRule="auto"/>
        <w:rPr>
          <w:sz w:val="20"/>
          <w:szCs w:val="20"/>
          <w:color w:val="auto"/>
        </w:rPr>
      </w:pPr>
      <w:r>
        <w:rPr>
          <w:rFonts w:ascii="Arial" w:cs="Arial" w:eastAsia="Arial" w:hAnsi="Arial"/>
          <w:sz w:val="18"/>
          <w:szCs w:val="18"/>
          <w:color w:val="auto"/>
        </w:rPr>
        <w:t>Until we use the net proceeds from this offering, we intend to invest the funds in short-term investments, including marketable securities. S-10</w:t>
      </w:r>
    </w:p>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820" w:type="dxa"/>
        <w:tblCellMar>
          <w:top w:w="0" w:type="dxa"/>
          <w:left w:w="0" w:type="dxa"/>
          <w:bottom w:w="0" w:type="dxa"/>
          <w:right w:w="0" w:type="dxa"/>
        </w:tblCellMar>
      </w:tblPr>
      <w:tr>
        <w:trPr>
          <w:trHeight w:val="156"/>
        </w:trPr>
        <w:tc>
          <w:tcPr>
            <w:tcW w:w="2140" w:type="dxa"/>
            <w:vAlign w:val="bottom"/>
            <w:tcBorders>
              <w:top w:val="single" w:sz="8" w:color="auto"/>
            </w:tcBorders>
          </w:tcPr>
          <w:p>
            <w:pPr>
              <w:jc w:val="right"/>
              <w:ind w:right="859"/>
              <w:spacing w:after="0" w:line="155" w:lineRule="exact"/>
              <w:rPr>
                <w:sz w:val="20"/>
                <w:szCs w:val="20"/>
                <w:color w:val="auto"/>
              </w:rPr>
            </w:pPr>
            <w:r>
              <w:rPr>
                <w:rFonts w:ascii="Arial" w:cs="Arial" w:eastAsia="Arial" w:hAnsi="Arial"/>
                <w:sz w:val="14"/>
                <w:szCs w:val="14"/>
                <w:b w:val="1"/>
                <w:bCs w:val="1"/>
                <w:color w:val="auto"/>
              </w:rPr>
              <w:t>2015</w:t>
            </w:r>
          </w:p>
        </w:tc>
        <w:tc>
          <w:tcPr>
            <w:tcW w:w="14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2014</w:t>
            </w:r>
          </w:p>
        </w:tc>
        <w:tc>
          <w:tcPr>
            <w:tcW w:w="15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2013</w:t>
            </w:r>
          </w:p>
        </w:tc>
        <w:tc>
          <w:tcPr>
            <w:tcW w:w="18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2012</w:t>
            </w:r>
          </w:p>
        </w:tc>
        <w:tc>
          <w:tcPr>
            <w:tcW w:w="15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80" w:type="dxa"/>
            <w:vAlign w:val="bottom"/>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5"/>
              </w:rPr>
              <w:t>2.97</w:t>
            </w:r>
          </w:p>
        </w:tc>
        <w:tc>
          <w:tcPr>
            <w:tcW w:w="1580" w:type="dxa"/>
            <w:vAlign w:val="bottom"/>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5"/>
              </w:rPr>
              <w:t>5.85</w:t>
            </w:r>
          </w:p>
        </w:tc>
        <w:tc>
          <w:tcPr>
            <w:tcW w:w="1580" w:type="dxa"/>
            <w:vAlign w:val="bottom"/>
            <w:vMerge w:val="continue"/>
            <w:shd w:val="clear" w:color="auto" w:fill="CCEEFF"/>
          </w:tcPr>
          <w:p>
            <w:pPr>
              <w:spacing w:after="0"/>
              <w:rPr>
                <w:sz w:val="18"/>
                <w:szCs w:val="18"/>
                <w:color w:val="auto"/>
              </w:rPr>
            </w:pPr>
          </w:p>
        </w:tc>
        <w:tc>
          <w:tcPr>
            <w:tcW w:w="1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5"/>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700" w:hanging="895"/>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in the year ended December 31, 2012 were inadequate to cover fixed charges. Additional earnings of $28.8 billion in the year ended December 31, 2012 would have been necessary to bring the ratio for this period to 1.0.</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60"/>
          </w:cols>
          <w:pgMar w:left="240" w:top="459" w:right="5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The Notes offered hereby will be issued as separate series of debt securities pursuant to the indenture (the “Base Indenture”) dated as of September 27, 2013 between GM and The Bank of New York Mellon, as trustee (the “Trustee”), as amended and supplemented by the third supplemental indenture (the “Supplemental Indenture”) to be dated on or about February 23, 2016 between us and the Trustee. The Base Indenture and the Supplemental Indenture, each as amended and supplemented, are together referred to herein as the “Indenture.” The Indenture and the Notes are governed by, and construed in accordance with, the laws of the State of New York, United States.</w:t>
      </w:r>
    </w:p>
    <w:p>
      <w:pPr>
        <w:spacing w:after="0" w:line="188"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93" w:lineRule="exact"/>
        <w:rPr>
          <w:sz w:val="20"/>
          <w:szCs w:val="20"/>
          <w:color w:val="auto"/>
        </w:rPr>
      </w:pPr>
    </w:p>
    <w:p>
      <w:pPr>
        <w:ind w:right="180" w:firstLine="799"/>
        <w:spacing w:after="0" w:line="312" w:lineRule="auto"/>
        <w:rPr>
          <w:sz w:val="20"/>
          <w:szCs w:val="20"/>
          <w:color w:val="auto"/>
        </w:rPr>
      </w:pPr>
      <w:r>
        <w:rPr>
          <w:rFonts w:ascii="Arial" w:cs="Arial" w:eastAsia="Arial" w:hAnsi="Arial"/>
          <w:sz w:val="16"/>
          <w:szCs w:val="16"/>
          <w:color w:val="auto"/>
        </w:rPr>
        <w:t>The Notes will be senior, unsecured obligations of GM and will rank equally with all other unsecured and unsubordinated indebtedness of GM (other than obligations preferred by mandatory provisions of law). The 2036 Notes will mature on April 1, 2036 and the 2046 Notes will mature on April 1, 2046; in each case unless we redeem such Notes prior to their respective maturity dates, as described below under “—Optional Redemption.”</w:t>
      </w:r>
    </w:p>
    <w:p>
      <w:pPr>
        <w:spacing w:after="0" w:line="147" w:lineRule="exact"/>
        <w:rPr>
          <w:sz w:val="20"/>
          <w:szCs w:val="20"/>
          <w:color w:val="auto"/>
        </w:rPr>
      </w:pPr>
    </w:p>
    <w:p>
      <w:pPr>
        <w:ind w:right="520" w:firstLine="799"/>
        <w:spacing w:after="0" w:line="264" w:lineRule="auto"/>
        <w:rPr>
          <w:sz w:val="20"/>
          <w:szCs w:val="20"/>
          <w:color w:val="auto"/>
        </w:rPr>
      </w:pPr>
      <w:r>
        <w:rPr>
          <w:rFonts w:ascii="Arial" w:cs="Arial" w:eastAsia="Arial" w:hAnsi="Arial"/>
          <w:sz w:val="18"/>
          <w:szCs w:val="18"/>
          <w:color w:val="auto"/>
        </w:rPr>
        <w:t xml:space="preserve">The Notes will be issued in book-entry form only through the facilities of DTC, including its participants,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See “Description of Debt Securities—Book-Entry; Delivery and Form; Global Securities” in the accompanying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Interest</w:t>
      </w:r>
    </w:p>
    <w:p>
      <w:pPr>
        <w:spacing w:after="0" w:line="229"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The 2036 Notes will initially be limited to $1,250,000,000 aggregate principal amount and the 2046 Notes will initially be limited to $750,000,000 aggregate principal amount. The 2036 Notes will bear interest at a rate of 6.600% per annum and the 2046 Notes will bear interest at a rate of 6.750% per annum. The Notes will accrue interest, calculated on the basis of a 360-day year consisting of twelve 30-day months, from February 23, 2016, or from the most recent interest payment date to which interest has been paid or duly provided for, which will be payable in arrears on April 1 and October 1 of each year, with the first payment to be made on October 1, 2016, to the person in whose name the Notes are registered at the close of business on the March 15 or September 15, as the case may be, next preceding the relevant interest payment date. The Notes will be issued in fully registered form only, in denominations of $2,000 and integral multiples of $1,000 in excess thereof.</w:t>
      </w:r>
    </w:p>
    <w:p>
      <w:pPr>
        <w:spacing w:after="0" w:line="178" w:lineRule="exact"/>
        <w:rPr>
          <w:sz w:val="20"/>
          <w:szCs w:val="20"/>
          <w:color w:val="auto"/>
        </w:rPr>
      </w:pPr>
    </w:p>
    <w:p>
      <w:pPr>
        <w:ind w:right="180" w:firstLine="799"/>
        <w:spacing w:after="0" w:line="257" w:lineRule="auto"/>
        <w:rPr>
          <w:sz w:val="20"/>
          <w:szCs w:val="20"/>
          <w:color w:val="auto"/>
        </w:rPr>
      </w:pPr>
      <w:r>
        <w:rPr>
          <w:rFonts w:ascii="Arial" w:cs="Arial" w:eastAsia="Arial" w:hAnsi="Arial"/>
          <w:sz w:val="18"/>
          <w:szCs w:val="18"/>
          <w:color w:val="auto"/>
        </w:rPr>
        <w:t>Amounts due on the respective stated maturity date or earlier redemption date of the Notes will be payable at the corporate trust office of the Trustee, which at the date hereof is 101 Barclay Street, Floor 7W, New York, NY 10286, Attention: Corporate Trust Division.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88" w:lineRule="exact"/>
        <w:rPr>
          <w:sz w:val="20"/>
          <w:szCs w:val="20"/>
          <w:color w:val="auto"/>
        </w:rPr>
      </w:pPr>
    </w:p>
    <w:p>
      <w:pPr>
        <w:ind w:right="180" w:firstLine="799"/>
        <w:spacing w:after="0" w:line="277" w:lineRule="auto"/>
        <w:rPr>
          <w:sz w:val="20"/>
          <w:szCs w:val="20"/>
          <w:color w:val="auto"/>
        </w:rPr>
      </w:pPr>
      <w:r>
        <w:rPr>
          <w:rFonts w:ascii="Arial" w:cs="Arial" w:eastAsia="Arial" w:hAnsi="Arial"/>
          <w:sz w:val="18"/>
          <w:szCs w:val="18"/>
          <w:color w:val="auto"/>
        </w:rPr>
        <w:t>If any interest payment date, stated maturity date or earlier redemption date falls on a day that is not a business day in The City of New York, we will make the required payment of principal, premium, if any, and/or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 As used in the Indenture, the term “business day” means, with respect to any place of payment or any other specified location, each Monday, Tuesday, Wednesday, Thursday and Friday that is not a day on which banking institutions are authorized or obligated by law, regulation or executive order to close in that place of payment, such other location or the city in which the corporate trust office of the Trustee is located.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229"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 xml:space="preserve">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additional Notes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date or initial interest payment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100" w:firstLine="799"/>
        <w:spacing w:after="0" w:line="273" w:lineRule="auto"/>
        <w:rPr>
          <w:sz w:val="20"/>
          <w:szCs w:val="20"/>
          <w:color w:val="auto"/>
        </w:rPr>
      </w:pPr>
      <w:r>
        <w:rPr>
          <w:rFonts w:ascii="Arial" w:cs="Arial" w:eastAsia="Arial" w:hAnsi="Arial"/>
          <w:sz w:val="17"/>
          <w:szCs w:val="17"/>
          <w:color w:val="auto"/>
        </w:rPr>
        <w:t>At any time prior to October 1, 2035 (the date that is six months prior to their maturity date), we may, at our option, redeem some or all of the 2036 Notes at any time and from time to time at a redemption price equal to the greater of the following amounts, plus, in each case, accrued and unpaid interest on the principal amount being redeemed to, but excluding, the applicable redemption date: (i) 100% of the principal amount of the 2036 Notes to be redeemed; and (ii) as determined by us, the sum of the present values of the remaining scheduled payments of principal and interest on the 2036 Notes to be redeemed (not including any portion of payments of interest accrued as of the applicable redemption date), discounted to the applicable redemption date on a semi-annual basis at a rate equal to the sum of the Treasury Rate plus 50 basis points.</w:t>
      </w:r>
    </w:p>
    <w:p>
      <w:pPr>
        <w:spacing w:after="0" w:line="178"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On or after October 1, 2035 (the date that is six months prior to their maturity date) we may, at our option, redeem some or all of the 2036 Notes at any time and from time to time at a redemption price equal to 100% of the principal amount of the 2036 Notes to be redeemed, plus accrued and unpaid interest thereon to the applicable redemption date.</w:t>
      </w:r>
    </w:p>
    <w:p>
      <w:pPr>
        <w:spacing w:after="0" w:line="181" w:lineRule="exact"/>
        <w:rPr>
          <w:sz w:val="20"/>
          <w:szCs w:val="20"/>
          <w:color w:val="auto"/>
        </w:rPr>
      </w:pPr>
    </w:p>
    <w:p>
      <w:pPr>
        <w:ind w:right="100" w:firstLine="799"/>
        <w:spacing w:after="0" w:line="273" w:lineRule="auto"/>
        <w:rPr>
          <w:sz w:val="20"/>
          <w:szCs w:val="20"/>
          <w:color w:val="auto"/>
        </w:rPr>
      </w:pPr>
      <w:r>
        <w:rPr>
          <w:rFonts w:ascii="Arial" w:cs="Arial" w:eastAsia="Arial" w:hAnsi="Arial"/>
          <w:sz w:val="17"/>
          <w:szCs w:val="17"/>
          <w:color w:val="auto"/>
        </w:rPr>
        <w:t>At any time prior to October 1, 2045 (the date that is six months prior to their maturity date), we may, at our option, redeem some or all of the 2046 Notes at any time and from time to time at a redemption price equal to the greater of the following amounts, plus, in each case, accrued and unpaid interest on the principal amount being redeemed to, but excluding, the applicable redemption date: (i) 100% of the principal amount of the 2046 Notes to be redeemed; and (ii) as determined by us, the sum of the present values of the remaining scheduled payments of principal and interest on the 2046 Notes to be redeemed (not including any portion of payments of interest accrued as of the applicable redemption date), discounted to the applicable redemption date on a semi-annual basis at a rate equal to the sum of the Treasury Rate plus 50 basis points.</w:t>
      </w:r>
    </w:p>
    <w:p>
      <w:pPr>
        <w:spacing w:after="0" w:line="178"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On or after October 1, 2045 (the date that is six months prior to their maturity date) we may, at our option, redeem some or all of the 2046 Notes at any time and from time to time at a redemption price equal to 100% of the principal amount of the 2046 Notes to be redeemed, plus accrued and unpaid interest thereon to the applicable redemption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70" w:lineRule="exact"/>
        <w:rPr>
          <w:sz w:val="20"/>
          <w:szCs w:val="20"/>
          <w:color w:val="auto"/>
        </w:rPr>
      </w:pPr>
    </w:p>
    <w:p>
      <w:pPr>
        <w:ind w:right="20" w:firstLine="79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a Reference Treasury Dealer as having an actual or interpolated maturity comparable to the remaining term of the Notes of the applicable series to be redeemed that would be used, at the time of selection and in accordance with customary market practice, in pricing new issues of corporate debt securities of a comparable maturity to the remaining term of such Notes.</w:t>
      </w:r>
    </w:p>
    <w:p>
      <w:pPr>
        <w:spacing w:after="0" w:line="147" w:lineRule="exact"/>
        <w:rPr>
          <w:sz w:val="20"/>
          <w:szCs w:val="20"/>
          <w:color w:val="auto"/>
        </w:rPr>
      </w:pPr>
    </w:p>
    <w:p>
      <w:pPr>
        <w:jc w:val="both"/>
        <w:ind w:right="300" w:firstLine="799"/>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Price</w:t>
      </w:r>
      <w:r>
        <w:rPr>
          <w:rFonts w:ascii="Arial" w:cs="Arial" w:eastAsia="Arial" w:hAnsi="Arial"/>
          <w:sz w:val="17"/>
          <w:szCs w:val="17"/>
          <w:color w:val="auto"/>
        </w:rPr>
        <w:t>” means, with respect to any redemption date, as determined by us, (A) the average of the five Reference Treasury Dealer Quotations for such redemption date, after excluding the highest and lowest of the Reference Treasury Dealer Quotations or (B) if we obtain fewer than five Reference Treasury Dealer Quotations, the average of all Reference Treasury Dealer Quotations so received.</w:t>
      </w:r>
    </w:p>
    <w:p>
      <w:pPr>
        <w:spacing w:after="0" w:line="166" w:lineRule="exact"/>
        <w:rPr>
          <w:sz w:val="20"/>
          <w:szCs w:val="20"/>
          <w:color w:val="auto"/>
        </w:rPr>
      </w:pPr>
    </w:p>
    <w:p>
      <w:pPr>
        <w:ind w:right="100" w:firstLine="799"/>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means (i) each of Goldman, Sachs &amp; Co., Citigroup Global Markets Inc. and Merrill Lynch, Pierce, Fenner &amp; Smith Incorporated and their respective successors, unless any of them ceases to be a primary United States Government securities dealer in New York City (a “Primary Treasury Dealer”), in which case we will substitute therefor another nationally recognized investment banking firm that is a Primary Treasury Dealer and (ii) two other nationally recognized investment banking firms that are Primary Treasury Dealers as selected by us.</w:t>
      </w:r>
    </w:p>
    <w:p>
      <w:pPr>
        <w:spacing w:after="0" w:line="171" w:lineRule="exact"/>
        <w:rPr>
          <w:sz w:val="20"/>
          <w:szCs w:val="20"/>
          <w:color w:val="auto"/>
        </w:rPr>
      </w:pPr>
    </w:p>
    <w:p>
      <w:pPr>
        <w:ind w:right="280" w:firstLine="79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147" w:lineRule="exact"/>
        <w:rPr>
          <w:sz w:val="20"/>
          <w:szCs w:val="20"/>
          <w:color w:val="auto"/>
        </w:rPr>
      </w:pPr>
    </w:p>
    <w:p>
      <w:pPr>
        <w:jc w:val="both"/>
        <w:ind w:right="540" w:firstLine="799"/>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6" w:lineRule="exact"/>
        <w:rPr>
          <w:sz w:val="20"/>
          <w:szCs w:val="20"/>
          <w:color w:val="auto"/>
        </w:rPr>
      </w:pPr>
    </w:p>
    <w:p>
      <w:pPr>
        <w:ind w:firstLine="799"/>
        <w:spacing w:after="0" w:line="312" w:lineRule="auto"/>
        <w:rPr>
          <w:sz w:val="20"/>
          <w:szCs w:val="20"/>
          <w:color w:val="auto"/>
        </w:rPr>
      </w:pPr>
      <w:r>
        <w:rPr>
          <w:rFonts w:ascii="Arial" w:cs="Arial" w:eastAsia="Arial" w:hAnsi="Arial"/>
          <w:sz w:val="16"/>
          <w:szCs w:val="16"/>
          <w:color w:val="auto"/>
        </w:rPr>
        <w:t>We will give notice of any redemption, mailed not less than 30 days nor more than 60 days before the applicable redemption date, to each holder of the Notes to be redeemed at such holder’s email address or physical address appearing in the security register of the Notes. If we redeem less than all of the Notes, the Trustee will select the particular Notes to be redeemed by lot, on a pro rata basis or by another method the Trustee deems fair and appropriate.</w:t>
      </w:r>
    </w:p>
    <w:p>
      <w:pPr>
        <w:spacing w:after="0" w:line="147"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Unless we default in the payment of the redemption price, on and after the applicable redemption date, interest will cease to accrue on the Notes or portions of the Notes called for redemption.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The following definitions shall be applicable to the covenants specified below:</w:t>
      </w:r>
    </w:p>
    <w:p>
      <w:pPr>
        <w:spacing w:after="0" w:line="225"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Attributable Debt</w:t>
      </w:r>
      <w:r>
        <w:rPr>
          <w:rFonts w:ascii="Arial" w:cs="Arial" w:eastAsia="Arial" w:hAnsi="Arial"/>
          <w:sz w:val="17"/>
          <w:szCs w:val="17"/>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78" w:lineRule="exact"/>
        <w:rPr>
          <w:sz w:val="20"/>
          <w:szCs w:val="20"/>
          <w:color w:val="auto"/>
        </w:rPr>
      </w:pPr>
    </w:p>
    <w:p>
      <w:pPr>
        <w:ind w:right="240" w:firstLine="79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xml:space="preserve">” means, on the date of determination, total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225"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Manufacturing Subsidiary</w:t>
      </w:r>
      <w:r>
        <w:rPr>
          <w:rFonts w:ascii="Arial" w:cs="Arial" w:eastAsia="Arial" w:hAnsi="Arial"/>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Mortgage</w:t>
      </w:r>
      <w:r>
        <w:rPr>
          <w:rFonts w:ascii="Arial" w:cs="Arial" w:eastAsia="Arial" w:hAnsi="Arial"/>
          <w:sz w:val="16"/>
          <w:szCs w:val="16"/>
          <w:color w:val="auto"/>
        </w:rPr>
        <w:t>” means any mortgage, pledge, lien, security interest, conditional sale or other title retention agreement or other similar encumbrance.</w:t>
      </w:r>
    </w:p>
    <w:p>
      <w:pPr>
        <w:spacing w:after="0" w:line="248" w:lineRule="exact"/>
        <w:rPr>
          <w:sz w:val="20"/>
          <w:szCs w:val="20"/>
          <w:color w:val="auto"/>
        </w:rPr>
      </w:pPr>
    </w:p>
    <w:p>
      <w:pPr>
        <w:ind w:right="80" w:firstLine="79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Domestic Manufacturing Property</w:t>
      </w:r>
      <w:r>
        <w:rPr>
          <w:rFonts w:ascii="Arial" w:cs="Arial" w:eastAsia="Arial" w:hAnsi="Arial"/>
          <w:sz w:val="16"/>
          <w:szCs w:val="16"/>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6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87" w:lineRule="exact"/>
        <w:rPr>
          <w:sz w:val="20"/>
          <w:szCs w:val="20"/>
          <w:color w:val="auto"/>
        </w:rPr>
      </w:pPr>
    </w:p>
    <w:p>
      <w:pPr>
        <w:ind w:right="60" w:firstLine="799"/>
        <w:spacing w:after="0" w:line="257" w:lineRule="auto"/>
        <w:rPr>
          <w:sz w:val="20"/>
          <w:szCs w:val="20"/>
          <w:color w:val="auto"/>
        </w:rPr>
      </w:pPr>
      <w:r>
        <w:rPr>
          <w:rFonts w:ascii="Arial" w:cs="Arial" w:eastAsia="Arial" w:hAnsi="Arial"/>
          <w:sz w:val="18"/>
          <w:szCs w:val="18"/>
          <w:b w:val="1"/>
          <w:bCs w:val="1"/>
          <w:i w:val="1"/>
          <w:iCs w:val="1"/>
          <w:color w:val="auto"/>
        </w:rPr>
        <w:t>Limitation on Liens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benefit of the Notes, we will not, nor will we permit any Manufacturing Subsidiary to, issue or assume any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secured 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252" w:lineRule="exact"/>
        <w:rPr>
          <w:sz w:val="20"/>
          <w:szCs w:val="20"/>
          <w:color w:val="auto"/>
        </w:rPr>
      </w:pPr>
    </w:p>
    <w:p>
      <w:pPr>
        <w:ind w:left="1700" w:right="900" w:hanging="895"/>
        <w:spacing w:after="0" w:line="277"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197" w:lineRule="exact"/>
        <w:rPr>
          <w:rFonts w:ascii="Arial" w:cs="Arial" w:eastAsia="Arial" w:hAnsi="Arial"/>
          <w:sz w:val="18"/>
          <w:szCs w:val="18"/>
          <w:color w:val="auto"/>
        </w:rPr>
      </w:pPr>
    </w:p>
    <w:p>
      <w:pPr>
        <w:ind w:left="1700" w:right="140" w:hanging="895"/>
        <w:spacing w:after="0" w:line="302" w:lineRule="auto"/>
        <w:tabs>
          <w:tab w:leader="none" w:pos="1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181" w:lineRule="exact"/>
        <w:rPr>
          <w:rFonts w:ascii="Arial" w:cs="Arial" w:eastAsia="Arial" w:hAnsi="Arial"/>
          <w:sz w:val="16"/>
          <w:szCs w:val="16"/>
          <w:color w:val="auto"/>
        </w:rPr>
      </w:pPr>
    </w:p>
    <w:p>
      <w:pPr>
        <w:ind w:left="1700" w:hanging="895"/>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us or to another Manufacturing Subsidiary;</w:t>
      </w:r>
    </w:p>
    <w:p>
      <w:pPr>
        <w:spacing w:after="0" w:line="252" w:lineRule="exact"/>
        <w:rPr>
          <w:rFonts w:ascii="Arial" w:cs="Arial" w:eastAsia="Arial" w:hAnsi="Arial"/>
          <w:sz w:val="18"/>
          <w:szCs w:val="18"/>
          <w:color w:val="auto"/>
        </w:rPr>
      </w:pPr>
    </w:p>
    <w:p>
      <w:pPr>
        <w:ind w:left="1700" w:right="300" w:hanging="895"/>
        <w:spacing w:after="0" w:line="264"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208" w:lineRule="exact"/>
        <w:rPr>
          <w:rFonts w:ascii="Arial" w:cs="Arial" w:eastAsia="Arial" w:hAnsi="Arial"/>
          <w:sz w:val="18"/>
          <w:szCs w:val="18"/>
          <w:color w:val="auto"/>
        </w:rPr>
      </w:pPr>
    </w:p>
    <w:p>
      <w:pPr>
        <w:ind w:left="1700" w:right="20" w:hanging="895"/>
        <w:spacing w:after="0" w:line="255"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220" w:lineRule="exact"/>
        <w:rPr>
          <w:rFonts w:ascii="Arial" w:cs="Arial" w:eastAsia="Arial" w:hAnsi="Arial"/>
          <w:sz w:val="18"/>
          <w:szCs w:val="18"/>
          <w:color w:val="auto"/>
        </w:rPr>
      </w:pPr>
    </w:p>
    <w:p>
      <w:pPr>
        <w:ind w:left="1700" w:hanging="895"/>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existing on the date of issuance of the Notes; or</w:t>
      </w:r>
    </w:p>
    <w:p>
      <w:pPr>
        <w:spacing w:after="0" w:line="252" w:lineRule="exact"/>
        <w:rPr>
          <w:rFonts w:ascii="Arial" w:cs="Arial" w:eastAsia="Arial" w:hAnsi="Arial"/>
          <w:sz w:val="18"/>
          <w:szCs w:val="18"/>
          <w:color w:val="auto"/>
        </w:rPr>
      </w:pPr>
    </w:p>
    <w:p>
      <w:pPr>
        <w:ind w:left="1700" w:right="40" w:hanging="895"/>
        <w:spacing w:after="0" w:line="257"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8"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b w:val="1"/>
          <w:bCs w:val="1"/>
          <w:i w:val="1"/>
          <w:iCs w:val="1"/>
          <w:color w:val="auto"/>
        </w:rPr>
        <w:t>Limitation on Sales and Lease-Backs</w:t>
      </w:r>
      <w:r>
        <w:rPr>
          <w:rFonts w:ascii="Arial" w:cs="Arial" w:eastAsia="Arial" w:hAnsi="Arial"/>
          <w:sz w:val="18"/>
          <w:szCs w:val="18"/>
          <w:color w:val="auto"/>
        </w:rPr>
        <w:t>. For the benefit of the Notes, we will not, nor will we permit any Manufacturing Subsidiary to, enter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arrangement with any person providing for the leasing by us or any 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Subsidiaries), which property has been or is to be sold or transferred by us or such Manufacturing Subsidiary to such person, unless either:</w:t>
      </w:r>
    </w:p>
    <w:p>
      <w:pPr>
        <w:spacing w:after="0" w:line="252" w:lineRule="exact"/>
        <w:rPr>
          <w:sz w:val="20"/>
          <w:szCs w:val="20"/>
          <w:color w:val="auto"/>
        </w:rPr>
      </w:pPr>
    </w:p>
    <w:p>
      <w:pPr>
        <w:ind w:left="1700" w:right="100" w:hanging="895"/>
        <w:spacing w:after="0" w:line="272" w:lineRule="auto"/>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204" w:lineRule="exact"/>
        <w:rPr>
          <w:rFonts w:ascii="Arial" w:cs="Arial" w:eastAsia="Arial" w:hAnsi="Arial"/>
          <w:sz w:val="17"/>
          <w:szCs w:val="17"/>
          <w:color w:val="auto"/>
        </w:rPr>
      </w:pPr>
    </w:p>
    <w:p>
      <w:pPr>
        <w:ind w:left="1700" w:hanging="895"/>
        <w:spacing w:after="0" w:line="255"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ind w:right="20" w:firstLine="799"/>
        <w:spacing w:after="0" w:line="270" w:lineRule="auto"/>
        <w:rPr>
          <w:sz w:val="20"/>
          <w:szCs w:val="20"/>
          <w:color w:val="auto"/>
        </w:rPr>
      </w:pPr>
      <w:r>
        <w:rPr>
          <w:rFonts w:ascii="Arial" w:cs="Arial" w:eastAsia="Arial" w:hAnsi="Arial"/>
          <w:sz w:val="17"/>
          <w:szCs w:val="17"/>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Securities—Satisfaction, Discharge and Covenant Defeasance” in the accompanying prospectus are satisfied.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229"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The Bank of New York Mellon and its affiliates act as depositary for funds of, make loans to, act as trustee and perform certain other services for, certain of our affiliates and us in the normal course of its business. As trustee of various trusts, it has purchased our securities and those of certain of our affiliates.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TAX CONSIDERATIONS</w:t>
      </w:r>
    </w:p>
    <w:p>
      <w:pPr>
        <w:spacing w:after="0" w:line="229"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The following is a general discussion of certain U.S.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federal income tax purposes (generally, property held for investment).</w:t>
      </w:r>
    </w:p>
    <w:p>
      <w:pPr>
        <w:spacing w:after="0" w:line="188"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This discussion is based on the U.S. Internal Revenue Code of 1986, as amended (the “Code”), Treasury regulations promulgated or proposed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73"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83" w:lineRule="exact"/>
        <w:rPr>
          <w:sz w:val="20"/>
          <w:szCs w:val="20"/>
          <w:color w:val="auto"/>
        </w:rPr>
      </w:pPr>
    </w:p>
    <w:p>
      <w:pPr>
        <w:ind w:right="120" w:firstLine="799"/>
        <w:spacing w:after="0" w:line="266" w:lineRule="auto"/>
        <w:rPr>
          <w:sz w:val="20"/>
          <w:szCs w:val="20"/>
          <w:color w:val="auto"/>
        </w:rPr>
      </w:pPr>
      <w:r>
        <w:rPr>
          <w:rFonts w:ascii="Arial" w:cs="Arial" w:eastAsia="Arial" w:hAnsi="Arial"/>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r>
        <w:rPr>
          <w:rFonts w:ascii="Arial" w:cs="Arial" w:eastAsia="Arial" w:hAnsi="Arial"/>
          <w:sz w:val="18"/>
          <w:szCs w:val="18"/>
          <w:color w:val="auto"/>
        </w:rPr>
        <w:t>.</w:t>
      </w:r>
    </w:p>
    <w:p>
      <w:pPr>
        <w:spacing w:after="0" w:line="180" w:lineRule="exact"/>
        <w:rPr>
          <w:sz w:val="20"/>
          <w:szCs w:val="20"/>
          <w:color w:val="auto"/>
        </w:rPr>
      </w:pPr>
    </w:p>
    <w:p>
      <w:pPr>
        <w:ind w:right="120" w:firstLine="799"/>
        <w:spacing w:after="0" w:line="255" w:lineRule="auto"/>
        <w:rPr>
          <w:sz w:val="20"/>
          <w:szCs w:val="20"/>
          <w:color w:val="auto"/>
        </w:rPr>
      </w:pPr>
      <w:r>
        <w:rPr>
          <w:rFonts w:ascii="Arial" w:cs="Arial" w:eastAsia="Arial" w:hAnsi="Arial"/>
          <w:sz w:val="18"/>
          <w:szCs w:val="18"/>
          <w:color w:val="auto"/>
        </w:rPr>
        <w:t>As used in this discussion, the term “U.S. Holder” means a beneficial owner of a Note that, for U.S. federal income tax purposes, is (i) an individual who is a citizen or resident of the U.S., (ii) a corporation (or other entity taxable as a corporation for U.S. federal income tax purposes) created or organized in or under the laws of the U.S., any state thereof or the District of Columbia, (iii) an estate the income of which is subject to U.S. federal income taxation regardless of its source or (iv) a trust (x) with respect to which a court within the U.S.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93" w:lineRule="exact"/>
        <w:rPr>
          <w:sz w:val="20"/>
          <w:szCs w:val="20"/>
          <w:color w:val="auto"/>
        </w:rPr>
      </w:pPr>
    </w:p>
    <w:p>
      <w:pPr>
        <w:jc w:val="both"/>
        <w:ind w:right="40" w:firstLine="799"/>
        <w:spacing w:after="0" w:line="264" w:lineRule="auto"/>
        <w:rPr>
          <w:sz w:val="20"/>
          <w:szCs w:val="20"/>
          <w:color w:val="auto"/>
        </w:rPr>
      </w:pPr>
      <w:r>
        <w:rPr>
          <w:rFonts w:ascii="Arial" w:cs="Arial" w:eastAsia="Arial" w:hAnsi="Arial"/>
          <w:sz w:val="18"/>
          <w:szCs w:val="18"/>
          <w:color w:val="auto"/>
        </w:rPr>
        <w:t>The term “Non-U.S. Holder” means a beneficial owner of a Note that is, for U.S. federal income tax purposes, an individual, corporation, estate or trust that is not a U.S. Holder. For purposes of this “Certain U.S. Federal Tax Considerations” section only, the term “Holder” means a U.S. Holder or a Non-U.S. Holder (as those terms are defined 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799"/>
        <w:spacing w:after="0" w:line="286" w:lineRule="auto"/>
        <w:rPr>
          <w:sz w:val="20"/>
          <w:szCs w:val="20"/>
          <w:color w:val="auto"/>
        </w:rPr>
      </w:pPr>
      <w:r>
        <w:rPr>
          <w:rFonts w:ascii="Arial" w:cs="Arial" w:eastAsia="Arial" w:hAnsi="Arial"/>
          <w:sz w:val="17"/>
          <w:szCs w:val="17"/>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Stated Interest</w:t>
      </w:r>
    </w:p>
    <w:p>
      <w:pPr>
        <w:spacing w:after="0" w:line="225" w:lineRule="exact"/>
        <w:rPr>
          <w:sz w:val="20"/>
          <w:szCs w:val="20"/>
          <w:color w:val="auto"/>
        </w:rPr>
      </w:pPr>
    </w:p>
    <w:p>
      <w:pPr>
        <w:ind w:right="480" w:firstLine="799"/>
        <w:spacing w:after="0" w:line="277" w:lineRule="auto"/>
        <w:rPr>
          <w:sz w:val="20"/>
          <w:szCs w:val="20"/>
          <w:color w:val="auto"/>
        </w:rPr>
      </w:pPr>
      <w:r>
        <w:rPr>
          <w:rFonts w:ascii="Arial" w:cs="Arial" w:eastAsia="Arial" w:hAnsi="Arial"/>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Issue Discount</w:t>
      </w:r>
    </w:p>
    <w:p>
      <w:pPr>
        <w:spacing w:after="0" w:line="225"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 xml:space="preserve">The Notes are expected to be issued with less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original issue discount (“OID”) for U.S. federal income tax purposes. However, if the stated principal amount of the Notes exceeds their issue price (as defined above) by at least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the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Exchange, Redemption, Retirement or Other Taxable Disposition of the Notes</w:t>
      </w:r>
    </w:p>
    <w:p>
      <w:pPr>
        <w:spacing w:after="0" w:line="225"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160" w:firstLine="799"/>
        <w:spacing w:after="0" w:line="255" w:lineRule="auto"/>
        <w:rPr>
          <w:sz w:val="20"/>
          <w:szCs w:val="20"/>
          <w:color w:val="auto"/>
        </w:rPr>
      </w:pPr>
      <w:r>
        <w:rPr>
          <w:rFonts w:ascii="Arial" w:cs="Arial" w:eastAsia="Arial" w:hAnsi="Arial"/>
          <w:sz w:val="18"/>
          <w:szCs w:val="18"/>
          <w:color w:val="auto"/>
        </w:rPr>
        <w:t>Information reporting generally will apply to a U.S. Holder with respect to payments of interest or accruals of OID (if any) on a Note and the payment of proceeds from the sale, exchange, redemption, retirement or other taxable disposition of a Note, unless such U.S. Holder is an entity that is exempt from information reporting (such as a corporation) and, when required, demonstrates this fact. Any such payments or proceeds to a U.S. Holder that are subject to information reporting generally will also be subject to backup withholding, unless such U.S. Holder provides the appropriate documentation (generally, IRS Form W-9 or a suitable substitute form) to the applicable withholding agent certifying that, among other things, its taxpayer identification number is correct, or otherwise establishes an exemption.</w:t>
      </w:r>
    </w:p>
    <w:p>
      <w:pPr>
        <w:spacing w:after="0" w:line="193"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U.S. Holder’s U.S. federal income tax liability if the required information is timely furnished to the IRS.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Tax on Net Investment Income</w:t>
      </w:r>
    </w:p>
    <w:p>
      <w:pPr>
        <w:spacing w:after="0" w:line="225" w:lineRule="exact"/>
        <w:rPr>
          <w:sz w:val="20"/>
          <w:szCs w:val="20"/>
          <w:color w:val="auto"/>
        </w:rPr>
      </w:pPr>
    </w:p>
    <w:p>
      <w:pPr>
        <w:ind w:right="240" w:firstLine="799"/>
        <w:spacing w:after="0" w:line="259" w:lineRule="auto"/>
        <w:rPr>
          <w:sz w:val="20"/>
          <w:szCs w:val="20"/>
          <w:color w:val="auto"/>
        </w:rPr>
      </w:pPr>
      <w:r>
        <w:rPr>
          <w:rFonts w:ascii="Arial" w:cs="Arial" w:eastAsia="Arial" w:hAnsi="Arial"/>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of Interest and Disposition of Notes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Subject to the discussion below and to the provisions of an applicable tax treaty:</w:t>
      </w:r>
    </w:p>
    <w:p>
      <w:pPr>
        <w:spacing w:after="0" w:line="252" w:lineRule="exact"/>
        <w:rPr>
          <w:sz w:val="20"/>
          <w:szCs w:val="20"/>
          <w:color w:val="auto"/>
        </w:rPr>
      </w:pPr>
    </w:p>
    <w:p>
      <w:pPr>
        <w:ind w:left="1700" w:right="40" w:hanging="895"/>
        <w:spacing w:after="0" w:line="286" w:lineRule="auto"/>
        <w:tabs>
          <w:tab w:leader="none" w:pos="1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payments of interest to a Non-U.S. Holder (which, for purposes of this discussion of Non-U.S. Holders, includes any accrued OID) with respect to a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w:t>
      </w:r>
    </w:p>
    <w:p>
      <w:pPr>
        <w:spacing w:after="0" w:line="1" w:lineRule="exact"/>
        <w:rPr>
          <w:rFonts w:ascii="Arial" w:cs="Arial" w:eastAsia="Arial" w:hAnsi="Arial"/>
          <w:sz w:val="16"/>
          <w:szCs w:val="16"/>
          <w:color w:val="auto"/>
        </w:rPr>
      </w:pPr>
    </w:p>
    <w:p>
      <w:pPr>
        <w:ind w:left="1700" w:right="60"/>
        <w:spacing w:after="0" w:line="255" w:lineRule="auto"/>
        <w:rPr>
          <w:rFonts w:ascii="Arial" w:cs="Arial" w:eastAsia="Arial" w:hAnsi="Arial"/>
          <w:sz w:val="16"/>
          <w:szCs w:val="16"/>
          <w:color w:val="auto"/>
        </w:rPr>
      </w:pPr>
      <w:r>
        <w:rPr>
          <w:rFonts w:ascii="Arial" w:cs="Arial" w:eastAsia="Arial" w:hAnsi="Arial"/>
          <w:sz w:val="18"/>
          <w:szCs w:val="18"/>
          <w:color w:val="auto"/>
        </w:rPr>
        <w:t>(iii) such Non-U.S. Holder is not a controlled foreign corporation described in Section 957(a) of the Code that is related to GM through stock ownership; (iv) such Non-U.S. Holder is not a bank whose receipt of such amounts is described in Section 881(c)(3)(A) of the Code; and (v) the certification requirements described below are satisfied; and</w:t>
      </w:r>
    </w:p>
    <w:p>
      <w:pPr>
        <w:spacing w:after="0" w:line="217" w:lineRule="exact"/>
        <w:rPr>
          <w:rFonts w:ascii="Arial" w:cs="Arial" w:eastAsia="Arial" w:hAnsi="Arial"/>
          <w:sz w:val="16"/>
          <w:szCs w:val="16"/>
          <w:color w:val="auto"/>
        </w:rPr>
      </w:pPr>
    </w:p>
    <w:p>
      <w:pPr>
        <w:ind w:left="1700" w:hanging="895"/>
        <w:spacing w:after="0" w:line="257"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Non-U.S. Holder generally will not be subject to U.S. federal income or withholding tax on any gain realized on the sale, exchange, redemption, retirement or other taxable disposition of a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 (in which case such gain, net of certain U.S. source losses, generally will be subject to a flat 30% U.S. federal income tax).</w:t>
      </w:r>
    </w:p>
    <w:p>
      <w:pPr>
        <w:spacing w:after="0" w:line="188"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87" w:lineRule="exact"/>
        <w:rPr>
          <w:sz w:val="20"/>
          <w:szCs w:val="20"/>
          <w:color w:val="auto"/>
        </w:rPr>
      </w:pPr>
    </w:p>
    <w:p>
      <w:pPr>
        <w:ind w:right="280" w:firstLine="799"/>
        <w:spacing w:after="0" w:line="312" w:lineRule="auto"/>
        <w:rPr>
          <w:sz w:val="20"/>
          <w:szCs w:val="20"/>
          <w:color w:val="auto"/>
        </w:rPr>
      </w:pPr>
      <w:r>
        <w:rPr>
          <w:rFonts w:ascii="Arial" w:cs="Arial" w:eastAsia="Arial" w:hAnsi="Arial"/>
          <w:sz w:val="16"/>
          <w:szCs w:val="16"/>
          <w:color w:val="auto"/>
        </w:rPr>
        <w:t>If the requirements set forth in clause (a) above are not satisfied with respect to a Non-U.S. Holder,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47" w:lineRule="exact"/>
        <w:rPr>
          <w:sz w:val="20"/>
          <w:szCs w:val="20"/>
          <w:color w:val="auto"/>
        </w:rPr>
      </w:pPr>
    </w:p>
    <w:p>
      <w:pPr>
        <w:ind w:right="320" w:firstLine="799"/>
        <w:spacing w:after="0" w:line="293" w:lineRule="auto"/>
        <w:rPr>
          <w:sz w:val="20"/>
          <w:szCs w:val="20"/>
          <w:color w:val="auto"/>
        </w:rPr>
      </w:pPr>
      <w:r>
        <w:rPr>
          <w:rFonts w:ascii="Arial" w:cs="Arial" w:eastAsia="Arial" w:hAnsi="Arial"/>
          <w:sz w:val="16"/>
          <w:szCs w:val="16"/>
          <w:color w:val="auto"/>
        </w:rPr>
        <w:t>If a Non-U.S. Holder is engaged in the conduct of a trade or business in the U.S., and if interest on the Notes, or any gain realized on the sale, exchange, redemption, retirement or other taxable disposition of the Notes, are effectively connected with such trade or business (and, if required by an applicable tax treaty, are attributable to a permanent establishment or fixed base maintained by such Non-U.S. Holder in the U.S.),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FATCA Withholding</w:t>
      </w:r>
    </w:p>
    <w:p>
      <w:pPr>
        <w:spacing w:after="0" w:line="225"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Under the U.S. tax rules known as the Foreign Account Tax Compliance Act (“FATCA”), a Non-U.S. Holder of the Notes will generally be subject to 30% U.S. withholding tax on payments of stated interest made with respect to (and, after December 31, 2018, gross proceeds from the sale or other taxable disposition of) the Notes if the Non-U.S. Holder (i) is, or holds Notes through, a foreign financial institution that has not entered into an agreement with the U.S. government to report, on an annual basis, certain information regarding accounts with or interests in the institution held by certain United States persons and by certain non-U.S. entities that are wholly or partially owned by United States persons, or that has been designated as a “nonparticipating foreign financial institution”, or (ii) fails to provide certain documentation (usually an IRS Form W-8BEN or W-8BEN-E) containing information about its identity, its FATCA status, and if required, its direct and indirect U.S. owners. If FATCA withholding is imposed, a beneficial owner that is not a foreign financial institution generally will be entitled to a refund of any amount withheld by filing a U.S. federal income tax return (which may entail a significant administrative burden). The future adoption of, or implementation of, an intergovernmental agreement between the United States and an applicable foreign country, or future U.S. Treasury regulations, may modify these requirements. Holders should consult their own tax advisors on how these rules may apply to their investment in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799"/>
        <w:spacing w:after="0" w:line="312" w:lineRule="auto"/>
        <w:rPr>
          <w:sz w:val="20"/>
          <w:szCs w:val="20"/>
          <w:color w:val="auto"/>
        </w:rPr>
      </w:pPr>
      <w:r>
        <w:rPr>
          <w:rFonts w:ascii="Arial" w:cs="Arial" w:eastAsia="Arial" w:hAnsi="Arial"/>
          <w:sz w:val="16"/>
          <w:szCs w:val="16"/>
          <w:color w:val="auto"/>
        </w:rPr>
        <w:t>Generally, payments of interest on a Note to a Non-U.S. Holder and the amount of any tax withheld from such payments must be reported annually to the IRS and to such Non-U.S. Holder. Backup withholding will not apply to payments of interest on a Note if the recipient Non-U.S. Holder certifies under penalties of perjury that it is not a U.S. person (generally by providing an IRS Form W-8BEN or W-8BEN-E) or otherwise establishes an exemption.</w:t>
      </w:r>
    </w:p>
    <w:p>
      <w:pPr>
        <w:spacing w:after="0" w:line="147" w:lineRule="exact"/>
        <w:rPr>
          <w:sz w:val="20"/>
          <w:szCs w:val="20"/>
          <w:color w:val="auto"/>
        </w:rPr>
      </w:pPr>
    </w:p>
    <w:p>
      <w:pPr>
        <w:ind w:right="160" w:firstLine="799"/>
        <w:spacing w:after="0" w:line="255" w:lineRule="auto"/>
        <w:rPr>
          <w:sz w:val="20"/>
          <w:szCs w:val="20"/>
          <w:color w:val="auto"/>
        </w:rPr>
      </w:pPr>
      <w:r>
        <w:rPr>
          <w:rFonts w:ascii="Arial" w:cs="Arial" w:eastAsia="Arial" w:hAnsi="Arial"/>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89"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Estate Tax</w:t>
      </w:r>
    </w:p>
    <w:p>
      <w:pPr>
        <w:spacing w:after="0" w:line="225" w:lineRule="exact"/>
        <w:rPr>
          <w:sz w:val="20"/>
          <w:szCs w:val="20"/>
          <w:color w:val="auto"/>
        </w:rPr>
      </w:pPr>
    </w:p>
    <w:p>
      <w:pPr>
        <w:ind w:right="140" w:firstLine="799"/>
        <w:spacing w:after="0" w:line="291" w:lineRule="auto"/>
        <w:rPr>
          <w:sz w:val="20"/>
          <w:szCs w:val="20"/>
          <w:color w:val="auto"/>
        </w:rPr>
      </w:pPr>
      <w:r>
        <w:rPr>
          <w:rFonts w:ascii="Arial" w:cs="Arial" w:eastAsia="Arial" w:hAnsi="Arial"/>
          <w:sz w:val="16"/>
          <w:szCs w:val="16"/>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w:t>
      </w:r>
    </w:p>
    <w:p>
      <w:pPr>
        <w:ind w:right="220" w:firstLine="8"/>
        <w:spacing w:after="0" w:line="323" w:lineRule="auto"/>
        <w:tabs>
          <w:tab w:leader="none" w:pos="2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such Non-U.S. Holder does not actually or constructively own 10% or more of the combined voting power of all classes of GM’s stock and (ii) amounts treated as interest earned on the Note are not effectively connected with the conduct of a trade or business in the U.S. by such Non-U.S. Holder.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320" w:firstLine="799"/>
        <w:spacing w:after="0" w:line="259"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Goldman, Sachs &amp; Co., Citigroup Global Markets Inc. and Merrill Lynch, Pierce, Fenner &amp; Smith Incorporated are acting as representatives, have severally agreed to purchase, and we have agreed to sell to each underwriter, the principal amount of the Notes set forth opposite the underwriter’s name.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Principal</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Principal</w:t>
            </w:r>
          </w:p>
        </w:tc>
        <w:tc>
          <w:tcPr>
            <w:tcW w:w="0" w:type="dxa"/>
            <w:vAlign w:val="bottom"/>
          </w:tcPr>
          <w:p>
            <w:pPr>
              <w:spacing w:after="0"/>
              <w:rPr>
                <w:sz w:val="1"/>
                <w:szCs w:val="1"/>
                <w:color w:val="auto"/>
              </w:rPr>
            </w:pPr>
          </w:p>
        </w:tc>
      </w:tr>
      <w:tr>
        <w:trPr>
          <w:trHeight w:val="203"/>
        </w:trPr>
        <w:tc>
          <w:tcPr>
            <w:tcW w:w="15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Underwriter</w:t>
            </w:r>
          </w:p>
        </w:tc>
        <w:tc>
          <w:tcPr>
            <w:tcW w:w="666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Amount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vMerge w:val="continue"/>
          </w:tcPr>
          <w:p>
            <w:pPr>
              <w:spacing w:after="0"/>
              <w:rPr>
                <w:sz w:val="19"/>
                <w:szCs w:val="19"/>
                <w:color w:val="auto"/>
              </w:rPr>
            </w:pPr>
          </w:p>
        </w:tc>
        <w:tc>
          <w:tcPr>
            <w:tcW w:w="6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of 2036 Notes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of 2046 Notes</w:t>
            </w:r>
          </w:p>
        </w:tc>
        <w:tc>
          <w:tcPr>
            <w:tcW w:w="0" w:type="dxa"/>
            <w:vAlign w:val="bottom"/>
          </w:tcPr>
          <w:p>
            <w:pPr>
              <w:spacing w:after="0"/>
              <w:rPr>
                <w:sz w:val="1"/>
                <w:szCs w:val="1"/>
                <w:color w:val="auto"/>
              </w:rPr>
            </w:pPr>
          </w:p>
        </w:tc>
      </w:tr>
      <w:tr>
        <w:trPr>
          <w:trHeight w:val="203"/>
        </w:trPr>
        <w:tc>
          <w:tcPr>
            <w:tcW w:w="8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118,125,000</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70,875,000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118,125,000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70,875,000</w:t>
            </w:r>
          </w:p>
        </w:tc>
        <w:tc>
          <w:tcPr>
            <w:tcW w:w="0" w:type="dxa"/>
            <w:vAlign w:val="bottom"/>
          </w:tcPr>
          <w:p>
            <w:pPr>
              <w:spacing w:after="0"/>
              <w:rPr>
                <w:sz w:val="1"/>
                <w:szCs w:val="1"/>
                <w:color w:val="auto"/>
              </w:rPr>
            </w:pPr>
          </w:p>
        </w:tc>
      </w:tr>
      <w:tr>
        <w:trPr>
          <w:trHeight w:val="202"/>
        </w:trPr>
        <w:tc>
          <w:tcPr>
            <w:tcW w:w="8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2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Incorporated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118,125,000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70,875,000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118,125,000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70,875,000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118,125,000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70,875,000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56,250,000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56,250,000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Commerz Markets LLC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56,250,000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Agricole Securities (USA)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56,250,000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56,250,000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56,250,000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Lloyds Securities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56,250,000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56,250,000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56,250,000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Banco Bradesco BBI S.A.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BB Securities Limited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25,000,000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RBS Securities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25,000,000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Blaylock Beal Van, LLC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9,375,000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5,625,000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 King &amp; Associates,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9,375,000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5,625,000</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Mischler Financial Group,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9,375,000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1,250,000,000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750,000,000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799"/>
        <w:spacing w:after="0" w:line="31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47"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The underwriters initially propose to offer the Notes to the public at the public offering prices that appear on the cover page of this prospectus supplement. The underwriters may offer the Notes to selected dealers at the public offering price minus a concession of up to 0.525% of the principal amount of the 2036 Notes and 0.600% of the principal amount of the 2046 Notes. In addition, the underwriters may allow, and those selected dealers may reallow, a concession of up to 0.250% of the principal amount of the 2036 Notes and 0.250% of the principal amount of the 2046 Notes to certain other dealers. After the initial offering, the underwriters may change the public offering prices and any other selling terms. The underwriters may offer and sell the Notes through certain of their affiliates.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799"/>
        <w:spacing w:after="0" w:line="259" w:lineRule="auto"/>
        <w:rPr>
          <w:sz w:val="20"/>
          <w:szCs w:val="20"/>
          <w:color w:val="auto"/>
        </w:rPr>
      </w:pPr>
      <w:r>
        <w:rPr>
          <w:rFonts w:ascii="Arial" w:cs="Arial" w:eastAsia="Arial" w:hAnsi="Arial"/>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representatives on behalf of the underwriters.</w:t>
      </w:r>
    </w:p>
    <w:p>
      <w:pPr>
        <w:spacing w:after="0" w:line="187" w:lineRule="exact"/>
        <w:rPr>
          <w:sz w:val="20"/>
          <w:szCs w:val="20"/>
          <w:color w:val="auto"/>
        </w:rPr>
      </w:pPr>
    </w:p>
    <w:p>
      <w:pPr>
        <w:ind w:right="80" w:firstLine="799"/>
        <w:spacing w:after="0" w:line="297" w:lineRule="auto"/>
        <w:rPr>
          <w:sz w:val="20"/>
          <w:szCs w:val="20"/>
          <w:color w:val="auto"/>
        </w:rPr>
      </w:pPr>
      <w:r>
        <w:rPr>
          <w:rFonts w:ascii="Arial" w:cs="Arial" w:eastAsia="Arial" w:hAnsi="Arial"/>
          <w:sz w:val="16"/>
          <w:szCs w:val="16"/>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 a market in the Notes. However, they are not obligated to do so and they may discontinue any market-making activities with respect to the Notes at any time without notice. Accordingly, we cannot assure you as to the liquidity of, or the trading market for, the Notes.</w:t>
      </w:r>
    </w:p>
    <w:p>
      <w:pPr>
        <w:spacing w:after="0" w:line="158" w:lineRule="exact"/>
        <w:rPr>
          <w:sz w:val="20"/>
          <w:szCs w:val="20"/>
          <w:color w:val="auto"/>
        </w:rPr>
      </w:pPr>
    </w:p>
    <w:p>
      <w:pPr>
        <w:ind w:right="720" w:firstLine="799"/>
        <w:spacing w:after="0" w:line="277" w:lineRule="auto"/>
        <w:rPr>
          <w:sz w:val="20"/>
          <w:szCs w:val="20"/>
          <w:color w:val="auto"/>
        </w:rPr>
      </w:pPr>
      <w:r>
        <w:rPr>
          <w:rFonts w:ascii="Arial" w:cs="Arial" w:eastAsia="Arial" w:hAnsi="Arial"/>
          <w:sz w:val="18"/>
          <w:szCs w:val="18"/>
          <w:color w:val="auto"/>
        </w:rPr>
        <w:t>We estimate that our portion of the total expenses of the offering, exclusive of the underwriter discounts payable by us in the offering and reimbursements of certain expenses incurred in connection with the offering, will be $3 million.</w:t>
      </w:r>
    </w:p>
    <w:p>
      <w:pPr>
        <w:spacing w:after="0" w:line="170"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197" w:lineRule="exact"/>
        <w:rPr>
          <w:sz w:val="20"/>
          <w:szCs w:val="20"/>
          <w:color w:val="auto"/>
        </w:rPr>
      </w:pPr>
    </w:p>
    <w:p>
      <w:pPr>
        <w:ind w:left="2160" w:right="540" w:hanging="680"/>
        <w:spacing w:after="0" w:line="277" w:lineRule="auto"/>
        <w:tabs>
          <w:tab w:leader="none" w:pos="2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the offering.</w:t>
      </w:r>
    </w:p>
    <w:p>
      <w:pPr>
        <w:spacing w:after="0" w:line="197" w:lineRule="exact"/>
        <w:rPr>
          <w:rFonts w:ascii="Arial" w:cs="Arial" w:eastAsia="Arial" w:hAnsi="Arial"/>
          <w:sz w:val="18"/>
          <w:szCs w:val="18"/>
          <w:color w:val="auto"/>
        </w:rPr>
      </w:pPr>
    </w:p>
    <w:p>
      <w:pPr>
        <w:ind w:left="2160" w:right="260" w:hanging="680"/>
        <w:spacing w:after="0" w:line="277" w:lineRule="auto"/>
        <w:tabs>
          <w:tab w:leader="none" w:pos="2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197" w:lineRule="exact"/>
        <w:rPr>
          <w:rFonts w:ascii="Arial" w:cs="Arial" w:eastAsia="Arial" w:hAnsi="Arial"/>
          <w:sz w:val="18"/>
          <w:szCs w:val="18"/>
          <w:color w:val="auto"/>
        </w:rPr>
      </w:pPr>
    </w:p>
    <w:p>
      <w:pPr>
        <w:ind w:left="2160" w:hanging="680"/>
        <w:spacing w:after="0"/>
        <w:tabs>
          <w:tab w:leader="none" w:pos="2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Stabilizing transactions involve bids to purchase the Notes so long as the stabilizing bids do not exceed a specified maximum.</w:t>
      </w:r>
    </w:p>
    <w:p>
      <w:pPr>
        <w:spacing w:after="0" w:line="248" w:lineRule="exact"/>
        <w:rPr>
          <w:sz w:val="20"/>
          <w:szCs w:val="20"/>
          <w:color w:val="auto"/>
        </w:rPr>
      </w:pPr>
    </w:p>
    <w:p>
      <w:pPr>
        <w:ind w:right="160" w:firstLine="799"/>
        <w:spacing w:after="0" w:line="279" w:lineRule="auto"/>
        <w:rPr>
          <w:sz w:val="20"/>
          <w:szCs w:val="20"/>
          <w:color w:val="auto"/>
        </w:rPr>
      </w:pPr>
      <w:r>
        <w:rPr>
          <w:rFonts w:ascii="Arial" w:cs="Arial" w:eastAsia="Arial" w:hAnsi="Arial"/>
          <w:sz w:val="17"/>
          <w:szCs w:val="17"/>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71"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807"/>
        <w:spacing w:after="0" w:line="259" w:lineRule="auto"/>
        <w:tabs>
          <w:tab w:leader="none" w:pos="10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Limited is not a broker-dealer registered with the SEC and may not make sales of any notes in the United States or to U.S. persons except in compliance with applicable U.S. laws and regulations. To the extent that BB Securities Limited intends to effect sales of the notes in the United States, it will do so only through Banco do Brasil Securities LLC or one or more U.S. registered broker dealers, or otherwise as permitted by applicable U.S. law. BB Securities Asia Pte. Ltd. may be involved in the sales of the notes in Asia.</w:t>
      </w:r>
    </w:p>
    <w:p>
      <w:pPr>
        <w:spacing w:after="0" w:line="187"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Banco Bradesco BBI S.A. is not a broker-dealer registered with the SEC and may not make sales of any notes in the United States or to U.S. persons except in compliance with applicable U.S. laws and regulations. All sales of notes in the United States or to U.S. persons by this underwriter will be made through Bradesco Securities Inc., its affiliated broker-dealer registered with the SEC, as agent.</w:t>
      </w:r>
    </w:p>
    <w:p>
      <w:pPr>
        <w:spacing w:after="0" w:line="181" w:lineRule="exact"/>
        <w:rPr>
          <w:sz w:val="20"/>
          <w:szCs w:val="20"/>
          <w:color w:val="auto"/>
        </w:rPr>
      </w:pPr>
    </w:p>
    <w:p>
      <w:pPr>
        <w:ind w:right="220" w:firstLine="799"/>
        <w:spacing w:after="0" w:line="273"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8"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each underwriter has represented and agreed that it has not made and will not make an offer of Notes to the public in that Relevant Member State other than:</w:t>
      </w:r>
    </w:p>
    <w:p>
      <w:pPr>
        <w:spacing w:after="0" w:line="197" w:lineRule="exact"/>
        <w:rPr>
          <w:sz w:val="20"/>
          <w:szCs w:val="20"/>
          <w:color w:val="auto"/>
        </w:rPr>
      </w:pPr>
    </w:p>
    <w:p>
      <w:pPr>
        <w:ind w:left="1700" w:hanging="89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700" w:right="220" w:hanging="895"/>
        <w:spacing w:after="0" w:line="277" w:lineRule="auto"/>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197" w:lineRule="exact"/>
        <w:rPr>
          <w:rFonts w:ascii="Arial" w:cs="Arial" w:eastAsia="Arial" w:hAnsi="Arial"/>
          <w:sz w:val="18"/>
          <w:szCs w:val="18"/>
          <w:color w:val="auto"/>
        </w:rPr>
      </w:pPr>
    </w:p>
    <w:p>
      <w:pPr>
        <w:ind w:left="1700" w:hanging="89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provided that no such offer of Notes shall require the Company or any underwriter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and the expression “Prospectus Directive” means Directive 2003/71/EC (and amendments thereto, including the 2010 PD Amending Directive) and includes any relevant implementing measure in the Relevant Member State and the expression “2010 PD Amending Directive” means Directive 2010/73/EU.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underwriter has represented and agreed that:</w:t>
      </w:r>
    </w:p>
    <w:p>
      <w:pPr>
        <w:spacing w:after="0" w:line="252" w:lineRule="exact"/>
        <w:rPr>
          <w:sz w:val="20"/>
          <w:szCs w:val="20"/>
          <w:color w:val="auto"/>
        </w:rPr>
      </w:pPr>
    </w:p>
    <w:p>
      <w:pPr>
        <w:ind w:left="1700" w:right="300" w:hanging="895"/>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right="200"/>
        <w:spacing w:after="0" w:line="277" w:lineRule="auto"/>
        <w:rPr>
          <w:sz w:val="20"/>
          <w:szCs w:val="20"/>
          <w:color w:val="auto"/>
        </w:rPr>
      </w:pPr>
      <w:r>
        <w:rPr>
          <w:rFonts w:ascii="Arial" w:cs="Arial" w:eastAsia="Arial" w:hAnsi="Arial"/>
          <w:sz w:val="18"/>
          <w:szCs w:val="18"/>
          <w:color w:val="auto"/>
        </w:rPr>
        <w:t>meaning of Section 21 of the Financial Services and Markets Act 2000 (the “FSMA”)) received by it in connection with the issue or sale of any Notes in circumstances in which Section 21(1) of the FSMA does not apply to us; and</w:t>
      </w:r>
    </w:p>
    <w:p>
      <w:pPr>
        <w:spacing w:after="0" w:line="197" w:lineRule="exact"/>
        <w:rPr>
          <w:sz w:val="20"/>
          <w:szCs w:val="20"/>
          <w:color w:val="auto"/>
        </w:rPr>
      </w:pPr>
    </w:p>
    <w:p>
      <w:pPr>
        <w:ind w:left="1700" w:right="420" w:hanging="895"/>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Notes in, from or otherwise involving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underwriter has represented and agreed that:</w:t>
      </w:r>
    </w:p>
    <w:p>
      <w:pPr>
        <w:spacing w:after="0" w:line="252" w:lineRule="exact"/>
        <w:rPr>
          <w:sz w:val="20"/>
          <w:szCs w:val="20"/>
          <w:color w:val="auto"/>
        </w:rPr>
      </w:pPr>
    </w:p>
    <w:p>
      <w:pPr>
        <w:ind w:left="1700" w:right="40" w:hanging="666"/>
        <w:spacing w:after="0" w:line="302" w:lineRule="auto"/>
        <w:tabs>
          <w:tab w:leader="none" w:pos="1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has not offered or sold and will not offer or sell in Hong Kong, by means of any document, any Notes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or invitation to the public within the meaning of that Ordinance; and</w:t>
      </w:r>
    </w:p>
    <w:p>
      <w:pPr>
        <w:spacing w:after="0" w:line="181" w:lineRule="exact"/>
        <w:rPr>
          <w:rFonts w:ascii="Arial" w:cs="Arial" w:eastAsia="Arial" w:hAnsi="Arial"/>
          <w:sz w:val="16"/>
          <w:szCs w:val="16"/>
          <w:color w:val="auto"/>
        </w:rPr>
      </w:pPr>
    </w:p>
    <w:p>
      <w:pPr>
        <w:ind w:left="1700" w:right="40" w:hanging="666"/>
        <w:spacing w:after="0" w:line="297" w:lineRule="auto"/>
        <w:tabs>
          <w:tab w:leader="none" w:pos="1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right="20" w:firstLine="799"/>
        <w:spacing w:after="0" w:line="272" w:lineRule="auto"/>
        <w:rPr>
          <w:sz w:val="20"/>
          <w:szCs w:val="20"/>
          <w:color w:val="auto"/>
        </w:rPr>
      </w:pPr>
      <w:r>
        <w:rPr>
          <w:rFonts w:ascii="Arial" w:cs="Arial" w:eastAsia="Arial" w:hAnsi="Arial"/>
          <w:sz w:val="17"/>
          <w:szCs w:val="17"/>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The validity of the Notes offered hereby will be passed upon for us by Hunton &amp; Williams LLP. Certain legal matters will be passed upon for the underwriters by Davis Polk &amp; Wardwell LLP. Davis Polk &amp; Wardwell LLP acts as counsel to the Executive Compensation Committee of our Board of Directors and has acted as our counsel, and as counsel for certain of our subsidiaries, in various matters.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r>
              <w:rPr>
                <w:rFonts w:ascii="Arial" w:cs="Arial" w:eastAsia="Arial" w:hAnsi="Arial"/>
                <w:sz w:val="18"/>
                <w:szCs w:val="18"/>
                <w:b w:val="1"/>
                <w:bCs w:val="1"/>
                <w:color w:val="auto"/>
                <w:w w:val="93"/>
              </w:rPr>
              <w:t>GM SEC Filings (File No. 001-34960)</w:t>
            </w:r>
          </w:p>
        </w:tc>
        <w:tc>
          <w:tcPr>
            <w:tcW w:w="8320" w:type="dxa"/>
            <w:vAlign w:val="bottom"/>
            <w:gridSpan w:val="3"/>
          </w:tcPr>
          <w:p>
            <w:pPr>
              <w:ind w:left="3060"/>
              <w:spacing w:after="0"/>
              <w:rPr>
                <w:sz w:val="20"/>
                <w:szCs w:val="20"/>
                <w:color w:val="auto"/>
              </w:rPr>
            </w:pPr>
            <w:r>
              <w:rPr>
                <w:rFonts w:ascii="Arial" w:cs="Arial" w:eastAsia="Arial" w:hAnsi="Arial"/>
                <w:sz w:val="18"/>
                <w:szCs w:val="18"/>
                <w:b w:val="1"/>
                <w:bCs w:val="1"/>
                <w:color w:val="auto"/>
              </w:rPr>
              <w:t>Period</w:t>
            </w:r>
          </w:p>
        </w:tc>
      </w:tr>
      <w:tr>
        <w:trPr>
          <w:trHeight w:val="20"/>
        </w:trPr>
        <w:tc>
          <w:tcPr>
            <w:tcW w:w="28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311"/>
        </w:trPr>
        <w:tc>
          <w:tcPr>
            <w:tcW w:w="2880" w:type="dxa"/>
            <w:vAlign w:val="bottom"/>
          </w:tcPr>
          <w:p>
            <w:pPr>
              <w:spacing w:after="0"/>
              <w:rPr>
                <w:sz w:val="20"/>
                <w:szCs w:val="20"/>
                <w:color w:val="auto"/>
              </w:rPr>
            </w:pPr>
            <w:r>
              <w:rPr>
                <w:rFonts w:ascii="Arial" w:cs="Arial" w:eastAsia="Arial" w:hAnsi="Arial"/>
                <w:sz w:val="18"/>
                <w:szCs w:val="18"/>
                <w:color w:val="auto"/>
              </w:rPr>
              <w:t>Annual Report on Form 10-K</w:t>
            </w:r>
          </w:p>
        </w:tc>
        <w:tc>
          <w:tcPr>
            <w:tcW w:w="8320" w:type="dxa"/>
            <w:vAlign w:val="bottom"/>
            <w:gridSpan w:val="3"/>
          </w:tcPr>
          <w:p>
            <w:pPr>
              <w:ind w:left="3060"/>
              <w:spacing w:after="0"/>
              <w:rPr>
                <w:sz w:val="20"/>
                <w:szCs w:val="20"/>
                <w:color w:val="auto"/>
              </w:rPr>
            </w:pPr>
            <w:r>
              <w:rPr>
                <w:rFonts w:ascii="Arial" w:cs="Arial" w:eastAsia="Arial" w:hAnsi="Arial"/>
                <w:sz w:val="18"/>
                <w:szCs w:val="18"/>
                <w:color w:val="auto"/>
                <w:w w:val="89"/>
              </w:rPr>
              <w:t>Year ended December 31, 2015 (filed with the SEC on February 3, 2016)</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Current Reports on Form 8-K</w:t>
            </w:r>
          </w:p>
        </w:tc>
        <w:tc>
          <w:tcPr>
            <w:tcW w:w="8320" w:type="dxa"/>
            <w:vAlign w:val="bottom"/>
            <w:gridSpan w:val="3"/>
          </w:tcPr>
          <w:p>
            <w:pPr>
              <w:ind w:left="3060"/>
              <w:spacing w:after="0"/>
              <w:rPr>
                <w:sz w:val="20"/>
                <w:szCs w:val="20"/>
                <w:color w:val="auto"/>
              </w:rPr>
            </w:pPr>
            <w:r>
              <w:rPr>
                <w:rFonts w:ascii="Arial" w:cs="Arial" w:eastAsia="Arial" w:hAnsi="Arial"/>
                <w:sz w:val="18"/>
                <w:szCs w:val="18"/>
                <w:color w:val="auto"/>
                <w:w w:val="93"/>
              </w:rPr>
              <w:t>Dates filed: January 4, 2016 (2 filed Forms 8-K), January 13, 2016 and</w:t>
            </w:r>
          </w:p>
        </w:tc>
      </w:tr>
      <w:tr>
        <w:trPr>
          <w:trHeight w:val="230"/>
        </w:trPr>
        <w:tc>
          <w:tcPr>
            <w:tcW w:w="2880" w:type="dxa"/>
            <w:vAlign w:val="bottom"/>
          </w:tcPr>
          <w:p>
            <w:pPr>
              <w:spacing w:after="0"/>
              <w:rPr>
                <w:sz w:val="20"/>
                <w:szCs w:val="20"/>
                <w:color w:val="auto"/>
              </w:rPr>
            </w:pPr>
          </w:p>
        </w:tc>
        <w:tc>
          <w:tcPr>
            <w:tcW w:w="8320" w:type="dxa"/>
            <w:vAlign w:val="bottom"/>
            <w:gridSpan w:val="3"/>
          </w:tcPr>
          <w:p>
            <w:pPr>
              <w:ind w:left="3060"/>
              <w:spacing w:after="0"/>
              <w:rPr>
                <w:sz w:val="20"/>
                <w:szCs w:val="20"/>
                <w:color w:val="auto"/>
              </w:rPr>
            </w:pPr>
            <w:r>
              <w:rPr>
                <w:rFonts w:ascii="Arial" w:cs="Arial" w:eastAsia="Arial" w:hAnsi="Arial"/>
                <w:sz w:val="18"/>
                <w:szCs w:val="18"/>
                <w:color w:val="auto"/>
              </w:rPr>
              <w:t>February 3, 2016</w:t>
            </w:r>
          </w:p>
        </w:tc>
      </w:tr>
    </w:tbl>
    <w:p>
      <w:pPr>
        <w:spacing w:after="0" w:line="202" w:lineRule="exact"/>
        <w:rPr>
          <w:sz w:val="20"/>
          <w:szCs w:val="20"/>
          <w:color w:val="auto"/>
        </w:rPr>
      </w:pPr>
    </w:p>
    <w:p>
      <w:pPr>
        <w:ind w:right="240" w:firstLine="799"/>
        <w:spacing w:after="0" w:line="264" w:lineRule="auto"/>
        <w:rPr>
          <w:sz w:val="20"/>
          <w:szCs w:val="20"/>
          <w:color w:val="auto"/>
        </w:rPr>
      </w:pPr>
      <w:r>
        <w:rPr>
          <w:rFonts w:ascii="Arial" w:cs="Arial" w:eastAsia="Arial" w:hAnsi="Arial"/>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(313) 556-5000</w:t>
      </w:r>
    </w:p>
    <w:p>
      <w:pPr>
        <w:spacing w:after="0" w:line="211"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20 Broad Street, New York, New York 10005, where our common stock is listed.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143510</wp:posOffset>
            </wp:positionV>
            <wp:extent cx="4528185" cy="634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prospectus contains summaries of the general terms of the securities. 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ind w:firstLine="45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Investment in any of the securities involves risk. See “</w:t>
      </w:r>
      <w:hyperlink w:anchor="page3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in our periodic reports filed from time to time with the Securities and Exchange Commission and in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April 30, 2014.</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5"/>
              </w:rPr>
              <w:t>TABLE OF CONTENTS</w:t>
            </w:r>
          </w:p>
        </w:tc>
        <w:tc>
          <w:tcPr>
            <w:tcW w:w="220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399"/>
        </w:trPr>
        <w:tc>
          <w:tcPr>
            <w:tcW w:w="88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INCORPORATION OF CERTAIN DOCUMENTS BY REFERENCE</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392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GENERAL MOTORS COMPANY</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RATIO OF EARNINGS TO FIXED CHARGES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CONSOLIDATED RATIO OF EARNINGS TO COMBINED FIXED CHARGES AND PREFERRED STOCK DIVIDENDS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FORWARD-LOOKING STATEMENTS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OVERVIEW OF OUR CAPITAL STOCK</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GENERAL DESCRIPTION OF SECURITIES THAT MAY BE OFFERED</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DESCRIPTION OF DEBT SECURITIES</w:t>
              </w:r>
            </w:hyperlink>
          </w:p>
        </w:tc>
        <w:tc>
          <w:tcPr>
            <w:tcW w:w="2340" w:type="dxa"/>
            <w:vAlign w:val="bottom"/>
            <w:tcBorders>
              <w:top w:val="single" w:sz="8" w:color="0000EE"/>
            </w:tcBorders>
            <w:gridSpan w:val="6"/>
          </w:tcPr>
          <w:p>
            <w:pPr>
              <w:spacing w:after="0"/>
              <w:rPr>
                <w:sz w:val="17"/>
                <w:szCs w:val="17"/>
                <w:color w:val="auto"/>
              </w:rPr>
            </w:pPr>
          </w:p>
        </w:tc>
        <w:tc>
          <w:tcPr>
            <w:tcW w:w="352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0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DESCRIPTION OF PREFERRED STOCK</w:t>
              </w:r>
            </w:hyperlink>
          </w:p>
        </w:tc>
        <w:tc>
          <w:tcPr>
            <w:tcW w:w="578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COMMON STOCK</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8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WARRANTS</w:t>
              </w:r>
            </w:hyperlink>
          </w:p>
        </w:tc>
        <w:tc>
          <w:tcPr>
            <w:tcW w:w="598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4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644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686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44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WHERE YOU CAN FIND MORE INFORMATION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this prospectus,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for the periods on or before July 9, 2009, as “Old GM.” On July 10, 2009, Old GM changed its name to Motors Liquidation Company, which is sometimes referred to in this prospectus for periods on or after July 10, 2009 as “MLC.” On December 15, 2011 MLC was dissolved and transferred its remaining assets and liabilities to the Motors Liquidation Company GUC Trust.</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until the date of completion of this offering (provided, however, that this prospectus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400"/>
          </w:cols>
          <w:pgMar w:left="240" w:top="459" w:right="25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49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 or Form 8-K/A</w:t>
      </w:r>
    </w:p>
    <w:p>
      <w:pPr>
        <w:spacing w:after="0" w:line="200" w:lineRule="exact"/>
        <w:rPr>
          <w:sz w:val="20"/>
          <w:szCs w:val="20"/>
          <w:color w:val="auto"/>
        </w:rPr>
      </w:pPr>
    </w:p>
    <w:p>
      <w:pPr>
        <w:spacing w:after="0" w:line="235" w:lineRule="exact"/>
        <w:rPr>
          <w:sz w:val="20"/>
          <w:szCs w:val="20"/>
          <w:color w:val="auto"/>
        </w:rPr>
      </w:pPr>
    </w:p>
    <w:p>
      <w:pPr>
        <w:ind w:right="1440"/>
        <w:spacing w:after="0" w:line="259" w:lineRule="auto"/>
        <w:rPr>
          <w:sz w:val="20"/>
          <w:szCs w:val="20"/>
          <w:color w:val="auto"/>
        </w:rPr>
      </w:pPr>
      <w:r>
        <w:rPr>
          <w:rFonts w:ascii="Arial" w:cs="Arial" w:eastAsia="Arial" w:hAnsi="Arial"/>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Year ended December 31, 2013 (filed with the SEC on February 6, 2014) Quarter ended March 31, 2014 (filed with the SEC on April 24, 2014) Dates filed: January 7, 2014, January 15, 2014 (2 filings), January 17, 2014, February 4, 2014, March 4, 2014, March 13, 2014, April 3, 2014 and April 21, 2014</w:t>
      </w:r>
    </w:p>
    <w:p>
      <w:pPr>
        <w:spacing w:after="0" w:line="81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ind w:right="340" w:firstLine="456"/>
        <w:spacing w:after="0" w:line="259"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 556-5000</w:t>
      </w:r>
    </w:p>
    <w:p>
      <w:pPr>
        <w:spacing w:after="0" w:line="1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2013, as updated by our subsequent filings under the Exchange Act, including Forms 10-Q and 8-K, and the risk factors contained or incorporated by reference in the accompanying prospectus supplement before acquiring any of the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General Motors Company commenced operations on July 10, 2009 when we, through certain of our subsidiaries, completed the acquisition of substantially all of the assets and assumption of certain liabilities of Old GM through a sale by Old GM under Chapter 11 of the U.S. Bankruptcy Code (the 363 Sale). By commencing operations following the 363 Sale, we were able to take advantage of a competitive labor agreement with our unions, a restructured dealer network and a reduced and refocused brand strategy in the U.S. focused on four brands.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(GMIO) and GM South America (GMSA).</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Successor</w:t>
            </w: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80" w:type="dxa"/>
            <w:vAlign w:val="bottom"/>
            <w:gridSpan w:val="3"/>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7"/>
              </w:rPr>
              <w:t>July 10, 2009</w:t>
            </w:r>
          </w:p>
        </w:tc>
        <w:tc>
          <w:tcPr>
            <w:tcW w:w="4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January 1, 2009</w:t>
            </w:r>
          </w:p>
        </w:tc>
        <w:tc>
          <w:tcPr>
            <w:tcW w:w="0" w:type="dxa"/>
            <w:vAlign w:val="bottom"/>
          </w:tcPr>
          <w:p>
            <w:pPr>
              <w:spacing w:after="0"/>
              <w:rPr>
                <w:sz w:val="1"/>
                <w:szCs w:val="1"/>
                <w:color w:val="auto"/>
              </w:rPr>
            </w:pPr>
          </w:p>
        </w:tc>
      </w:tr>
      <w:tr>
        <w:trPr>
          <w:trHeight w:val="41"/>
        </w:trPr>
        <w:tc>
          <w:tcPr>
            <w:tcW w:w="900" w:type="dxa"/>
            <w:vAlign w:val="bottom"/>
          </w:tcPr>
          <w:p>
            <w:pPr>
              <w:spacing w:after="0"/>
              <w:rPr>
                <w:sz w:val="3"/>
                <w:szCs w:val="3"/>
                <w:color w:val="auto"/>
              </w:rPr>
            </w:pPr>
          </w:p>
        </w:tc>
        <w:tc>
          <w:tcPr>
            <w:tcW w:w="106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Ended March 31,</w:t>
            </w:r>
          </w:p>
        </w:tc>
        <w:tc>
          <w:tcPr>
            <w:tcW w:w="13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560" w:type="dxa"/>
            <w:vAlign w:val="bottom"/>
            <w:tcBorders>
              <w:right w:val="single" w:sz="8" w:color="auto"/>
            </w:tcBorders>
            <w:gridSpan w:val="2"/>
            <w:vMerge w:val="restart"/>
          </w:tcPr>
          <w:p>
            <w:pPr>
              <w:jc w:val="center"/>
              <w:ind w:right="440"/>
              <w:spacing w:after="0" w:line="108" w:lineRule="exact"/>
              <w:rPr>
                <w:sz w:val="20"/>
                <w:szCs w:val="20"/>
                <w:color w:val="auto"/>
              </w:rPr>
            </w:pPr>
            <w:r>
              <w:rPr>
                <w:rFonts w:ascii="Arial" w:cs="Arial" w:eastAsia="Arial" w:hAnsi="Arial"/>
                <w:sz w:val="12"/>
                <w:szCs w:val="12"/>
                <w:b w:val="1"/>
                <w:bCs w:val="1"/>
                <w:color w:val="auto"/>
              </w:rPr>
              <w:t>Through</w:t>
            </w:r>
          </w:p>
        </w:tc>
        <w:tc>
          <w:tcPr>
            <w:tcW w:w="400" w:type="dxa"/>
            <w:vAlign w:val="bottom"/>
            <w:vMerge w:val="restart"/>
          </w:tcPr>
          <w:p>
            <w:pPr>
              <w:spacing w:after="0"/>
              <w:rPr>
                <w:sz w:val="3"/>
                <w:szCs w:val="3"/>
                <w:color w:val="auto"/>
              </w:rPr>
            </w:pPr>
          </w:p>
        </w:tc>
        <w:tc>
          <w:tcPr>
            <w:tcW w:w="94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Through July 9,</w:t>
            </w: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Borders>
              <w:right w:val="single" w:sz="8" w:color="auto"/>
            </w:tcBorders>
            <w:gridSpan w:val="2"/>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960" w:type="dxa"/>
            <w:vAlign w:val="bottom"/>
            <w:gridSpan w:val="2"/>
          </w:tcPr>
          <w:p>
            <w:pPr>
              <w:jc w:val="center"/>
              <w:ind w:left="832"/>
              <w:spacing w:after="0" w:line="129" w:lineRule="exact"/>
              <w:rPr>
                <w:sz w:val="20"/>
                <w:szCs w:val="20"/>
                <w:color w:val="auto"/>
              </w:rPr>
            </w:pPr>
            <w:r>
              <w:rPr>
                <w:rFonts w:ascii="Arial" w:cs="Arial" w:eastAsia="Arial" w:hAnsi="Arial"/>
                <w:sz w:val="14"/>
                <w:szCs w:val="14"/>
                <w:b w:val="1"/>
                <w:bCs w:val="1"/>
                <w:color w:val="auto"/>
                <w:w w:val="83"/>
              </w:rPr>
              <w:t>2014</w:t>
            </w:r>
          </w:p>
        </w:tc>
        <w:tc>
          <w:tcPr>
            <w:tcW w:w="2200" w:type="dxa"/>
            <w:vAlign w:val="bottom"/>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rPr>
              <w:t>2013</w:t>
            </w:r>
          </w:p>
        </w:tc>
        <w:tc>
          <w:tcPr>
            <w:tcW w:w="1320" w:type="dxa"/>
            <w:vAlign w:val="bottom"/>
            <w:gridSpan w:val="2"/>
          </w:tcPr>
          <w:p>
            <w:pPr>
              <w:ind w:left="740"/>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880" w:type="dxa"/>
            <w:vAlign w:val="bottom"/>
          </w:tcPr>
          <w:p>
            <w:pPr>
              <w:jc w:val="right"/>
              <w:ind w:right="222"/>
              <w:spacing w:after="0" w:line="129" w:lineRule="exact"/>
              <w:rPr>
                <w:sz w:val="20"/>
                <w:szCs w:val="20"/>
                <w:color w:val="auto"/>
              </w:rPr>
            </w:pPr>
            <w:r>
              <w:rPr>
                <w:rFonts w:ascii="Arial" w:cs="Arial" w:eastAsia="Arial" w:hAnsi="Arial"/>
                <w:sz w:val="14"/>
                <w:szCs w:val="14"/>
                <w:b w:val="1"/>
                <w:bCs w:val="1"/>
                <w:color w:val="auto"/>
              </w:rPr>
              <w:t>2011</w:t>
            </w:r>
          </w:p>
        </w:tc>
        <w:tc>
          <w:tcPr>
            <w:tcW w:w="1320" w:type="dxa"/>
            <w:vAlign w:val="bottom"/>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December 31, 2009</w:t>
            </w:r>
          </w:p>
        </w:tc>
        <w:tc>
          <w:tcPr>
            <w:tcW w:w="40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2009(a)</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right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(b)</w:t>
            </w:r>
          </w:p>
        </w:tc>
        <w:tc>
          <w:tcPr>
            <w:tcW w:w="13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5.85</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(b)</w:t>
            </w:r>
          </w:p>
        </w:tc>
        <w:tc>
          <w:tcPr>
            <w:tcW w:w="4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02"/>
              <w:spacing w:after="0" w:line="196" w:lineRule="exact"/>
              <w:rPr>
                <w:sz w:val="20"/>
                <w:szCs w:val="20"/>
                <w:color w:val="auto"/>
              </w:rPr>
            </w:pPr>
            <w:r>
              <w:rPr>
                <w:rFonts w:ascii="Arial" w:cs="Arial" w:eastAsia="Arial" w:hAnsi="Arial"/>
                <w:sz w:val="18"/>
                <w:szCs w:val="18"/>
                <w:color w:val="auto"/>
              </w:rPr>
              <w:t>7.90</w:t>
            </w:r>
          </w:p>
        </w:tc>
        <w:tc>
          <w:tcPr>
            <w:tcW w:w="4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5.93</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(b)</w:t>
            </w:r>
          </w:p>
        </w:tc>
        <w:tc>
          <w:tcPr>
            <w:tcW w:w="46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for the period January 1, 2009 through July 9, 2009 include reorganization gains, net of $128.2 billion.</w:t>
      </w:r>
    </w:p>
    <w:p>
      <w:pPr>
        <w:spacing w:after="0" w:line="15" w:lineRule="exact"/>
        <w:rPr>
          <w:rFonts w:ascii="Arial" w:cs="Arial" w:eastAsia="Arial" w:hAnsi="Arial"/>
          <w:sz w:val="18"/>
          <w:szCs w:val="18"/>
          <w:color w:val="auto"/>
        </w:rPr>
      </w:pPr>
    </w:p>
    <w:p>
      <w:pPr>
        <w:ind w:left="460" w:right="280" w:hanging="452"/>
        <w:spacing w:after="0" w:line="331"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Earnings in the three months ended March 31, 2014, the year ended December 31, 2012 and the period July 10, 2009 through December 31, 2009 were inadequate to cover fixed charges. Additional earnings of $0.6 billion, $28.8 billion and $4.9 billion in the three months ended March 31, 2014, the year ended December 31, 2012 and the period July 10, 2009 through December 31, 2009 would have been necessary to bring ratios for these periods to 1.0.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RATIO OF EARNINGS TO COMBINED FIXED CHARGES AND PREFERRED STOCK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presents the consolidated ratio of our earnings to combined fixed charges and preferred stock dividends for each of the periods indicated:</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7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gridSpan w:val="3"/>
          </w:tcPr>
          <w:p>
            <w:pPr>
              <w:ind w:left="220"/>
              <w:spacing w:after="0"/>
              <w:rPr>
                <w:sz w:val="20"/>
                <w:szCs w:val="20"/>
                <w:color w:val="auto"/>
              </w:rPr>
            </w:pPr>
            <w:r>
              <w:rPr>
                <w:rFonts w:ascii="Arial" w:cs="Arial" w:eastAsia="Arial" w:hAnsi="Arial"/>
                <w:sz w:val="14"/>
                <w:szCs w:val="14"/>
                <w:b w:val="1"/>
                <w:bCs w:val="1"/>
                <w:color w:val="auto"/>
                <w:w w:val="95"/>
              </w:rPr>
              <w:t>Years Ended December 31,</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5"/>
              </w:rPr>
              <w:t>July 10, 2009</w:t>
            </w:r>
          </w:p>
        </w:tc>
        <w:tc>
          <w:tcPr>
            <w:tcW w:w="3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January 1, 2009</w:t>
            </w: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102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Ended March 31,</w:t>
            </w:r>
          </w:p>
        </w:tc>
        <w:tc>
          <w:tcPr>
            <w:tcW w:w="1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580" w:type="dxa"/>
            <w:vAlign w:val="bottom"/>
            <w:tcBorders>
              <w:right w:val="single" w:sz="8" w:color="auto"/>
            </w:tcBorders>
            <w:gridSpan w:val="2"/>
            <w:vMerge w:val="restart"/>
          </w:tcPr>
          <w:p>
            <w:pPr>
              <w:jc w:val="center"/>
              <w:ind w:right="480"/>
              <w:spacing w:after="0" w:line="108" w:lineRule="exact"/>
              <w:rPr>
                <w:sz w:val="20"/>
                <w:szCs w:val="20"/>
                <w:color w:val="auto"/>
              </w:rPr>
            </w:pPr>
            <w:r>
              <w:rPr>
                <w:rFonts w:ascii="Arial" w:cs="Arial" w:eastAsia="Arial" w:hAnsi="Arial"/>
                <w:sz w:val="12"/>
                <w:szCs w:val="12"/>
                <w:b w:val="1"/>
                <w:bCs w:val="1"/>
                <w:color w:val="auto"/>
              </w:rPr>
              <w:t>Through</w:t>
            </w:r>
          </w:p>
        </w:tc>
        <w:tc>
          <w:tcPr>
            <w:tcW w:w="360" w:type="dxa"/>
            <w:vAlign w:val="bottom"/>
            <w:vMerge w:val="restart"/>
          </w:tcPr>
          <w:p>
            <w:pPr>
              <w:spacing w:after="0"/>
              <w:rPr>
                <w:sz w:val="3"/>
                <w:szCs w:val="3"/>
                <w:color w:val="auto"/>
              </w:rPr>
            </w:pPr>
          </w:p>
        </w:tc>
        <w:tc>
          <w:tcPr>
            <w:tcW w:w="94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Through July 9,</w:t>
            </w: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Borders>
              <w:right w:val="single" w:sz="8" w:color="auto"/>
            </w:tcBorders>
            <w:gridSpan w:val="2"/>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780" w:type="dxa"/>
            <w:vAlign w:val="bottom"/>
            <w:gridSpan w:val="2"/>
          </w:tcPr>
          <w:p>
            <w:pPr>
              <w:jc w:val="center"/>
              <w:ind w:left="692"/>
              <w:spacing w:after="0" w:line="129" w:lineRule="exact"/>
              <w:rPr>
                <w:sz w:val="20"/>
                <w:szCs w:val="20"/>
                <w:color w:val="auto"/>
              </w:rPr>
            </w:pPr>
            <w:r>
              <w:rPr>
                <w:rFonts w:ascii="Arial" w:cs="Arial" w:eastAsia="Arial" w:hAnsi="Arial"/>
                <w:sz w:val="14"/>
                <w:szCs w:val="14"/>
                <w:b w:val="1"/>
                <w:bCs w:val="1"/>
                <w:color w:val="auto"/>
                <w:w w:val="83"/>
              </w:rPr>
              <w:t>2014</w:t>
            </w:r>
          </w:p>
        </w:tc>
        <w:tc>
          <w:tcPr>
            <w:tcW w:w="192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2013</w:t>
            </w:r>
          </w:p>
        </w:tc>
        <w:tc>
          <w:tcPr>
            <w:tcW w:w="1160" w:type="dxa"/>
            <w:vAlign w:val="bottom"/>
            <w:gridSpan w:val="2"/>
          </w:tcPr>
          <w:p>
            <w:pPr>
              <w:jc w:val="right"/>
              <w:ind w:right="166"/>
              <w:spacing w:after="0" w:line="129"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780" w:type="dxa"/>
            <w:vAlign w:val="bottom"/>
          </w:tcPr>
          <w:p>
            <w:pPr>
              <w:jc w:val="right"/>
              <w:ind w:right="182"/>
              <w:spacing w:after="0" w:line="129" w:lineRule="exact"/>
              <w:rPr>
                <w:sz w:val="20"/>
                <w:szCs w:val="20"/>
                <w:color w:val="auto"/>
              </w:rPr>
            </w:pPr>
            <w:r>
              <w:rPr>
                <w:rFonts w:ascii="Arial" w:cs="Arial" w:eastAsia="Arial" w:hAnsi="Arial"/>
                <w:sz w:val="14"/>
                <w:szCs w:val="14"/>
                <w:b w:val="1"/>
                <w:bCs w:val="1"/>
                <w:color w:val="auto"/>
              </w:rPr>
              <w:t>2011</w:t>
            </w:r>
          </w:p>
        </w:tc>
        <w:tc>
          <w:tcPr>
            <w:tcW w:w="1200" w:type="dxa"/>
            <w:vAlign w:val="bottom"/>
            <w:gridSpan w:val="2"/>
          </w:tcPr>
          <w:p>
            <w:pPr>
              <w:jc w:val="right"/>
              <w:ind w:right="192"/>
              <w:spacing w:after="0" w:line="129"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1580" w:type="dxa"/>
            <w:vAlign w:val="bottom"/>
            <w:tcBorders>
              <w:right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December 31, 2009</w:t>
            </w:r>
          </w:p>
        </w:tc>
        <w:tc>
          <w:tcPr>
            <w:tcW w:w="36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2009(a)</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right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(b)</w:t>
            </w:r>
          </w:p>
        </w:tc>
        <w:tc>
          <w:tcPr>
            <w:tcW w:w="11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1.97</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(b)</w:t>
            </w:r>
          </w:p>
        </w:tc>
        <w:tc>
          <w:tcPr>
            <w:tcW w:w="4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62"/>
              <w:spacing w:after="0" w:line="196" w:lineRule="exact"/>
              <w:rPr>
                <w:sz w:val="20"/>
                <w:szCs w:val="20"/>
                <w:color w:val="auto"/>
              </w:rPr>
            </w:pPr>
            <w:r>
              <w:rPr>
                <w:rFonts w:ascii="Arial" w:cs="Arial" w:eastAsia="Arial" w:hAnsi="Arial"/>
                <w:sz w:val="18"/>
                <w:szCs w:val="18"/>
                <w:color w:val="auto"/>
              </w:rPr>
              <w:t>4.38</w:t>
            </w:r>
          </w:p>
        </w:tc>
        <w:tc>
          <w:tcPr>
            <w:tcW w:w="4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2.66</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(b)</w:t>
            </w:r>
          </w:p>
        </w:tc>
        <w:tc>
          <w:tcPr>
            <w:tcW w:w="420" w:type="dxa"/>
            <w:vAlign w:val="bottom"/>
            <w:tcBorders>
              <w:right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for the period January 1, 2009 through July 9, 2009 include reorganization gains, net of $128.2 billion.</w:t>
      </w:r>
    </w:p>
    <w:p>
      <w:pPr>
        <w:spacing w:after="0" w:line="15"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in the three months ended March 31, 2014, the year ended December 31, 2012 and the period July 10, 2009 through December 31, 2009 were inadequate to cover combined fixed charges and preferred stock dividends. Additional earnings of $0.6 billion, $29.7 billion and $5.0 billion in the three months ended March 31, 2014, the year ended December 31, 2012 and the period July 10, 2009 through December 31, 2009 would have been necessary to bring ratios for these periods to 1.0.</w:t>
      </w:r>
    </w:p>
    <w:p>
      <w:pPr>
        <w:spacing w:after="0" w:line="30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2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CAPITAL STOCK</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description of the material provisions of our capital stock is based upon our certificate of incorporation, as amended (Certificate of Incorporation), our bylaws, as amended (Bylaws), the respective warrant agreements for each of our outstanding warrants, the certificate of designations for our Series A Fixed Rate Cumulative Perpetual Preferred Stock (Series A Preferred Stock) and applicable provisions of law, in each case as currently in effect as of the date of this prospectus, and is qualified in its entirety by reference to the provisions of those documents.</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April 25, 2014, 1,603,739,863 shares of our common stock were issued and outstanding. The general terms of our common stock are described below within the section of this prospectus entitled “Description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 certificate of designations for the Series A Preferred Stock authorizes 360,000,000 shares of Series A Preferred Stock, 156 million of which were outstanding as of April 25, 2014. There are no mandatory redemption, mandatory repurchase or sinking fund provisions applicable to our Series A Preferred Stock.</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Holders of Series A Preferred Stock are entitled to receive, on each share, if, as and when declared by General Motor’s board of directors (Board of Directors), cumulative cash dividends with respect to each quarterly dividend payment at a rate of 9.0% per annum on the liquidation amount of $25.00 per share and the amount of accrued and unpaid dividends for any prior dividend period, if any. Unless all accrued and unpaid dividends on the Series A Preferred Stock are paid in full, no dividends or distributions may be paid on our common stock or any other class or series of our stock, and no shares of common stock or any other class or series of our stock may be repurchased or redeemed by us (subject to certain exceptions that are specified in the certificate of designations for the Series A Preferred Stock).</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the event of any voluntary or involuntary liquidation, dissolution or winding up of our affairs, a holder of the Series A Preferred Stock will be entitled to be paid, before any distribution or payment may be made to any holders of our common stock or any other class or series of our stock: (1) the liquidation amount of $25.00 per share; and (2) the amount of any accrued and unpaid dividends, if any, whether or not declared, prior to such distribution or payment date.</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not redeem the Series A Preferred Stock prior to December 31, 2014. On or after December 31, 2014, we (at our option) may redeem, in whole or in part, at any time and from time to time, the Series A Preferred Stock at a redemption price per share equal to the $25.00 per share liquidation amount plus any accrued and unpaid dividends.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holders of the Series A Preferred Stock do not have voting rights, except with respect to certain fundamental changes in the terms of the Series A Preferred Stock, in the case of certain dividend arrearages and except as specifically required under Delaware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the Series A Preferred Stock are not convertible into or exchangeable for any other securities.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2009, we issued three sets of warrants:</w:t>
      </w:r>
    </w:p>
    <w:p>
      <w:pPr>
        <w:spacing w:after="0" w:line="90" w:lineRule="exact"/>
        <w:rPr>
          <w:sz w:val="20"/>
          <w:szCs w:val="20"/>
          <w:color w:val="auto"/>
        </w:rPr>
      </w:pPr>
    </w:p>
    <w:p>
      <w:pPr>
        <w:ind w:left="900" w:right="300" w:hanging="325"/>
        <w:spacing w:after="0" w:line="357"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set of warrants to acquire 45,454,545 shares of common stock that are exercisable at any time prior to 5:00 p.m. New York City time, on December 31, 2015 at an exercise price of $42.31 per share and that are listed on the New York Stock Exchange under the symbol “GM.WS.C;”</w:t>
      </w:r>
    </w:p>
    <w:p>
      <w:pPr>
        <w:ind w:left="90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2016 at an exercise price of $10.00 per share and that are listed on the New York Stock Exchange under the symbol “GM.WS.A;” and</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April 25, 2014, there were a total of 180,893,718 warrants outstanding among these three sets. The number of each of the warrants and the per share exercise price thereof are subject to adjustment as a result of certain events, including stock splits, reverse stock splits and stock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Bylaws provide that any vacancy occurring in our Board of Directors for any reason may be filled by a majority of the remaining members of our Board of Directors then in office, even if they do not constitute a quorum. Each director so elected shall hold office for a term expiring at the same time as the terms of the directors serving at the time he joins the Board of Directors. Each such director shall hold office until his or her successor is elected and qualified, unless he or she dies, resigns or otherwise leaves the Board of Directors before then.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of the voting power of the outstanding shares of all classes of stock entitled to vote at such a meeting, subject to requirements and limitations set forth in our Bylaws.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Under our Bylaws, nominations for the election of directors may be made by the Board of Directors in accordance with the stockholders agreement we entered into with the United States Department of Treasury and two of our stockholders - Canada GEN Investment Corporation and the UAW Retiree Medical Benefits Trust - or by any stockholder entitled to vote for the election of directors who complies with the applicable notice requirements.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 make the nomination or bring up the matter specified in the notice and a representation as to whether the stockholder intends to deliver a proxy statement and/or otherwise to solicit proxies from stockholders in support of such proposal or nomination. For the timing of the stockholder notice, our Bylaws require that the notice must be received by our secretary:</w:t>
      </w:r>
    </w:p>
    <w:p>
      <w:pPr>
        <w:spacing w:after="0" w:line="37"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an annual meeting, not more than 180 days and not less than 120 days in advance of the annual meeting;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a special meeting, not more than 15 days after the day on which notice of the special meeting is first mailed to stockholders.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59" w:lineRule="exact"/>
        <w:rPr>
          <w:sz w:val="20"/>
          <w:szCs w:val="20"/>
          <w:color w:val="auto"/>
        </w:rPr>
      </w:pPr>
    </w:p>
    <w:p>
      <w:pPr>
        <w:ind w:left="900" w:right="5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date the interested stockholder obtained such status;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296" w:lineRule="exact"/>
        <w:rPr>
          <w:sz w:val="20"/>
          <w:szCs w:val="20"/>
          <w:color w:val="auto"/>
        </w:rPr>
      </w:pPr>
    </w:p>
    <w:p>
      <w:pPr>
        <w:ind w:left="460" w:right="2880" w:firstLine="2418"/>
        <w:spacing w:after="0" w:line="444" w:lineRule="auto"/>
        <w:rPr>
          <w:sz w:val="20"/>
          <w:szCs w:val="20"/>
          <w:color w:val="auto"/>
        </w:rPr>
      </w:pPr>
      <w:r>
        <w:rPr>
          <w:rFonts w:ascii="Arial" w:cs="Arial" w:eastAsia="Arial" w:hAnsi="Arial"/>
          <w:sz w:val="16"/>
          <w:szCs w:val="16"/>
          <w:b w:val="1"/>
          <w:bCs w:val="1"/>
          <w:color w:val="auto"/>
        </w:rPr>
        <w:t xml:space="preserve">GENERAL DESCRIPTION OF SECURITIES THAT MAY BE OFFERED </w:t>
      </w:r>
      <w:r>
        <w:rPr>
          <w:rFonts w:ascii="Arial" w:cs="Arial" w:eastAsia="Arial" w:hAnsi="Arial"/>
          <w:sz w:val="16"/>
          <w:szCs w:val="16"/>
          <w:color w:val="auto"/>
        </w:rPr>
        <w:t>The following securities may be offered, at any time and from time to time, pursuant to this prospectus:</w:t>
      </w:r>
    </w:p>
    <w:p>
      <w:pPr>
        <w:spacing w:after="0" w:line="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debt securities offered by this prospectus will be issued under an indenture dated as of September 27, 2013 between us and The Bank of New York Mellon, as trustee, which has been filed with the SEC as an exhibit to the registration statement of which this prospectus is a part,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16" w:lineRule="exact"/>
        <w:rPr>
          <w:sz w:val="20"/>
          <w:szCs w:val="20"/>
          <w:color w:val="auto"/>
        </w:rPr>
      </w:pPr>
    </w:p>
    <w:p>
      <w:pPr>
        <w:jc w:val="both"/>
        <w:ind w:right="600" w:firstLine="456"/>
        <w:spacing w:after="0" w:line="335" w:lineRule="auto"/>
        <w:rPr>
          <w:sz w:val="20"/>
          <w:szCs w:val="20"/>
          <w:color w:val="auto"/>
        </w:rPr>
      </w:pPr>
      <w:r>
        <w:rPr>
          <w:rFonts w:ascii="Arial" w:cs="Arial" w:eastAsia="Arial" w:hAnsi="Arial"/>
          <w:sz w:val="15"/>
          <w:szCs w:val="15"/>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or any tranche thereof, is payable;</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terms, if any, on which the debt securities of that series will be subordinate in right and priority of payment to any of our other debt;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50"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addition to or change in the events of default which apply to, and covenants for the benefit of the holders of, the debt securities of that series;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will describe any restrictive covenants for any series of debt securities in the applicable prospectus supplement for such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w:t>
      </w:r>
    </w:p>
    <w:p>
      <w:pPr>
        <w:spacing w:after="0" w:line="5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debt securities of such series previously authenticated and delivered have been delivered to the trustee for cancellation; or</w:t>
      </w:r>
    </w:p>
    <w:p>
      <w:pPr>
        <w:spacing w:after="0" w:line="113" w:lineRule="exact"/>
        <w:rPr>
          <w:rFonts w:ascii="Arial" w:cs="Arial" w:eastAsia="Arial" w:hAnsi="Arial"/>
          <w:sz w:val="16"/>
          <w:szCs w:val="16"/>
          <w:color w:val="auto"/>
        </w:rPr>
      </w:pPr>
    </w:p>
    <w:p>
      <w:pPr>
        <w:ind w:left="1480" w:hanging="446"/>
        <w:spacing w:after="0" w:line="287"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debt securities of such series not previously delivered to the trustee for cancellation (i) have become due and payable (whether at stated maturity, early redemption or otherwise), (ii) will become due and 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 and</w:t>
      </w:r>
    </w:p>
    <w:p>
      <w:pPr>
        <w:spacing w:after="0" w:line="41"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90" w:lineRule="exact"/>
        <w:rPr>
          <w:rFonts w:ascii="Arial" w:cs="Arial" w:eastAsia="Arial" w:hAnsi="Arial"/>
          <w:sz w:val="18"/>
          <w:szCs w:val="18"/>
          <w:color w:val="auto"/>
        </w:rPr>
      </w:pPr>
    </w:p>
    <w:p>
      <w:pPr>
        <w:ind w:left="900" w:right="46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62" w:lineRule="exact"/>
        <w:rPr>
          <w:sz w:val="20"/>
          <w:szCs w:val="20"/>
          <w:color w:val="auto"/>
        </w:rPr>
      </w:pPr>
    </w:p>
    <w:p>
      <w:pPr>
        <w:ind w:left="900" w:right="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90" w:lineRule="exact"/>
        <w:rPr>
          <w:sz w:val="20"/>
          <w:szCs w:val="20"/>
          <w:color w:val="auto"/>
        </w:rPr>
      </w:pPr>
    </w:p>
    <w:p>
      <w:pPr>
        <w:ind w:left="9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cash in dollars (or such other currency or composite currency in which such debt securities are denominated) in an amount sufficient;</w:t>
      </w:r>
    </w:p>
    <w:p>
      <w:pPr>
        <w:spacing w:after="0" w:line="113" w:lineRule="exact"/>
        <w:rPr>
          <w:rFonts w:ascii="Arial" w:cs="Arial" w:eastAsia="Arial" w:hAnsi="Arial"/>
          <w:sz w:val="16"/>
          <w:szCs w:val="16"/>
          <w:color w:val="auto"/>
        </w:rPr>
      </w:pPr>
    </w:p>
    <w:p>
      <w:pPr>
        <w:ind w:left="1480" w:right="100" w:hanging="446"/>
        <w:spacing w:after="0" w:line="268"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90" w:lineRule="exact"/>
        <w:rPr>
          <w:sz w:val="20"/>
          <w:szCs w:val="20"/>
          <w:color w:val="auto"/>
        </w:rPr>
      </w:pPr>
    </w:p>
    <w:p>
      <w:pPr>
        <w:ind w:left="920" w:right="20"/>
        <w:spacing w:after="0" w:line="306" w:lineRule="auto"/>
        <w:rPr>
          <w:sz w:val="20"/>
          <w:szCs w:val="20"/>
          <w:color w:val="auto"/>
        </w:rPr>
      </w:pPr>
      <w:r>
        <w:rPr>
          <w:rFonts w:ascii="Arial" w:cs="Arial" w:eastAsia="Arial" w:hAnsi="Arial"/>
          <w:sz w:val="16"/>
          <w:szCs w:val="16"/>
          <w:color w:val="auto"/>
        </w:rPr>
        <w:t>in each case, in the written opinion of a nationally recognized firm of independent certified public accountants, to pay and discharge (1)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26" w:lineRule="exact"/>
        <w:rPr>
          <w:sz w:val="20"/>
          <w:szCs w:val="20"/>
          <w:color w:val="auto"/>
        </w:rPr>
      </w:pPr>
    </w:p>
    <w:p>
      <w:pPr>
        <w:ind w:left="900" w:right="80" w:hanging="446"/>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62"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50" w:lineRule="exact"/>
        <w:rPr>
          <w:rFonts w:ascii="Arial" w:cs="Arial" w:eastAsia="Arial" w:hAnsi="Arial"/>
          <w:sz w:val="18"/>
          <w:szCs w:val="18"/>
          <w:color w:val="auto"/>
        </w:rPr>
      </w:pPr>
    </w:p>
    <w:p>
      <w:pPr>
        <w:jc w:val="both"/>
        <w:ind w:left="900" w:right="18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shall have delivered to the trustee an agreement whereby we irrevocably agree to forfeit our rights, if any, to extend the interest payment periods on such debt securities pursuant to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306"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25"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50" w:lineRule="exact"/>
        <w:rPr>
          <w:rFonts w:ascii="Arial" w:cs="Arial" w:eastAsia="Arial" w:hAnsi="Arial"/>
          <w:sz w:val="18"/>
          <w:szCs w:val="18"/>
          <w:color w:val="auto"/>
        </w:rPr>
      </w:pPr>
    </w:p>
    <w:p>
      <w:pPr>
        <w:ind w:left="900" w:right="200" w:hanging="446"/>
        <w:spacing w:after="0" w:line="294"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51" w:lineRule="exact"/>
        <w:rPr>
          <w:sz w:val="20"/>
          <w:szCs w:val="20"/>
          <w:color w:val="auto"/>
        </w:rPr>
      </w:pPr>
    </w:p>
    <w:p>
      <w:pPr>
        <w:ind w:left="900" w:right="160" w:hanging="446"/>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34"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50" w:lineRule="exact"/>
        <w:rPr>
          <w:rFonts w:ascii="Arial" w:cs="Arial" w:eastAsia="Arial" w:hAnsi="Arial"/>
          <w:sz w:val="18"/>
          <w:szCs w:val="18"/>
          <w:color w:val="auto"/>
        </w:rPr>
      </w:pPr>
    </w:p>
    <w:p>
      <w:pPr>
        <w:ind w:left="900" w:right="80" w:hanging="446"/>
        <w:spacing w:after="0" w:line="370"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62"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 xml:space="preserve">majority in aggregate principal amount of the outstanding debt securities of all series so directly affected, considered as one class, shall be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without the consent of the holder of each outstanding debt security so affected, no such supplemental indenture may:</w:t>
      </w:r>
    </w:p>
    <w:p>
      <w:pPr>
        <w:spacing w:after="0" w:line="4" w:lineRule="exact"/>
        <w:rPr>
          <w:sz w:val="20"/>
          <w:szCs w:val="20"/>
          <w:color w:val="auto"/>
        </w:rPr>
      </w:pPr>
    </w:p>
    <w:p>
      <w:pPr>
        <w:ind w:left="900" w:right="40" w:hanging="446"/>
        <w:spacing w:after="0" w:line="290"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37" w:lineRule="exact"/>
        <w:rPr>
          <w:rFonts w:ascii="Arial" w:cs="Arial" w:eastAsia="Arial" w:hAnsi="Arial"/>
          <w:sz w:val="16"/>
          <w:szCs w:val="16"/>
          <w:color w:val="auto"/>
        </w:rPr>
      </w:pPr>
    </w:p>
    <w:p>
      <w:pPr>
        <w:ind w:left="900" w:right="12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59" w:lineRule="exact"/>
        <w:rPr>
          <w:rFonts w:ascii="Arial" w:cs="Arial" w:eastAsia="Arial" w:hAnsi="Arial"/>
          <w:sz w:val="18"/>
          <w:szCs w:val="18"/>
          <w:color w:val="auto"/>
        </w:rPr>
      </w:pPr>
    </w:p>
    <w:p>
      <w:pPr>
        <w:jc w:val="both"/>
        <w:ind w:left="900" w:right="340" w:hanging="446"/>
        <w:spacing w:after="0" w:line="306"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modify any of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any of the above provisions.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51" w:lineRule="exact"/>
        <w:rPr>
          <w:sz w:val="20"/>
          <w:szCs w:val="20"/>
          <w:color w:val="auto"/>
        </w:rPr>
      </w:pPr>
    </w:p>
    <w:p>
      <w:pPr>
        <w:ind w:left="900" w:right="24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any such successor of the covenants applicable to us under the indenture and in the debt securities; or</w:t>
      </w:r>
    </w:p>
    <w:p>
      <w:pPr>
        <w:spacing w:after="0" w:line="5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add to the covenants applicable to us for the benefit of the holders of all or any series of debt securities, or to surrender any right or power conferred upon us under the indenture;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debt securities; or</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59"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change or eliminate any of the provisions of the indenture, or to add any new provision to the indenture, in respect of one or more series of debt securities; provided, however,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 or</w:t>
      </w:r>
    </w:p>
    <w:p>
      <w:pPr>
        <w:spacing w:after="0" w:line="31"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add collateral security with respect to the debt securities of any series and to provide for the terms and conditions of release or substitution thereof; or</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establish the issuance of and establish the form, terms and conditions of any additional debt securities of any series or tranche thereof as permitted by the indenture;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all, or any series or tranche of, certificated debt securities;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for a separate trustee or co-trustee;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change any place or places where (a) the principal of or premium, if any, or interest, if any, on all or any series of debt securities shall be payable,</w:t>
      </w:r>
    </w:p>
    <w:p>
      <w:pPr>
        <w:spacing w:after="0" w:line="38" w:lineRule="exact"/>
        <w:rPr>
          <w:rFonts w:ascii="Arial" w:cs="Arial" w:eastAsia="Arial" w:hAnsi="Arial"/>
          <w:sz w:val="16"/>
          <w:szCs w:val="16"/>
          <w:color w:val="auto"/>
        </w:rPr>
      </w:pPr>
    </w:p>
    <w:p>
      <w:pPr>
        <w:ind w:left="900" w:right="280" w:hanging="1"/>
        <w:spacing w:after="0" w:line="323" w:lineRule="auto"/>
        <w:tabs>
          <w:tab w:leader="none" w:pos="1149"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or any series of debt securities may be surrendered for registration or transfer, (c) all or any series of debt securities may be surrendered for exchange and (d) notices and demands to us in respect of all or any series of debt securities and the indenture may be served; or</w:t>
      </w:r>
    </w:p>
    <w:p>
      <w:pPr>
        <w:spacing w:after="0" w:line="11" w:lineRule="exact"/>
        <w:rPr>
          <w:rFonts w:ascii="Arial" w:cs="Arial" w:eastAsia="Arial" w:hAnsi="Arial"/>
          <w:sz w:val="16"/>
          <w:szCs w:val="16"/>
          <w:color w:val="auto"/>
        </w:rPr>
      </w:pPr>
    </w:p>
    <w:p>
      <w:pPr>
        <w:ind w:left="900" w:right="240" w:hanging="446"/>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supplement any of the provisions of the indenture to such extent as shall be necessary to permit or facilitate the defeasance and discharge of any series of debt securities, or any tranche thereof, pursuant to the terms of the indenture, provided that any such action shall not adversely affect the interests of the holders of debt securities of such series or tranche or any other series of debt securities in any material respect; or</w:t>
      </w:r>
    </w:p>
    <w:p>
      <w:pPr>
        <w:spacing w:after="0" w:line="25" w:lineRule="exact"/>
        <w:rPr>
          <w:rFonts w:ascii="Arial" w:cs="Arial" w:eastAsia="Arial" w:hAnsi="Arial"/>
          <w:sz w:val="16"/>
          <w:szCs w:val="16"/>
          <w:color w:val="auto"/>
        </w:rPr>
      </w:pPr>
    </w:p>
    <w:p>
      <w:pPr>
        <w:ind w:left="900" w:right="66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 or</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make any other provisions with respect to matters or questions arising under the indenture, provided that such action pursuant to this clause shall not adversely affect in any material respect the interests of the holders of any debt securities of any series outstanding on the date of such supplemental indenture.</w:t>
      </w:r>
    </w:p>
    <w:p>
      <w:pPr>
        <w:spacing w:after="0" w:line="14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4" w:lineRule="exact"/>
        <w:rPr>
          <w:sz w:val="20"/>
          <w:szCs w:val="20"/>
          <w:color w:val="auto"/>
        </w:rPr>
      </w:pPr>
    </w:p>
    <w:p>
      <w:pPr>
        <w:ind w:left="9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interest on any debt security of that series when it becomes due and payable, and continuance of such default for a period of 30 days; provided that a valid extension of the interest payment period by us as permitted under the terms of any debt security of that series shall not constitute a failure to pay interest for this purpose;</w:t>
      </w:r>
    </w:p>
    <w:p>
      <w:pPr>
        <w:spacing w:after="0" w:line="59"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 or</w:t>
      </w:r>
    </w:p>
    <w:p>
      <w:pPr>
        <w:spacing w:after="0" w:line="5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events of bankruptcy, insolvency, reorganization, administration or similar proceedings with respect to us have occurred;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2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4"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holder has previously given written notice to the trustee of a continuing event of default with respect to the debt securities of that series;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requesting holders have offered the trustee indemnity against the reasonable expenses and liabilities to be incurred in complying with the request;</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provided, however, that if an event of default has occurred and is continuing with respect to more than one series of debt securities of equal ranking, the holders of a majority in aggregate principal amount of the outstanding debt securities of all such series of equal ranking, considered as one class, shall have the right to make such direction, and not the holders of the debt securities of any one of such series of equal ranking; provided, further that (1) such direction shall not be in conflict with any rule of law or with the indenture, and (2) the trustee may take any other action deemed proper by the trustee which is not inconsistent with such direction.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51" w:lineRule="exact"/>
        <w:rPr>
          <w:sz w:val="20"/>
          <w:szCs w:val="20"/>
          <w:color w:val="auto"/>
        </w:rPr>
      </w:pPr>
    </w:p>
    <w:p>
      <w:pPr>
        <w:ind w:left="900" w:right="2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59"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Debt securities in physical, certificated form will be issued and delivered to each person that DTC identifies as a beneficial owner of the related global security only if:</w:t>
      </w:r>
    </w:p>
    <w:p>
      <w:pPr>
        <w:spacing w:after="0" w:line="51" w:lineRule="exact"/>
        <w:rPr>
          <w:sz w:val="20"/>
          <w:szCs w:val="20"/>
          <w:color w:val="auto"/>
        </w:rPr>
      </w:pPr>
    </w:p>
    <w:p>
      <w:pPr>
        <w:ind w:left="900" w:right="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177"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April 25, 2014, there were 156 million shares of Series A Preferred Stock outstanding. The terms of any shares of preferred stock offered pursuant to this prospectus will be set forth in an applicable prospectus supplement.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77"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Our only class of common stock is our common stock, par value $0.01 per share. Our Certificate of Incorporation currently authorizes our Board of Directors to issue 5,000,000,000 shares of common stock. As of April 25, 2014 1,603,739,863 shares of our common stock were issued and outstanding. There are no redemption or sinking fund provisions applicable to our common stock. All outstanding shares of our common stock are fully paid and non-assessable.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Our common stockholders do not possess cumulative voting rights.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of stock entitled to vote thereon present in person or by proxy at the meeting, unless otherwise provided by applicable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Robert C. Shrosbree, Esq., Executive Director, Legal, Corporate &amp; Securities, GM Legal Staff.</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financial statements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242570</wp:posOffset>
            </wp:positionV>
            <wp:extent cx="4528185" cy="634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$1,250,000,000  6.600% Senior Notes due 2036</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  750,000,000  6.750% Senior Notes due 2046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4620" w:type="dxa"/>
            <w:vAlign w:val="bottom"/>
          </w:tcPr>
          <w:p>
            <w:pPr>
              <w:spacing w:after="0"/>
              <w:rPr>
                <w:sz w:val="20"/>
                <w:szCs w:val="20"/>
                <w:color w:val="auto"/>
              </w:rPr>
            </w:pPr>
            <w:r>
              <w:rPr>
                <w:rFonts w:ascii="Arial" w:cs="Arial" w:eastAsia="Arial" w:hAnsi="Arial"/>
                <w:sz w:val="25"/>
                <w:szCs w:val="25"/>
                <w:b w:val="1"/>
                <w:bCs w:val="1"/>
                <w:color w:val="auto"/>
              </w:rPr>
              <w:t>Goldman, Sachs &amp; Co.</w:t>
            </w:r>
          </w:p>
        </w:tc>
        <w:tc>
          <w:tcPr>
            <w:tcW w:w="3200" w:type="dxa"/>
            <w:vAlign w:val="bottom"/>
          </w:tcPr>
          <w:p>
            <w:pPr>
              <w:ind w:left="1000"/>
              <w:spacing w:after="0"/>
              <w:rPr>
                <w:sz w:val="20"/>
                <w:szCs w:val="20"/>
                <w:color w:val="auto"/>
              </w:rPr>
            </w:pPr>
            <w:r>
              <w:rPr>
                <w:rFonts w:ascii="Arial" w:cs="Arial" w:eastAsia="Arial" w:hAnsi="Arial"/>
                <w:sz w:val="25"/>
                <w:szCs w:val="25"/>
                <w:b w:val="1"/>
                <w:bCs w:val="1"/>
                <w:color w:val="auto"/>
                <w:w w:val="98"/>
              </w:rPr>
              <w:t>BofA Merrill Lynch</w:t>
            </w:r>
          </w:p>
        </w:tc>
        <w:tc>
          <w:tcPr>
            <w:tcW w:w="3600" w:type="dxa"/>
            <w:vAlign w:val="bottom"/>
          </w:tcPr>
          <w:p>
            <w:pPr>
              <w:jc w:val="right"/>
              <w:spacing w:after="0"/>
              <w:rPr>
                <w:sz w:val="20"/>
                <w:szCs w:val="20"/>
                <w:color w:val="auto"/>
              </w:rPr>
            </w:pPr>
            <w:r>
              <w:rPr>
                <w:rFonts w:ascii="Arial" w:cs="Arial" w:eastAsia="Arial" w:hAnsi="Arial"/>
                <w:sz w:val="25"/>
                <w:szCs w:val="25"/>
                <w:b w:val="1"/>
                <w:bCs w:val="1"/>
                <w:color w:val="auto"/>
              </w:rPr>
              <w:t>Citigroup</w:t>
            </w:r>
          </w:p>
        </w:tc>
      </w:tr>
      <w:tr>
        <w:trPr>
          <w:trHeight w:val="419"/>
        </w:trPr>
        <w:tc>
          <w:tcPr>
            <w:tcW w:w="4620" w:type="dxa"/>
            <w:vAlign w:val="bottom"/>
          </w:tcPr>
          <w:p>
            <w:pPr>
              <w:ind w:left="1560"/>
              <w:spacing w:after="0"/>
              <w:rPr>
                <w:sz w:val="20"/>
                <w:szCs w:val="20"/>
                <w:color w:val="auto"/>
              </w:rPr>
            </w:pPr>
            <w:r>
              <w:rPr>
                <w:rFonts w:ascii="Arial" w:cs="Arial" w:eastAsia="Arial" w:hAnsi="Arial"/>
                <w:sz w:val="25"/>
                <w:szCs w:val="25"/>
                <w:b w:val="1"/>
                <w:bCs w:val="1"/>
                <w:color w:val="auto"/>
                <w:w w:val="98"/>
              </w:rPr>
              <w:t>Deutsche Bank Securities</w:t>
            </w:r>
          </w:p>
        </w:tc>
        <w:tc>
          <w:tcPr>
            <w:tcW w:w="3200" w:type="dxa"/>
            <w:vAlign w:val="bottom"/>
          </w:tcPr>
          <w:p>
            <w:pPr>
              <w:spacing w:after="0"/>
              <w:rPr>
                <w:sz w:val="24"/>
                <w:szCs w:val="24"/>
                <w:color w:val="auto"/>
              </w:rPr>
            </w:pPr>
          </w:p>
        </w:tc>
        <w:tc>
          <w:tcPr>
            <w:tcW w:w="3600" w:type="dxa"/>
            <w:vAlign w:val="bottom"/>
          </w:tcPr>
          <w:p>
            <w:pPr>
              <w:jc w:val="right"/>
              <w:ind w:right="1714"/>
              <w:spacing w:after="0"/>
              <w:rPr>
                <w:sz w:val="20"/>
                <w:szCs w:val="20"/>
                <w:color w:val="auto"/>
              </w:rPr>
            </w:pPr>
            <w:r>
              <w:rPr>
                <w:rFonts w:ascii="Arial" w:cs="Arial" w:eastAsia="Arial" w:hAnsi="Arial"/>
                <w:sz w:val="25"/>
                <w:szCs w:val="25"/>
                <w:b w:val="1"/>
                <w:bCs w:val="1"/>
                <w:color w:val="auto"/>
                <w:w w:val="94"/>
              </w:rPr>
              <w:t>Morgan Stanley</w:t>
            </w:r>
          </w:p>
        </w:tc>
      </w:tr>
      <w:tr>
        <w:trPr>
          <w:trHeight w:val="424"/>
        </w:trPr>
        <w:tc>
          <w:tcPr>
            <w:tcW w:w="4620" w:type="dxa"/>
            <w:vAlign w:val="bottom"/>
          </w:tcPr>
          <w:p>
            <w:pPr>
              <w:spacing w:after="0"/>
              <w:rPr>
                <w:sz w:val="24"/>
                <w:szCs w:val="24"/>
                <w:color w:val="auto"/>
              </w:rPr>
            </w:pPr>
          </w:p>
        </w:tc>
        <w:tc>
          <w:tcPr>
            <w:tcW w:w="3200" w:type="dxa"/>
            <w:vAlign w:val="bottom"/>
          </w:tcPr>
          <w:p>
            <w:pPr>
              <w:jc w:val="center"/>
              <w:ind w:right="919"/>
              <w:spacing w:after="0"/>
              <w:rPr>
                <w:sz w:val="20"/>
                <w:szCs w:val="20"/>
                <w:color w:val="auto"/>
              </w:rPr>
            </w:pPr>
            <w:r>
              <w:rPr>
                <w:rFonts w:ascii="Arial" w:cs="Arial" w:eastAsia="Arial" w:hAnsi="Arial"/>
                <w:sz w:val="18"/>
                <w:szCs w:val="18"/>
                <w:i w:val="1"/>
                <w:iCs w:val="1"/>
                <w:color w:val="auto"/>
                <w:w w:val="91"/>
              </w:rPr>
              <w:t>Joint Lead Managers</w:t>
            </w:r>
          </w:p>
        </w:tc>
        <w:tc>
          <w:tcPr>
            <w:tcW w:w="3600" w:type="dxa"/>
            <w:vAlign w:val="bottom"/>
          </w:tcPr>
          <w:p>
            <w:pPr>
              <w:spacing w:after="0"/>
              <w:rPr>
                <w:sz w:val="24"/>
                <w:szCs w:val="24"/>
                <w:color w:val="auto"/>
              </w:rPr>
            </w:pPr>
          </w:p>
        </w:tc>
      </w:tr>
      <w:tr>
        <w:trPr>
          <w:trHeight w:val="375"/>
        </w:trPr>
        <w:tc>
          <w:tcPr>
            <w:tcW w:w="462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3200" w:type="dxa"/>
            <w:vAlign w:val="bottom"/>
          </w:tcPr>
          <w:p>
            <w:pPr>
              <w:jc w:val="center"/>
              <w:ind w:right="779"/>
              <w:spacing w:after="0"/>
              <w:rPr>
                <w:sz w:val="20"/>
                <w:szCs w:val="20"/>
                <w:color w:val="auto"/>
              </w:rPr>
            </w:pPr>
            <w:r>
              <w:rPr>
                <w:rFonts w:ascii="Arial" w:cs="Arial" w:eastAsia="Arial" w:hAnsi="Arial"/>
                <w:sz w:val="22"/>
                <w:szCs w:val="22"/>
                <w:b w:val="1"/>
                <w:bCs w:val="1"/>
                <w:color w:val="auto"/>
                <w:w w:val="92"/>
              </w:rPr>
              <w:t>BNP PARIBAS</w:t>
            </w:r>
          </w:p>
        </w:tc>
        <w:tc>
          <w:tcPr>
            <w:tcW w:w="3600" w:type="dxa"/>
            <w:vAlign w:val="bottom"/>
          </w:tcPr>
          <w:p>
            <w:pPr>
              <w:jc w:val="right"/>
              <w:spacing w:after="0"/>
              <w:rPr>
                <w:sz w:val="20"/>
                <w:szCs w:val="20"/>
                <w:color w:val="auto"/>
              </w:rPr>
            </w:pPr>
            <w:r>
              <w:rPr>
                <w:rFonts w:ascii="Arial" w:cs="Arial" w:eastAsia="Arial" w:hAnsi="Arial"/>
                <w:sz w:val="22"/>
                <w:szCs w:val="22"/>
                <w:b w:val="1"/>
                <w:bCs w:val="1"/>
                <w:color w:val="auto"/>
              </w:rPr>
              <w:t>COMMERZBANK</w:t>
            </w:r>
          </w:p>
        </w:tc>
      </w:tr>
      <w:tr>
        <w:trPr>
          <w:trHeight w:val="351"/>
        </w:trPr>
        <w:tc>
          <w:tcPr>
            <w:tcW w:w="4620" w:type="dxa"/>
            <w:vAlign w:val="bottom"/>
          </w:tcPr>
          <w:p>
            <w:pPr>
              <w:ind w:left="220"/>
              <w:spacing w:after="0"/>
              <w:rPr>
                <w:sz w:val="20"/>
                <w:szCs w:val="20"/>
                <w:color w:val="auto"/>
              </w:rPr>
            </w:pPr>
            <w:r>
              <w:rPr>
                <w:rFonts w:ascii="Arial" w:cs="Arial" w:eastAsia="Arial" w:hAnsi="Arial"/>
                <w:sz w:val="22"/>
                <w:szCs w:val="22"/>
                <w:b w:val="1"/>
                <w:bCs w:val="1"/>
                <w:color w:val="auto"/>
              </w:rPr>
              <w:t>Credit Agricole CIB</w:t>
            </w:r>
          </w:p>
        </w:tc>
        <w:tc>
          <w:tcPr>
            <w:tcW w:w="3200" w:type="dxa"/>
            <w:vAlign w:val="bottom"/>
          </w:tcPr>
          <w:p>
            <w:pPr>
              <w:jc w:val="center"/>
              <w:ind w:right="799"/>
              <w:spacing w:after="0"/>
              <w:rPr>
                <w:sz w:val="20"/>
                <w:szCs w:val="20"/>
                <w:color w:val="auto"/>
              </w:rPr>
            </w:pPr>
            <w:r>
              <w:rPr>
                <w:rFonts w:ascii="Arial" w:cs="Arial" w:eastAsia="Arial" w:hAnsi="Arial"/>
                <w:sz w:val="22"/>
                <w:szCs w:val="22"/>
                <w:b w:val="1"/>
                <w:bCs w:val="1"/>
                <w:color w:val="auto"/>
                <w:w w:val="86"/>
              </w:rPr>
              <w:t>Credit Suisse</w:t>
            </w:r>
          </w:p>
        </w:tc>
        <w:tc>
          <w:tcPr>
            <w:tcW w:w="3600" w:type="dxa"/>
            <w:vAlign w:val="bottom"/>
          </w:tcPr>
          <w:p>
            <w:pPr>
              <w:jc w:val="right"/>
              <w:spacing w:after="0"/>
              <w:rPr>
                <w:sz w:val="20"/>
                <w:szCs w:val="20"/>
                <w:color w:val="auto"/>
              </w:rPr>
            </w:pPr>
            <w:r>
              <w:rPr>
                <w:rFonts w:ascii="Arial" w:cs="Arial" w:eastAsia="Arial" w:hAnsi="Arial"/>
                <w:sz w:val="22"/>
                <w:szCs w:val="22"/>
                <w:b w:val="1"/>
                <w:bCs w:val="1"/>
                <w:color w:val="auto"/>
              </w:rPr>
              <w:t>J.P. Morgan</w:t>
            </w:r>
          </w:p>
        </w:tc>
      </w:tr>
      <w:tr>
        <w:trPr>
          <w:trHeight w:val="351"/>
        </w:trPr>
        <w:tc>
          <w:tcPr>
            <w:tcW w:w="4620" w:type="dxa"/>
            <w:vAlign w:val="bottom"/>
          </w:tcPr>
          <w:p>
            <w:pPr>
              <w:jc w:val="center"/>
              <w:ind w:right="2054"/>
              <w:spacing w:after="0"/>
              <w:rPr>
                <w:sz w:val="20"/>
                <w:szCs w:val="20"/>
                <w:color w:val="auto"/>
              </w:rPr>
            </w:pPr>
            <w:r>
              <w:rPr>
                <w:rFonts w:ascii="Arial" w:cs="Arial" w:eastAsia="Arial" w:hAnsi="Arial"/>
                <w:sz w:val="22"/>
                <w:szCs w:val="22"/>
                <w:b w:val="1"/>
                <w:bCs w:val="1"/>
                <w:color w:val="auto"/>
                <w:w w:val="86"/>
              </w:rPr>
              <w:t>Lloyds Securities</w:t>
            </w:r>
          </w:p>
        </w:tc>
        <w:tc>
          <w:tcPr>
            <w:tcW w:w="3200" w:type="dxa"/>
            <w:vAlign w:val="bottom"/>
          </w:tcPr>
          <w:p>
            <w:pPr>
              <w:jc w:val="center"/>
              <w:ind w:right="799"/>
              <w:spacing w:after="0"/>
              <w:rPr>
                <w:sz w:val="20"/>
                <w:szCs w:val="20"/>
                <w:color w:val="auto"/>
              </w:rPr>
            </w:pPr>
            <w:r>
              <w:rPr>
                <w:rFonts w:ascii="Arial" w:cs="Arial" w:eastAsia="Arial" w:hAnsi="Arial"/>
                <w:sz w:val="22"/>
                <w:szCs w:val="22"/>
                <w:b w:val="1"/>
                <w:bCs w:val="1"/>
                <w:color w:val="auto"/>
                <w:w w:val="88"/>
              </w:rPr>
              <w:t>Mizuho Securities</w:t>
            </w:r>
          </w:p>
        </w:tc>
        <w:tc>
          <w:tcPr>
            <w:tcW w:w="3600" w:type="dxa"/>
            <w:vAlign w:val="bottom"/>
          </w:tcPr>
          <w:p>
            <w:pPr>
              <w:jc w:val="right"/>
              <w:spacing w:after="0"/>
              <w:rPr>
                <w:sz w:val="20"/>
                <w:szCs w:val="20"/>
                <w:color w:val="auto"/>
              </w:rPr>
            </w:pPr>
            <w:r>
              <w:rPr>
                <w:rFonts w:ascii="Arial" w:cs="Arial" w:eastAsia="Arial" w:hAnsi="Arial"/>
                <w:sz w:val="22"/>
                <w:szCs w:val="22"/>
                <w:b w:val="1"/>
                <w:bCs w:val="1"/>
                <w:color w:val="auto"/>
              </w:rPr>
              <w:t>SOCIETE GENERALE</w:t>
            </w:r>
          </w:p>
        </w:tc>
      </w:tr>
      <w:tr>
        <w:trPr>
          <w:trHeight w:val="422"/>
        </w:trPr>
        <w:tc>
          <w:tcPr>
            <w:tcW w:w="4620" w:type="dxa"/>
            <w:vAlign w:val="bottom"/>
          </w:tcPr>
          <w:p>
            <w:pPr>
              <w:spacing w:after="0"/>
              <w:rPr>
                <w:sz w:val="24"/>
                <w:szCs w:val="24"/>
                <w:color w:val="auto"/>
              </w:rPr>
            </w:pPr>
          </w:p>
        </w:tc>
        <w:tc>
          <w:tcPr>
            <w:tcW w:w="3200" w:type="dxa"/>
            <w:vAlign w:val="bottom"/>
          </w:tcPr>
          <w:p>
            <w:pPr>
              <w:jc w:val="center"/>
              <w:ind w:right="899"/>
              <w:spacing w:after="0"/>
              <w:rPr>
                <w:sz w:val="20"/>
                <w:szCs w:val="20"/>
                <w:color w:val="auto"/>
              </w:rPr>
            </w:pPr>
            <w:r>
              <w:rPr>
                <w:rFonts w:ascii="Arial" w:cs="Arial" w:eastAsia="Arial" w:hAnsi="Arial"/>
                <w:sz w:val="18"/>
                <w:szCs w:val="18"/>
                <w:i w:val="1"/>
                <w:iCs w:val="1"/>
                <w:color w:val="auto"/>
                <w:w w:val="91"/>
              </w:rPr>
              <w:t>Co-Managers</w:t>
            </w:r>
          </w:p>
        </w:tc>
        <w:tc>
          <w:tcPr>
            <w:tcW w:w="3600" w:type="dxa"/>
            <w:vAlign w:val="bottom"/>
          </w:tcPr>
          <w:p>
            <w:pPr>
              <w:spacing w:after="0"/>
              <w:rPr>
                <w:sz w:val="24"/>
                <w:szCs w:val="24"/>
                <w:color w:val="auto"/>
              </w:rPr>
            </w:pPr>
          </w:p>
        </w:tc>
      </w:tr>
      <w:tr>
        <w:trPr>
          <w:trHeight w:val="338"/>
        </w:trPr>
        <w:tc>
          <w:tcPr>
            <w:tcW w:w="4620" w:type="dxa"/>
            <w:vAlign w:val="bottom"/>
          </w:tcPr>
          <w:p>
            <w:pPr>
              <w:spacing w:after="0"/>
              <w:rPr>
                <w:sz w:val="20"/>
                <w:szCs w:val="20"/>
                <w:color w:val="auto"/>
              </w:rPr>
            </w:pPr>
            <w:r>
              <w:rPr>
                <w:rFonts w:ascii="Arial" w:cs="Arial" w:eastAsia="Arial" w:hAnsi="Arial"/>
                <w:sz w:val="18"/>
                <w:szCs w:val="18"/>
                <w:b w:val="1"/>
                <w:bCs w:val="1"/>
                <w:color w:val="auto"/>
              </w:rPr>
              <w:t>BB Securities</w:t>
            </w:r>
          </w:p>
        </w:tc>
        <w:tc>
          <w:tcPr>
            <w:tcW w:w="3200" w:type="dxa"/>
            <w:vAlign w:val="bottom"/>
          </w:tcPr>
          <w:p>
            <w:pPr>
              <w:ind w:left="680"/>
              <w:spacing w:after="0"/>
              <w:rPr>
                <w:sz w:val="20"/>
                <w:szCs w:val="20"/>
                <w:color w:val="auto"/>
              </w:rPr>
            </w:pPr>
            <w:r>
              <w:rPr>
                <w:rFonts w:ascii="Arial" w:cs="Arial" w:eastAsia="Arial" w:hAnsi="Arial"/>
                <w:sz w:val="18"/>
                <w:szCs w:val="18"/>
                <w:b w:val="1"/>
                <w:bCs w:val="1"/>
                <w:color w:val="auto"/>
              </w:rPr>
              <w:t>Bradesco BBI</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RBC Capital Markets</w:t>
            </w:r>
          </w:p>
        </w:tc>
      </w:tr>
      <w:tr>
        <w:trPr>
          <w:trHeight w:val="284"/>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RBS</w:t>
            </w:r>
          </w:p>
        </w:tc>
        <w:tc>
          <w:tcPr>
            <w:tcW w:w="3200" w:type="dxa"/>
            <w:vAlign w:val="bottom"/>
          </w:tcPr>
          <w:p>
            <w:pPr>
              <w:ind w:left="700"/>
              <w:spacing w:after="0"/>
              <w:rPr>
                <w:sz w:val="20"/>
                <w:szCs w:val="20"/>
                <w:color w:val="auto"/>
              </w:rPr>
            </w:pPr>
            <w:r>
              <w:rPr>
                <w:rFonts w:ascii="Arial" w:cs="Arial" w:eastAsia="Arial" w:hAnsi="Arial"/>
                <w:sz w:val="18"/>
                <w:szCs w:val="18"/>
                <w:b w:val="1"/>
                <w:bCs w:val="1"/>
                <w:color w:val="auto"/>
              </w:rPr>
              <w:t>TD Securities</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Blaylock Beal Van, LLC</w:t>
            </w:r>
          </w:p>
        </w:tc>
      </w:tr>
      <w:tr>
        <w:trPr>
          <w:trHeight w:val="284"/>
        </w:trPr>
        <w:tc>
          <w:tcPr>
            <w:tcW w:w="4620" w:type="dxa"/>
            <w:vAlign w:val="bottom"/>
          </w:tcPr>
          <w:p>
            <w:pPr>
              <w:jc w:val="center"/>
              <w:ind w:right="1994"/>
              <w:spacing w:after="0"/>
              <w:rPr>
                <w:sz w:val="20"/>
                <w:szCs w:val="20"/>
                <w:color w:val="auto"/>
              </w:rPr>
            </w:pPr>
            <w:r>
              <w:rPr>
                <w:rFonts w:ascii="Arial" w:cs="Arial" w:eastAsia="Arial" w:hAnsi="Arial"/>
                <w:sz w:val="18"/>
                <w:szCs w:val="18"/>
                <w:b w:val="1"/>
                <w:bCs w:val="1"/>
                <w:color w:val="auto"/>
                <w:w w:val="91"/>
              </w:rPr>
              <w:t>C.L. King &amp; Associates</w:t>
            </w:r>
          </w:p>
        </w:tc>
        <w:tc>
          <w:tcPr>
            <w:tcW w:w="3200" w:type="dxa"/>
            <w:vAlign w:val="bottom"/>
          </w:tcPr>
          <w:p>
            <w:pPr>
              <w:spacing w:after="0"/>
              <w:rPr>
                <w:sz w:val="24"/>
                <w:szCs w:val="24"/>
                <w:color w:val="auto"/>
              </w:rPr>
            </w:pP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Mischler Financial Group,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18,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5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lowerLetter"/>
      <w:start w:val="3"/>
    </w:lvl>
    <w:lvl w:ilvl="1">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Roman"/>
      <w:start w:val="1"/>
    </w:lvl>
  </w:abstractNum>
  <w:abstractNum w:abstractNumId="8">
    <w:nsid w:val="189A769B"/>
    <w:multiLevelType w:val="hybridMultilevel"/>
    <w:lvl w:ilvl="0">
      <w:lvlJc w:val="left"/>
      <w:lvlText w:val="(%1)"/>
      <w:numFmt w:val="lowerRoman"/>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Roman"/>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upperLetter"/>
      <w:start w:val="28"/>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Roman"/>
      <w:start w:val="1"/>
    </w:lvl>
  </w:abstractNum>
  <w:abstractNum w:abstractNumId="15">
    <w:nsid w:val="8138641"/>
    <w:multiLevelType w:val="hybridMultilevel"/>
    <w:lvl w:ilvl="0">
      <w:lvlJc w:val="left"/>
      <w:lvlText w:val="(%1)"/>
      <w:numFmt w:val="lowerRoman"/>
      <w:start w:val="2"/>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lowerRoman"/>
      <w:start w:val="1"/>
    </w:lvl>
    <w:lvl w:ilvl="1">
      <w:lvlJc w:val="left"/>
      <w:lvlText w:val="•"/>
      <w:numFmt w:val="bullet"/>
      <w:start w:val="1"/>
    </w:lvl>
  </w:abstractNum>
  <w:abstractNum w:abstractNumId="27">
    <w:nsid w:val="5072367"/>
    <w:multiLevelType w:val="hybridMultilevel"/>
    <w:lvl w:ilvl="0">
      <w:lvlJc w:val="left"/>
      <w:lvlText w:val="(%1)"/>
      <w:numFmt w:val="lowerRoman"/>
      <w:start w:val="1"/>
    </w:lvl>
  </w:abstractNum>
  <w:abstractNum w:abstractNumId="28">
    <w:nsid w:val="3804823E"/>
    <w:multiLevelType w:val="hybridMultilevel"/>
    <w:lvl w:ilvl="0">
      <w:lvlJc w:val="left"/>
      <w:lvlText w:val="(%1)"/>
      <w:numFmt w:val="lowerRoman"/>
      <w:start w:val="2"/>
    </w:lvl>
  </w:abstractNum>
  <w:abstractNum w:abstractNumId="29">
    <w:nsid w:val="77465F01"/>
    <w:multiLevelType w:val="hybridMultilevel"/>
    <w:lvl w:ilvl="0">
      <w:lvlJc w:val="left"/>
      <w:lvlText w:val="(%1)"/>
      <w:numFmt w:val="lowerRoman"/>
      <w:start w:val="1"/>
    </w:lvl>
    <w:lvl w:ilvl="1">
      <w:lvlJc w:val="left"/>
      <w:lvlText w:val="•"/>
      <w:numFmt w:val="bullet"/>
      <w:start w:val="1"/>
    </w:lvl>
  </w:abstractNum>
  <w:abstractNum w:abstractNumId="30">
    <w:nsid w:val="7724C67E"/>
    <w:multiLevelType w:val="hybridMultilevel"/>
    <w:lvl w:ilvl="0">
      <w:lvlJc w:val="left"/>
      <w:lvlText w:val="(%1)"/>
      <w:numFmt w:val="lowerRoman"/>
      <w:start w:val="2"/>
    </w:lvl>
  </w:abstractNum>
  <w:abstractNum w:abstractNumId="31">
    <w:nsid w:val="5C482A97"/>
    <w:multiLevelType w:val="hybridMultilevel"/>
    <w:lvl w:ilvl="0">
      <w:lvlJc w:val="left"/>
      <w:lvlText w:val="(%1)"/>
      <w:numFmt w:val="lowerRoman"/>
      <w:start w:val="7"/>
    </w:lvl>
  </w:abstractNum>
  <w:abstractNum w:abstractNumId="32">
    <w:nsid w:val="2463B9EA"/>
    <w:multiLevelType w:val="hybridMultilevel"/>
    <w:lvl w:ilvl="0">
      <w:lvlJc w:val="left"/>
      <w:lvlText w:val="(%1)"/>
      <w:numFmt w:val="lowerRoman"/>
      <w:start w:val="1"/>
    </w:lvl>
  </w:abstractNum>
  <w:abstractNum w:abstractNumId="33">
    <w:nsid w:val="5E884ADC"/>
    <w:multiLevelType w:val="hybridMultilevel"/>
    <w:lvl w:ilvl="0">
      <w:lvlJc w:val="left"/>
      <w:lvlText w:val="(%1)"/>
      <w:numFmt w:val="lowerRoman"/>
      <w:start w:val="1"/>
    </w:lvl>
  </w:abstractNum>
  <w:abstractNum w:abstractNumId="34">
    <w:nsid w:val="51EAD36B"/>
    <w:multiLevelType w:val="hybridMultilevel"/>
    <w:lvl w:ilvl="0">
      <w:lvlJc w:val="left"/>
      <w:lvlText w:val="(%1)"/>
      <w:numFmt w:val="lowerRoman"/>
      <w:start w:val="1"/>
    </w:lvl>
  </w:abstractNum>
  <w:abstractNum w:abstractNumId="35">
    <w:nsid w:val="2D517796"/>
    <w:multiLevelType w:val="hybridMultilevel"/>
    <w:lvl w:ilvl="0">
      <w:lvlJc w:val="left"/>
      <w:lvlText w:val="(%1)"/>
      <w:numFmt w:val="lowerRoman"/>
      <w:start w:val="9"/>
    </w:lvl>
    <w:lvl w:ilvl="1">
      <w:lvlJc w:val="left"/>
      <w:lvlText w:val="(%2)"/>
      <w:numFmt w:val="lowerLetter"/>
      <w:start w:val="2"/>
    </w:lvl>
  </w:abstractNum>
  <w:abstractNum w:abstractNumId="36">
    <w:nsid w:val="580BD78F"/>
    <w:multiLevelType w:val="hybridMultilevel"/>
    <w:lvl w:ilvl="0">
      <w:lvlJc w:val="left"/>
      <w:lvlText w:val="(%1)"/>
      <w:numFmt w:val="lowerRoman"/>
      <w:start w:val="1"/>
    </w:lvl>
  </w:abstractNum>
  <w:abstractNum w:abstractNumId="37">
    <w:nsid w:val="153EA438"/>
    <w:multiLevelType w:val="hybridMultilevel"/>
    <w:lvl w:ilvl="0">
      <w:lvlJc w:val="left"/>
      <w:lvlText w:val="(%1)"/>
      <w:numFmt w:val="lowerRoman"/>
      <w:start w:val="5"/>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2019-12-08T18:18:16Z</dcterms:created>
  <dcterms:modified xsi:type="dcterms:W3CDTF">2019-12-08T18:18:16Z</dcterms:modified>
</cp:coreProperties>
</file>