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Suryadevara Dhivya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48207</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7"/>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8"/>
                <w:szCs w:val="18"/>
                <w:color w:val="0000FF"/>
                <w:w w:val="87"/>
              </w:rPr>
              <w:t>33,025</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8"/>
                <w:szCs w:val="18"/>
                <w:color w:val="0000FF"/>
              </w:rPr>
              <w:t>58,642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640" w:type="dxa"/>
            <w:vAlign w:val="bottom"/>
            <w:gridSpan w:val="2"/>
          </w:tcPr>
          <w:p>
            <w:pPr>
              <w:jc w:val="center"/>
              <w:ind w:left="8"/>
              <w:spacing w:after="0"/>
              <w:rPr>
                <w:sz w:val="20"/>
                <w:szCs w:val="20"/>
                <w:color w:val="auto"/>
              </w:rPr>
            </w:pPr>
            <w:r>
              <w:rPr>
                <w:rFonts w:ascii="Arial" w:cs="Arial" w:eastAsia="Arial" w:hAnsi="Arial"/>
                <w:sz w:val="18"/>
                <w:szCs w:val="18"/>
                <w:color w:val="0000FF"/>
                <w:w w:val="87"/>
              </w:rPr>
              <w:t>14,424</w:t>
            </w: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right"/>
              <w:ind w:right="339"/>
              <w:spacing w:after="0"/>
              <w:rPr>
                <w:sz w:val="20"/>
                <w:szCs w:val="20"/>
                <w:color w:val="auto"/>
              </w:rPr>
            </w:pPr>
            <w:r>
              <w:rPr>
                <w:rFonts w:ascii="Arial" w:cs="Arial" w:eastAsia="Arial" w:hAnsi="Arial"/>
                <w:sz w:val="18"/>
                <w:szCs w:val="18"/>
                <w:color w:val="0000FF"/>
              </w:rPr>
              <w:t>44,218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8"/>
              <w:spacing w:after="0"/>
              <w:rPr>
                <w:sz w:val="20"/>
                <w:szCs w:val="20"/>
                <w:color w:val="auto"/>
              </w:rPr>
            </w:pPr>
            <w:r>
              <w:rPr>
                <w:rFonts w:ascii="Arial" w:cs="Arial" w:eastAsia="Arial" w:hAnsi="Arial"/>
                <w:sz w:val="18"/>
                <w:szCs w:val="18"/>
                <w:color w:val="0000FF"/>
                <w:w w:val="88"/>
              </w:rPr>
              <w:t>2,210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8"/>
                <w:szCs w:val="18"/>
                <w:color w:val="0000FF"/>
              </w:rPr>
              <w:t>46,428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8"/>
                <w:szCs w:val="18"/>
                <w:color w:val="0000FF"/>
                <w:w w:val="88"/>
              </w:rPr>
              <w:t>02/10/2019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108"/>
              <w:spacing w:after="0"/>
              <w:rPr>
                <w:sz w:val="20"/>
                <w:szCs w:val="20"/>
                <w:color w:val="auto"/>
              </w:rPr>
            </w:pPr>
            <w:r>
              <w:rPr>
                <w:rFonts w:ascii="Arial" w:cs="Arial" w:eastAsia="Arial" w:hAnsi="Arial"/>
                <w:sz w:val="18"/>
                <w:szCs w:val="18"/>
                <w:color w:val="0000FF"/>
                <w:w w:val="86"/>
              </w:rPr>
              <w:t>931</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38.7</w:t>
            </w:r>
          </w:p>
        </w:tc>
        <w:tc>
          <w:tcPr>
            <w:tcW w:w="1360" w:type="dxa"/>
            <w:vAlign w:val="bottom"/>
            <w:gridSpan w:val="3"/>
          </w:tcPr>
          <w:p>
            <w:pPr>
              <w:jc w:val="right"/>
              <w:ind w:right="339"/>
              <w:spacing w:after="0"/>
              <w:rPr>
                <w:sz w:val="20"/>
                <w:szCs w:val="20"/>
                <w:color w:val="auto"/>
              </w:rPr>
            </w:pPr>
            <w:r>
              <w:rPr>
                <w:rFonts w:ascii="Arial" w:cs="Arial" w:eastAsia="Arial" w:hAnsi="Arial"/>
                <w:sz w:val="18"/>
                <w:szCs w:val="18"/>
                <w:color w:val="0000FF"/>
              </w:rPr>
              <w:t>45,497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3"/>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2,210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02/10/2019</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2,210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10, 2016, the Reporting Person received a grant of Performance Stock Units ("PSUs") under the Company's 2014 Long-Term Incentive Plan (the "2014 LTIP"). Under the grant, the PSUs could be earned based on the achievement of certain financial targets. The PSUs vested on February 10, 2019, and were awarded in shares of Common Stock.</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to the Reporting Person on February 10, 2016, under the Company's 2014 LTIP.</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under the 2014 LTIP. One-third of the RSUs vested on February 10, 2017, February 10, 2018, and February 10, 2019, respectively.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02/12/2019</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8"/>
              </w:rPr>
              <w:t>Fact for Ms. Suryadevara</w:t>
            </w:r>
          </w:p>
        </w:tc>
        <w:tc>
          <w:tcPr>
            <w:tcW w:w="18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top w:val="single" w:sz="8" w:color="auto"/>
              <w:bottom w:val="single" w:sz="8" w:color="auto"/>
            </w:tcBorders>
            <w:vMerge w:val="continue"/>
          </w:tcPr>
          <w:p>
            <w:pPr>
              <w:spacing w:after="0"/>
              <w:rPr>
                <w:sz w:val="7"/>
                <w:szCs w:val="7"/>
                <w:color w:val="auto"/>
              </w:rPr>
            </w:pPr>
          </w:p>
        </w:tc>
        <w:tc>
          <w:tcPr>
            <w:tcW w:w="18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158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2019-12-24T07:24:39Z</dcterms:created>
  <dcterms:modified xsi:type="dcterms:W3CDTF">2019-12-24T07:24:39Z</dcterms:modified>
</cp:coreProperties>
</file>