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621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6216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12/31/2010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3"/>
              </w:rPr>
              <w:t>3,594</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ind w:left="160"/>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3,594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1,761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1,833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12/31/2010</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4"/>
              <w:spacing w:after="0"/>
              <w:rPr>
                <w:sz w:val="20"/>
                <w:szCs w:val="20"/>
                <w:color w:val="auto"/>
              </w:rPr>
            </w:pPr>
            <w:r>
              <w:rPr>
                <w:rFonts w:ascii="Arial" w:cs="Arial" w:eastAsia="Arial" w:hAnsi="Arial"/>
                <w:sz w:val="17"/>
                <w:szCs w:val="17"/>
                <w:color w:val="0000FF"/>
                <w:w w:val="89"/>
              </w:rPr>
              <w:t>1,833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36.77</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3"/>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3,594</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3,594</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7,182</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7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9,065</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9"/>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1" w:lineRule="exact"/>
              <w:rPr>
                <w:sz w:val="20"/>
                <w:szCs w:val="20"/>
                <w:color w:val="auto"/>
              </w:rPr>
            </w:pPr>
            <w:r>
              <w:rPr>
                <w:rFonts w:ascii="Arial" w:cs="Arial" w:eastAsia="Arial" w:hAnsi="Arial"/>
                <w:sz w:val="13"/>
                <w:szCs w:val="13"/>
                <w:color w:val="0000FF"/>
              </w:rPr>
              <w:t>12/31/2010</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9,065</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rPr>
              <w:t>9,065</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2009 pursuant to the Company's Salary Stock Plan (the "GMSSP") and vested upon grant. The portion of this award currently payable was settled on December 31, 2010 in cash, less a portion withheld for taxes.</w:t>
      </w:r>
    </w:p>
    <w:p>
      <w:pPr>
        <w:spacing w:after="0" w:line="21" w:lineRule="exact"/>
        <w:rPr>
          <w:rFonts w:ascii="Arial" w:cs="Arial" w:eastAsia="Arial" w:hAnsi="Arial"/>
          <w:sz w:val="13"/>
          <w:szCs w:val="13"/>
          <w:color w:val="008000"/>
        </w:rPr>
      </w:pPr>
    </w:p>
    <w:p>
      <w:pPr>
        <w:ind w:left="40" w:right="160" w:firstLine="5"/>
        <w:spacing w:after="0" w:line="30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December 31, 2009 the employee received a grant of 3,594 SSUs, of which 1,198 SSUs were scheduled to be payable on December 31, 2010.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10,776 SSUs granted on December 31, 2009, of which 3,594 SSUs became payable on December 31, 2010.</w:t>
      </w:r>
    </w:p>
    <w:p>
      <w:pPr>
        <w:spacing w:after="0" w:line="1" w:lineRule="exact"/>
        <w:rPr>
          <w:rFonts w:ascii="Arial" w:cs="Arial" w:eastAsia="Arial" w:hAnsi="Arial"/>
          <w:sz w:val="11"/>
          <w:szCs w:val="11"/>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$36.77.</w:t>
      </w:r>
    </w:p>
    <w:p>
      <w:pPr>
        <w:spacing w:after="0" w:line="30" w:lineRule="exact"/>
        <w:rPr>
          <w:rFonts w:ascii="Arial" w:cs="Arial" w:eastAsia="Arial" w:hAnsi="Arial"/>
          <w:sz w:val="13"/>
          <w:szCs w:val="13"/>
          <w:color w:val="008000"/>
        </w:rPr>
      </w:pPr>
    </w:p>
    <w:p>
      <w:pPr>
        <w:ind w:left="40" w:right="260" w:firstLine="5"/>
        <w:spacing w:after="0" w:line="23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December 31, 2010 pursuant to the Company's Salary Stock Plan (the "GMSSP"), and will be settled in three equal, annual installments beginning on December 31,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4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01/04/2011</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Mr. Reilly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2019-12-17T00:18:23Z</dcterms:created>
  <dcterms:modified xsi:type="dcterms:W3CDTF">2019-12-17T00:18:23Z</dcterms:modified>
</cp:coreProperties>
</file>