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March 1,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March 1, 2013, General Motors Company issued a news release announcing February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March 1,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620"/>
          </w:cols>
          <w:pgMar w:left="240" w:top="796" w:right="10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ANNE T. LARIN</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March 4, 2013</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Anne T. Larin</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25400</wp:posOffset>
            </wp:positionV>
            <wp:extent cx="252158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 Release: Friday, March 1, 2013, 10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Increase 7 Percent in February</w:t>
      </w:r>
    </w:p>
    <w:p>
      <w:pPr>
        <w:spacing w:after="0" w:line="233"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announced today that it sold 224,314 vehicles in the United States in February, up 7</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compared with a year ago. Retail sales and fleet sales were both up 7 percent. The fleet mix was 25 percent of total sales, equal to a year ago.</w:t>
      </w:r>
    </w:p>
    <w:p>
      <w:pPr>
        <w:spacing w:after="0" w:line="196"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“The housing sector has now joined auto sales in propelling the U.S. economy forward,” said Kurt McNeil, vice president of U.S. sales operations. “More importantly, the recovery in new home construction is reinforcing the underlying improvement in auto buying conditions, especially for pickups.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“Light vehicle sales have now been running at a mid-15 million unit annual rate since November,” he added. “This sets us up</w:t>
      </w:r>
    </w:p>
    <w:p>
      <w:pPr>
        <w:ind w:right="20"/>
        <w:spacing w:after="0" w:line="247" w:lineRule="auto"/>
        <w:rPr>
          <w:sz w:val="20"/>
          <w:szCs w:val="20"/>
          <w:color w:val="auto"/>
        </w:rPr>
      </w:pPr>
      <w:r>
        <w:rPr>
          <w:rFonts w:ascii="Arial" w:cs="Arial" w:eastAsia="Arial" w:hAnsi="Arial"/>
          <w:sz w:val="20"/>
          <w:szCs w:val="20"/>
          <w:color w:val="auto"/>
        </w:rPr>
        <w:t xml:space="preserve">well for the launches of key new products this year, including an all-new generation of Chevrolet and GMC full-size pickups and an </w:t>
      </w:r>
      <w:r>
        <w:rPr>
          <w:rFonts w:ascii="Arial" w:cs="Arial" w:eastAsia="Arial" w:hAnsi="Arial"/>
          <w:sz w:val="20"/>
          <w:szCs w:val="20"/>
          <w:u w:val="single" w:color="auto"/>
          <w:color w:val="0000FF"/>
        </w:rPr>
        <w:t>all-new Chevrolet Impala</w:t>
      </w:r>
      <w:r>
        <w:rPr>
          <w:rFonts w:ascii="Arial" w:cs="Arial" w:eastAsia="Arial" w:hAnsi="Arial"/>
          <w:sz w:val="20"/>
          <w:szCs w:val="20"/>
          <w:color w:val="0000FF"/>
        </w:rPr>
        <w:t xml:space="preserve"> </w:t>
      </w:r>
      <w:r>
        <w:rPr>
          <w:rFonts w:ascii="Arial" w:cs="Arial" w:eastAsia="Arial" w:hAnsi="Arial"/>
          <w:sz w:val="20"/>
          <w:szCs w:val="20"/>
          <w:color w:val="000000"/>
        </w:rPr>
        <w:t>and Cadillac CTS.”</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The Cadillac CTS, along with the redesigned Buick LaCrosse and Regal, will be unveiled at the New York International Auto Show later this month.</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24" w:lineRule="exact"/>
        <w:rPr>
          <w:sz w:val="20"/>
          <w:szCs w:val="20"/>
          <w:color w:val="auto"/>
        </w:rPr>
      </w:pPr>
    </w:p>
    <w:p>
      <w:pPr>
        <w:ind w:left="660" w:right="2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All four GM brands posted higher year-over-year sales: Cadillac was up 20 percent; Buick was up 15 percent; GMC was up 10 percent, and Chevrolet was up 5 percent.</w:t>
      </w:r>
    </w:p>
    <w:p>
      <w:pPr>
        <w:spacing w:after="0" w:line="1" w:lineRule="exact"/>
        <w:rPr>
          <w:rFonts w:ascii="Arial" w:cs="Arial" w:eastAsia="Arial" w:hAnsi="Arial"/>
          <w:sz w:val="18"/>
          <w:szCs w:val="18"/>
          <w:color w:val="auto"/>
        </w:rPr>
      </w:pPr>
    </w:p>
    <w:p>
      <w:pPr>
        <w:ind w:left="660" w:right="1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Crossover sales increased 17 percent and compact crossovers had their best month ever; truck sales were up 14 percent and car sales were down 4 percent.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GM's full-size pickups were up 28 percent to 58,039 units.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 xml:space="preserve">The </w:t>
      </w:r>
      <w:r>
        <w:rPr>
          <w:rFonts w:ascii="Arial" w:cs="Arial" w:eastAsia="Arial" w:hAnsi="Arial"/>
          <w:sz w:val="20"/>
          <w:szCs w:val="20"/>
          <w:u w:val="single" w:color="auto"/>
          <w:color w:val="0000FF"/>
        </w:rPr>
        <w:t>Chevrolet Equinox</w:t>
      </w:r>
      <w:r>
        <w:rPr>
          <w:rFonts w:ascii="Arial" w:cs="Arial" w:eastAsia="Arial" w:hAnsi="Arial"/>
          <w:sz w:val="20"/>
          <w:szCs w:val="20"/>
          <w:color w:val="auto"/>
        </w:rPr>
        <w:t xml:space="preserve">, </w:t>
      </w:r>
      <w:r>
        <w:rPr>
          <w:rFonts w:ascii="Arial" w:cs="Arial" w:eastAsia="Arial" w:hAnsi="Arial"/>
          <w:sz w:val="20"/>
          <w:szCs w:val="20"/>
          <w:u w:val="single" w:color="auto"/>
          <w:color w:val="0000FF"/>
        </w:rPr>
        <w:t>GMC Terrain</w:t>
      </w:r>
      <w:r>
        <w:rPr>
          <w:rFonts w:ascii="Arial" w:cs="Arial" w:eastAsia="Arial" w:hAnsi="Arial"/>
          <w:sz w:val="20"/>
          <w:szCs w:val="20"/>
          <w:color w:val="auto"/>
        </w:rPr>
        <w:t xml:space="preserve"> and the redesigned </w:t>
      </w:r>
      <w:r>
        <w:rPr>
          <w:rFonts w:ascii="Arial" w:cs="Arial" w:eastAsia="Arial" w:hAnsi="Arial"/>
          <w:sz w:val="20"/>
          <w:szCs w:val="20"/>
          <w:u w:val="single" w:color="auto"/>
          <w:color w:val="0000FF"/>
        </w:rPr>
        <w:t>Buick Enclave</w:t>
      </w:r>
      <w:r>
        <w:rPr>
          <w:rFonts w:ascii="Arial" w:cs="Arial" w:eastAsia="Arial" w:hAnsi="Arial"/>
          <w:sz w:val="20"/>
          <w:szCs w:val="20"/>
          <w:color w:val="auto"/>
        </w:rPr>
        <w:t xml:space="preserve"> had their best-ever February sales.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 xml:space="preserve">The </w:t>
      </w:r>
      <w:r>
        <w:rPr>
          <w:rFonts w:ascii="Arial" w:cs="Arial" w:eastAsia="Arial" w:hAnsi="Arial"/>
          <w:sz w:val="20"/>
          <w:szCs w:val="20"/>
          <w:u w:val="single" w:color="auto"/>
          <w:color w:val="0000FF"/>
        </w:rPr>
        <w:t>Chevrolet Spark</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Cadillac ATS</w:t>
      </w:r>
      <w:r>
        <w:rPr>
          <w:rFonts w:ascii="Arial" w:cs="Arial" w:eastAsia="Arial" w:hAnsi="Arial"/>
          <w:sz w:val="20"/>
          <w:szCs w:val="20"/>
          <w:color w:val="auto"/>
        </w:rPr>
        <w:t xml:space="preserve"> had their best sales months yet.</w:t>
      </w:r>
    </w:p>
    <w:p>
      <w:pPr>
        <w:spacing w:after="0" w:line="334" w:lineRule="exact"/>
        <w:rPr>
          <w:sz w:val="20"/>
          <w:szCs w:val="20"/>
          <w:color w:val="auto"/>
        </w:rPr>
      </w:pPr>
    </w:p>
    <w:tbl>
      <w:tblPr>
        <w:tblLayout w:type="fixed"/>
        <w:tblInd w:w="390" w:type="dxa"/>
        <w:tblCellMar>
          <w:top w:w="0" w:type="dxa"/>
          <w:left w:w="0" w:type="dxa"/>
          <w:bottom w:w="0" w:type="dxa"/>
          <w:right w:w="0" w:type="dxa"/>
        </w:tblCellMar>
      </w:tblPr>
      <w:tr>
        <w:trPr>
          <w:trHeight w:val="238"/>
        </w:trPr>
        <w:tc>
          <w:tcPr>
            <w:tcW w:w="1520" w:type="dxa"/>
            <w:vAlign w:val="bottom"/>
            <w:tcBorders>
              <w:top w:val="single" w:sz="8" w:color="auto"/>
              <w:left w:val="single" w:sz="8" w:color="auto"/>
              <w:right w:val="single" w:sz="8" w:color="auto"/>
            </w:tcBorders>
          </w:tcPr>
          <w:p>
            <w:pPr>
              <w:spacing w:after="0"/>
              <w:rPr>
                <w:sz w:val="20"/>
                <w:szCs w:val="20"/>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Feb. Total</w:t>
            </w:r>
          </w:p>
        </w:tc>
        <w:tc>
          <w:tcPr>
            <w:tcW w:w="11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w w:val="94"/>
              </w:rPr>
              <w:t>Total Change</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Feb. Retail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Retail</w:t>
            </w:r>
          </w:p>
        </w:tc>
        <w:tc>
          <w:tcPr>
            <w:tcW w:w="1060" w:type="dxa"/>
            <w:vAlign w:val="bottom"/>
            <w:tcBorders>
              <w:top w:val="single" w:sz="8" w:color="auto"/>
              <w:right w:val="single" w:sz="8" w:color="auto"/>
            </w:tcBorders>
          </w:tcPr>
          <w:p>
            <w:pPr>
              <w:spacing w:after="0"/>
              <w:rPr>
                <w:sz w:val="20"/>
                <w:szCs w:val="20"/>
                <w:color w:val="auto"/>
              </w:rPr>
            </w:pPr>
          </w:p>
        </w:tc>
        <w:tc>
          <w:tcPr>
            <w:tcW w:w="9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CYTD vs.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CYTD</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CYTD Retail</w:t>
            </w:r>
          </w:p>
        </w:tc>
        <w:tc>
          <w:tcPr>
            <w:tcW w:w="0" w:type="dxa"/>
            <w:vAlign w:val="bottom"/>
          </w:tcPr>
          <w:p>
            <w:pPr>
              <w:spacing w:after="0"/>
              <w:rPr>
                <w:sz w:val="1"/>
                <w:szCs w:val="1"/>
                <w:color w:val="auto"/>
              </w:rPr>
            </w:pPr>
          </w:p>
        </w:tc>
      </w:tr>
      <w:tr>
        <w:trPr>
          <w:trHeight w:val="180"/>
        </w:trPr>
        <w:tc>
          <w:tcPr>
            <w:tcW w:w="1520" w:type="dxa"/>
            <w:vAlign w:val="bottom"/>
            <w:tcBorders>
              <w:left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0"/>
              </w:rPr>
              <w:t>Highlights</w:t>
            </w:r>
          </w:p>
        </w:tc>
        <w:tc>
          <w:tcPr>
            <w:tcW w:w="118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7"/>
              </w:rPr>
              <w:t>Change vs.</w:t>
            </w:r>
          </w:p>
        </w:tc>
        <w:tc>
          <w:tcPr>
            <w:tcW w:w="106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w w:val="96"/>
              </w:rPr>
              <w:t>CYTD Sales</w:t>
            </w:r>
          </w:p>
        </w:tc>
        <w:tc>
          <w:tcPr>
            <w:tcW w:w="960" w:type="dxa"/>
            <w:vAlign w:val="bottom"/>
            <w:tcBorders>
              <w:right w:val="single" w:sz="8" w:color="auto"/>
            </w:tcBorders>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Sales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4"/>
              </w:rPr>
              <w:t>vs. Feb. 2012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Feb. 2012</w:t>
            </w:r>
          </w:p>
        </w:tc>
        <w:tc>
          <w:tcPr>
            <w:tcW w:w="10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Retail Sales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Sales vs. 2012</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158,541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109,188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295,845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201,582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10.1%</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35,778</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31,257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66,594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59,721</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21.4%</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16,150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14,951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29,613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27,369</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13,845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12,571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26,961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24,912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27.4%</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 GM</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224,314</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167,967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419,013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313,584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14.2%</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1" w:right="239" w:bottom="1440" w:gutter="0" w:footer="0" w:header="0"/>
        </w:sectPr>
      </w:pPr>
    </w:p>
    <w:bookmarkStart w:id="5" w:name="page6"/>
    <w:bookmarkEnd w:id="5"/>
    <w:p>
      <w:pPr>
        <w:spacing w:after="0" w:line="1" w:lineRule="exact"/>
        <w:rPr>
          <w:sz w:val="20"/>
          <w:szCs w:val="20"/>
          <w:color w:val="auto"/>
        </w:rPr>
      </w:pPr>
    </w:p>
    <w:tbl>
      <w:tblPr>
        <w:tblLayout w:type="fixed"/>
        <w:tblInd w:w="1850" w:type="dxa"/>
        <w:tblCellMar>
          <w:top w:w="0" w:type="dxa"/>
          <w:left w:w="0" w:type="dxa"/>
          <w:bottom w:w="0" w:type="dxa"/>
          <w:right w:w="0" w:type="dxa"/>
        </w:tblCellMar>
      </w:tblPr>
      <w:tr>
        <w:trPr>
          <w:trHeight w:val="238"/>
        </w:trPr>
        <w:tc>
          <w:tcPr>
            <w:tcW w:w="900" w:type="dxa"/>
            <w:vAlign w:val="bottom"/>
            <w:tcBorders>
              <w:top w:val="single" w:sz="8" w:color="auto"/>
              <w:left w:val="single" w:sz="8" w:color="auto"/>
            </w:tcBorders>
          </w:tcPr>
          <w:p>
            <w:pPr>
              <w:spacing w:after="0"/>
              <w:rPr>
                <w:sz w:val="20"/>
                <w:szCs w:val="20"/>
                <w:color w:val="auto"/>
              </w:rPr>
            </w:pPr>
          </w:p>
        </w:tc>
        <w:tc>
          <w:tcPr>
            <w:tcW w:w="36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Days Supply</w:t>
            </w: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8"/>
              </w:rPr>
              <w:t>Days Supply (selling</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3"/>
              </w:rPr>
              <w:t>Inventory</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Units @</w:t>
            </w:r>
          </w:p>
        </w:tc>
        <w:tc>
          <w:tcPr>
            <w:tcW w:w="240" w:type="dxa"/>
            <w:vAlign w:val="bottom"/>
          </w:tcPr>
          <w:p>
            <w:pPr>
              <w:spacing w:after="0"/>
              <w:rPr>
                <w:sz w:val="9"/>
                <w:szCs w:val="9"/>
                <w:color w:val="auto"/>
              </w:rPr>
            </w:pPr>
          </w:p>
        </w:tc>
        <w:tc>
          <w:tcPr>
            <w:tcW w:w="138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b w:val="1"/>
                <w:bCs w:val="1"/>
                <w:color w:val="auto"/>
                <w:w w:val="86"/>
              </w:rPr>
              <w:t>(selling day</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b w:val="1"/>
                <w:bCs w:val="1"/>
                <w:color w:val="auto"/>
                <w:w w:val="97"/>
              </w:rPr>
              <w:t>Units @</w:t>
            </w:r>
          </w:p>
        </w:tc>
        <w:tc>
          <w:tcPr>
            <w:tcW w:w="17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gridSpan w:val="2"/>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9"/>
              </w:rPr>
              <w:t>day adjusted)</w:t>
            </w:r>
          </w:p>
        </w:tc>
        <w:tc>
          <w:tcPr>
            <w:tcW w:w="0" w:type="dxa"/>
            <w:vAlign w:val="bottom"/>
          </w:tcPr>
          <w:p>
            <w:pPr>
              <w:spacing w:after="0"/>
              <w:rPr>
                <w:sz w:val="1"/>
                <w:szCs w:val="1"/>
                <w:color w:val="auto"/>
              </w:rPr>
            </w:pPr>
          </w:p>
        </w:tc>
      </w:tr>
      <w:tr>
        <w:trPr>
          <w:trHeight w:val="126"/>
        </w:trPr>
        <w:tc>
          <w:tcPr>
            <w:tcW w:w="900" w:type="dxa"/>
            <w:vAlign w:val="bottom"/>
            <w:tcBorders>
              <w:lef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Feb. 28, 2013</w:t>
            </w:r>
          </w:p>
        </w:tc>
        <w:tc>
          <w:tcPr>
            <w:tcW w:w="240" w:type="dxa"/>
            <w:vAlign w:val="bottom"/>
          </w:tcPr>
          <w:p>
            <w:pPr>
              <w:spacing w:after="0"/>
              <w:rPr>
                <w:sz w:val="10"/>
                <w:szCs w:val="10"/>
                <w:color w:val="auto"/>
              </w:rPr>
            </w:pPr>
          </w:p>
        </w:tc>
        <w:tc>
          <w:tcPr>
            <w:tcW w:w="138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b w:val="1"/>
                <w:bCs w:val="1"/>
                <w:color w:val="auto"/>
                <w:w w:val="92"/>
              </w:rPr>
              <w:t>adjusted)</w:t>
            </w:r>
          </w:p>
        </w:tc>
        <w:tc>
          <w:tcPr>
            <w:tcW w:w="200" w:type="dxa"/>
            <w:vAlign w:val="bottom"/>
          </w:tcPr>
          <w:p>
            <w:pPr>
              <w:spacing w:after="0"/>
              <w:rPr>
                <w:sz w:val="10"/>
                <w:szCs w:val="10"/>
                <w:color w:val="auto"/>
              </w:rPr>
            </w:pPr>
          </w:p>
        </w:tc>
        <w:tc>
          <w:tcPr>
            <w:tcW w:w="15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b w:val="1"/>
                <w:bCs w:val="1"/>
                <w:color w:val="auto"/>
                <w:w w:val="98"/>
              </w:rPr>
              <w:t>Jan. 31, 2013</w:t>
            </w:r>
          </w:p>
        </w:tc>
        <w:tc>
          <w:tcPr>
            <w:tcW w:w="17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Borders>
              <w:left w:val="single" w:sz="8" w:color="auto"/>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80" w:type="dxa"/>
            <w:vAlign w:val="bottom"/>
            <w:tcBorders>
              <w:bottom w:val="single" w:sz="8" w:color="auto"/>
              <w:right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00" w:type="dxa"/>
            <w:vAlign w:val="bottom"/>
            <w:tcBorders>
              <w:bottom w:val="single" w:sz="8" w:color="auto"/>
              <w:right w:val="single" w:sz="8" w:color="auto"/>
            </w:tcBorders>
            <w:gridSpan w:val="2"/>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All Vehicles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742,887</w:t>
            </w:r>
          </w:p>
        </w:tc>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79</w:t>
            </w:r>
          </w:p>
        </w:tc>
        <w:tc>
          <w:tcPr>
            <w:tcW w:w="200" w:type="dxa"/>
            <w:vAlign w:val="bottom"/>
          </w:tcPr>
          <w:p>
            <w:pPr>
              <w:spacing w:after="0"/>
              <w:rPr>
                <w:sz w:val="21"/>
                <w:szCs w:val="21"/>
                <w:color w:val="auto"/>
              </w:rPr>
            </w:pPr>
          </w:p>
        </w:tc>
        <w:tc>
          <w:tcPr>
            <w:tcW w:w="150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737,885</w:t>
            </w:r>
          </w:p>
        </w:tc>
        <w:tc>
          <w:tcPr>
            <w:tcW w:w="17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Full-size</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234,695</w:t>
            </w:r>
          </w:p>
        </w:tc>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97</w:t>
            </w:r>
          </w:p>
        </w:tc>
        <w:tc>
          <w:tcPr>
            <w:tcW w:w="200" w:type="dxa"/>
            <w:vAlign w:val="bottom"/>
          </w:tcPr>
          <w:p>
            <w:pPr>
              <w:spacing w:after="0"/>
              <w:rPr>
                <w:sz w:val="19"/>
                <w:szCs w:val="19"/>
                <w:color w:val="auto"/>
              </w:rPr>
            </w:pPr>
          </w:p>
        </w:tc>
        <w:tc>
          <w:tcPr>
            <w:tcW w:w="15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9"/>
              </w:rPr>
              <w:t>234,342</w:t>
            </w:r>
          </w:p>
        </w:tc>
        <w:tc>
          <w:tcPr>
            <w:tcW w:w="170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Pickups</w:t>
            </w:r>
          </w:p>
        </w:tc>
        <w:tc>
          <w:tcPr>
            <w:tcW w:w="150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17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gridSpan w:val="2"/>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00" w:type="dxa"/>
            <w:vAlign w:val="bottom"/>
            <w:tcBorders>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Industry Sales</w:t>
            </w:r>
          </w:p>
        </w:tc>
        <w:tc>
          <w:tcPr>
            <w:tcW w:w="24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Feb. SAAR (est.)</w:t>
            </w:r>
          </w:p>
        </w:tc>
        <w:tc>
          <w:tcPr>
            <w:tcW w:w="100" w:type="dxa"/>
            <w:vAlign w:val="bottom"/>
            <w:tcBorders>
              <w:top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Calendar Year (est.)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2"/>
              </w:rPr>
              <w:t>Light Vehicles</w:t>
            </w:r>
          </w:p>
        </w:tc>
        <w:tc>
          <w:tcPr>
            <w:tcW w:w="240" w:type="dxa"/>
            <w:vAlign w:val="bottom"/>
            <w:tcBorders>
              <w:right w:val="single" w:sz="8" w:color="auto"/>
            </w:tcBorders>
          </w:tcPr>
          <w:p>
            <w:pPr>
              <w:spacing w:after="0"/>
              <w:rPr>
                <w:sz w:val="20"/>
                <w:szCs w:val="20"/>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w w:val="97"/>
              </w:rPr>
              <w:t>15.5 million range</w:t>
            </w:r>
          </w:p>
        </w:tc>
        <w:tc>
          <w:tcPr>
            <w:tcW w:w="1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15.0 - 15.5 million range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714"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8"/>
        </w:trPr>
        <w:tc>
          <w:tcPr>
            <w:tcW w:w="248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1"/>
              </w:rPr>
              <w:t>(Calendar Year-to-Date)</w:t>
            </w:r>
          </w:p>
        </w:tc>
        <w:tc>
          <w:tcPr>
            <w:tcW w:w="920" w:type="dxa"/>
            <w:vAlign w:val="bottom"/>
            <w:tcBorders>
              <w:top w:val="single" w:sz="8" w:color="auto"/>
              <w:right w:val="single" w:sz="8" w:color="auto"/>
            </w:tcBorders>
          </w:tcPr>
          <w:p>
            <w:pPr>
              <w:spacing w:after="0"/>
              <w:rPr>
                <w:sz w:val="18"/>
                <w:szCs w:val="18"/>
                <w:color w:val="auto"/>
              </w:rPr>
            </w:pPr>
          </w:p>
        </w:tc>
      </w:tr>
      <w:tr>
        <w:trPr>
          <w:trHeight w:val="222"/>
        </w:trPr>
        <w:tc>
          <w:tcPr>
            <w:tcW w:w="2480" w:type="dxa"/>
            <w:vAlign w:val="bottom"/>
            <w:tcBorders>
              <w:left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February</w:t>
            </w:r>
          </w:p>
        </w:tc>
        <w:tc>
          <w:tcPr>
            <w:tcW w:w="10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January - February</w:t>
            </w:r>
          </w:p>
        </w:tc>
        <w:tc>
          <w:tcPr>
            <w:tcW w:w="920" w:type="dxa"/>
            <w:vAlign w:val="bottom"/>
            <w:tcBorders>
              <w:bottom w:val="single" w:sz="8" w:color="auto"/>
              <w:right w:val="single" w:sz="8" w:color="auto"/>
            </w:tcBorders>
          </w:tcPr>
          <w:p>
            <w:pPr>
              <w:spacing w:after="0"/>
              <w:rPr>
                <w:sz w:val="19"/>
                <w:szCs w:val="19"/>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5,241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4,167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25.8</w:t>
            </w:r>
          </w:p>
        </w:tc>
        <w:tc>
          <w:tcPr>
            <w:tcW w:w="1000" w:type="dxa"/>
            <w:vAlign w:val="bottom"/>
          </w:tcPr>
          <w:p>
            <w:pPr>
              <w:jc w:val="right"/>
              <w:spacing w:after="0"/>
              <w:rPr>
                <w:sz w:val="20"/>
                <w:szCs w:val="20"/>
                <w:color w:val="auto"/>
              </w:rPr>
            </w:pPr>
            <w:r>
              <w:rPr>
                <w:rFonts w:ascii="Arial" w:cs="Arial" w:eastAsia="Arial" w:hAnsi="Arial"/>
                <w:sz w:val="14"/>
                <w:szCs w:val="14"/>
                <w:color w:val="auto"/>
              </w:rPr>
              <w:t>10,136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7,291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39.0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Encore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1,597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1,950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3,667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5,228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(29.9)</w:t>
            </w:r>
          </w:p>
        </w:tc>
        <w:tc>
          <w:tcPr>
            <w:tcW w:w="1000" w:type="dxa"/>
            <w:vAlign w:val="bottom"/>
          </w:tcPr>
          <w:p>
            <w:pPr>
              <w:jc w:val="right"/>
              <w:spacing w:after="0"/>
              <w:rPr>
                <w:sz w:val="20"/>
                <w:szCs w:val="20"/>
                <w:color w:val="auto"/>
              </w:rPr>
            </w:pPr>
            <w:r>
              <w:rPr>
                <w:rFonts w:ascii="Arial" w:cs="Arial" w:eastAsia="Arial" w:hAnsi="Arial"/>
                <w:sz w:val="14"/>
                <w:szCs w:val="14"/>
                <w:color w:val="auto"/>
              </w:rPr>
              <w:t>7,215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9,241</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304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725</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1,474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2,636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(44.1)</w:t>
            </w:r>
          </w:p>
        </w:tc>
        <w:tc>
          <w:tcPr>
            <w:tcW w:w="1000" w:type="dxa"/>
            <w:vAlign w:val="bottom"/>
          </w:tcPr>
          <w:p>
            <w:pPr>
              <w:jc w:val="right"/>
              <w:spacing w:after="0"/>
              <w:rPr>
                <w:sz w:val="20"/>
                <w:szCs w:val="20"/>
                <w:color w:val="auto"/>
              </w:rPr>
            </w:pPr>
            <w:r>
              <w:rPr>
                <w:rFonts w:ascii="Arial" w:cs="Arial" w:eastAsia="Arial" w:hAnsi="Arial"/>
                <w:sz w:val="14"/>
                <w:szCs w:val="14"/>
                <w:color w:val="auto"/>
              </w:rPr>
              <w:t>2,479</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4,491</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(44.8)</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4,171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1,688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147.1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7,831</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2,483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215.4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16,150</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14,023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29,613</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24,231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22.2</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3,382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6,163</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2,566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4,570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(43.9)</w:t>
            </w:r>
          </w:p>
        </w:tc>
        <w:tc>
          <w:tcPr>
            <w:tcW w:w="1000" w:type="dxa"/>
            <w:vAlign w:val="bottom"/>
          </w:tcPr>
          <w:p>
            <w:pPr>
              <w:jc w:val="right"/>
              <w:spacing w:after="0"/>
              <w:rPr>
                <w:sz w:val="20"/>
                <w:szCs w:val="20"/>
                <w:color w:val="auto"/>
              </w:rPr>
            </w:pPr>
            <w:r>
              <w:rPr>
                <w:rFonts w:ascii="Arial" w:cs="Arial" w:eastAsia="Arial" w:hAnsi="Arial"/>
                <w:sz w:val="14"/>
                <w:szCs w:val="14"/>
                <w:color w:val="auto"/>
              </w:rPr>
              <w:t>5,071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7,589</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157</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846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1,011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(16.3)</w:t>
            </w:r>
          </w:p>
        </w:tc>
        <w:tc>
          <w:tcPr>
            <w:tcW w:w="1000" w:type="dxa"/>
            <w:vAlign w:val="bottom"/>
          </w:tcPr>
          <w:p>
            <w:pPr>
              <w:jc w:val="right"/>
              <w:spacing w:after="0"/>
              <w:rPr>
                <w:sz w:val="20"/>
                <w:szCs w:val="20"/>
                <w:color w:val="auto"/>
              </w:rPr>
            </w:pPr>
            <w:r>
              <w:rPr>
                <w:rFonts w:ascii="Arial" w:cs="Arial" w:eastAsia="Arial" w:hAnsi="Arial"/>
                <w:sz w:val="14"/>
                <w:szCs w:val="14"/>
                <w:color w:val="auto"/>
              </w:rPr>
              <w:t>1,703</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1,996</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582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690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(15.7)</w:t>
            </w:r>
          </w:p>
        </w:tc>
        <w:tc>
          <w:tcPr>
            <w:tcW w:w="1000" w:type="dxa"/>
            <w:vAlign w:val="bottom"/>
          </w:tcPr>
          <w:p>
            <w:pPr>
              <w:jc w:val="right"/>
              <w:spacing w:after="0"/>
              <w:rPr>
                <w:sz w:val="20"/>
                <w:szCs w:val="20"/>
                <w:color w:val="auto"/>
              </w:rPr>
            </w:pPr>
            <w:r>
              <w:rPr>
                <w:rFonts w:ascii="Arial" w:cs="Arial" w:eastAsia="Arial" w:hAnsi="Arial"/>
                <w:sz w:val="14"/>
                <w:szCs w:val="14"/>
                <w:color w:val="auto"/>
              </w:rPr>
              <w:t>1,100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1,221</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191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27.3</w:t>
            </w:r>
          </w:p>
        </w:tc>
        <w:tc>
          <w:tcPr>
            <w:tcW w:w="1000" w:type="dxa"/>
            <w:vAlign w:val="bottom"/>
          </w:tcPr>
          <w:p>
            <w:pPr>
              <w:jc w:val="right"/>
              <w:spacing w:after="0"/>
              <w:rPr>
                <w:sz w:val="20"/>
                <w:szCs w:val="20"/>
                <w:color w:val="auto"/>
              </w:rPr>
            </w:pPr>
            <w:r>
              <w:rPr>
                <w:rFonts w:ascii="Arial" w:cs="Arial" w:eastAsia="Arial" w:hAnsi="Arial"/>
                <w:sz w:val="14"/>
                <w:szCs w:val="14"/>
                <w:color w:val="auto"/>
              </w:rPr>
              <w:t>363</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258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40.7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4,108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4,983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(17.6)</w:t>
            </w:r>
          </w:p>
        </w:tc>
        <w:tc>
          <w:tcPr>
            <w:tcW w:w="1000" w:type="dxa"/>
            <w:vAlign w:val="bottom"/>
          </w:tcPr>
          <w:p>
            <w:pPr>
              <w:jc w:val="right"/>
              <w:spacing w:after="0"/>
              <w:rPr>
                <w:sz w:val="20"/>
                <w:szCs w:val="20"/>
                <w:color w:val="auto"/>
              </w:rPr>
            </w:pPr>
            <w:r>
              <w:rPr>
                <w:rFonts w:ascii="Arial" w:cs="Arial" w:eastAsia="Arial" w:hAnsi="Arial"/>
                <w:sz w:val="14"/>
                <w:szCs w:val="14"/>
                <w:color w:val="auto"/>
              </w:rPr>
              <w:t>8,488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9,149</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(97.0)</w:t>
            </w: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59</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(98.3)</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XTS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2,169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4,069</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13,845</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11,505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26,961</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20,429</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32.0</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2,263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1,794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26.1</w:t>
            </w:r>
          </w:p>
        </w:tc>
        <w:tc>
          <w:tcPr>
            <w:tcW w:w="1000" w:type="dxa"/>
            <w:vAlign w:val="bottom"/>
          </w:tcPr>
          <w:p>
            <w:pPr>
              <w:jc w:val="right"/>
              <w:spacing w:after="0"/>
              <w:rPr>
                <w:sz w:val="20"/>
                <w:szCs w:val="20"/>
                <w:color w:val="auto"/>
              </w:rPr>
            </w:pPr>
            <w:r>
              <w:rPr>
                <w:rFonts w:ascii="Arial" w:cs="Arial" w:eastAsia="Arial" w:hAnsi="Arial"/>
                <w:sz w:val="14"/>
                <w:szCs w:val="14"/>
                <w:color w:val="auto"/>
              </w:rPr>
              <w:t>4,202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3,411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6,171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6,923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c>
          <w:tcPr>
            <w:tcW w:w="1000" w:type="dxa"/>
            <w:vAlign w:val="bottom"/>
          </w:tcPr>
          <w:p>
            <w:pPr>
              <w:jc w:val="right"/>
              <w:spacing w:after="0"/>
              <w:rPr>
                <w:sz w:val="20"/>
                <w:szCs w:val="20"/>
                <w:color w:val="auto"/>
              </w:rPr>
            </w:pPr>
            <w:r>
              <w:rPr>
                <w:rFonts w:ascii="Arial" w:cs="Arial" w:eastAsia="Arial" w:hAnsi="Arial"/>
                <w:sz w:val="14"/>
                <w:szCs w:val="14"/>
                <w:color w:val="auto"/>
              </w:rPr>
              <w:t>11,096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12,632</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201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29.7</w:t>
            </w:r>
          </w:p>
        </w:tc>
        <w:tc>
          <w:tcPr>
            <w:tcW w:w="1000" w:type="dxa"/>
            <w:vAlign w:val="bottom"/>
          </w:tcPr>
          <w:p>
            <w:pPr>
              <w:jc w:val="right"/>
              <w:spacing w:after="0"/>
              <w:rPr>
                <w:sz w:val="20"/>
                <w:szCs w:val="20"/>
                <w:color w:val="auto"/>
              </w:rPr>
            </w:pPr>
            <w:r>
              <w:rPr>
                <w:rFonts w:ascii="Arial" w:cs="Arial" w:eastAsia="Arial" w:hAnsi="Arial"/>
                <w:sz w:val="14"/>
                <w:szCs w:val="14"/>
                <w:color w:val="auto"/>
              </w:rPr>
              <w:t>438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77.3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3,867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2,289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68.9</w:t>
            </w:r>
          </w:p>
        </w:tc>
        <w:tc>
          <w:tcPr>
            <w:tcW w:w="1000" w:type="dxa"/>
            <w:vAlign w:val="bottom"/>
          </w:tcPr>
          <w:p>
            <w:pPr>
              <w:jc w:val="right"/>
              <w:spacing w:after="0"/>
              <w:rPr>
                <w:sz w:val="20"/>
                <w:szCs w:val="20"/>
                <w:color w:val="auto"/>
              </w:rPr>
            </w:pPr>
            <w:r>
              <w:rPr>
                <w:rFonts w:ascii="Arial" w:cs="Arial" w:eastAsia="Arial" w:hAnsi="Arial"/>
                <w:sz w:val="14"/>
                <w:szCs w:val="14"/>
                <w:color w:val="auto"/>
              </w:rPr>
              <w:t>7,803</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4,550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71.5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828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3,532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(76.6)</w:t>
            </w:r>
          </w:p>
        </w:tc>
        <w:tc>
          <w:tcPr>
            <w:tcW w:w="1000" w:type="dxa"/>
            <w:vAlign w:val="bottom"/>
          </w:tcPr>
          <w:p>
            <w:pPr>
              <w:jc w:val="right"/>
              <w:spacing w:after="0"/>
              <w:rPr>
                <w:sz w:val="20"/>
                <w:szCs w:val="20"/>
                <w:color w:val="auto"/>
              </w:rPr>
            </w:pPr>
            <w:r>
              <w:rPr>
                <w:rFonts w:ascii="Arial" w:cs="Arial" w:eastAsia="Arial" w:hAnsi="Arial"/>
                <w:sz w:val="14"/>
                <w:szCs w:val="14"/>
                <w:color w:val="auto"/>
              </w:rPr>
              <w:t>1,650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6,404</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(74.2)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980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927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1,888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1,556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17,947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20,427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(12.1)</w:t>
            </w:r>
          </w:p>
        </w:tc>
        <w:tc>
          <w:tcPr>
            <w:tcW w:w="1000" w:type="dxa"/>
            <w:vAlign w:val="bottom"/>
          </w:tcPr>
          <w:p>
            <w:pPr>
              <w:jc w:val="right"/>
              <w:spacing w:after="0"/>
              <w:rPr>
                <w:sz w:val="20"/>
                <w:szCs w:val="20"/>
                <w:color w:val="auto"/>
              </w:rPr>
            </w:pPr>
            <w:r>
              <w:rPr>
                <w:rFonts w:ascii="Arial" w:cs="Arial" w:eastAsia="Arial" w:hAnsi="Arial"/>
                <w:sz w:val="14"/>
                <w:szCs w:val="14"/>
                <w:color w:val="auto"/>
              </w:rPr>
              <w:t>32,471</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35,476</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20,649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17,851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15.7</w:t>
            </w:r>
          </w:p>
        </w:tc>
        <w:tc>
          <w:tcPr>
            <w:tcW w:w="1000" w:type="dxa"/>
            <w:vAlign w:val="bottom"/>
          </w:tcPr>
          <w:p>
            <w:pPr>
              <w:jc w:val="right"/>
              <w:spacing w:after="0"/>
              <w:rPr>
                <w:sz w:val="20"/>
                <w:szCs w:val="20"/>
                <w:color w:val="auto"/>
              </w:rPr>
            </w:pPr>
            <w:r>
              <w:rPr>
                <w:rFonts w:ascii="Arial" w:cs="Arial" w:eastAsia="Arial" w:hAnsi="Arial"/>
                <w:sz w:val="14"/>
                <w:szCs w:val="14"/>
                <w:color w:val="auto"/>
              </w:rPr>
              <w:t>37,872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31,513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5,504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5,257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4.7</w:t>
            </w:r>
          </w:p>
        </w:tc>
        <w:tc>
          <w:tcPr>
            <w:tcW w:w="1000" w:type="dxa"/>
            <w:vAlign w:val="bottom"/>
          </w:tcPr>
          <w:p>
            <w:pPr>
              <w:jc w:val="right"/>
              <w:spacing w:after="0"/>
              <w:rPr>
                <w:sz w:val="20"/>
                <w:szCs w:val="20"/>
                <w:color w:val="auto"/>
              </w:rPr>
            </w:pPr>
            <w:r>
              <w:rPr>
                <w:rFonts w:ascii="Arial" w:cs="Arial" w:eastAsia="Arial" w:hAnsi="Arial"/>
                <w:sz w:val="14"/>
                <w:szCs w:val="14"/>
                <w:color w:val="auto"/>
              </w:rPr>
              <w:t>9,466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9,789</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(60.0)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15,424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15,333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0.6</w:t>
            </w:r>
          </w:p>
        </w:tc>
        <w:tc>
          <w:tcPr>
            <w:tcW w:w="1000" w:type="dxa"/>
            <w:vAlign w:val="bottom"/>
          </w:tcPr>
          <w:p>
            <w:pPr>
              <w:jc w:val="right"/>
              <w:spacing w:after="0"/>
              <w:rPr>
                <w:sz w:val="20"/>
                <w:szCs w:val="20"/>
                <w:color w:val="auto"/>
              </w:rPr>
            </w:pPr>
            <w:r>
              <w:rPr>
                <w:rFonts w:ascii="Arial" w:cs="Arial" w:eastAsia="Arial" w:hAnsi="Arial"/>
                <w:sz w:val="14"/>
                <w:szCs w:val="14"/>
                <w:color w:val="auto"/>
              </w:rPr>
              <w:t>29,577</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31,342</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14,817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19,987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(25.9)</w:t>
            </w:r>
          </w:p>
        </w:tc>
        <w:tc>
          <w:tcPr>
            <w:tcW w:w="1000" w:type="dxa"/>
            <w:vAlign w:val="bottom"/>
          </w:tcPr>
          <w:p>
            <w:pPr>
              <w:jc w:val="right"/>
              <w:spacing w:after="0"/>
              <w:rPr>
                <w:sz w:val="20"/>
                <w:szCs w:val="20"/>
                <w:color w:val="auto"/>
              </w:rPr>
            </w:pPr>
            <w:r>
              <w:rPr>
                <w:rFonts w:ascii="Arial" w:cs="Arial" w:eastAsia="Arial" w:hAnsi="Arial"/>
                <w:sz w:val="14"/>
                <w:szCs w:val="14"/>
                <w:color w:val="auto"/>
              </w:rPr>
              <w:t>30,640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34,663</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41,643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32,297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28.9</w:t>
            </w:r>
          </w:p>
        </w:tc>
        <w:tc>
          <w:tcPr>
            <w:tcW w:w="1000" w:type="dxa"/>
            <w:vAlign w:val="bottom"/>
          </w:tcPr>
          <w:p>
            <w:pPr>
              <w:jc w:val="right"/>
              <w:spacing w:after="0"/>
              <w:rPr>
                <w:sz w:val="20"/>
                <w:szCs w:val="20"/>
                <w:color w:val="auto"/>
              </w:rPr>
            </w:pPr>
            <w:r>
              <w:rPr>
                <w:rFonts w:ascii="Arial" w:cs="Arial" w:eastAsia="Arial" w:hAnsi="Arial"/>
                <w:sz w:val="14"/>
                <w:szCs w:val="14"/>
                <w:color w:val="auto"/>
              </w:rPr>
              <w:t>77,088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59,147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30.3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6,025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7,900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(23.7)</w:t>
            </w:r>
          </w:p>
        </w:tc>
        <w:tc>
          <w:tcPr>
            <w:tcW w:w="1000" w:type="dxa"/>
            <w:vAlign w:val="bottom"/>
          </w:tcPr>
          <w:p>
            <w:pPr>
              <w:jc w:val="right"/>
              <w:spacing w:after="0"/>
              <w:rPr>
                <w:sz w:val="20"/>
                <w:szCs w:val="20"/>
                <w:color w:val="auto"/>
              </w:rPr>
            </w:pPr>
            <w:r>
              <w:rPr>
                <w:rFonts w:ascii="Arial" w:cs="Arial" w:eastAsia="Arial" w:hAnsi="Arial"/>
                <w:sz w:val="14"/>
                <w:szCs w:val="14"/>
                <w:color w:val="auto"/>
              </w:rPr>
              <w:t>13,202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13,612</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Spark</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2,836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5,244</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3,745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3,304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13.3</w:t>
            </w:r>
          </w:p>
        </w:tc>
        <w:tc>
          <w:tcPr>
            <w:tcW w:w="1000" w:type="dxa"/>
            <w:vAlign w:val="bottom"/>
          </w:tcPr>
          <w:p>
            <w:pPr>
              <w:jc w:val="right"/>
              <w:spacing w:after="0"/>
              <w:rPr>
                <w:sz w:val="20"/>
                <w:szCs w:val="20"/>
                <w:color w:val="auto"/>
              </w:rPr>
            </w:pPr>
            <w:r>
              <w:rPr>
                <w:rFonts w:ascii="Arial" w:cs="Arial" w:eastAsia="Arial" w:hAnsi="Arial"/>
                <w:sz w:val="14"/>
                <w:szCs w:val="14"/>
                <w:color w:val="auto"/>
              </w:rPr>
              <w:t>6,037</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6,239</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5,316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4,212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26.2</w:t>
            </w:r>
          </w:p>
        </w:tc>
        <w:tc>
          <w:tcPr>
            <w:tcW w:w="1000" w:type="dxa"/>
            <w:vAlign w:val="bottom"/>
          </w:tcPr>
          <w:p>
            <w:pPr>
              <w:jc w:val="right"/>
              <w:spacing w:after="0"/>
              <w:rPr>
                <w:sz w:val="20"/>
                <w:szCs w:val="20"/>
                <w:color w:val="auto"/>
              </w:rPr>
            </w:pPr>
            <w:r>
              <w:rPr>
                <w:rFonts w:ascii="Arial" w:cs="Arial" w:eastAsia="Arial" w:hAnsi="Arial"/>
                <w:sz w:val="14"/>
                <w:szCs w:val="14"/>
                <w:color w:val="auto"/>
              </w:rPr>
              <w:t>8,935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8,207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8,698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7,966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9.2</w:t>
            </w:r>
          </w:p>
        </w:tc>
        <w:tc>
          <w:tcPr>
            <w:tcW w:w="1000" w:type="dxa"/>
            <w:vAlign w:val="bottom"/>
          </w:tcPr>
          <w:p>
            <w:pPr>
              <w:jc w:val="right"/>
              <w:spacing w:after="0"/>
              <w:rPr>
                <w:sz w:val="20"/>
                <w:szCs w:val="20"/>
                <w:color w:val="auto"/>
              </w:rPr>
            </w:pPr>
            <w:r>
              <w:rPr>
                <w:rFonts w:ascii="Arial" w:cs="Arial" w:eastAsia="Arial" w:hAnsi="Arial"/>
                <w:sz w:val="14"/>
                <w:szCs w:val="14"/>
                <w:color w:val="auto"/>
              </w:rPr>
              <w:t>15,468</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14,606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5.9</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1,626</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1,023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58.9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2,766</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1,626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70.1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158,541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151,197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295,845</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275,061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7.6</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6,628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6,630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11,816</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11,500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180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1,064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(83.1)</w:t>
            </w:r>
          </w:p>
        </w:tc>
        <w:tc>
          <w:tcPr>
            <w:tcW w:w="1000" w:type="dxa"/>
            <w:vAlign w:val="bottom"/>
          </w:tcPr>
          <w:p>
            <w:pPr>
              <w:jc w:val="right"/>
              <w:spacing w:after="0"/>
              <w:rPr>
                <w:sz w:val="20"/>
                <w:szCs w:val="20"/>
                <w:color w:val="auto"/>
              </w:rPr>
            </w:pPr>
            <w:r>
              <w:rPr>
                <w:rFonts w:ascii="Arial" w:cs="Arial" w:eastAsia="Arial" w:hAnsi="Arial"/>
                <w:sz w:val="14"/>
                <w:szCs w:val="14"/>
                <w:color w:val="auto"/>
              </w:rPr>
              <w:t>482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2,123</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(77.3)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886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2,126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(58.3)</w:t>
            </w:r>
          </w:p>
        </w:tc>
        <w:tc>
          <w:tcPr>
            <w:tcW w:w="1000" w:type="dxa"/>
            <w:vAlign w:val="bottom"/>
          </w:tcPr>
          <w:p>
            <w:pPr>
              <w:jc w:val="right"/>
              <w:spacing w:after="0"/>
              <w:rPr>
                <w:sz w:val="20"/>
                <w:szCs w:val="20"/>
                <w:color w:val="auto"/>
              </w:rPr>
            </w:pPr>
            <w:r>
              <w:rPr>
                <w:rFonts w:ascii="Arial" w:cs="Arial" w:eastAsia="Arial" w:hAnsi="Arial"/>
                <w:sz w:val="14"/>
                <w:szCs w:val="14"/>
                <w:color w:val="auto"/>
              </w:rPr>
              <w:t>1,930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2,964</w:t>
            </w:r>
          </w:p>
        </w:tc>
        <w:tc>
          <w:tcPr>
            <w:tcW w:w="9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(34.9)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14,133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11,306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25.0</w:t>
            </w:r>
          </w:p>
        </w:tc>
        <w:tc>
          <w:tcPr>
            <w:tcW w:w="1000" w:type="dxa"/>
            <w:vAlign w:val="bottom"/>
          </w:tcPr>
          <w:p>
            <w:pPr>
              <w:jc w:val="right"/>
              <w:spacing w:after="0"/>
              <w:rPr>
                <w:sz w:val="20"/>
                <w:szCs w:val="20"/>
                <w:color w:val="auto"/>
              </w:rPr>
            </w:pPr>
            <w:r>
              <w:rPr>
                <w:rFonts w:ascii="Arial" w:cs="Arial" w:eastAsia="Arial" w:hAnsi="Arial"/>
                <w:sz w:val="14"/>
                <w:szCs w:val="14"/>
                <w:color w:val="auto"/>
              </w:rPr>
              <w:t>26,979</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20,823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29.6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9,802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8,086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21.2</w:t>
            </w:r>
          </w:p>
        </w:tc>
        <w:tc>
          <w:tcPr>
            <w:tcW w:w="1000" w:type="dxa"/>
            <w:vAlign w:val="bottom"/>
          </w:tcPr>
          <w:p>
            <w:pPr>
              <w:jc w:val="right"/>
              <w:spacing w:after="0"/>
              <w:rPr>
                <w:sz w:val="20"/>
                <w:szCs w:val="20"/>
                <w:color w:val="auto"/>
              </w:rPr>
            </w:pPr>
            <w:r>
              <w:rPr>
                <w:rFonts w:ascii="Arial" w:cs="Arial" w:eastAsia="Arial" w:hAnsi="Arial"/>
                <w:sz w:val="14"/>
                <w:szCs w:val="14"/>
                <w:color w:val="auto"/>
              </w:rPr>
              <w:t>18,352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13,735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33.6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2,572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2,125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21.0</w:t>
            </w:r>
          </w:p>
        </w:tc>
        <w:tc>
          <w:tcPr>
            <w:tcW w:w="1000" w:type="dxa"/>
            <w:vAlign w:val="bottom"/>
          </w:tcPr>
          <w:p>
            <w:pPr>
              <w:jc w:val="right"/>
              <w:spacing w:after="0"/>
              <w:rPr>
                <w:sz w:val="20"/>
                <w:szCs w:val="20"/>
                <w:color w:val="auto"/>
              </w:rPr>
            </w:pPr>
            <w:r>
              <w:rPr>
                <w:rFonts w:ascii="Arial" w:cs="Arial" w:eastAsia="Arial" w:hAnsi="Arial"/>
                <w:sz w:val="14"/>
                <w:szCs w:val="14"/>
                <w:color w:val="auto"/>
              </w:rPr>
              <w:t>4,262</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4,147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2.8</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1,577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1,244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26.8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2,773</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2,255</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23.0</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35,778</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32,581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66,594</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57,547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15.7</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224,314</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209,306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419,013</w:t>
            </w: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377,268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11.1</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80"/>
        <w:spacing w:after="0"/>
        <w:rPr>
          <w:sz w:val="20"/>
          <w:szCs w:val="20"/>
          <w:color w:val="auto"/>
        </w:rPr>
      </w:pPr>
      <w:r>
        <w:rPr>
          <w:rFonts w:ascii="Arial" w:cs="Arial" w:eastAsia="Arial" w:hAnsi="Arial"/>
          <w:sz w:val="13"/>
          <w:szCs w:val="13"/>
          <w:color w:val="auto"/>
        </w:rPr>
        <w:t>* 24 selling days for the February period this year and 25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2019-12-07T19:55:41Z</dcterms:created>
  <dcterms:modified xsi:type="dcterms:W3CDTF">2019-12-07T19:55:41Z</dcterms:modified>
</cp:coreProperties>
</file>