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10213d8k.htm"/>
      <w:bookmarkStart w:id="1" w:name="ksd810213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March 28,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GENERAL MOTORS COMPANY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001-34960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27-0756180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4385"/>
        <w:gridCol w:w="60"/>
        <w:gridCol w:w="1190"/>
      </w:tblGrid>
      <w:tr>
        <w:trPr/>
        <w:tc>
          <w:tcPr>
            <w:tcW w:w="4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4385" w:type="dxa"/>
            <w:tcBorders/>
            <w:vAlign w:val="center"/>
          </w:tcPr>
          <w:p>
            <w:pPr>
              <w:pStyle w:val="TableContents"/>
              <w:bidi w:val="0"/>
              <w:spacing w:before="0" w:after="283"/>
              <w:jc w:val="center"/>
              <w:rPr>
                <w:b/>
              </w:rPr>
            </w:pPr>
            <w:r>
              <w:rPr>
                <w:b/>
              </w:rPr>
              <w:t>300 Renaissance Center, Detroit, Michigan</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48265-3000</w:t>
            </w:r>
          </w:p>
        </w:tc>
      </w:tr>
      <w:tr>
        <w:trPr/>
        <w:tc>
          <w:tcPr>
            <w:tcW w:w="438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(313) 667-1500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or to be registered pursuant to Section 12(b) of the Act:</w:t>
      </w:r>
    </w:p>
    <w:p>
      <w:pPr>
        <w:pStyle w:val="TextBody"/>
        <w:bidi w:val="0"/>
        <w:spacing w:before="0" w:after="0"/>
        <w:jc w:val="left"/>
        <w:rPr/>
      </w:pPr>
      <w:r>
        <w:rPr/>
        <w:t> </w:t>
      </w:r>
    </w:p>
    <w:tbl>
      <w:tblPr>
        <w:tblW w:w="6630" w:type="dxa"/>
        <w:jc w:val="left"/>
        <w:tblInd w:w="0" w:type="dxa"/>
        <w:tblLayout w:type="fixed"/>
        <w:tblCellMar>
          <w:top w:w="0" w:type="dxa"/>
          <w:left w:w="0" w:type="dxa"/>
          <w:bottom w:w="0" w:type="dxa"/>
          <w:right w:w="0" w:type="dxa"/>
        </w:tblCellMar>
      </w:tblPr>
      <w:tblGrid>
        <w:gridCol w:w="3110"/>
        <w:gridCol w:w="60"/>
        <w:gridCol w:w="740"/>
        <w:gridCol w:w="60"/>
        <w:gridCol w:w="266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1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GM</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4765" w:type="dxa"/>
        <w:jc w:val="left"/>
        <w:tblInd w:w="0" w:type="dxa"/>
        <w:tblLayout w:type="fixed"/>
        <w:tblCellMar>
          <w:top w:w="0" w:type="dxa"/>
          <w:left w:w="0" w:type="dxa"/>
          <w:bottom w:w="0" w:type="dxa"/>
          <w:right w:w="0" w:type="dxa"/>
        </w:tblCellMar>
      </w:tblPr>
      <w:tblGrid>
        <w:gridCol w:w="965"/>
        <w:gridCol w:w="3800"/>
      </w:tblGrid>
      <w:tr>
        <w:trPr/>
        <w:tc>
          <w:tcPr>
            <w:tcW w:w="965" w:type="dxa"/>
            <w:tcBorders/>
            <w:vAlign w:val="center"/>
          </w:tcPr>
          <w:p>
            <w:pPr>
              <w:pStyle w:val="TableContents"/>
              <w:bidi w:val="0"/>
              <w:spacing w:before="0" w:after="283"/>
              <w:jc w:val="left"/>
              <w:rPr>
                <w:b/>
              </w:rPr>
            </w:pPr>
            <w:r>
              <w:rPr>
                <w:b/>
              </w:rPr>
              <w:t>Item 1.01</w:t>
            </w:r>
          </w:p>
        </w:tc>
        <w:tc>
          <w:tcPr>
            <w:tcW w:w="38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Item 2.03 below. </w:t>
      </w:r>
    </w:p>
    <w:p>
      <w:pPr>
        <w:pStyle w:val="TextBody"/>
        <w:bidi w:val="0"/>
        <w:spacing w:before="0" w:after="0"/>
        <w:jc w:val="left"/>
        <w:rPr/>
      </w:pPr>
      <w:r>
        <w:rPr/>
        <w:t> </w:t>
      </w:r>
    </w:p>
    <w:tbl>
      <w:tblPr>
        <w:tblW w:w="5125" w:type="dxa"/>
        <w:jc w:val="left"/>
        <w:tblInd w:w="0" w:type="dxa"/>
        <w:tblLayout w:type="fixed"/>
        <w:tblCellMar>
          <w:top w:w="0" w:type="dxa"/>
          <w:left w:w="0" w:type="dxa"/>
          <w:bottom w:w="0" w:type="dxa"/>
          <w:right w:w="0" w:type="dxa"/>
        </w:tblCellMar>
      </w:tblPr>
      <w:tblGrid>
        <w:gridCol w:w="965"/>
        <w:gridCol w:w="4160"/>
      </w:tblGrid>
      <w:tr>
        <w:trPr/>
        <w:tc>
          <w:tcPr>
            <w:tcW w:w="965" w:type="dxa"/>
            <w:tcBorders/>
            <w:vAlign w:val="center"/>
          </w:tcPr>
          <w:p>
            <w:pPr>
              <w:pStyle w:val="TableContents"/>
              <w:bidi w:val="0"/>
              <w:spacing w:before="0" w:after="283"/>
              <w:jc w:val="left"/>
              <w:rPr>
                <w:b/>
              </w:rPr>
            </w:pPr>
            <w:r>
              <w:rPr>
                <w:b/>
              </w:rPr>
              <w:t>Item 1.02</w:t>
            </w:r>
          </w:p>
        </w:tc>
        <w:tc>
          <w:tcPr>
            <w:tcW w:w="4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March 28, 2024, the Company terminated its $3.0 billion 364-Day Delayed Draw Term Loan Credit Agreement, dated as of November 29, 2023, with Bank of America, N.A., as administrative agent, and the other lenders named therein (the “November Facility”). </w:t>
      </w:r>
    </w:p>
    <w:p>
      <w:pPr>
        <w:pStyle w:val="TextBody"/>
        <w:bidi w:val="0"/>
        <w:spacing w:before="240" w:after="0"/>
        <w:jc w:val="left"/>
        <w:rPr>
          <w:rFonts w:ascii="Times New Roman" w:hAnsi="Times New Roman"/>
          <w:sz w:val="20"/>
        </w:rPr>
      </w:pPr>
      <w:r>
        <w:rPr>
          <w:rFonts w:ascii="Times New Roman" w:hAnsi="Times New Roman"/>
          <w:sz w:val="20"/>
        </w:rPr>
        <w:t xml:space="preserve">A description of the terms of the November Facility is set forth under Item 1.01 of the Company’s Form 8-K filed November 29, 2023, and is incorporated by reference into this Item 1.02. Under its terms, the November Facility was due to expire on November 27, 2024. The Company did not have any borrowings outstanding under the November Facility, and the Company did not incur any early termination penalties in connection with the termination of the Facility. Some of the lenders under the November Facility, and their affiliates, are lenders under the Renewed Facility (defined below), and have various other relationships with the Company and its subsidiaries involving the provision of financial services, including lending, cash management, investment banking, trust services, and foreign exchange and other derivative arrangements.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4"/>
        <w:gridCol w:w="9271"/>
      </w:tblGrid>
      <w:tr>
        <w:trPr/>
        <w:tc>
          <w:tcPr>
            <w:tcW w:w="934" w:type="dxa"/>
            <w:tcBorders/>
            <w:vAlign w:val="center"/>
          </w:tcPr>
          <w:p>
            <w:pPr>
              <w:pStyle w:val="TableContents"/>
              <w:bidi w:val="0"/>
              <w:spacing w:before="0" w:after="283"/>
              <w:jc w:val="left"/>
              <w:rPr>
                <w:b/>
              </w:rPr>
            </w:pPr>
            <w:r>
              <w:rPr>
                <w:b/>
              </w:rPr>
              <w:t>Item 2.03</w:t>
            </w:r>
          </w:p>
        </w:tc>
        <w:tc>
          <w:tcPr>
            <w:tcW w:w="927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March 28, 2024, General Motors Company (“GM”) entered into a Sixth Amended and Restated 364-Day Revolving Credit Agreement with JPMorgan Chase Bank, N.A., as administrative agent, Citibank, N.A., as syndication agent, Bank of America, N.A., as co-syndication agent, and the lenders named therein (the “Renewed Facility”). The Renewed Facility is unsecured and consists of a 364-day, $2.0 billion facility and matures on March 27, 2025. </w:t>
      </w:r>
    </w:p>
    <w:p>
      <w:pPr>
        <w:pStyle w:val="TextBody"/>
        <w:bidi w:val="0"/>
        <w:spacing w:before="240" w:after="0"/>
        <w:jc w:val="left"/>
        <w:rPr>
          <w:rFonts w:ascii="Times New Roman" w:hAnsi="Times New Roman"/>
          <w:sz w:val="20"/>
        </w:rPr>
      </w:pPr>
      <w:r>
        <w:rPr>
          <w:rFonts w:ascii="Times New Roman" w:hAnsi="Times New Roman"/>
          <w:sz w:val="20"/>
        </w:rPr>
        <w:t xml:space="preserve">The Renewed Facility is available to GM as well as certain of its wholly owned subsidiaries. However, GM has allocated the Renewed Facility for exclusive use by General Motors Financial Company, Inc. The Renewed Facility allows for borrowing in U.S. Dollars only. GM has guaranteed the obligations of subsidiary borrowers under the Renewed Facility. </w:t>
      </w:r>
    </w:p>
    <w:p>
      <w:pPr>
        <w:pStyle w:val="TextBody"/>
        <w:bidi w:val="0"/>
        <w:spacing w:before="240" w:after="0"/>
        <w:jc w:val="left"/>
        <w:rPr>
          <w:rFonts w:ascii="Times New Roman" w:hAnsi="Times New Roman"/>
          <w:sz w:val="20"/>
        </w:rPr>
      </w:pPr>
      <w:r>
        <w:rPr>
          <w:rFonts w:ascii="Times New Roman" w:hAnsi="Times New Roman"/>
          <w:sz w:val="20"/>
        </w:rPr>
        <w:t xml:space="preserve">Interest rates on obligations under the Renewed Facility are based on prevailing annual interest rates for Term SOFR loans, Daily Simple SOFR loans or an alternative base rate, each subject to an applicable margin. This applicable margin will be based upon the credit rating assigned to the Renewed Facility or to senior, unsecured long-term indebtedness of GM. </w:t>
      </w:r>
    </w:p>
    <w:p>
      <w:pPr>
        <w:pStyle w:val="TextBody"/>
        <w:bidi w:val="0"/>
        <w:spacing w:before="240" w:after="0"/>
        <w:jc w:val="left"/>
        <w:rPr>
          <w:rFonts w:ascii="Times New Roman" w:hAnsi="Times New Roman"/>
          <w:sz w:val="20"/>
        </w:rPr>
      </w:pPr>
      <w:r>
        <w:rPr>
          <w:rFonts w:ascii="Times New Roman" w:hAnsi="Times New Roman"/>
          <w:sz w:val="20"/>
        </w:rPr>
        <w:t xml:space="preserve">The Renewed Facility contains representations, warranties and covenants that are typical for this type of facility. These covenants include restrictions on mergers or sales of assets and secured debt borrowings, subject to exceptions and limitations. The Renewed Facility also requires that GM maintain at least $4.0 billion in global liquidity and at least $2.0 billion in U.S. liquidity.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lenders under the Renewed Facility and/or their affiliates have various relationships with GM and its subsidiaries involving the provision of financial services, including cash management, investment banking, trust and leasing services, and foreign exchange and other derivative arrangements.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does not constitute a complete summary of the Renewed Facility and is qualified in its entirety by reference to the text of the Renewed Facility filed herewith.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51"/>
        <w:gridCol w:w="120"/>
        <w:gridCol w:w="9534"/>
      </w:tblGrid>
      <w:tr>
        <w:trPr/>
        <w:tc>
          <w:tcPr>
            <w:tcW w:w="5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34" w:type="dxa"/>
            <w:tcBorders/>
            <w:vAlign w:val="center"/>
          </w:tcPr>
          <w:p>
            <w:pPr>
              <w:pStyle w:val="TableContents"/>
              <w:bidi w:val="0"/>
              <w:spacing w:before="0" w:after="283"/>
              <w:jc w:val="left"/>
              <w:rPr>
                <w:sz w:val="4"/>
                <w:szCs w:val="4"/>
              </w:rPr>
            </w:pPr>
            <w:r>
              <w:rPr>
                <w:sz w:val="4"/>
                <w:szCs w:val="4"/>
              </w:rPr>
            </w:r>
          </w:p>
        </w:tc>
      </w:tr>
      <w:tr>
        <w:trPr/>
        <w:tc>
          <w:tcPr>
            <w:tcW w:w="551"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r>
          </w:p>
        </w:tc>
        <w:tc>
          <w:tcPr>
            <w:tcW w:w="120" w:type="dxa"/>
            <w:tcBorders/>
            <w:vAlign w:val="center"/>
          </w:tcPr>
          <w:p>
            <w:pPr>
              <w:pStyle w:val="TableContents"/>
              <w:bidi w:val="0"/>
              <w:spacing w:before="0" w:after="283"/>
              <w:jc w:val="left"/>
              <w:rPr/>
            </w:pPr>
            <w:r>
              <w:rPr/>
              <w:t>  </w:t>
            </w:r>
          </w:p>
        </w:tc>
        <w:tc>
          <w:tcPr>
            <w:tcW w:w="9534"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c>
          <w:tcPr>
            <w:tcW w:w="551" w:type="dxa"/>
            <w:tcBorders/>
            <w:vAlign w:val="center"/>
          </w:tcPr>
          <w:p>
            <w:pPr>
              <w:pStyle w:val="TableContents"/>
              <w:bidi w:val="0"/>
              <w:spacing w:before="0" w:after="283"/>
              <w:jc w:val="left"/>
              <w:rPr>
                <w:sz w:val="4"/>
                <w:szCs w:val="4"/>
              </w:rPr>
            </w:pPr>
            <w:r>
              <w:rPr>
                <w:sz w:val="4"/>
                <w:szCs w:val="4"/>
              </w:rPr>
            </w:r>
          </w:p>
        </w:tc>
        <w:tc>
          <w:tcPr>
            <w:tcW w:w="9654" w:type="dxa"/>
            <w:gridSpan w:val="2"/>
            <w:tcBorders/>
            <w:vAlign w:val="center"/>
          </w:tcPr>
          <w:p>
            <w:pPr>
              <w:pStyle w:val="TableContents"/>
              <w:bidi w:val="0"/>
              <w:spacing w:before="0" w:after="283"/>
              <w:jc w:val="left"/>
              <w:rPr>
                <w:sz w:val="4"/>
                <w:szCs w:val="4"/>
              </w:rPr>
            </w:pPr>
            <w:r>
              <w:rPr>
                <w:sz w:val="4"/>
                <w:szCs w:val="4"/>
              </w:rPr>
            </w:r>
          </w:p>
        </w:tc>
      </w:tr>
      <w:tr>
        <w:trPr/>
        <w:tc>
          <w:tcPr>
            <w:tcW w:w="551"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534" w:type="dxa"/>
            <w:tcBorders/>
            <w:vAlign w:val="center"/>
          </w:tcPr>
          <w:p>
            <w:pPr>
              <w:pStyle w:val="TableContents"/>
              <w:bidi w:val="0"/>
              <w:spacing w:before="0" w:after="283"/>
              <w:jc w:val="left"/>
              <w:rPr/>
            </w:pPr>
            <w:hyperlink w:anchor="d810213dex101.htm">
              <w:r>
                <w:rPr>
                  <w:rStyle w:val="InternetLink"/>
                </w:rPr>
                <w:t xml:space="preserve">Sixth Amended and Restated 364-Day Revolving Credit Agreement among General Motors Company, General Motors Financial Company, Inc., the subsidiary borrowers from time to time parties thereto, the several lenders from time to time parties thereto, JPMorgan Chase Bank, N.A., as administrative agent, Citibank, N.A., as syndication agent, and Bank of America, N.A., as co-syndication agent </w:t>
              </w:r>
            </w:hyperlink>
          </w:p>
        </w:tc>
      </w:tr>
      <w:tr>
        <w:trPr/>
        <w:tc>
          <w:tcPr>
            <w:tcW w:w="551" w:type="dxa"/>
            <w:tcBorders/>
            <w:vAlign w:val="center"/>
          </w:tcPr>
          <w:p>
            <w:pPr>
              <w:pStyle w:val="TableContents"/>
              <w:bidi w:val="0"/>
              <w:spacing w:before="0" w:after="283"/>
              <w:jc w:val="left"/>
              <w:rPr>
                <w:sz w:val="4"/>
                <w:szCs w:val="4"/>
              </w:rPr>
            </w:pPr>
            <w:r>
              <w:rPr>
                <w:sz w:val="4"/>
                <w:szCs w:val="4"/>
              </w:rPr>
            </w:r>
          </w:p>
        </w:tc>
        <w:tc>
          <w:tcPr>
            <w:tcW w:w="9654" w:type="dxa"/>
            <w:gridSpan w:val="2"/>
            <w:tcBorders/>
            <w:vAlign w:val="center"/>
          </w:tcPr>
          <w:p>
            <w:pPr>
              <w:pStyle w:val="TableContents"/>
              <w:bidi w:val="0"/>
              <w:spacing w:before="0" w:after="283"/>
              <w:jc w:val="left"/>
              <w:rPr>
                <w:sz w:val="4"/>
                <w:szCs w:val="4"/>
              </w:rPr>
            </w:pPr>
            <w:r>
              <w:rPr>
                <w:sz w:val="4"/>
                <w:szCs w:val="4"/>
              </w:rPr>
            </w:r>
          </w:p>
        </w:tc>
      </w:tr>
      <w:tr>
        <w:trPr/>
        <w:tc>
          <w:tcPr>
            <w:tcW w:w="551"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34"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Portions of this exhibit have been omitted pursuant to Rule 601(b)(10) of Regulation S-K. The omitted information is not material and would likely cause competitive harm to the registrant if publicly disclosed.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992" w:type="dxa"/>
        <w:jc w:val="left"/>
        <w:tblInd w:w="0" w:type="dxa"/>
        <w:tblLayout w:type="fixed"/>
        <w:tblCellMar>
          <w:top w:w="0" w:type="dxa"/>
          <w:left w:w="0" w:type="dxa"/>
          <w:bottom w:w="0" w:type="dxa"/>
          <w:right w:w="0" w:type="dxa"/>
        </w:tblCellMar>
      </w:tblPr>
      <w:tblGrid>
        <w:gridCol w:w="2120"/>
        <w:gridCol w:w="60"/>
        <w:gridCol w:w="23"/>
        <w:gridCol w:w="60"/>
        <w:gridCol w:w="866"/>
        <w:gridCol w:w="79"/>
        <w:gridCol w:w="3784"/>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784"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29" w:type="dxa"/>
            <w:gridSpan w:val="3"/>
            <w:tcBorders/>
            <w:vAlign w:val="center"/>
          </w:tcPr>
          <w:p>
            <w:pPr>
              <w:pStyle w:val="TableContents"/>
              <w:bidi w:val="0"/>
              <w:spacing w:before="0" w:after="283"/>
              <w:jc w:val="left"/>
              <w:rPr/>
            </w:pPr>
            <w:r>
              <w:rPr/>
              <w:t>GENERAL MOTORS COMPANY (Registrant)</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926" w:type="dxa"/>
            <w:gridSpan w:val="2"/>
            <w:tcBorders/>
            <w:vAlign w:val="center"/>
          </w:tcPr>
          <w:p>
            <w:pPr>
              <w:pStyle w:val="TableContents"/>
              <w:bidi w:val="0"/>
              <w:spacing w:before="0" w:after="283"/>
              <w:jc w:val="left"/>
              <w:rPr>
                <w:sz w:val="4"/>
                <w:szCs w:val="4"/>
              </w:rPr>
            </w:pPr>
            <w:r>
              <w:rPr>
                <w:sz w:val="4"/>
                <w:szCs w:val="4"/>
              </w:rPr>
            </w:r>
          </w:p>
        </w:tc>
        <w:tc>
          <w:tcPr>
            <w:tcW w:w="3863"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pPr>
            <w:r>
              <w:rPr/>
              <w:t>Date: March 28,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pPr>
            <w:r>
              <w:rPr/>
              <w:t>By:</w:t>
            </w:r>
          </w:p>
        </w:tc>
        <w:tc>
          <w:tcPr>
            <w:tcW w:w="79" w:type="dxa"/>
            <w:tcBorders/>
            <w:vAlign w:val="center"/>
          </w:tcPr>
          <w:p>
            <w:pPr>
              <w:pStyle w:val="TableContents"/>
              <w:bidi w:val="0"/>
              <w:spacing w:before="0" w:after="283"/>
              <w:jc w:val="left"/>
              <w:rPr/>
            </w:pPr>
            <w:r>
              <w:rPr/>
              <w:t> </w:t>
            </w:r>
          </w:p>
        </w:tc>
        <w:tc>
          <w:tcPr>
            <w:tcW w:w="3784"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S. Kim</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pPr>
            <w:r>
              <w:rPr/>
              <w:t>Name:</w:t>
            </w:r>
          </w:p>
        </w:tc>
        <w:tc>
          <w:tcPr>
            <w:tcW w:w="79" w:type="dxa"/>
            <w:tcBorders/>
            <w:vAlign w:val="center"/>
          </w:tcPr>
          <w:p>
            <w:pPr>
              <w:pStyle w:val="TableContents"/>
              <w:bidi w:val="0"/>
              <w:spacing w:before="0" w:after="283"/>
              <w:jc w:val="left"/>
              <w:rPr/>
            </w:pPr>
            <w:r>
              <w:rPr/>
              <w:t> </w:t>
            </w:r>
          </w:p>
        </w:tc>
        <w:tc>
          <w:tcPr>
            <w:tcW w:w="3784" w:type="dxa"/>
            <w:tcBorders/>
            <w:vAlign w:val="center"/>
          </w:tcPr>
          <w:p>
            <w:pPr>
              <w:pStyle w:val="TableContents"/>
              <w:bidi w:val="0"/>
              <w:spacing w:before="0" w:after="283"/>
              <w:jc w:val="left"/>
              <w:rPr/>
            </w:pPr>
            <w:r>
              <w:rPr/>
              <w:t>John S. Kim</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pPr>
            <w:r>
              <w:rPr/>
              <w:t>Title:</w:t>
            </w:r>
          </w:p>
        </w:tc>
        <w:tc>
          <w:tcPr>
            <w:tcW w:w="79" w:type="dxa"/>
            <w:tcBorders/>
            <w:vAlign w:val="center"/>
          </w:tcPr>
          <w:p>
            <w:pPr>
              <w:pStyle w:val="TableContents"/>
              <w:bidi w:val="0"/>
              <w:spacing w:before="0" w:after="283"/>
              <w:jc w:val="left"/>
              <w:rPr/>
            </w:pPr>
            <w:r>
              <w:rPr/>
              <w:t> </w:t>
            </w:r>
          </w:p>
        </w:tc>
        <w:tc>
          <w:tcPr>
            <w:tcW w:w="3784" w:type="dxa"/>
            <w:tcBorders/>
            <w:vAlign w:val="center"/>
          </w:tcPr>
          <w:p>
            <w:pPr>
              <w:pStyle w:val="TableContents"/>
              <w:bidi w:val="0"/>
              <w:spacing w:before="0" w:after="283"/>
              <w:jc w:val="left"/>
              <w:rPr/>
            </w:pPr>
            <w:r>
              <w:rPr/>
              <w:t>Assistant Corporate Secretary</w:t>
            </w:r>
          </w:p>
        </w:tc>
      </w:tr>
    </w:tbl>
    <w:p>
      <w:pPr>
        <w:pStyle w:val="TextBody"/>
        <w:bidi w:val="0"/>
        <w:spacing w:before="0" w:after="0"/>
        <w:jc w:val="right"/>
        <w:rPr>
          <w:rFonts w:ascii="Times New Roman" w:hAnsi="Times New Roman"/>
          <w:b/>
          <w:sz w:val="20"/>
        </w:rPr>
      </w:pPr>
      <w:bookmarkStart w:id="2" w:name="d810213dex101.htm"/>
      <w:bookmarkStart w:id="3" w:name="ksd810213dex101"/>
      <w:bookmarkEnd w:id="2"/>
      <w:bookmarkEnd w:id="3"/>
      <w:r>
        <w:rPr>
          <w:rFonts w:ascii="Times New Roman" w:hAnsi="Times New Roman"/>
          <w:b/>
          <w:sz w:val="20"/>
        </w:rPr>
        <w:t xml:space="preserve">EXHIBIT 10.1 </w:t>
      </w:r>
      <w:r>
        <w:br w:type="page"/>
      </w:r>
    </w:p>
    <w:p>
      <w:pPr>
        <w:pStyle w:val="TextBody"/>
        <w:bidi w:val="0"/>
        <w:spacing w:before="120" w:after="0"/>
        <w:jc w:val="left"/>
        <w:rPr>
          <w:rFonts w:ascii="Times New Roman" w:hAnsi="Times New Roman"/>
          <w:b/>
          <w:sz w:val="20"/>
        </w:rPr>
      </w:pPr>
      <w:r>
        <w:rPr>
          <w:rFonts w:ascii="Times New Roman" w:hAnsi="Times New Roman"/>
          <w:b/>
          <w:sz w:val="20"/>
        </w:rPr>
        <w:t xml:space="preserve">CERTAIN IDENTIFIED INFORMATION HAS BEEN EXCLUDED FROM THIS EXHIBIT BECAUSE IT IS NOT MATERIAL AND WOULD LIKELY CAUSE COMPETITIVE HARM TO THE REGISTRANT IF PUBLICLY DISCLOSED. [***] INDICATES THAT INFORMATION HAS BEEN REDACTED. </w:t>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center"/>
        <w:rPr>
          <w:rFonts w:ascii="Times New Roman" w:hAnsi="Times New Roman"/>
          <w:sz w:val="20"/>
        </w:rPr>
      </w:pPr>
      <w:r>
        <w:rPr>
          <w:rFonts w:ascii="Times New Roman" w:hAnsi="Times New Roman"/>
          <w:sz w:val="20"/>
        </w:rPr>
        <w:t xml:space="preserve">SIXTH AMENDED AND RESTATED 364-DAY REVOLVING 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GENERAL MOTORS COMPANY, </w:t>
      </w:r>
    </w:p>
    <w:p>
      <w:pPr>
        <w:pStyle w:val="TextBody"/>
        <w:bidi w:val="0"/>
        <w:spacing w:before="0" w:after="0"/>
        <w:jc w:val="center"/>
        <w:rPr>
          <w:rFonts w:ascii="Times New Roman" w:hAnsi="Times New Roman"/>
          <w:sz w:val="20"/>
        </w:rPr>
      </w:pPr>
      <w:r>
        <w:rPr>
          <w:rFonts w:ascii="Times New Roman" w:hAnsi="Times New Roman"/>
          <w:sz w:val="20"/>
        </w:rPr>
        <w:t xml:space="preserve">GENERAL MOTORS FINANCIAL COMPANY, INC., </w:t>
      </w:r>
    </w:p>
    <w:p>
      <w:pPr>
        <w:pStyle w:val="TextBody"/>
        <w:bidi w:val="0"/>
        <w:spacing w:before="240" w:after="0"/>
        <w:jc w:val="center"/>
        <w:rPr>
          <w:rFonts w:ascii="Times New Roman" w:hAnsi="Times New Roman"/>
          <w:sz w:val="20"/>
        </w:rPr>
      </w:pPr>
      <w:r>
        <w:rPr>
          <w:rFonts w:ascii="Times New Roman" w:hAnsi="Times New Roman"/>
          <w:sz w:val="20"/>
        </w:rPr>
        <w:t xml:space="preserve">THE SUBSIDIARY BORROWERS FROM TIME TO TIME PARTIES HERETO, </w:t>
      </w:r>
    </w:p>
    <w:p>
      <w:pPr>
        <w:pStyle w:val="TextBody"/>
        <w:bidi w:val="0"/>
        <w:spacing w:before="0" w:after="0"/>
        <w:jc w:val="center"/>
        <w:rPr>
          <w:rFonts w:ascii="Times New Roman" w:hAnsi="Times New Roman"/>
          <w:sz w:val="20"/>
        </w:rPr>
      </w:pPr>
      <w:r>
        <w:rPr>
          <w:rFonts w:ascii="Times New Roman" w:hAnsi="Times New Roman"/>
          <w:sz w:val="20"/>
        </w:rPr>
        <w:t xml:space="preserve">THE SEVERAL LENDERS FROM TIME TO TIME PARTIES HERETO, </w:t>
      </w:r>
    </w:p>
    <w:p>
      <w:pPr>
        <w:pStyle w:val="TextBody"/>
        <w:bidi w:val="0"/>
        <w:spacing w:before="240" w:after="0"/>
        <w:jc w:val="center"/>
        <w:rPr>
          <w:rFonts w:ascii="Times New Roman" w:hAnsi="Times New Roman"/>
          <w:sz w:val="20"/>
        </w:rPr>
      </w:pPr>
      <w:r>
        <w:rPr>
          <w:rFonts w:ascii="Times New Roman" w:hAnsi="Times New Roman"/>
          <w:sz w:val="20"/>
        </w:rPr>
        <w:t xml:space="preserve">Dated as of March 28,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3"/>
        <w:gridCol w:w="124"/>
        <w:gridCol w:w="4878"/>
      </w:tblGrid>
      <w:tr>
        <w:trPr/>
        <w:tc>
          <w:tcPr>
            <w:tcW w:w="520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878" w:type="dxa"/>
            <w:tcBorders/>
            <w:vAlign w:val="center"/>
          </w:tcPr>
          <w:p>
            <w:pPr>
              <w:pStyle w:val="TableContents"/>
              <w:bidi w:val="0"/>
              <w:spacing w:before="0" w:after="283"/>
              <w:jc w:val="left"/>
              <w:rPr>
                <w:sz w:val="4"/>
                <w:szCs w:val="4"/>
              </w:rPr>
            </w:pPr>
            <w:r>
              <w:rPr>
                <w:sz w:val="4"/>
                <w:szCs w:val="4"/>
              </w:rPr>
            </w:r>
          </w:p>
        </w:tc>
      </w:tr>
      <w:tr>
        <w:trPr/>
        <w:tc>
          <w:tcPr>
            <w:tcW w:w="5203"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JPMORGAN CHASE BANK, N.A.,</w:t>
            </w:r>
          </w:p>
          <w:p>
            <w:pPr>
              <w:pStyle w:val="TableContents"/>
              <w:bidi w:val="0"/>
              <w:spacing w:before="0" w:after="0"/>
              <w:jc w:val="center"/>
              <w:rPr>
                <w:rFonts w:ascii="Times New Roman" w:hAnsi="Times New Roman"/>
                <w:i/>
                <w:sz w:val="20"/>
              </w:rPr>
            </w:pPr>
            <w:r>
              <w:rPr>
                <w:rFonts w:ascii="Times New Roman" w:hAnsi="Times New Roman"/>
                <w:i/>
                <w:sz w:val="20"/>
              </w:rPr>
              <w:t>as Administrative Agent, Global Coordinator,</w:t>
            </w:r>
          </w:p>
          <w:p>
            <w:pPr>
              <w:pStyle w:val="TableContents"/>
              <w:bidi w:val="0"/>
              <w:spacing w:before="0" w:after="20"/>
              <w:jc w:val="center"/>
              <w:rPr>
                <w:rFonts w:ascii="Times New Roman" w:hAnsi="Times New Roman"/>
                <w:i/>
                <w:sz w:val="20"/>
              </w:rPr>
            </w:pPr>
            <w:r>
              <w:rPr>
                <w:rFonts w:ascii="Times New Roman" w:hAnsi="Times New Roman"/>
                <w:i/>
                <w:sz w:val="20"/>
              </w:rPr>
              <w:t>Joint Lead Arranger and Joint Bookrunner</w:t>
            </w:r>
          </w:p>
        </w:tc>
        <w:tc>
          <w:tcPr>
            <w:tcW w:w="124" w:type="dxa"/>
            <w:tcBorders/>
            <w:vAlign w:val="bottom"/>
          </w:tcPr>
          <w:p>
            <w:pPr>
              <w:pStyle w:val="TableContents"/>
              <w:bidi w:val="0"/>
              <w:spacing w:before="0" w:after="283"/>
              <w:jc w:val="left"/>
              <w:rPr/>
            </w:pPr>
            <w:r>
              <w:rPr/>
              <w:t>  </w:t>
            </w:r>
          </w:p>
        </w:tc>
        <w:tc>
          <w:tcPr>
            <w:tcW w:w="4878"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CITIBANK, N.A.,</w:t>
            </w:r>
          </w:p>
          <w:p>
            <w:pPr>
              <w:pStyle w:val="TableContents"/>
              <w:bidi w:val="0"/>
              <w:spacing w:before="0" w:after="0"/>
              <w:jc w:val="center"/>
              <w:rPr>
                <w:rFonts w:ascii="Times New Roman" w:hAnsi="Times New Roman"/>
                <w:i/>
                <w:sz w:val="20"/>
              </w:rPr>
            </w:pPr>
            <w:r>
              <w:rPr>
                <w:rFonts w:ascii="Times New Roman" w:hAnsi="Times New Roman"/>
                <w:i/>
                <w:sz w:val="20"/>
              </w:rPr>
              <w:t>as Syndication Agent and as Global Coordinator,</w:t>
            </w:r>
          </w:p>
          <w:p>
            <w:pPr>
              <w:pStyle w:val="TableContents"/>
              <w:bidi w:val="0"/>
              <w:spacing w:before="0" w:after="20"/>
              <w:jc w:val="center"/>
              <w:rPr>
                <w:rFonts w:ascii="Times New Roman" w:hAnsi="Times New Roman"/>
                <w:i/>
                <w:sz w:val="20"/>
              </w:rPr>
            </w:pPr>
            <w:r>
              <w:rPr>
                <w:rFonts w:ascii="Times New Roman" w:hAnsi="Times New Roman"/>
                <w:i/>
                <w:sz w:val="20"/>
              </w:rPr>
              <w:t>Joint Lead Arranger and Joint Bookrunner</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7"/>
        <w:gridCol w:w="120"/>
        <w:gridCol w:w="4898"/>
      </w:tblGrid>
      <w:tr>
        <w:trPr/>
        <w:tc>
          <w:tcPr>
            <w:tcW w:w="518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98" w:type="dxa"/>
            <w:tcBorders/>
            <w:vAlign w:val="center"/>
          </w:tcPr>
          <w:p>
            <w:pPr>
              <w:pStyle w:val="TableContents"/>
              <w:bidi w:val="0"/>
              <w:spacing w:before="0" w:after="283"/>
              <w:jc w:val="left"/>
              <w:rPr>
                <w:sz w:val="4"/>
                <w:szCs w:val="4"/>
              </w:rPr>
            </w:pPr>
            <w:r>
              <w:rPr>
                <w:sz w:val="4"/>
                <w:szCs w:val="4"/>
              </w:rPr>
            </w:r>
          </w:p>
        </w:tc>
      </w:tr>
      <w:tr>
        <w:trPr/>
        <w:tc>
          <w:tcPr>
            <w:tcW w:w="5187" w:type="dxa"/>
            <w:tcBorders/>
            <w:vAlign w:val="bottom"/>
          </w:tcPr>
          <w:p>
            <w:pPr>
              <w:pStyle w:val="TableContents"/>
              <w:bidi w:val="0"/>
              <w:spacing w:before="0" w:after="283"/>
              <w:jc w:val="center"/>
              <w:rPr/>
            </w:pPr>
            <w:r>
              <w:rPr/>
              <w:t>LLOYDS BANK PLC1,2</w:t>
            </w:r>
          </w:p>
        </w:tc>
        <w:tc>
          <w:tcPr>
            <w:tcW w:w="120" w:type="dxa"/>
            <w:tcBorders/>
            <w:vAlign w:val="bottom"/>
          </w:tcPr>
          <w:p>
            <w:pPr>
              <w:pStyle w:val="TableContents"/>
              <w:bidi w:val="0"/>
              <w:spacing w:before="0" w:after="283"/>
              <w:jc w:val="left"/>
              <w:rPr/>
            </w:pPr>
            <w:r>
              <w:rPr/>
              <w:t>  </w:t>
            </w:r>
          </w:p>
        </w:tc>
        <w:tc>
          <w:tcPr>
            <w:tcW w:w="4898"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THE TORONTO</w:t>
            </w:r>
          </w:p>
          <w:p>
            <w:pPr>
              <w:pStyle w:val="TableContents"/>
              <w:bidi w:val="0"/>
              <w:spacing w:before="0" w:after="0"/>
              <w:jc w:val="center"/>
              <w:rPr>
                <w:rFonts w:ascii="Times New Roman" w:hAnsi="Times New Roman"/>
                <w:sz w:val="20"/>
              </w:rPr>
            </w:pPr>
            <w:r>
              <w:rPr>
                <w:rFonts w:ascii="Times New Roman" w:hAnsi="Times New Roman"/>
                <w:sz w:val="20"/>
              </w:rPr>
              <w:t>DOMINION BANK, NEW</w:t>
            </w:r>
          </w:p>
          <w:p>
            <w:pPr>
              <w:pStyle w:val="TableContents"/>
              <w:bidi w:val="0"/>
              <w:spacing w:before="0" w:after="20"/>
              <w:jc w:val="center"/>
              <w:rPr>
                <w:rFonts w:ascii="Times New Roman" w:hAnsi="Times New Roman"/>
                <w:sz w:val="20"/>
              </w:rPr>
            </w:pPr>
            <w:r>
              <w:rPr>
                <w:rFonts w:ascii="Times New Roman" w:hAnsi="Times New Roman"/>
                <w:sz w:val="20"/>
              </w:rPr>
              <w:t>YORK BRANCH1,2</w:t>
            </w:r>
          </w:p>
        </w:tc>
      </w:tr>
      <w:tr>
        <w:trPr/>
        <w:tc>
          <w:tcPr>
            <w:tcW w:w="5187" w:type="dxa"/>
            <w:tcBorders/>
            <w:vAlign w:val="bottom"/>
          </w:tcPr>
          <w:p>
            <w:pPr>
              <w:pStyle w:val="TableContents"/>
              <w:bidi w:val="0"/>
              <w:spacing w:before="0" w:after="283"/>
              <w:jc w:val="center"/>
              <w:rPr>
                <w:i/>
              </w:rPr>
            </w:pPr>
            <w:r>
              <w:rPr>
                <w:i/>
              </w:rPr>
              <w:t>as European Regional Coordinator</w:t>
            </w:r>
          </w:p>
        </w:tc>
        <w:tc>
          <w:tcPr>
            <w:tcW w:w="120" w:type="dxa"/>
            <w:tcBorders/>
            <w:vAlign w:val="bottom"/>
          </w:tcPr>
          <w:p>
            <w:pPr>
              <w:pStyle w:val="TableContents"/>
              <w:bidi w:val="0"/>
              <w:spacing w:before="0" w:after="283"/>
              <w:jc w:val="left"/>
              <w:rPr/>
            </w:pPr>
            <w:r>
              <w:rPr/>
              <w:t>  </w:t>
            </w:r>
          </w:p>
        </w:tc>
        <w:tc>
          <w:tcPr>
            <w:tcW w:w="4898" w:type="dxa"/>
            <w:tcBorders/>
            <w:vAlign w:val="bottom"/>
          </w:tcPr>
          <w:p>
            <w:pPr>
              <w:pStyle w:val="TableContents"/>
              <w:bidi w:val="0"/>
              <w:spacing w:before="0" w:after="283"/>
              <w:jc w:val="center"/>
              <w:rPr>
                <w:i/>
              </w:rPr>
            </w:pPr>
            <w:r>
              <w:rPr>
                <w:i/>
              </w:rPr>
              <w:t>as North American Regional Coordinator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70"/>
        <w:gridCol w:w="121"/>
        <w:gridCol w:w="1743"/>
        <w:gridCol w:w="121"/>
        <w:gridCol w:w="2264"/>
        <w:gridCol w:w="138"/>
        <w:gridCol w:w="1921"/>
        <w:gridCol w:w="121"/>
        <w:gridCol w:w="2306"/>
      </w:tblGrid>
      <w:tr>
        <w:trPr/>
        <w:tc>
          <w:tcPr>
            <w:tcW w:w="147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r>
      <w:tr>
        <w:trPr/>
        <w:tc>
          <w:tcPr>
            <w:tcW w:w="1470" w:type="dxa"/>
            <w:tcBorders/>
            <w:vAlign w:val="bottom"/>
          </w:tcPr>
          <w:p>
            <w:pPr>
              <w:pStyle w:val="TableContents"/>
              <w:bidi w:val="0"/>
              <w:spacing w:before="0" w:after="283"/>
              <w:jc w:val="center"/>
              <w:rPr/>
            </w:pPr>
            <w:r>
              <w:rPr/>
              <w:t>BARCLAYS</w:t>
              <w:br/>
              <w:t>BANK PLC1,2</w:t>
            </w:r>
          </w:p>
        </w:tc>
        <w:tc>
          <w:tcPr>
            <w:tcW w:w="121"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center"/>
              <w:rPr/>
            </w:pPr>
            <w:r>
              <w:rPr/>
              <w:t>BANCO BILBAO</w:t>
              <w:br/>
              <w:t>VIZCAYA</w:t>
              <w:br/>
              <w:t>ARGENTARIA,</w:t>
              <w:br/>
              <w:t>S.A. NEW YORK</w:t>
              <w:br/>
              <w:t>BRANCH1,2</w:t>
            </w:r>
          </w:p>
        </w:tc>
        <w:tc>
          <w:tcPr>
            <w:tcW w:w="121" w:type="dxa"/>
            <w:tcBorders/>
            <w:vAlign w:val="bottom"/>
          </w:tcPr>
          <w:p>
            <w:pPr>
              <w:pStyle w:val="TableContents"/>
              <w:bidi w:val="0"/>
              <w:spacing w:before="0" w:after="283"/>
              <w:jc w:val="left"/>
              <w:rPr/>
            </w:pPr>
            <w:r>
              <w:rPr/>
              <w:t>  </w:t>
            </w:r>
          </w:p>
        </w:tc>
        <w:tc>
          <w:tcPr>
            <w:tcW w:w="2264" w:type="dxa"/>
            <w:tcBorders/>
            <w:vAlign w:val="bottom"/>
          </w:tcPr>
          <w:p>
            <w:pPr>
              <w:pStyle w:val="TableContents"/>
              <w:bidi w:val="0"/>
              <w:spacing w:before="0" w:after="283"/>
              <w:jc w:val="center"/>
              <w:rPr/>
            </w:pPr>
            <w:r>
              <w:rPr/>
              <w:t>BNP PARIBAS1,2</w:t>
            </w:r>
          </w:p>
        </w:tc>
        <w:tc>
          <w:tcPr>
            <w:tcW w:w="138" w:type="dxa"/>
            <w:tcBorders/>
            <w:vAlign w:val="bottom"/>
          </w:tcPr>
          <w:p>
            <w:pPr>
              <w:pStyle w:val="TableContents"/>
              <w:bidi w:val="0"/>
              <w:spacing w:before="0" w:after="283"/>
              <w:jc w:val="left"/>
              <w:rPr/>
            </w:pPr>
            <w:r>
              <w:rPr/>
              <w:t>  </w:t>
            </w:r>
          </w:p>
        </w:tc>
        <w:tc>
          <w:tcPr>
            <w:tcW w:w="4348" w:type="dxa"/>
            <w:gridSpan w:val="3"/>
            <w:tcBorders/>
            <w:vAlign w:val="bottom"/>
          </w:tcPr>
          <w:p>
            <w:pPr>
              <w:pStyle w:val="TableContents"/>
              <w:bidi w:val="0"/>
              <w:spacing w:before="0" w:after="283"/>
              <w:jc w:val="center"/>
              <w:rPr/>
            </w:pPr>
            <w:r>
              <w:rPr/>
              <w:t>CREDIT AGRICOLE CORPORATE AND INVESTMENT BANK 1,2</w:t>
            </w:r>
          </w:p>
        </w:tc>
      </w:tr>
      <w:tr>
        <w:trPr>
          <w:trHeight w:val="240" w:hRule="atLeast"/>
        </w:trPr>
        <w:tc>
          <w:tcPr>
            <w:tcW w:w="1470" w:type="dxa"/>
            <w:tcBorders/>
            <w:vAlign w:val="center"/>
          </w:tcPr>
          <w:p>
            <w:pPr>
              <w:pStyle w:val="TableContents"/>
              <w:bidi w:val="0"/>
              <w:spacing w:before="0" w:after="283"/>
              <w:jc w:val="left"/>
              <w:rPr>
                <w:sz w:val="4"/>
                <w:szCs w:val="4"/>
              </w:rPr>
            </w:pPr>
            <w:r>
              <w:rPr>
                <w:sz w:val="4"/>
                <w:szCs w:val="4"/>
              </w:rPr>
            </w:r>
          </w:p>
        </w:tc>
        <w:tc>
          <w:tcPr>
            <w:tcW w:w="1864" w:type="dxa"/>
            <w:gridSpan w:val="2"/>
            <w:tcBorders/>
            <w:vAlign w:val="center"/>
          </w:tcPr>
          <w:p>
            <w:pPr>
              <w:pStyle w:val="TableContents"/>
              <w:bidi w:val="0"/>
              <w:spacing w:before="0" w:after="283"/>
              <w:jc w:val="left"/>
              <w:rPr>
                <w:sz w:val="4"/>
                <w:szCs w:val="4"/>
              </w:rPr>
            </w:pPr>
            <w:r>
              <w:rPr>
                <w:sz w:val="4"/>
                <w:szCs w:val="4"/>
              </w:rPr>
            </w:r>
          </w:p>
        </w:tc>
        <w:tc>
          <w:tcPr>
            <w:tcW w:w="2385" w:type="dxa"/>
            <w:gridSpan w:val="2"/>
            <w:tcBorders/>
            <w:vAlign w:val="center"/>
          </w:tcPr>
          <w:p>
            <w:pPr>
              <w:pStyle w:val="TableContents"/>
              <w:bidi w:val="0"/>
              <w:spacing w:before="0" w:after="283"/>
              <w:jc w:val="left"/>
              <w:rPr>
                <w:sz w:val="4"/>
                <w:szCs w:val="4"/>
              </w:rPr>
            </w:pPr>
            <w:r>
              <w:rPr>
                <w:sz w:val="4"/>
                <w:szCs w:val="4"/>
              </w:rPr>
            </w:r>
          </w:p>
        </w:tc>
        <w:tc>
          <w:tcPr>
            <w:tcW w:w="2059" w:type="dxa"/>
            <w:gridSpan w:val="2"/>
            <w:tcBorders/>
            <w:vAlign w:val="center"/>
          </w:tcPr>
          <w:p>
            <w:pPr>
              <w:pStyle w:val="TableContents"/>
              <w:bidi w:val="0"/>
              <w:spacing w:before="0" w:after="283"/>
              <w:jc w:val="left"/>
              <w:rPr>
                <w:sz w:val="4"/>
                <w:szCs w:val="4"/>
              </w:rPr>
            </w:pPr>
            <w:r>
              <w:rPr>
                <w:sz w:val="4"/>
                <w:szCs w:val="4"/>
              </w:rPr>
            </w:r>
          </w:p>
        </w:tc>
        <w:tc>
          <w:tcPr>
            <w:tcW w:w="2427" w:type="dxa"/>
            <w:gridSpan w:val="2"/>
            <w:tcBorders/>
            <w:vAlign w:val="center"/>
          </w:tcPr>
          <w:p>
            <w:pPr>
              <w:pStyle w:val="TableContents"/>
              <w:bidi w:val="0"/>
              <w:spacing w:before="0" w:after="283"/>
              <w:jc w:val="left"/>
              <w:rPr>
                <w:sz w:val="4"/>
                <w:szCs w:val="4"/>
              </w:rPr>
            </w:pPr>
            <w:r>
              <w:rPr>
                <w:sz w:val="4"/>
                <w:szCs w:val="4"/>
              </w:rPr>
            </w:r>
          </w:p>
        </w:tc>
      </w:tr>
      <w:tr>
        <w:trPr/>
        <w:tc>
          <w:tcPr>
            <w:tcW w:w="147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DEUTSCHE</w:t>
            </w:r>
          </w:p>
          <w:p>
            <w:pPr>
              <w:pStyle w:val="TableContents"/>
              <w:bidi w:val="0"/>
              <w:spacing w:before="0" w:after="0"/>
              <w:jc w:val="center"/>
              <w:rPr>
                <w:rFonts w:ascii="Times New Roman" w:hAnsi="Times New Roman"/>
                <w:sz w:val="20"/>
              </w:rPr>
            </w:pPr>
            <w:r>
              <w:rPr>
                <w:rFonts w:ascii="Times New Roman" w:hAnsi="Times New Roman"/>
                <w:sz w:val="20"/>
              </w:rPr>
              <w:t>BANK</w:t>
            </w:r>
          </w:p>
          <w:p>
            <w:pPr>
              <w:pStyle w:val="TableContents"/>
              <w:bidi w:val="0"/>
              <w:spacing w:before="0" w:after="0"/>
              <w:jc w:val="center"/>
              <w:rPr>
                <w:rFonts w:ascii="Times New Roman" w:hAnsi="Times New Roman"/>
                <w:sz w:val="20"/>
              </w:rPr>
            </w:pPr>
            <w:r>
              <w:rPr>
                <w:rFonts w:ascii="Times New Roman" w:hAnsi="Times New Roman"/>
                <w:sz w:val="20"/>
              </w:rPr>
              <w:t>SECURITIES</w:t>
            </w:r>
          </w:p>
          <w:p>
            <w:pPr>
              <w:pStyle w:val="TableContents"/>
              <w:bidi w:val="0"/>
              <w:spacing w:before="0" w:after="20"/>
              <w:jc w:val="center"/>
              <w:rPr>
                <w:rFonts w:ascii="Times New Roman" w:hAnsi="Times New Roman"/>
                <w:sz w:val="20"/>
              </w:rPr>
            </w:pPr>
            <w:r>
              <w:rPr>
                <w:rFonts w:ascii="Times New Roman" w:hAnsi="Times New Roman"/>
                <w:sz w:val="20"/>
              </w:rPr>
              <w:t>INC.1,2</w:t>
            </w:r>
          </w:p>
        </w:tc>
        <w:tc>
          <w:tcPr>
            <w:tcW w:w="121"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GOLDMAN</w:t>
            </w:r>
          </w:p>
          <w:p>
            <w:pPr>
              <w:pStyle w:val="TableContents"/>
              <w:bidi w:val="0"/>
              <w:spacing w:before="0" w:after="0"/>
              <w:jc w:val="center"/>
              <w:rPr>
                <w:rFonts w:ascii="Times New Roman" w:hAnsi="Times New Roman"/>
                <w:sz w:val="20"/>
              </w:rPr>
            </w:pPr>
            <w:r>
              <w:rPr>
                <w:rFonts w:ascii="Times New Roman" w:hAnsi="Times New Roman"/>
                <w:sz w:val="20"/>
              </w:rPr>
              <w:t>SACHS BANK</w:t>
            </w:r>
          </w:p>
          <w:p>
            <w:pPr>
              <w:pStyle w:val="TableContents"/>
              <w:bidi w:val="0"/>
              <w:spacing w:before="0" w:after="20"/>
              <w:jc w:val="center"/>
              <w:rPr>
                <w:rFonts w:ascii="Times New Roman" w:hAnsi="Times New Roman"/>
                <w:sz w:val="20"/>
              </w:rPr>
            </w:pPr>
            <w:r>
              <w:rPr>
                <w:rFonts w:ascii="Times New Roman" w:hAnsi="Times New Roman"/>
                <w:sz w:val="20"/>
              </w:rPr>
              <w:t>USA1,2</w:t>
            </w:r>
          </w:p>
        </w:tc>
        <w:tc>
          <w:tcPr>
            <w:tcW w:w="121" w:type="dxa"/>
            <w:tcBorders/>
            <w:vAlign w:val="bottom"/>
          </w:tcPr>
          <w:p>
            <w:pPr>
              <w:pStyle w:val="TableContents"/>
              <w:bidi w:val="0"/>
              <w:spacing w:before="0" w:after="283"/>
              <w:jc w:val="left"/>
              <w:rPr/>
            </w:pPr>
            <w:r>
              <w:rPr/>
              <w:t>  </w:t>
            </w:r>
          </w:p>
        </w:tc>
        <w:tc>
          <w:tcPr>
            <w:tcW w:w="2264"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BANK OF AMERICA, N.A.1</w:t>
            </w:r>
          </w:p>
          <w:p>
            <w:pPr>
              <w:pStyle w:val="TableContents"/>
              <w:bidi w:val="0"/>
              <w:spacing w:before="0" w:after="20"/>
              <w:jc w:val="center"/>
              <w:rPr>
                <w:rFonts w:ascii="Times New Roman" w:hAnsi="Times New Roman"/>
                <w:i/>
                <w:sz w:val="20"/>
              </w:rPr>
            </w:pPr>
            <w:r>
              <w:rPr>
                <w:rFonts w:ascii="Times New Roman" w:hAnsi="Times New Roman"/>
                <w:i/>
                <w:sz w:val="20"/>
              </w:rPr>
              <w:t>as Co-Syndication Agent</w:t>
            </w:r>
          </w:p>
        </w:tc>
        <w:tc>
          <w:tcPr>
            <w:tcW w:w="138" w:type="dxa"/>
            <w:tcBorders/>
            <w:vAlign w:val="bottom"/>
          </w:tcPr>
          <w:p>
            <w:pPr>
              <w:pStyle w:val="TableContents"/>
              <w:bidi w:val="0"/>
              <w:spacing w:before="0" w:after="283"/>
              <w:jc w:val="left"/>
              <w:rPr/>
            </w:pPr>
            <w:r>
              <w:rPr/>
              <w:t>  </w:t>
            </w:r>
          </w:p>
        </w:tc>
        <w:tc>
          <w:tcPr>
            <w:tcW w:w="1921" w:type="dxa"/>
            <w:tcBorders/>
            <w:vAlign w:val="bottom"/>
          </w:tcPr>
          <w:p>
            <w:pPr>
              <w:pStyle w:val="TableContents"/>
              <w:bidi w:val="0"/>
              <w:spacing w:before="0" w:after="283"/>
              <w:jc w:val="center"/>
              <w:rPr/>
            </w:pPr>
            <w:r>
              <w:rPr/>
              <w:t>MIZUHO BANK, LTD.1,2</w:t>
            </w:r>
          </w:p>
        </w:tc>
        <w:tc>
          <w:tcPr>
            <w:tcW w:w="121" w:type="dxa"/>
            <w:tcBorders/>
            <w:vAlign w:val="bottom"/>
          </w:tcPr>
          <w:p>
            <w:pPr>
              <w:pStyle w:val="TableContents"/>
              <w:bidi w:val="0"/>
              <w:spacing w:before="0" w:after="283"/>
              <w:jc w:val="left"/>
              <w:rPr/>
            </w:pPr>
            <w:r>
              <w:rPr/>
              <w:t>  </w:t>
            </w:r>
          </w:p>
        </w:tc>
        <w:tc>
          <w:tcPr>
            <w:tcW w:w="2306" w:type="dxa"/>
            <w:tcBorders/>
            <w:vAlign w:val="bottom"/>
          </w:tcPr>
          <w:p>
            <w:pPr>
              <w:pStyle w:val="TableContents"/>
              <w:bidi w:val="0"/>
              <w:spacing w:before="0" w:after="283"/>
              <w:jc w:val="center"/>
              <w:rPr/>
            </w:pPr>
            <w:r>
              <w:rPr/>
              <w:t>MORGAN STANLEY SENIOR FUNDING, INC.1,2</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06"/>
        <w:gridCol w:w="124"/>
        <w:gridCol w:w="1344"/>
        <w:gridCol w:w="124"/>
        <w:gridCol w:w="1810"/>
        <w:gridCol w:w="221"/>
        <w:gridCol w:w="1628"/>
        <w:gridCol w:w="124"/>
        <w:gridCol w:w="1278"/>
        <w:gridCol w:w="124"/>
        <w:gridCol w:w="1622"/>
      </w:tblGrid>
      <w:tr>
        <w:trPr/>
        <w:tc>
          <w:tcPr>
            <w:tcW w:w="180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r>
      <w:tr>
        <w:trPr/>
        <w:tc>
          <w:tcPr>
            <w:tcW w:w="1806"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INTESA</w:t>
            </w:r>
          </w:p>
          <w:p>
            <w:pPr>
              <w:pStyle w:val="TableContents"/>
              <w:bidi w:val="0"/>
              <w:spacing w:before="0" w:after="0"/>
              <w:jc w:val="center"/>
              <w:rPr>
                <w:rFonts w:ascii="Times New Roman" w:hAnsi="Times New Roman"/>
                <w:sz w:val="20"/>
              </w:rPr>
            </w:pPr>
            <w:r>
              <w:rPr>
                <w:rFonts w:ascii="Times New Roman" w:hAnsi="Times New Roman"/>
                <w:sz w:val="20"/>
              </w:rPr>
              <w:t>SANPAOLO</w:t>
            </w:r>
          </w:p>
          <w:p>
            <w:pPr>
              <w:pStyle w:val="TableContents"/>
              <w:bidi w:val="0"/>
              <w:spacing w:before="0" w:after="0"/>
              <w:jc w:val="center"/>
              <w:rPr>
                <w:rFonts w:ascii="Times New Roman" w:hAnsi="Times New Roman"/>
                <w:sz w:val="20"/>
              </w:rPr>
            </w:pPr>
            <w:r>
              <w:rPr>
                <w:rFonts w:ascii="Times New Roman" w:hAnsi="Times New Roman"/>
                <w:sz w:val="20"/>
              </w:rPr>
              <w:t>S.P.A., NEW</w:t>
            </w:r>
          </w:p>
          <w:p>
            <w:pPr>
              <w:pStyle w:val="TableContents"/>
              <w:bidi w:val="0"/>
              <w:spacing w:before="0" w:after="20"/>
              <w:jc w:val="center"/>
              <w:rPr>
                <w:rFonts w:ascii="Times New Roman" w:hAnsi="Times New Roman"/>
                <w:sz w:val="20"/>
              </w:rPr>
            </w:pPr>
            <w:r>
              <w:rPr>
                <w:rFonts w:ascii="Times New Roman" w:hAnsi="Times New Roman"/>
                <w:sz w:val="20"/>
              </w:rPr>
              <w:t>YORK BRANCH1</w:t>
            </w:r>
          </w:p>
        </w:tc>
        <w:tc>
          <w:tcPr>
            <w:tcW w:w="124"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RBC CAPITAL</w:t>
            </w:r>
          </w:p>
          <w:p>
            <w:pPr>
              <w:pStyle w:val="TableContents"/>
              <w:bidi w:val="0"/>
              <w:spacing w:before="0" w:after="0"/>
              <w:jc w:val="center"/>
              <w:rPr>
                <w:rFonts w:ascii="Times New Roman" w:hAnsi="Times New Roman"/>
                <w:sz w:val="20"/>
              </w:rPr>
            </w:pPr>
            <w:r>
              <w:rPr>
                <w:rFonts w:ascii="Times New Roman" w:hAnsi="Times New Roman"/>
                <w:sz w:val="20"/>
              </w:rPr>
              <w:t>MARKETS1</w:t>
            </w:r>
          </w:p>
          <w:p>
            <w:pPr>
              <w:pStyle w:val="TableContents"/>
              <w:bidi w:val="0"/>
              <w:spacing w:before="0" w:after="0"/>
              <w:jc w:val="center"/>
              <w:rPr>
                <w:rFonts w:ascii="Times New Roman" w:hAnsi="Times New Roman"/>
                <w:sz w:val="20"/>
              </w:rPr>
            </w:pPr>
            <w:r>
              <w:rPr>
                <w:rFonts w:ascii="Times New Roman" w:hAnsi="Times New Roman"/>
                <w:sz w:val="20"/>
              </w:rPr>
              <w:t>ROYAL BANK OF</w:t>
            </w:r>
          </w:p>
          <w:p>
            <w:pPr>
              <w:pStyle w:val="TableContents"/>
              <w:bidi w:val="0"/>
              <w:spacing w:before="0" w:after="20"/>
              <w:jc w:val="center"/>
              <w:rPr>
                <w:rFonts w:ascii="Times New Roman" w:hAnsi="Times New Roman"/>
                <w:sz w:val="20"/>
              </w:rPr>
            </w:pPr>
            <w:r>
              <w:rPr>
                <w:rFonts w:ascii="Times New Roman" w:hAnsi="Times New Roman"/>
                <w:sz w:val="20"/>
              </w:rPr>
              <w:t>CANADA2</w:t>
            </w:r>
          </w:p>
        </w:tc>
        <w:tc>
          <w:tcPr>
            <w:tcW w:w="124" w:type="dxa"/>
            <w:tcBorders/>
            <w:vAlign w:val="bottom"/>
          </w:tcPr>
          <w:p>
            <w:pPr>
              <w:pStyle w:val="TableContents"/>
              <w:bidi w:val="0"/>
              <w:spacing w:before="0" w:after="283"/>
              <w:jc w:val="left"/>
              <w:rPr/>
            </w:pPr>
            <w:r>
              <w:rPr/>
              <w:t>  </w:t>
            </w:r>
          </w:p>
        </w:tc>
        <w:tc>
          <w:tcPr>
            <w:tcW w:w="181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SUMITOMO</w:t>
            </w:r>
          </w:p>
          <w:p>
            <w:pPr>
              <w:pStyle w:val="TableContents"/>
              <w:bidi w:val="0"/>
              <w:spacing w:before="0" w:after="0"/>
              <w:jc w:val="center"/>
              <w:rPr>
                <w:rFonts w:ascii="Times New Roman" w:hAnsi="Times New Roman"/>
                <w:sz w:val="20"/>
              </w:rPr>
            </w:pPr>
            <w:r>
              <w:rPr>
                <w:rFonts w:ascii="Times New Roman" w:hAnsi="Times New Roman"/>
                <w:sz w:val="20"/>
              </w:rPr>
              <w:t>MITSUI</w:t>
            </w:r>
          </w:p>
          <w:p>
            <w:pPr>
              <w:pStyle w:val="TableContents"/>
              <w:bidi w:val="0"/>
              <w:spacing w:before="0" w:after="20"/>
              <w:jc w:val="center"/>
              <w:rPr>
                <w:rFonts w:ascii="Times New Roman" w:hAnsi="Times New Roman"/>
                <w:sz w:val="20"/>
              </w:rPr>
            </w:pPr>
            <w:r>
              <w:rPr>
                <w:rFonts w:ascii="Times New Roman" w:hAnsi="Times New Roman"/>
                <w:sz w:val="20"/>
              </w:rPr>
              <w:t>BANKING CORPORATION1,2</w:t>
            </w:r>
          </w:p>
        </w:tc>
        <w:tc>
          <w:tcPr>
            <w:tcW w:w="221" w:type="dxa"/>
            <w:tcBorders/>
            <w:vAlign w:val="bottom"/>
          </w:tcPr>
          <w:p>
            <w:pPr>
              <w:pStyle w:val="TableContents"/>
              <w:bidi w:val="0"/>
              <w:spacing w:before="0" w:after="283"/>
              <w:jc w:val="left"/>
              <w:rPr/>
            </w:pPr>
            <w:r>
              <w:rPr/>
              <w:t>  </w:t>
            </w:r>
          </w:p>
        </w:tc>
        <w:tc>
          <w:tcPr>
            <w:tcW w:w="1628" w:type="dxa"/>
            <w:tcBorders/>
            <w:vAlign w:val="bottom"/>
          </w:tcPr>
          <w:p>
            <w:pPr>
              <w:pStyle w:val="TableContents"/>
              <w:bidi w:val="0"/>
              <w:spacing w:before="0" w:after="283"/>
              <w:jc w:val="center"/>
              <w:rPr/>
            </w:pPr>
            <w:r>
              <w:rPr/>
              <w:t>SOCIÉTÉ GÉNÉRALE1,2</w:t>
            </w:r>
          </w:p>
        </w:tc>
        <w:tc>
          <w:tcPr>
            <w:tcW w:w="124"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center"/>
              <w:rPr/>
            </w:pPr>
            <w:r>
              <w:rPr/>
              <w:t>THE BANK OF NOVA SCOTIA1,2</w:t>
            </w:r>
          </w:p>
        </w:tc>
        <w:tc>
          <w:tcPr>
            <w:tcW w:w="124" w:type="dxa"/>
            <w:tcBorders/>
            <w:vAlign w:val="bottom"/>
          </w:tcPr>
          <w:p>
            <w:pPr>
              <w:pStyle w:val="TableContents"/>
              <w:bidi w:val="0"/>
              <w:spacing w:before="0" w:after="283"/>
              <w:jc w:val="left"/>
              <w:rPr/>
            </w:pPr>
            <w:r>
              <w:rPr/>
              <w:t>  </w:t>
            </w:r>
          </w:p>
        </w:tc>
        <w:tc>
          <w:tcPr>
            <w:tcW w:w="1622" w:type="dxa"/>
            <w:tcBorders/>
            <w:vAlign w:val="bottom"/>
          </w:tcPr>
          <w:p>
            <w:pPr>
              <w:pStyle w:val="TableContents"/>
              <w:bidi w:val="0"/>
              <w:spacing w:before="0" w:after="283"/>
              <w:jc w:val="center"/>
              <w:rPr/>
            </w:pPr>
            <w:r>
              <w:rPr/>
              <w:t>BANCO SANTANDER, S.A., NEW YORK BRANCH1</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As Joint Bookrunners and Joint Lead Arrangers when noted ( 1 ) and as Documentation Agents when noted ( 2 )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8"/>
        <w:gridCol w:w="75"/>
        <w:gridCol w:w="8890"/>
        <w:gridCol w:w="133"/>
        <w:gridCol w:w="96"/>
        <w:gridCol w:w="419"/>
        <w:gridCol w:w="64"/>
      </w:tblGrid>
      <w:tr>
        <w:trPr/>
        <w:tc>
          <w:tcPr>
            <w:tcW w:w="528"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889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2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949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1. DEFINITIONS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528" w:type="dxa"/>
            <w:tcBorders/>
            <w:vAlign w:val="center"/>
          </w:tcPr>
          <w:p>
            <w:pPr>
              <w:pStyle w:val="TableContents"/>
              <w:bidi w:val="0"/>
              <w:spacing w:before="0" w:after="283"/>
              <w:jc w:val="left"/>
              <w:rPr>
                <w:sz w:val="4"/>
                <w:szCs w:val="4"/>
              </w:rPr>
            </w:pPr>
            <w:r>
              <w:rPr>
                <w:sz w:val="4"/>
                <w:szCs w:val="4"/>
              </w:rPr>
            </w:r>
          </w:p>
        </w:tc>
        <w:tc>
          <w:tcPr>
            <w:tcW w:w="8965"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Defined Terms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Other Definitional Provisions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Conversion of Foreign Currencies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1.4</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Other Interpretive Provisions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1.5</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Interest Rates; Benchmark Notification</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1.6</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Divisions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rHeight w:val="120" w:hRule="atLeast"/>
        </w:trPr>
        <w:tc>
          <w:tcPr>
            <w:tcW w:w="9493" w:type="dxa"/>
            <w:gridSpan w:val="3"/>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49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2. AMOUNT AND TERMS OF COMMITMENTS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528" w:type="dxa"/>
            <w:tcBorders/>
            <w:vAlign w:val="center"/>
          </w:tcPr>
          <w:p>
            <w:pPr>
              <w:pStyle w:val="TableContents"/>
              <w:bidi w:val="0"/>
              <w:spacing w:before="0" w:after="283"/>
              <w:jc w:val="left"/>
              <w:rPr>
                <w:sz w:val="4"/>
                <w:szCs w:val="4"/>
              </w:rPr>
            </w:pPr>
            <w:r>
              <w:rPr>
                <w:sz w:val="4"/>
                <w:szCs w:val="4"/>
              </w:rPr>
            </w:r>
          </w:p>
        </w:tc>
        <w:tc>
          <w:tcPr>
            <w:tcW w:w="8965"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Commitments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Procedure for Borrowing</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[Reserved]</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[Reserved]</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[Reserved]</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[Reserved]</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[Reserved]</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[Reserved]</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2.9</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[Reserved]</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2.10</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Facility Fees, etc.</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2.11</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Termination and Reduction of Commitments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2.12</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Optional Prepayments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2.13</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[Reserved]</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2.14</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Conversion and Continuation Options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2.15</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Limitations on Term Benchmark Tranches and Daily Simple SOFR Borrowings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2.16</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Interest Rates and Payment Dates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2.17</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Computation of Interest and Fees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2.18</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Alternate Rate of Interest</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2.19</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Pro Rata Treatment and Payments; Evidence of Debt</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2.20</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Requirements of Law</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2.21</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Taxes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2.22</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Indemnity</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2.23</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Change of Applicable Lending Office</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2.24</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Replacement/Termination of Lenders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2.25</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Defaulting Lender</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2.26</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Reallocation of Payments for the Account of Defaulting Lenders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2.27</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Incremental Commitments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528" w:type="dxa"/>
            <w:tcBorders/>
          </w:tcPr>
          <w:p>
            <w:pPr>
              <w:pStyle w:val="TableContents"/>
              <w:bidi w:val="0"/>
              <w:spacing w:before="0" w:after="0"/>
              <w:jc w:val="left"/>
              <w:rPr>
                <w:rFonts w:ascii="Times New Roman" w:hAnsi="Times New Roman"/>
                <w:sz w:val="20"/>
              </w:rPr>
            </w:pPr>
            <w:r>
              <w:rPr>
                <w:rFonts w:ascii="Times New Roman" w:hAnsi="Times New Roman"/>
                <w:sz w:val="20"/>
              </w:rPr>
              <w:t>2.28</w:t>
            </w:r>
          </w:p>
        </w:tc>
        <w:tc>
          <w:tcPr>
            <w:tcW w:w="75" w:type="dxa"/>
            <w:tcBorders/>
            <w:vAlign w:val="bottom"/>
          </w:tcPr>
          <w:p>
            <w:pPr>
              <w:pStyle w:val="TableContents"/>
              <w:bidi w:val="0"/>
              <w:spacing w:before="0" w:after="283"/>
              <w:jc w:val="left"/>
              <w:rPr/>
            </w:pPr>
            <w:r>
              <w:rPr/>
              <w:t> </w:t>
            </w:r>
          </w:p>
        </w:tc>
        <w:tc>
          <w:tcPr>
            <w:tcW w:w="8890" w:type="dxa"/>
            <w:tcBorders/>
            <w:vAlign w:val="bottom"/>
          </w:tcPr>
          <w:p>
            <w:pPr>
              <w:pStyle w:val="TableContents"/>
              <w:bidi w:val="0"/>
              <w:spacing w:before="0" w:after="283"/>
              <w:jc w:val="left"/>
              <w:rPr/>
            </w:pPr>
            <w:r>
              <w:rPr/>
              <w:t>Term Loan Conversion; Repayment of Converted Term Loans</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rHeight w:val="120" w:hRule="atLeast"/>
        </w:trPr>
        <w:tc>
          <w:tcPr>
            <w:tcW w:w="9493" w:type="dxa"/>
            <w:gridSpan w:val="3"/>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949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3. [RESERVED]</w:t>
            </w:r>
          </w:p>
        </w:tc>
        <w:tc>
          <w:tcPr>
            <w:tcW w:w="13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36"/>
        <w:gridCol w:w="106"/>
        <w:gridCol w:w="8724"/>
        <w:gridCol w:w="153"/>
        <w:gridCol w:w="60"/>
        <w:gridCol w:w="262"/>
        <w:gridCol w:w="64"/>
      </w:tblGrid>
      <w:tr>
        <w:trPr/>
        <w:tc>
          <w:tcPr>
            <w:tcW w:w="836"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8724"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66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4. REPRESENTATIONS AND WARRANTIES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rHeight w:val="120" w:hRule="atLeast"/>
        </w:trPr>
        <w:tc>
          <w:tcPr>
            <w:tcW w:w="836" w:type="dxa"/>
            <w:tcBorders/>
            <w:vAlign w:val="center"/>
          </w:tcPr>
          <w:p>
            <w:pPr>
              <w:pStyle w:val="TableContents"/>
              <w:bidi w:val="0"/>
              <w:spacing w:before="0" w:after="283"/>
              <w:jc w:val="left"/>
              <w:rPr>
                <w:sz w:val="4"/>
                <w:szCs w:val="4"/>
              </w:rPr>
            </w:pPr>
            <w:r>
              <w:rPr>
                <w:sz w:val="4"/>
                <w:szCs w:val="4"/>
              </w:rPr>
            </w:r>
          </w:p>
        </w:tc>
        <w:tc>
          <w:tcPr>
            <w:tcW w:w="8830" w:type="dxa"/>
            <w:gridSpan w:val="2"/>
            <w:tcBorders/>
            <w:vAlign w:val="center"/>
          </w:tcPr>
          <w:p>
            <w:pPr>
              <w:pStyle w:val="TableContents"/>
              <w:bidi w:val="0"/>
              <w:spacing w:before="0" w:after="283"/>
              <w:jc w:val="left"/>
              <w:rPr>
                <w:sz w:val="4"/>
                <w:szCs w:val="4"/>
              </w:rPr>
            </w:pPr>
            <w:r>
              <w:rPr>
                <w:sz w:val="4"/>
                <w:szCs w:val="4"/>
              </w:rPr>
            </w:r>
          </w:p>
        </w:tc>
        <w:tc>
          <w:tcPr>
            <w:tcW w:w="539" w:type="dxa"/>
            <w:gridSpan w:val="4"/>
            <w:tcBorders/>
            <w:vAlign w:val="center"/>
          </w:tcPr>
          <w:p>
            <w:pPr>
              <w:pStyle w:val="TableContents"/>
              <w:bidi w:val="0"/>
              <w:spacing w:before="0" w:after="283"/>
              <w:jc w:val="left"/>
              <w:rPr>
                <w:sz w:val="4"/>
                <w:szCs w:val="4"/>
              </w:rPr>
            </w:pPr>
            <w:r>
              <w:rPr>
                <w:sz w:val="4"/>
                <w:szCs w:val="4"/>
              </w:rPr>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Financial Condition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No Change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Existence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Power; Authorization; Enforceable Obligations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No Legal Bar</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Litigation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No Default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Ownership of Property</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Intellectual Property</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Federal Regulations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ERISA</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Investment Company Act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Ownership of the Subsidiary Borrowers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4.14</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Use of Proceeds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4.15</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Anti-Corruption Laws and Sanctions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rHeight w:val="120" w:hRule="atLeast"/>
        </w:trPr>
        <w:tc>
          <w:tcPr>
            <w:tcW w:w="9666" w:type="dxa"/>
            <w:gridSpan w:val="3"/>
            <w:tcBorders/>
            <w:vAlign w:val="center"/>
          </w:tcPr>
          <w:p>
            <w:pPr>
              <w:pStyle w:val="TableContents"/>
              <w:bidi w:val="0"/>
              <w:spacing w:before="0" w:after="283"/>
              <w:jc w:val="left"/>
              <w:rPr>
                <w:sz w:val="4"/>
                <w:szCs w:val="4"/>
              </w:rPr>
            </w:pPr>
            <w:r>
              <w:rPr>
                <w:sz w:val="4"/>
                <w:szCs w:val="4"/>
              </w:rPr>
            </w:r>
          </w:p>
        </w:tc>
        <w:tc>
          <w:tcPr>
            <w:tcW w:w="539" w:type="dxa"/>
            <w:gridSpan w:val="4"/>
            <w:tcBorders/>
            <w:vAlign w:val="center"/>
          </w:tcPr>
          <w:p>
            <w:pPr>
              <w:pStyle w:val="TableContents"/>
              <w:bidi w:val="0"/>
              <w:spacing w:before="0" w:after="283"/>
              <w:jc w:val="left"/>
              <w:rPr>
                <w:sz w:val="4"/>
                <w:szCs w:val="4"/>
              </w:rPr>
            </w:pPr>
            <w:r>
              <w:rPr>
                <w:sz w:val="4"/>
                <w:szCs w:val="4"/>
              </w:rPr>
            </w:r>
          </w:p>
        </w:tc>
      </w:tr>
      <w:tr>
        <w:trPr/>
        <w:tc>
          <w:tcPr>
            <w:tcW w:w="966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5. CONDITIONS PRECEDENT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rHeight w:val="120" w:hRule="atLeast"/>
        </w:trPr>
        <w:tc>
          <w:tcPr>
            <w:tcW w:w="836" w:type="dxa"/>
            <w:tcBorders/>
            <w:vAlign w:val="center"/>
          </w:tcPr>
          <w:p>
            <w:pPr>
              <w:pStyle w:val="TableContents"/>
              <w:bidi w:val="0"/>
              <w:spacing w:before="0" w:after="283"/>
              <w:jc w:val="left"/>
              <w:rPr>
                <w:sz w:val="4"/>
                <w:szCs w:val="4"/>
              </w:rPr>
            </w:pPr>
            <w:r>
              <w:rPr>
                <w:sz w:val="4"/>
                <w:szCs w:val="4"/>
              </w:rPr>
            </w:r>
          </w:p>
        </w:tc>
        <w:tc>
          <w:tcPr>
            <w:tcW w:w="8830" w:type="dxa"/>
            <w:gridSpan w:val="2"/>
            <w:tcBorders/>
            <w:vAlign w:val="center"/>
          </w:tcPr>
          <w:p>
            <w:pPr>
              <w:pStyle w:val="TableContents"/>
              <w:bidi w:val="0"/>
              <w:spacing w:before="0" w:after="283"/>
              <w:jc w:val="left"/>
              <w:rPr>
                <w:sz w:val="4"/>
                <w:szCs w:val="4"/>
              </w:rPr>
            </w:pPr>
            <w:r>
              <w:rPr>
                <w:sz w:val="4"/>
                <w:szCs w:val="4"/>
              </w:rPr>
            </w:r>
          </w:p>
        </w:tc>
        <w:tc>
          <w:tcPr>
            <w:tcW w:w="539" w:type="dxa"/>
            <w:gridSpan w:val="4"/>
            <w:tcBorders/>
            <w:vAlign w:val="center"/>
          </w:tcPr>
          <w:p>
            <w:pPr>
              <w:pStyle w:val="TableContents"/>
              <w:bidi w:val="0"/>
              <w:spacing w:before="0" w:after="283"/>
              <w:jc w:val="left"/>
              <w:rPr>
                <w:sz w:val="4"/>
                <w:szCs w:val="4"/>
              </w:rPr>
            </w:pPr>
            <w:r>
              <w:rPr>
                <w:sz w:val="4"/>
                <w:szCs w:val="4"/>
              </w:rPr>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Conditions to Closing Date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Conditions to Each Extension of Credit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rHeight w:val="120" w:hRule="atLeast"/>
        </w:trPr>
        <w:tc>
          <w:tcPr>
            <w:tcW w:w="9666" w:type="dxa"/>
            <w:gridSpan w:val="3"/>
            <w:tcBorders/>
            <w:vAlign w:val="center"/>
          </w:tcPr>
          <w:p>
            <w:pPr>
              <w:pStyle w:val="TableContents"/>
              <w:bidi w:val="0"/>
              <w:spacing w:before="0" w:after="283"/>
              <w:jc w:val="left"/>
              <w:rPr>
                <w:sz w:val="4"/>
                <w:szCs w:val="4"/>
              </w:rPr>
            </w:pPr>
            <w:r>
              <w:rPr>
                <w:sz w:val="4"/>
                <w:szCs w:val="4"/>
              </w:rPr>
            </w:r>
          </w:p>
        </w:tc>
        <w:tc>
          <w:tcPr>
            <w:tcW w:w="539" w:type="dxa"/>
            <w:gridSpan w:val="4"/>
            <w:tcBorders/>
            <w:vAlign w:val="center"/>
          </w:tcPr>
          <w:p>
            <w:pPr>
              <w:pStyle w:val="TableContents"/>
              <w:bidi w:val="0"/>
              <w:spacing w:before="0" w:after="283"/>
              <w:jc w:val="left"/>
              <w:rPr>
                <w:sz w:val="4"/>
                <w:szCs w:val="4"/>
              </w:rPr>
            </w:pPr>
            <w:r>
              <w:rPr>
                <w:sz w:val="4"/>
                <w:szCs w:val="4"/>
              </w:rPr>
            </w:r>
          </w:p>
        </w:tc>
      </w:tr>
      <w:tr>
        <w:trPr/>
        <w:tc>
          <w:tcPr>
            <w:tcW w:w="966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6. AFFIRMATIVE COVENANTS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rHeight w:val="120" w:hRule="atLeast"/>
        </w:trPr>
        <w:tc>
          <w:tcPr>
            <w:tcW w:w="836" w:type="dxa"/>
            <w:tcBorders/>
            <w:vAlign w:val="center"/>
          </w:tcPr>
          <w:p>
            <w:pPr>
              <w:pStyle w:val="TableContents"/>
              <w:bidi w:val="0"/>
              <w:spacing w:before="0" w:after="283"/>
              <w:jc w:val="left"/>
              <w:rPr>
                <w:sz w:val="4"/>
                <w:szCs w:val="4"/>
              </w:rPr>
            </w:pPr>
            <w:r>
              <w:rPr>
                <w:sz w:val="4"/>
                <w:szCs w:val="4"/>
              </w:rPr>
            </w:r>
          </w:p>
        </w:tc>
        <w:tc>
          <w:tcPr>
            <w:tcW w:w="8830" w:type="dxa"/>
            <w:gridSpan w:val="2"/>
            <w:tcBorders/>
            <w:vAlign w:val="center"/>
          </w:tcPr>
          <w:p>
            <w:pPr>
              <w:pStyle w:val="TableContents"/>
              <w:bidi w:val="0"/>
              <w:spacing w:before="0" w:after="283"/>
              <w:jc w:val="left"/>
              <w:rPr>
                <w:sz w:val="4"/>
                <w:szCs w:val="4"/>
              </w:rPr>
            </w:pPr>
            <w:r>
              <w:rPr>
                <w:sz w:val="4"/>
                <w:szCs w:val="4"/>
              </w:rPr>
            </w:r>
          </w:p>
        </w:tc>
        <w:tc>
          <w:tcPr>
            <w:tcW w:w="539" w:type="dxa"/>
            <w:gridSpan w:val="4"/>
            <w:tcBorders/>
            <w:vAlign w:val="center"/>
          </w:tcPr>
          <w:p>
            <w:pPr>
              <w:pStyle w:val="TableContents"/>
              <w:bidi w:val="0"/>
              <w:spacing w:before="0" w:after="283"/>
              <w:jc w:val="left"/>
              <w:rPr>
                <w:sz w:val="4"/>
                <w:szCs w:val="4"/>
              </w:rPr>
            </w:pPr>
            <w:r>
              <w:rPr>
                <w:sz w:val="4"/>
                <w:szCs w:val="4"/>
              </w:rPr>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Financial Statements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Compliance Certificates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Maintenance of Business; Existence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Maintenance of Insurance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Notices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Guarantors, etc.</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Books and Records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6.8</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Ratings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rHeight w:val="120" w:hRule="atLeast"/>
        </w:trPr>
        <w:tc>
          <w:tcPr>
            <w:tcW w:w="9666" w:type="dxa"/>
            <w:gridSpan w:val="3"/>
            <w:tcBorders/>
            <w:vAlign w:val="center"/>
          </w:tcPr>
          <w:p>
            <w:pPr>
              <w:pStyle w:val="TableContents"/>
              <w:bidi w:val="0"/>
              <w:spacing w:before="0" w:after="283"/>
              <w:jc w:val="left"/>
              <w:rPr>
                <w:sz w:val="4"/>
                <w:szCs w:val="4"/>
              </w:rPr>
            </w:pPr>
            <w:r>
              <w:rPr>
                <w:sz w:val="4"/>
                <w:szCs w:val="4"/>
              </w:rPr>
            </w:r>
          </w:p>
        </w:tc>
        <w:tc>
          <w:tcPr>
            <w:tcW w:w="539" w:type="dxa"/>
            <w:gridSpan w:val="4"/>
            <w:tcBorders/>
            <w:vAlign w:val="center"/>
          </w:tcPr>
          <w:p>
            <w:pPr>
              <w:pStyle w:val="TableContents"/>
              <w:bidi w:val="0"/>
              <w:spacing w:before="0" w:after="283"/>
              <w:jc w:val="left"/>
              <w:rPr>
                <w:sz w:val="4"/>
                <w:szCs w:val="4"/>
              </w:rPr>
            </w:pPr>
            <w:r>
              <w:rPr>
                <w:sz w:val="4"/>
                <w:szCs w:val="4"/>
              </w:rPr>
            </w:r>
          </w:p>
        </w:tc>
      </w:tr>
      <w:tr>
        <w:trPr/>
        <w:tc>
          <w:tcPr>
            <w:tcW w:w="966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7. NEGATIVE COVENANTS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rHeight w:val="120" w:hRule="atLeast"/>
        </w:trPr>
        <w:tc>
          <w:tcPr>
            <w:tcW w:w="836" w:type="dxa"/>
            <w:tcBorders/>
            <w:vAlign w:val="center"/>
          </w:tcPr>
          <w:p>
            <w:pPr>
              <w:pStyle w:val="TableContents"/>
              <w:bidi w:val="0"/>
              <w:spacing w:before="0" w:after="283"/>
              <w:jc w:val="left"/>
              <w:rPr>
                <w:sz w:val="4"/>
                <w:szCs w:val="4"/>
              </w:rPr>
            </w:pPr>
            <w:r>
              <w:rPr>
                <w:sz w:val="4"/>
                <w:szCs w:val="4"/>
              </w:rPr>
            </w:r>
          </w:p>
        </w:tc>
        <w:tc>
          <w:tcPr>
            <w:tcW w:w="8830" w:type="dxa"/>
            <w:gridSpan w:val="2"/>
            <w:tcBorders/>
            <w:vAlign w:val="center"/>
          </w:tcPr>
          <w:p>
            <w:pPr>
              <w:pStyle w:val="TableContents"/>
              <w:bidi w:val="0"/>
              <w:spacing w:before="0" w:after="283"/>
              <w:jc w:val="left"/>
              <w:rPr>
                <w:sz w:val="4"/>
                <w:szCs w:val="4"/>
              </w:rPr>
            </w:pPr>
            <w:r>
              <w:rPr>
                <w:sz w:val="4"/>
                <w:szCs w:val="4"/>
              </w:rPr>
            </w:r>
          </w:p>
        </w:tc>
        <w:tc>
          <w:tcPr>
            <w:tcW w:w="539" w:type="dxa"/>
            <w:gridSpan w:val="4"/>
            <w:tcBorders/>
            <w:vAlign w:val="center"/>
          </w:tcPr>
          <w:p>
            <w:pPr>
              <w:pStyle w:val="TableContents"/>
              <w:bidi w:val="0"/>
              <w:spacing w:before="0" w:after="283"/>
              <w:jc w:val="left"/>
              <w:rPr>
                <w:sz w:val="4"/>
                <w:szCs w:val="4"/>
              </w:rPr>
            </w:pPr>
            <w:r>
              <w:rPr>
                <w:sz w:val="4"/>
                <w:szCs w:val="4"/>
              </w:rPr>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Minimum Liquidity</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Indebtedness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Asset Sale Restrictions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7.4</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Fundamental Changes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7.5</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Anti-Corruption Laws and Sanctions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rHeight w:val="120" w:hRule="atLeast"/>
        </w:trPr>
        <w:tc>
          <w:tcPr>
            <w:tcW w:w="9666" w:type="dxa"/>
            <w:gridSpan w:val="3"/>
            <w:tcBorders/>
            <w:vAlign w:val="center"/>
          </w:tcPr>
          <w:p>
            <w:pPr>
              <w:pStyle w:val="TableContents"/>
              <w:bidi w:val="0"/>
              <w:spacing w:before="0" w:after="283"/>
              <w:jc w:val="left"/>
              <w:rPr>
                <w:sz w:val="4"/>
                <w:szCs w:val="4"/>
              </w:rPr>
            </w:pPr>
            <w:r>
              <w:rPr>
                <w:sz w:val="4"/>
                <w:szCs w:val="4"/>
              </w:rPr>
            </w:r>
          </w:p>
        </w:tc>
        <w:tc>
          <w:tcPr>
            <w:tcW w:w="539" w:type="dxa"/>
            <w:gridSpan w:val="4"/>
            <w:tcBorders/>
            <w:vAlign w:val="center"/>
          </w:tcPr>
          <w:p>
            <w:pPr>
              <w:pStyle w:val="TableContents"/>
              <w:bidi w:val="0"/>
              <w:spacing w:before="0" w:after="283"/>
              <w:jc w:val="left"/>
              <w:rPr>
                <w:sz w:val="4"/>
                <w:szCs w:val="4"/>
              </w:rPr>
            </w:pPr>
            <w:r>
              <w:rPr>
                <w:sz w:val="4"/>
                <w:szCs w:val="4"/>
              </w:rPr>
            </w:r>
          </w:p>
        </w:tc>
      </w:tr>
      <w:tr>
        <w:trPr/>
        <w:tc>
          <w:tcPr>
            <w:tcW w:w="966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8. EVENTS OF DEFAULT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rHeight w:val="120" w:hRule="atLeast"/>
        </w:trPr>
        <w:tc>
          <w:tcPr>
            <w:tcW w:w="9666" w:type="dxa"/>
            <w:gridSpan w:val="3"/>
            <w:tcBorders/>
            <w:vAlign w:val="center"/>
          </w:tcPr>
          <w:p>
            <w:pPr>
              <w:pStyle w:val="TableContents"/>
              <w:bidi w:val="0"/>
              <w:spacing w:before="0" w:after="283"/>
              <w:jc w:val="left"/>
              <w:rPr>
                <w:sz w:val="4"/>
                <w:szCs w:val="4"/>
              </w:rPr>
            </w:pPr>
            <w:r>
              <w:rPr>
                <w:sz w:val="4"/>
                <w:szCs w:val="4"/>
              </w:rPr>
            </w:r>
          </w:p>
        </w:tc>
        <w:tc>
          <w:tcPr>
            <w:tcW w:w="539" w:type="dxa"/>
            <w:gridSpan w:val="4"/>
            <w:tcBorders/>
            <w:vAlign w:val="center"/>
          </w:tcPr>
          <w:p>
            <w:pPr>
              <w:pStyle w:val="TableContents"/>
              <w:bidi w:val="0"/>
              <w:spacing w:before="0" w:after="283"/>
              <w:jc w:val="left"/>
              <w:rPr>
                <w:sz w:val="4"/>
                <w:szCs w:val="4"/>
              </w:rPr>
            </w:pPr>
            <w:r>
              <w:rPr>
                <w:sz w:val="4"/>
                <w:szCs w:val="4"/>
              </w:rPr>
            </w:r>
          </w:p>
        </w:tc>
      </w:tr>
      <w:tr>
        <w:trPr/>
        <w:tc>
          <w:tcPr>
            <w:tcW w:w="966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9. THE AGENTS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rHeight w:val="120" w:hRule="atLeast"/>
        </w:trPr>
        <w:tc>
          <w:tcPr>
            <w:tcW w:w="836" w:type="dxa"/>
            <w:tcBorders/>
            <w:vAlign w:val="center"/>
          </w:tcPr>
          <w:p>
            <w:pPr>
              <w:pStyle w:val="TableContents"/>
              <w:bidi w:val="0"/>
              <w:spacing w:before="0" w:after="283"/>
              <w:jc w:val="left"/>
              <w:rPr>
                <w:sz w:val="4"/>
                <w:szCs w:val="4"/>
              </w:rPr>
            </w:pPr>
            <w:r>
              <w:rPr>
                <w:sz w:val="4"/>
                <w:szCs w:val="4"/>
              </w:rPr>
            </w:r>
          </w:p>
        </w:tc>
        <w:tc>
          <w:tcPr>
            <w:tcW w:w="8830" w:type="dxa"/>
            <w:gridSpan w:val="2"/>
            <w:tcBorders/>
            <w:vAlign w:val="center"/>
          </w:tcPr>
          <w:p>
            <w:pPr>
              <w:pStyle w:val="TableContents"/>
              <w:bidi w:val="0"/>
              <w:spacing w:before="0" w:after="283"/>
              <w:jc w:val="left"/>
              <w:rPr>
                <w:sz w:val="4"/>
                <w:szCs w:val="4"/>
              </w:rPr>
            </w:pPr>
            <w:r>
              <w:rPr>
                <w:sz w:val="4"/>
                <w:szCs w:val="4"/>
              </w:rPr>
            </w:r>
          </w:p>
        </w:tc>
        <w:tc>
          <w:tcPr>
            <w:tcW w:w="539" w:type="dxa"/>
            <w:gridSpan w:val="4"/>
            <w:tcBorders/>
            <w:vAlign w:val="center"/>
          </w:tcPr>
          <w:p>
            <w:pPr>
              <w:pStyle w:val="TableContents"/>
              <w:bidi w:val="0"/>
              <w:spacing w:before="0" w:after="283"/>
              <w:jc w:val="left"/>
              <w:rPr>
                <w:sz w:val="4"/>
                <w:szCs w:val="4"/>
              </w:rPr>
            </w:pPr>
            <w:r>
              <w:rPr>
                <w:sz w:val="4"/>
                <w:szCs w:val="4"/>
              </w:rPr>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Appointment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836"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106" w:type="dxa"/>
            <w:tcBorders/>
            <w:vAlign w:val="bottom"/>
          </w:tcPr>
          <w:p>
            <w:pPr>
              <w:pStyle w:val="TableContents"/>
              <w:bidi w:val="0"/>
              <w:spacing w:before="0" w:after="283"/>
              <w:jc w:val="left"/>
              <w:rPr/>
            </w:pPr>
            <w:r>
              <w:rPr/>
              <w:t> </w:t>
            </w:r>
          </w:p>
        </w:tc>
        <w:tc>
          <w:tcPr>
            <w:tcW w:w="8724" w:type="dxa"/>
            <w:tcBorders/>
            <w:vAlign w:val="bottom"/>
          </w:tcPr>
          <w:p>
            <w:pPr>
              <w:pStyle w:val="TableContents"/>
              <w:bidi w:val="0"/>
              <w:spacing w:before="0" w:after="283"/>
              <w:jc w:val="left"/>
              <w:rPr/>
            </w:pPr>
            <w:r>
              <w:rPr/>
              <w:t>Delegation of Duties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90"/>
        <w:gridCol w:w="82"/>
        <w:gridCol w:w="8915"/>
        <w:gridCol w:w="135"/>
        <w:gridCol w:w="60"/>
        <w:gridCol w:w="260"/>
        <w:gridCol w:w="63"/>
      </w:tblGrid>
      <w:tr>
        <w:trPr/>
        <w:tc>
          <w:tcPr>
            <w:tcW w:w="690"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8915"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Exculpatory Provisions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Reliance by Administrative Agent</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Notice of Default</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9.6</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Non-Reliance on Agents and Other Lenders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9.7</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Indemnification</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9.8</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Administrative Agent in Its Individual Capacity</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9.9</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Successor Administrative Agent</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9.10</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[Reserved]</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9.11</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Bookrunners, Lead Arrangers, Global and Regional Coordinators, Documentation Agents, Syndication Agent and Co-Syndication Agent</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9.12</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Certain ERISA Matters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9.13</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Acknowledgements of Lenders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9.14</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Borrower Communications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rHeight w:val="120" w:hRule="atLeast"/>
        </w:trPr>
        <w:tc>
          <w:tcPr>
            <w:tcW w:w="9687" w:type="dxa"/>
            <w:gridSpan w:val="3"/>
            <w:tcBorders/>
            <w:vAlign w:val="center"/>
          </w:tcPr>
          <w:p>
            <w:pPr>
              <w:pStyle w:val="TableContents"/>
              <w:bidi w:val="0"/>
              <w:spacing w:before="0" w:after="283"/>
              <w:jc w:val="left"/>
              <w:rPr>
                <w:sz w:val="4"/>
                <w:szCs w:val="4"/>
              </w:rPr>
            </w:pPr>
            <w:r>
              <w:rPr>
                <w:sz w:val="4"/>
                <w:szCs w:val="4"/>
              </w:rPr>
            </w:r>
          </w:p>
        </w:tc>
        <w:tc>
          <w:tcPr>
            <w:tcW w:w="518" w:type="dxa"/>
            <w:gridSpan w:val="4"/>
            <w:tcBorders/>
            <w:vAlign w:val="center"/>
          </w:tcPr>
          <w:p>
            <w:pPr>
              <w:pStyle w:val="TableContents"/>
              <w:bidi w:val="0"/>
              <w:spacing w:before="0" w:after="283"/>
              <w:jc w:val="left"/>
              <w:rPr>
                <w:sz w:val="4"/>
                <w:szCs w:val="4"/>
              </w:rPr>
            </w:pPr>
            <w:r>
              <w:rPr>
                <w:sz w:val="4"/>
                <w:szCs w:val="4"/>
              </w:rPr>
            </w:r>
          </w:p>
        </w:tc>
      </w:tr>
      <w:tr>
        <w:trPr/>
        <w:tc>
          <w:tcPr>
            <w:tcW w:w="96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10. MISCELLANEOUS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rHeight w:val="120" w:hRule="atLeast"/>
        </w:trPr>
        <w:tc>
          <w:tcPr>
            <w:tcW w:w="690"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c>
          <w:tcPr>
            <w:tcW w:w="518" w:type="dxa"/>
            <w:gridSpan w:val="4"/>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Amendments and Waivers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Notices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10.3</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No Waiver; Cumulative Remedies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Survival of Representations and Warranties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10.5</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Payment of Expenses; Limitation of Liability; Indemnity</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10.6</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Successors and Assigns; Participations and Assignments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10.7</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Adjustments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10.8</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Counterparts; Electronic Execution</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10.9</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Severability</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10.10</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Integration</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10.11</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GOVERNING LAW</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10.12</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Submission to Jurisdiction; Waivers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10.13</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Judgment</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10.14</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Acknowledgments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10.15</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Releases of Guarantees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10.16</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Confidentiality</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10.17</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WAIVERS OF JURY TRIAL</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10.18</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USA Patriot Act and the Beneficial Ownership Regulation</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10.19</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No Novation</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10.20</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Acknowledgement and Consent to Bail-In of Affected Financial Institutions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10.21</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Acknowledgement Regarding Any Supported QFCs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690" w:type="dxa"/>
            <w:tcBorders/>
          </w:tcPr>
          <w:p>
            <w:pPr>
              <w:pStyle w:val="TableContents"/>
              <w:bidi w:val="0"/>
              <w:spacing w:before="0" w:after="0"/>
              <w:jc w:val="left"/>
              <w:rPr>
                <w:rFonts w:ascii="Times New Roman" w:hAnsi="Times New Roman"/>
                <w:sz w:val="20"/>
              </w:rPr>
            </w:pPr>
            <w:r>
              <w:rPr>
                <w:rFonts w:ascii="Times New Roman" w:hAnsi="Times New Roman"/>
                <w:sz w:val="20"/>
              </w:rPr>
              <w:t>10.22</w:t>
            </w:r>
          </w:p>
        </w:tc>
        <w:tc>
          <w:tcPr>
            <w:tcW w:w="82"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Interest Rate Limitations</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09"/>
        <w:gridCol w:w="100"/>
        <w:gridCol w:w="9696"/>
      </w:tblGrid>
      <w:tr>
        <w:trPr/>
        <w:tc>
          <w:tcPr>
            <w:tcW w:w="409"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969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SCHEDULES:</w:t>
            </w:r>
          </w:p>
        </w:tc>
      </w:tr>
      <w:tr>
        <w:trPr>
          <w:trHeight w:val="120" w:hRule="atLeast"/>
        </w:trPr>
        <w:tc>
          <w:tcPr>
            <w:tcW w:w="409" w:type="dxa"/>
            <w:tcBorders/>
            <w:vAlign w:val="center"/>
          </w:tcPr>
          <w:p>
            <w:pPr>
              <w:pStyle w:val="TableContents"/>
              <w:bidi w:val="0"/>
              <w:spacing w:before="0" w:after="283"/>
              <w:jc w:val="left"/>
              <w:rPr>
                <w:sz w:val="4"/>
                <w:szCs w:val="4"/>
              </w:rPr>
            </w:pPr>
            <w:r>
              <w:rPr>
                <w:sz w:val="4"/>
                <w:szCs w:val="4"/>
              </w:rPr>
            </w:r>
          </w:p>
        </w:tc>
        <w:tc>
          <w:tcPr>
            <w:tcW w:w="9796" w:type="dxa"/>
            <w:gridSpan w:val="2"/>
            <w:tcBorders/>
            <w:vAlign w:val="center"/>
          </w:tcPr>
          <w:p>
            <w:pPr>
              <w:pStyle w:val="TableContents"/>
              <w:bidi w:val="0"/>
              <w:spacing w:before="0" w:after="283"/>
              <w:jc w:val="left"/>
              <w:rPr>
                <w:sz w:val="4"/>
                <w:szCs w:val="4"/>
              </w:rPr>
            </w:pPr>
            <w:r>
              <w:rPr>
                <w:sz w:val="4"/>
                <w:szCs w:val="4"/>
              </w:rPr>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1.1A</w:t>
            </w:r>
          </w:p>
        </w:tc>
        <w:tc>
          <w:tcPr>
            <w:tcW w:w="100" w:type="dxa"/>
            <w:tcBorders/>
            <w:vAlign w:val="bottom"/>
          </w:tcPr>
          <w:p>
            <w:pPr>
              <w:pStyle w:val="TableContents"/>
              <w:bidi w:val="0"/>
              <w:spacing w:before="0" w:after="283"/>
              <w:jc w:val="left"/>
              <w:rPr/>
            </w:pPr>
            <w:r>
              <w:rPr/>
              <w:t> </w:t>
            </w:r>
          </w:p>
        </w:tc>
        <w:tc>
          <w:tcPr>
            <w:tcW w:w="9696" w:type="dxa"/>
            <w:tcBorders/>
            <w:vAlign w:val="bottom"/>
          </w:tcPr>
          <w:p>
            <w:pPr>
              <w:pStyle w:val="TableContents"/>
              <w:bidi w:val="0"/>
              <w:spacing w:before="0" w:after="283"/>
              <w:jc w:val="left"/>
              <w:rPr/>
            </w:pPr>
            <w:r>
              <w:rPr/>
              <w:t>Commitments; Scheme Reference Number and Jurisdiction of Tax Residence</w:t>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1.1B</w:t>
            </w:r>
          </w:p>
        </w:tc>
        <w:tc>
          <w:tcPr>
            <w:tcW w:w="100" w:type="dxa"/>
            <w:tcBorders/>
            <w:vAlign w:val="bottom"/>
          </w:tcPr>
          <w:p>
            <w:pPr>
              <w:pStyle w:val="TableContents"/>
              <w:bidi w:val="0"/>
              <w:spacing w:before="0" w:after="283"/>
              <w:jc w:val="left"/>
              <w:rPr/>
            </w:pPr>
            <w:r>
              <w:rPr/>
              <w:t> </w:t>
            </w:r>
          </w:p>
        </w:tc>
        <w:tc>
          <w:tcPr>
            <w:tcW w:w="9696" w:type="dxa"/>
            <w:tcBorders/>
            <w:vAlign w:val="bottom"/>
          </w:tcPr>
          <w:p>
            <w:pPr>
              <w:pStyle w:val="TableContents"/>
              <w:bidi w:val="0"/>
              <w:spacing w:before="0" w:after="283"/>
              <w:jc w:val="left"/>
              <w:rPr/>
            </w:pPr>
            <w:r>
              <w:rPr/>
              <w:t>Initial Excluded Subsidiaries</w:t>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1.1C</w:t>
            </w:r>
          </w:p>
        </w:tc>
        <w:tc>
          <w:tcPr>
            <w:tcW w:w="100" w:type="dxa"/>
            <w:tcBorders/>
            <w:vAlign w:val="bottom"/>
          </w:tcPr>
          <w:p>
            <w:pPr>
              <w:pStyle w:val="TableContents"/>
              <w:bidi w:val="0"/>
              <w:spacing w:before="0" w:after="283"/>
              <w:jc w:val="left"/>
              <w:rPr/>
            </w:pPr>
            <w:r>
              <w:rPr/>
              <w:t> </w:t>
            </w:r>
          </w:p>
        </w:tc>
        <w:tc>
          <w:tcPr>
            <w:tcW w:w="9696" w:type="dxa"/>
            <w:tcBorders/>
            <w:vAlign w:val="bottom"/>
          </w:tcPr>
          <w:p>
            <w:pPr>
              <w:pStyle w:val="TableContents"/>
              <w:bidi w:val="0"/>
              <w:spacing w:before="0" w:after="283"/>
              <w:jc w:val="left"/>
              <w:rPr/>
            </w:pPr>
            <w:r>
              <w:rPr/>
              <w:t>Applicable Pricing Grid</w:t>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1.1D</w:t>
            </w:r>
          </w:p>
        </w:tc>
        <w:tc>
          <w:tcPr>
            <w:tcW w:w="100" w:type="dxa"/>
            <w:tcBorders/>
            <w:vAlign w:val="bottom"/>
          </w:tcPr>
          <w:p>
            <w:pPr>
              <w:pStyle w:val="TableContents"/>
              <w:bidi w:val="0"/>
              <w:spacing w:before="0" w:after="283"/>
              <w:jc w:val="left"/>
              <w:rPr/>
            </w:pPr>
            <w:r>
              <w:rPr/>
              <w:t> </w:t>
            </w:r>
          </w:p>
        </w:tc>
        <w:tc>
          <w:tcPr>
            <w:tcW w:w="9696" w:type="dxa"/>
            <w:tcBorders/>
            <w:vAlign w:val="bottom"/>
          </w:tcPr>
          <w:p>
            <w:pPr>
              <w:pStyle w:val="TableContents"/>
              <w:bidi w:val="0"/>
              <w:spacing w:before="0" w:after="283"/>
              <w:jc w:val="left"/>
              <w:rPr/>
            </w:pPr>
            <w:r>
              <w:rPr/>
              <w:t>Existing Liens</w:t>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1.1E</w:t>
            </w:r>
          </w:p>
        </w:tc>
        <w:tc>
          <w:tcPr>
            <w:tcW w:w="100" w:type="dxa"/>
            <w:tcBorders/>
            <w:vAlign w:val="bottom"/>
          </w:tcPr>
          <w:p>
            <w:pPr>
              <w:pStyle w:val="TableContents"/>
              <w:bidi w:val="0"/>
              <w:spacing w:before="0" w:after="283"/>
              <w:jc w:val="left"/>
              <w:rPr/>
            </w:pPr>
            <w:r>
              <w:rPr/>
              <w:t> </w:t>
            </w:r>
          </w:p>
        </w:tc>
        <w:tc>
          <w:tcPr>
            <w:tcW w:w="9696" w:type="dxa"/>
            <w:tcBorders/>
            <w:vAlign w:val="bottom"/>
          </w:tcPr>
          <w:p>
            <w:pPr>
              <w:pStyle w:val="TableContents"/>
              <w:bidi w:val="0"/>
              <w:spacing w:before="0" w:after="283"/>
              <w:jc w:val="left"/>
              <w:rPr/>
            </w:pPr>
            <w:r>
              <w:rPr/>
              <w:t>Excluded Subsidiary Businesses</w:t>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100" w:type="dxa"/>
            <w:tcBorders/>
            <w:vAlign w:val="bottom"/>
          </w:tcPr>
          <w:p>
            <w:pPr>
              <w:pStyle w:val="TableContents"/>
              <w:bidi w:val="0"/>
              <w:spacing w:before="0" w:after="283"/>
              <w:jc w:val="left"/>
              <w:rPr/>
            </w:pPr>
            <w:r>
              <w:rPr/>
              <w:t> </w:t>
            </w:r>
          </w:p>
        </w:tc>
        <w:tc>
          <w:tcPr>
            <w:tcW w:w="9696" w:type="dxa"/>
            <w:tcBorders/>
            <w:vAlign w:val="bottom"/>
          </w:tcPr>
          <w:p>
            <w:pPr>
              <w:pStyle w:val="TableContents"/>
              <w:bidi w:val="0"/>
              <w:spacing w:before="0" w:after="283"/>
              <w:jc w:val="left"/>
              <w:rPr/>
            </w:pPr>
            <w:r>
              <w:rPr/>
              <w:t>Litigation</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EXHIBITS:</w:t>
            </w:r>
          </w:p>
        </w:tc>
      </w:tr>
      <w:tr>
        <w:trPr>
          <w:trHeight w:val="120" w:hRule="atLeast"/>
        </w:trPr>
        <w:tc>
          <w:tcPr>
            <w:tcW w:w="409" w:type="dxa"/>
            <w:tcBorders/>
            <w:vAlign w:val="center"/>
          </w:tcPr>
          <w:p>
            <w:pPr>
              <w:pStyle w:val="TableContents"/>
              <w:bidi w:val="0"/>
              <w:spacing w:before="0" w:after="283"/>
              <w:jc w:val="left"/>
              <w:rPr>
                <w:sz w:val="4"/>
                <w:szCs w:val="4"/>
              </w:rPr>
            </w:pPr>
            <w:r>
              <w:rPr>
                <w:sz w:val="4"/>
                <w:szCs w:val="4"/>
              </w:rPr>
            </w:r>
          </w:p>
        </w:tc>
        <w:tc>
          <w:tcPr>
            <w:tcW w:w="9796" w:type="dxa"/>
            <w:gridSpan w:val="2"/>
            <w:tcBorders/>
            <w:vAlign w:val="center"/>
          </w:tcPr>
          <w:p>
            <w:pPr>
              <w:pStyle w:val="TableContents"/>
              <w:bidi w:val="0"/>
              <w:spacing w:before="0" w:after="283"/>
              <w:jc w:val="left"/>
              <w:rPr>
                <w:sz w:val="4"/>
                <w:szCs w:val="4"/>
              </w:rPr>
            </w:pPr>
            <w:r>
              <w:rPr>
                <w:sz w:val="4"/>
                <w:szCs w:val="4"/>
              </w:rPr>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A</w:t>
            </w:r>
          </w:p>
        </w:tc>
        <w:tc>
          <w:tcPr>
            <w:tcW w:w="100" w:type="dxa"/>
            <w:tcBorders/>
            <w:vAlign w:val="bottom"/>
          </w:tcPr>
          <w:p>
            <w:pPr>
              <w:pStyle w:val="TableContents"/>
              <w:bidi w:val="0"/>
              <w:spacing w:before="0" w:after="283"/>
              <w:jc w:val="left"/>
              <w:rPr/>
            </w:pPr>
            <w:r>
              <w:rPr/>
              <w:t> </w:t>
            </w:r>
          </w:p>
        </w:tc>
        <w:tc>
          <w:tcPr>
            <w:tcW w:w="9696" w:type="dxa"/>
            <w:tcBorders/>
            <w:vAlign w:val="bottom"/>
          </w:tcPr>
          <w:p>
            <w:pPr>
              <w:pStyle w:val="TableContents"/>
              <w:bidi w:val="0"/>
              <w:spacing w:before="0" w:after="283"/>
              <w:jc w:val="left"/>
              <w:rPr/>
            </w:pPr>
            <w:r>
              <w:rPr/>
              <w:t>Form of Guarantee</w:t>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00" w:type="dxa"/>
            <w:tcBorders/>
            <w:vAlign w:val="bottom"/>
          </w:tcPr>
          <w:p>
            <w:pPr>
              <w:pStyle w:val="TableContents"/>
              <w:bidi w:val="0"/>
              <w:spacing w:before="0" w:after="283"/>
              <w:jc w:val="left"/>
              <w:rPr/>
            </w:pPr>
            <w:r>
              <w:rPr/>
              <w:t> </w:t>
            </w:r>
          </w:p>
        </w:tc>
        <w:tc>
          <w:tcPr>
            <w:tcW w:w="9696" w:type="dxa"/>
            <w:tcBorders/>
            <w:vAlign w:val="bottom"/>
          </w:tcPr>
          <w:p>
            <w:pPr>
              <w:pStyle w:val="TableContents"/>
              <w:bidi w:val="0"/>
              <w:spacing w:before="0" w:after="283"/>
              <w:jc w:val="left"/>
              <w:rPr/>
            </w:pPr>
            <w:r>
              <w:rPr/>
              <w:t>[Reserved]</w:t>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100" w:type="dxa"/>
            <w:tcBorders/>
            <w:vAlign w:val="bottom"/>
          </w:tcPr>
          <w:p>
            <w:pPr>
              <w:pStyle w:val="TableContents"/>
              <w:bidi w:val="0"/>
              <w:spacing w:before="0" w:after="283"/>
              <w:jc w:val="left"/>
              <w:rPr/>
            </w:pPr>
            <w:r>
              <w:rPr/>
              <w:t> </w:t>
            </w:r>
          </w:p>
        </w:tc>
        <w:tc>
          <w:tcPr>
            <w:tcW w:w="9696" w:type="dxa"/>
            <w:tcBorders/>
            <w:vAlign w:val="bottom"/>
          </w:tcPr>
          <w:p>
            <w:pPr>
              <w:pStyle w:val="TableContents"/>
              <w:bidi w:val="0"/>
              <w:spacing w:before="0" w:after="283"/>
              <w:jc w:val="left"/>
              <w:rPr/>
            </w:pPr>
            <w:r>
              <w:rPr/>
              <w:t>[Reserved]</w:t>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100" w:type="dxa"/>
            <w:tcBorders/>
            <w:vAlign w:val="bottom"/>
          </w:tcPr>
          <w:p>
            <w:pPr>
              <w:pStyle w:val="TableContents"/>
              <w:bidi w:val="0"/>
              <w:spacing w:before="0" w:after="283"/>
              <w:jc w:val="left"/>
              <w:rPr/>
            </w:pPr>
            <w:r>
              <w:rPr/>
              <w:t> </w:t>
            </w:r>
          </w:p>
        </w:tc>
        <w:tc>
          <w:tcPr>
            <w:tcW w:w="9696" w:type="dxa"/>
            <w:tcBorders/>
            <w:vAlign w:val="bottom"/>
          </w:tcPr>
          <w:p>
            <w:pPr>
              <w:pStyle w:val="TableContents"/>
              <w:bidi w:val="0"/>
              <w:spacing w:before="0" w:after="283"/>
              <w:jc w:val="left"/>
              <w:rPr/>
            </w:pPr>
            <w:r>
              <w:rPr/>
              <w:t>[Reserved]</w:t>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E</w:t>
            </w:r>
          </w:p>
        </w:tc>
        <w:tc>
          <w:tcPr>
            <w:tcW w:w="100" w:type="dxa"/>
            <w:tcBorders/>
            <w:vAlign w:val="bottom"/>
          </w:tcPr>
          <w:p>
            <w:pPr>
              <w:pStyle w:val="TableContents"/>
              <w:bidi w:val="0"/>
              <w:spacing w:before="0" w:after="283"/>
              <w:jc w:val="left"/>
              <w:rPr/>
            </w:pPr>
            <w:r>
              <w:rPr/>
              <w:t> </w:t>
            </w:r>
          </w:p>
        </w:tc>
        <w:tc>
          <w:tcPr>
            <w:tcW w:w="9696" w:type="dxa"/>
            <w:tcBorders/>
            <w:vAlign w:val="bottom"/>
          </w:tcPr>
          <w:p>
            <w:pPr>
              <w:pStyle w:val="TableContents"/>
              <w:bidi w:val="0"/>
              <w:spacing w:before="0" w:after="283"/>
              <w:jc w:val="left"/>
              <w:rPr/>
            </w:pPr>
            <w:r>
              <w:rPr/>
              <w:t>Form of Incremental Loan Activation Notice</w:t>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F</w:t>
            </w:r>
          </w:p>
        </w:tc>
        <w:tc>
          <w:tcPr>
            <w:tcW w:w="100" w:type="dxa"/>
            <w:tcBorders/>
            <w:vAlign w:val="bottom"/>
          </w:tcPr>
          <w:p>
            <w:pPr>
              <w:pStyle w:val="TableContents"/>
              <w:bidi w:val="0"/>
              <w:spacing w:before="0" w:after="283"/>
              <w:jc w:val="left"/>
              <w:rPr/>
            </w:pPr>
            <w:r>
              <w:rPr/>
              <w:t> </w:t>
            </w:r>
          </w:p>
        </w:tc>
        <w:tc>
          <w:tcPr>
            <w:tcW w:w="9696" w:type="dxa"/>
            <w:tcBorders/>
            <w:vAlign w:val="bottom"/>
          </w:tcPr>
          <w:p>
            <w:pPr>
              <w:pStyle w:val="TableContents"/>
              <w:bidi w:val="0"/>
              <w:spacing w:before="0" w:after="283"/>
              <w:jc w:val="left"/>
              <w:rPr/>
            </w:pPr>
            <w:r>
              <w:rPr/>
              <w:t>Form of Closing Certificate</w:t>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G</w:t>
            </w:r>
          </w:p>
        </w:tc>
        <w:tc>
          <w:tcPr>
            <w:tcW w:w="100" w:type="dxa"/>
            <w:tcBorders/>
            <w:vAlign w:val="bottom"/>
          </w:tcPr>
          <w:p>
            <w:pPr>
              <w:pStyle w:val="TableContents"/>
              <w:bidi w:val="0"/>
              <w:spacing w:before="0" w:after="283"/>
              <w:jc w:val="left"/>
              <w:rPr/>
            </w:pPr>
            <w:r>
              <w:rPr/>
              <w:t> </w:t>
            </w:r>
          </w:p>
        </w:tc>
        <w:tc>
          <w:tcPr>
            <w:tcW w:w="9696" w:type="dxa"/>
            <w:tcBorders/>
            <w:vAlign w:val="bottom"/>
          </w:tcPr>
          <w:p>
            <w:pPr>
              <w:pStyle w:val="TableContents"/>
              <w:bidi w:val="0"/>
              <w:spacing w:before="0" w:after="283"/>
              <w:jc w:val="left"/>
              <w:rPr/>
            </w:pPr>
            <w:r>
              <w:rPr/>
              <w:t>Form of Assignment and Assumption</w:t>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H</w:t>
            </w:r>
          </w:p>
        </w:tc>
        <w:tc>
          <w:tcPr>
            <w:tcW w:w="100" w:type="dxa"/>
            <w:tcBorders/>
            <w:vAlign w:val="bottom"/>
          </w:tcPr>
          <w:p>
            <w:pPr>
              <w:pStyle w:val="TableContents"/>
              <w:bidi w:val="0"/>
              <w:spacing w:before="0" w:after="283"/>
              <w:jc w:val="left"/>
              <w:rPr/>
            </w:pPr>
            <w:r>
              <w:rPr/>
              <w:t> </w:t>
            </w:r>
          </w:p>
        </w:tc>
        <w:tc>
          <w:tcPr>
            <w:tcW w:w="9696" w:type="dxa"/>
            <w:tcBorders/>
            <w:vAlign w:val="bottom"/>
          </w:tcPr>
          <w:p>
            <w:pPr>
              <w:pStyle w:val="TableContents"/>
              <w:bidi w:val="0"/>
              <w:spacing w:before="0" w:after="283"/>
              <w:jc w:val="left"/>
              <w:rPr/>
            </w:pPr>
            <w:r>
              <w:rPr/>
              <w:t>Form of Borrower Joinder Agreement</w:t>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I-1</w:t>
            </w:r>
          </w:p>
        </w:tc>
        <w:tc>
          <w:tcPr>
            <w:tcW w:w="100" w:type="dxa"/>
            <w:tcBorders/>
            <w:vAlign w:val="bottom"/>
          </w:tcPr>
          <w:p>
            <w:pPr>
              <w:pStyle w:val="TableContents"/>
              <w:bidi w:val="0"/>
              <w:spacing w:before="0" w:after="283"/>
              <w:jc w:val="left"/>
              <w:rPr/>
            </w:pPr>
            <w:r>
              <w:rPr/>
              <w:t> </w:t>
            </w:r>
          </w:p>
        </w:tc>
        <w:tc>
          <w:tcPr>
            <w:tcW w:w="9696" w:type="dxa"/>
            <w:tcBorders/>
            <w:vAlign w:val="bottom"/>
          </w:tcPr>
          <w:p>
            <w:pPr>
              <w:pStyle w:val="TableContents"/>
              <w:bidi w:val="0"/>
              <w:spacing w:before="0" w:after="283"/>
              <w:jc w:val="left"/>
              <w:rPr/>
            </w:pPr>
            <w:r>
              <w:rPr/>
              <w:t>Form of Exemption Certificate for Non-Partnership Non-U.S. Lenders</w:t>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I-2</w:t>
            </w:r>
          </w:p>
        </w:tc>
        <w:tc>
          <w:tcPr>
            <w:tcW w:w="100" w:type="dxa"/>
            <w:tcBorders/>
            <w:vAlign w:val="bottom"/>
          </w:tcPr>
          <w:p>
            <w:pPr>
              <w:pStyle w:val="TableContents"/>
              <w:bidi w:val="0"/>
              <w:spacing w:before="0" w:after="283"/>
              <w:jc w:val="left"/>
              <w:rPr/>
            </w:pPr>
            <w:r>
              <w:rPr/>
              <w:t> </w:t>
            </w:r>
          </w:p>
        </w:tc>
        <w:tc>
          <w:tcPr>
            <w:tcW w:w="9696" w:type="dxa"/>
            <w:tcBorders/>
            <w:vAlign w:val="bottom"/>
          </w:tcPr>
          <w:p>
            <w:pPr>
              <w:pStyle w:val="TableContents"/>
              <w:bidi w:val="0"/>
              <w:spacing w:before="0" w:after="283"/>
              <w:jc w:val="left"/>
              <w:rPr/>
            </w:pPr>
            <w:r>
              <w:rPr/>
              <w:t>Form of Exemption Certificate for Partnership Non-U.S. Lenders</w:t>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I-3</w:t>
            </w:r>
          </w:p>
        </w:tc>
        <w:tc>
          <w:tcPr>
            <w:tcW w:w="100" w:type="dxa"/>
            <w:tcBorders/>
            <w:vAlign w:val="bottom"/>
          </w:tcPr>
          <w:p>
            <w:pPr>
              <w:pStyle w:val="TableContents"/>
              <w:bidi w:val="0"/>
              <w:spacing w:before="0" w:after="283"/>
              <w:jc w:val="left"/>
              <w:rPr/>
            </w:pPr>
            <w:r>
              <w:rPr/>
              <w:t> </w:t>
            </w:r>
          </w:p>
        </w:tc>
        <w:tc>
          <w:tcPr>
            <w:tcW w:w="9696" w:type="dxa"/>
            <w:tcBorders/>
            <w:vAlign w:val="bottom"/>
          </w:tcPr>
          <w:p>
            <w:pPr>
              <w:pStyle w:val="TableContents"/>
              <w:bidi w:val="0"/>
              <w:spacing w:before="0" w:after="283"/>
              <w:jc w:val="left"/>
              <w:rPr/>
            </w:pPr>
            <w:r>
              <w:rPr/>
              <w:t>Form of Exemption Certificate for Non-Partnership Non-U.S. Participants</w:t>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I-4</w:t>
            </w:r>
          </w:p>
        </w:tc>
        <w:tc>
          <w:tcPr>
            <w:tcW w:w="100" w:type="dxa"/>
            <w:tcBorders/>
            <w:vAlign w:val="bottom"/>
          </w:tcPr>
          <w:p>
            <w:pPr>
              <w:pStyle w:val="TableContents"/>
              <w:bidi w:val="0"/>
              <w:spacing w:before="0" w:after="283"/>
              <w:jc w:val="left"/>
              <w:rPr/>
            </w:pPr>
            <w:r>
              <w:rPr/>
              <w:t> </w:t>
            </w:r>
          </w:p>
        </w:tc>
        <w:tc>
          <w:tcPr>
            <w:tcW w:w="9696" w:type="dxa"/>
            <w:tcBorders/>
            <w:vAlign w:val="bottom"/>
          </w:tcPr>
          <w:p>
            <w:pPr>
              <w:pStyle w:val="TableContents"/>
              <w:bidi w:val="0"/>
              <w:spacing w:before="0" w:after="283"/>
              <w:jc w:val="left"/>
              <w:rPr/>
            </w:pPr>
            <w:r>
              <w:rPr/>
              <w:t>Form of Exemption Certificate for Partnership Non-U.S. Participants</w:t>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J</w:t>
            </w:r>
          </w:p>
        </w:tc>
        <w:tc>
          <w:tcPr>
            <w:tcW w:w="100" w:type="dxa"/>
            <w:tcBorders/>
            <w:vAlign w:val="bottom"/>
          </w:tcPr>
          <w:p>
            <w:pPr>
              <w:pStyle w:val="TableContents"/>
              <w:bidi w:val="0"/>
              <w:spacing w:before="0" w:after="283"/>
              <w:jc w:val="left"/>
              <w:rPr/>
            </w:pPr>
            <w:r>
              <w:rPr/>
              <w:t> </w:t>
            </w:r>
          </w:p>
        </w:tc>
        <w:tc>
          <w:tcPr>
            <w:tcW w:w="9696" w:type="dxa"/>
            <w:tcBorders/>
            <w:vAlign w:val="bottom"/>
          </w:tcPr>
          <w:p>
            <w:pPr>
              <w:pStyle w:val="TableContents"/>
              <w:bidi w:val="0"/>
              <w:spacing w:before="0" w:after="283"/>
              <w:jc w:val="left"/>
              <w:rPr/>
            </w:pPr>
            <w:r>
              <w:rPr/>
              <w:t>Form of Compliance Certificate</w:t>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K</w:t>
            </w:r>
          </w:p>
        </w:tc>
        <w:tc>
          <w:tcPr>
            <w:tcW w:w="100" w:type="dxa"/>
            <w:tcBorders/>
            <w:vAlign w:val="bottom"/>
          </w:tcPr>
          <w:p>
            <w:pPr>
              <w:pStyle w:val="TableContents"/>
              <w:bidi w:val="0"/>
              <w:spacing w:before="0" w:after="283"/>
              <w:jc w:val="left"/>
              <w:rPr/>
            </w:pPr>
            <w:r>
              <w:rPr/>
              <w:t> </w:t>
            </w:r>
          </w:p>
        </w:tc>
        <w:tc>
          <w:tcPr>
            <w:tcW w:w="9696" w:type="dxa"/>
            <w:tcBorders/>
            <w:vAlign w:val="bottom"/>
          </w:tcPr>
          <w:p>
            <w:pPr>
              <w:pStyle w:val="TableContents"/>
              <w:bidi w:val="0"/>
              <w:spacing w:before="0" w:after="283"/>
              <w:jc w:val="left"/>
              <w:rPr/>
            </w:pPr>
            <w:r>
              <w:rPr/>
              <w:t>Form of Note</w:t>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L</w:t>
            </w:r>
          </w:p>
        </w:tc>
        <w:tc>
          <w:tcPr>
            <w:tcW w:w="100" w:type="dxa"/>
            <w:tcBorders/>
            <w:vAlign w:val="bottom"/>
          </w:tcPr>
          <w:p>
            <w:pPr>
              <w:pStyle w:val="TableContents"/>
              <w:bidi w:val="0"/>
              <w:spacing w:before="0" w:after="283"/>
              <w:jc w:val="left"/>
              <w:rPr/>
            </w:pPr>
            <w:r>
              <w:rPr/>
              <w:t> </w:t>
            </w:r>
          </w:p>
        </w:tc>
        <w:tc>
          <w:tcPr>
            <w:tcW w:w="9696" w:type="dxa"/>
            <w:tcBorders/>
            <w:vAlign w:val="bottom"/>
          </w:tcPr>
          <w:p>
            <w:pPr>
              <w:pStyle w:val="TableContents"/>
              <w:bidi w:val="0"/>
              <w:spacing w:before="0" w:after="283"/>
              <w:jc w:val="left"/>
              <w:rPr/>
            </w:pPr>
            <w:r>
              <w:rPr/>
              <w:t>Form of Borrowing Request</w:t>
            </w:r>
          </w:p>
        </w:tc>
      </w:tr>
      <w:tr>
        <w:trPr/>
        <w:tc>
          <w:tcPr>
            <w:tcW w:w="409" w:type="dxa"/>
            <w:tcBorders/>
          </w:tcPr>
          <w:p>
            <w:pPr>
              <w:pStyle w:val="TableContents"/>
              <w:bidi w:val="0"/>
              <w:spacing w:before="0" w:after="0"/>
              <w:jc w:val="left"/>
              <w:rPr>
                <w:rFonts w:ascii="Times New Roman" w:hAnsi="Times New Roman"/>
                <w:sz w:val="20"/>
              </w:rPr>
            </w:pPr>
            <w:r>
              <w:rPr>
                <w:rFonts w:ascii="Times New Roman" w:hAnsi="Times New Roman"/>
                <w:sz w:val="20"/>
              </w:rPr>
              <w:t>M</w:t>
            </w:r>
          </w:p>
        </w:tc>
        <w:tc>
          <w:tcPr>
            <w:tcW w:w="100" w:type="dxa"/>
            <w:tcBorders/>
            <w:vAlign w:val="bottom"/>
          </w:tcPr>
          <w:p>
            <w:pPr>
              <w:pStyle w:val="TableContents"/>
              <w:bidi w:val="0"/>
              <w:spacing w:before="0" w:after="283"/>
              <w:jc w:val="left"/>
              <w:rPr/>
            </w:pPr>
            <w:r>
              <w:rPr/>
              <w:t> </w:t>
            </w:r>
          </w:p>
        </w:tc>
        <w:tc>
          <w:tcPr>
            <w:tcW w:w="9696" w:type="dxa"/>
            <w:tcBorders/>
            <w:vAlign w:val="bottom"/>
          </w:tcPr>
          <w:p>
            <w:pPr>
              <w:pStyle w:val="TableContents"/>
              <w:bidi w:val="0"/>
              <w:spacing w:before="0" w:after="283"/>
              <w:jc w:val="left"/>
              <w:rPr/>
            </w:pPr>
            <w:r>
              <w:rPr/>
              <w:t>Form of Company Consent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SIXTH AMENDED AND RESTATED 364-DAY REVOLVING CREDIT AGREEMENT, dated as of March 28, 2024 (this </w:t>
      </w:r>
      <w:r>
        <w:rPr>
          <w:rFonts w:ascii="Times New Roman" w:hAnsi="Times New Roman"/>
          <w:sz w:val="20"/>
          <w:u w:val="single"/>
        </w:rPr>
        <w:t>Agreement</w:t>
      </w:r>
      <w:r>
        <w:rPr>
          <w:rFonts w:ascii="Times New Roman" w:hAnsi="Times New Roman"/>
          <w:sz w:val="20"/>
        </w:rPr>
        <w:t>), among GENERAL MOTORS COMPANY, a Delaware corporation (the </w:t>
      </w:r>
      <w:r>
        <w:rPr>
          <w:rFonts w:ascii="Times New Roman" w:hAnsi="Times New Roman"/>
          <w:sz w:val="20"/>
          <w:u w:val="single"/>
        </w:rPr>
        <w:t>Company</w:t>
      </w:r>
      <w:r>
        <w:rPr>
          <w:rFonts w:ascii="Times New Roman" w:hAnsi="Times New Roman"/>
          <w:sz w:val="20"/>
        </w:rPr>
        <w:t>), General Motors Financial Company, Inc., a Texas corporation (</w:t>
      </w:r>
      <w:r>
        <w:rPr>
          <w:rFonts w:ascii="Times New Roman" w:hAnsi="Times New Roman"/>
          <w:sz w:val="20"/>
          <w:u w:val="single"/>
        </w:rPr>
        <w:t>GMF</w:t>
      </w:r>
      <w:r>
        <w:rPr>
          <w:rFonts w:ascii="Times New Roman" w:hAnsi="Times New Roman"/>
          <w:sz w:val="20"/>
        </w:rPr>
        <w:t>), the other Subsidiary Borrowers (as defined herein) from time to time parties hereto, the several banks and other financial institutions or entities from time to time parties hereto, as lenders (collectively, the </w:t>
      </w:r>
      <w:r>
        <w:rPr>
          <w:rFonts w:ascii="Times New Roman" w:hAnsi="Times New Roman"/>
          <w:sz w:val="20"/>
          <w:u w:val="single"/>
        </w:rPr>
        <w:t>Lenders</w:t>
      </w:r>
      <w:r>
        <w:rPr>
          <w:rFonts w:ascii="Times New Roman" w:hAnsi="Times New Roman"/>
          <w:sz w:val="20"/>
        </w:rPr>
        <w:t>), JPMORGAN CHASE BANK, N.A. (and any of its branches and affiliates acting on its behalf in such capacity), as administrative agent for the Lenders (in such capacity, the </w:t>
      </w:r>
      <w:r>
        <w:rPr>
          <w:rFonts w:ascii="Times New Roman" w:hAnsi="Times New Roman"/>
          <w:sz w:val="20"/>
          <w:u w:val="single"/>
        </w:rPr>
        <w:t>Administrative Agent</w:t>
      </w:r>
      <w:r>
        <w:rPr>
          <w:rFonts w:ascii="Times New Roman" w:hAnsi="Times New Roman"/>
          <w:sz w:val="20"/>
        </w:rPr>
        <w:t>), CITIBANK, N.A., as syndication agent (in such capacity, the </w:t>
      </w:r>
      <w:r>
        <w:rPr>
          <w:rFonts w:ascii="Times New Roman" w:hAnsi="Times New Roman"/>
          <w:sz w:val="20"/>
          <w:u w:val="single"/>
        </w:rPr>
        <w:t>Syndication Agent</w:t>
      </w:r>
      <w:r>
        <w:rPr>
          <w:rFonts w:ascii="Times New Roman" w:hAnsi="Times New Roman"/>
          <w:sz w:val="20"/>
        </w:rPr>
        <w:t>) and BANK OF AMERICA, N.A., as co-syndication agent (in such capacity, the </w:t>
      </w:r>
      <w:r>
        <w:rPr>
          <w:rFonts w:ascii="Times New Roman" w:hAnsi="Times New Roman"/>
          <w:sz w:val="20"/>
          <w:u w:val="single"/>
        </w:rPr>
        <w:t>Co-Syndication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Company entered into that certain Fifth Amended and Restated 364-Day Revolving Credit Agreement, dated as of March 31, 2023 (the </w:t>
      </w:r>
      <w:r>
        <w:rPr>
          <w:rFonts w:ascii="Times New Roman" w:hAnsi="Times New Roman"/>
          <w:sz w:val="20"/>
          <w:u w:val="single"/>
        </w:rPr>
        <w:t>Existing 364-Day Credit Agreement</w:t>
      </w:r>
      <w:r>
        <w:rPr>
          <w:rFonts w:ascii="Times New Roman" w:hAnsi="Times New Roman"/>
          <w:sz w:val="20"/>
        </w:rPr>
        <w:t xml:space="preserve">), with GMF, the other Subsidiary Borrowers (as defined therein) from time to time party thereto, the several lenders from time to time party thereto, JPMorgan Chase Bank, N.A., as administrative agent and the other agents party thereto;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hereto have agreed to amend and restate the Existing 364-Day Credit Agreement as provided in this Agreement, which Agreement shall become effective upon the satisfaction of the conditions set forth in Section 5.1;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the agreements, provisions and covenants herein contained, the parties hereto hereby agree that on the Closing Date (as defined below), the Existing 364-Day Credit Agreement shall be amended and restated in its entirety as follows: </w:t>
      </w:r>
    </w:p>
    <w:p>
      <w:pPr>
        <w:pStyle w:val="TextBody"/>
        <w:bidi w:val="0"/>
        <w:spacing w:before="240" w:after="0"/>
        <w:jc w:val="center"/>
        <w:rPr>
          <w:rFonts w:ascii="Times New Roman" w:hAnsi="Times New Roman"/>
          <w:sz w:val="20"/>
        </w:rPr>
      </w:pPr>
      <w:r>
        <w:rPr>
          <w:rFonts w:ascii="Times New Roman" w:hAnsi="Times New Roman"/>
          <w:sz w:val="20"/>
        </w:rPr>
        <w:t xml:space="preserve">SECTION 1. DEFINITIONS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Defined Terms</w:t>
      </w:r>
      <w:r>
        <w:rPr>
          <w:rFonts w:ascii="Times New Roman" w:hAnsi="Times New Roman"/>
          <w:sz w:val="20"/>
        </w:rPr>
        <w:t xml:space="preserve">. As used in this Agreement, the terms listed in this Section 1.1 shall have the respective meanings set forth in this Section 1.1.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2023 10-K</w:t>
      </w:r>
      <w:r>
        <w:rPr>
          <w:rFonts w:ascii="Times New Roman" w:hAnsi="Times New Roman"/>
          <w:sz w:val="20"/>
        </w:rPr>
        <w:t xml:space="preserve"> has the meaning assigned to such term in Section 4.1.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3-Year Revolving Credit Agreement</w:t>
      </w:r>
      <w:r>
        <w:rPr>
          <w:rFonts w:ascii="Times New Roman" w:hAnsi="Times New Roman"/>
          <w:sz w:val="20"/>
        </w:rPr>
        <w:t xml:space="preserve"> means (i) that certain Fifth Amended and Restated Three Year Revolving Credit Agreement, dated as of March 31, 2023, among the Company, GMF,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Fifth Amended and Restated Three Year Revolving Credit Agreement referred to in clause (i) above or any other agreement or instrument referred to in this clause (ii) unless the Company notifies the Administrative Agent that it is not intended to be a 3-Year Revolving Credit Agreement hereunder. All references to the 3-Year Revolving Credit Agreement in this Agreement shall refer to any 3-Year Revolving Credit Agreement then extant.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3-Year Total Available Commitments</w:t>
      </w:r>
      <w:r>
        <w:rPr>
          <w:rFonts w:ascii="Times New Roman" w:hAnsi="Times New Roman"/>
          <w:sz w:val="20"/>
        </w:rPr>
        <w:t xml:space="preserve"> means the Total Available Commitments (or equivalent term) under, and as defined in, the 3-Year Revolving Credit Agreement (it being understood that if there is more than one 3-Year Revolving Credit Agreement in effect at any time, references hereunder to 3-Year Total Available Commitments shall be deemed to mean the sum of the 3-Year Total Available Commitments (as defined above) under each such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5-Year Revolving Credit Agreement</w:t>
      </w:r>
      <w:r>
        <w:rPr>
          <w:rFonts w:ascii="Times New Roman" w:hAnsi="Times New Roman"/>
          <w:sz w:val="20"/>
        </w:rPr>
        <w:t xml:space="preserve"> means (i) that certain Fourth Amended and Restated Five Year Revolving Credit Agreement, dated as of March 31, 2023, among the Company, GMF,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Fourth Amended and Restated Five Year Revolving Credit Agreement referred to in clause (i) above or any other agreement or instrument referred to in this clause (ii) unless the Company notifies the Administrative Agent that it is not intended to be a 5-Year Revolving Credit Agreement hereunder. All references to the 5-Year Revolving Credit Agreement in this Agreement shall refer to any 5-Year Revolving Credit Agreement then extant.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5-Year Total Available Commitments</w:t>
      </w:r>
      <w:r>
        <w:rPr>
          <w:rFonts w:ascii="Times New Roman" w:hAnsi="Times New Roman"/>
          <w:sz w:val="20"/>
        </w:rPr>
        <w:t xml:space="preserve"> means the Total Available Commitments (or equivalent term) under, and as defined in, the 5-Year Revolving Credit Agreement (it being understood that if there is more than one 5-Year Revolving Credit Agreement in effect at any time, references hereunder to 5-Year Total Available Commitments shall be deemed to mean the sum of the 5-Year Total Available Commitments (as defined above) under each such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ABR</w:t>
      </w:r>
      <w:r>
        <w:rPr>
          <w:rFonts w:ascii="Times New Roman" w:hAnsi="Times New Roman"/>
          <w:sz w:val="20"/>
        </w:rPr>
        <w:t xml:space="preserve"> means for any day, a rate per annum equal to the greatest of (a) the Prime Rate in effect on such day, (b) the NYFRB Rate in effect on such day plus 1⁄2 of 1.00% and (c) the Adjusted Term SOFR Rate for a one month Interest Period as published two U.S. Government Securities Business Days prior to such day (or if such day is not a U.S. Government Securities Business Day, the immediately preceding U.S. Government Securities Business Day), plus 1.00%;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ABR due to a change in the Prime Rate, the NYFRB Rate or the Adjusted Term SOFR Rate shall be effective from and including the effective date of such change in the Prime Rate, the NYFRB Rate or the Adjusted Term SOFR Rate, respectively. If the ABR is being used as an alternate rate of interest pursuant to Section 2.18 hereof (for the avoidance of doubt, only until the Benchmark Replacement has been determined pursuant to Section 2.18(b)), then the ABR shall be the greater of clauses (a) and (b) above and shall be determined without reference to clause (c) above. For the avoidance of doubt, if the rate determined pursuant to this definition of ABR shall be less than 1.0%, such rate shall be deemed to be 1.0% for purposes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ABR Loans</w:t>
      </w:r>
      <w:r>
        <w:rPr>
          <w:rFonts w:ascii="Times New Roman" w:hAnsi="Times New Roman"/>
          <w:sz w:val="20"/>
        </w:rPr>
        <w:t xml:space="preserve"> means Loans the rate of interest applicable to which is based upon the ABR.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Adjusted Daily Simple SOFR</w:t>
      </w:r>
      <w:r>
        <w:rPr>
          <w:rFonts w:ascii="Times New Roman" w:hAnsi="Times New Roman"/>
          <w:sz w:val="20"/>
        </w:rPr>
        <w:t xml:space="preserve"> means an interest rate per annum equal to (a) the Daily Simple SOFR, plus (b) 0.10%; provided that if the Adjusted Daily Simple SOFR Rate as so determined would be less than the Floor, such rate shall be deemed to be equal to the Floor for the purposes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Adjusted Term SOFR Rate</w:t>
      </w:r>
      <w:r>
        <w:rPr>
          <w:rFonts w:ascii="Times New Roman" w:hAnsi="Times New Roman"/>
          <w:sz w:val="20"/>
        </w:rPr>
        <w:t xml:space="preserve"> means, for any Interest Period, an interest rate per annum equal to (a) the Term SOFR Rate for such Interest Period, plus (b) 0.10%; provided that if the Adjusted Term SOFR Rate as so determined would be less than the Floor, such rate shall be deemed to be equal to the Floor for the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Administrative Agent</w:t>
      </w:r>
      <w:r>
        <w:rPr>
          <w:rFonts w:ascii="Times New Roman" w:hAnsi="Times New Roman"/>
          <w:sz w:val="20"/>
        </w:rPr>
        <w:t xml:space="preserve"> has the meaning assigned to such term in the preamble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means, with respect to a specified Person, another Person that directly, or indirectly through one or more intermediaries, Controls or is Controlled by or is under common Control with the Person specified.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Agreement</w:t>
      </w:r>
      <w:r>
        <w:rPr>
          <w:rFonts w:ascii="Times New Roman" w:hAnsi="Times New Roman"/>
          <w:sz w:val="20"/>
        </w:rPr>
        <w:t xml:space="preserve"> has the meaning assigned to such term in the preamble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Ancillary Document</w:t>
      </w:r>
      <w:r>
        <w:rPr>
          <w:rFonts w:ascii="Times New Roman" w:hAnsi="Times New Roman"/>
          <w:sz w:val="20"/>
        </w:rPr>
        <w:t xml:space="preserve"> has the meaning assigned to it in Section 10.8.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Anti-Corruption Laws</w:t>
      </w:r>
      <w:r>
        <w:rPr>
          <w:rFonts w:ascii="Times New Roman" w:hAnsi="Times New Roman"/>
          <w:sz w:val="20"/>
        </w:rPr>
        <w:t xml:space="preserve"> means the United States Foreign Corrupt Practices Act of 1977 and the UK Bribery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Lending Office</w:t>
      </w:r>
      <w:r>
        <w:rPr>
          <w:rFonts w:ascii="Times New Roman" w:hAnsi="Times New Roman"/>
          <w:sz w:val="20"/>
        </w:rPr>
        <w:t xml:space="preserve"> means, for any Lender, such Lenders office, branch or affiliate designated for Term Benchmark Loans, Daily Simple SOFR Loans or ABR Loans, as notified to the Administrative Agent and the Company or as otherwise specified in the Assignment and Assumption pursuant to which such Lender became a party hereto, any of which offices may, subject to Section 2.23, be changed by such Lender upon 10 days prior written notice to the Administrative Agent and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Facility Rating</w:t>
      </w:r>
      <w:r>
        <w:rPr>
          <w:rFonts w:ascii="Times New Roman" w:hAnsi="Times New Roman"/>
          <w:sz w:val="20"/>
        </w:rPr>
        <w:t xml:space="preserve"> has the meaning set forth in the Applicable Pricing Grid.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Law</w:t>
      </w:r>
      <w:r>
        <w:rPr>
          <w:rFonts w:ascii="Times New Roman" w:hAnsi="Times New Roman"/>
          <w:sz w:val="20"/>
        </w:rPr>
        <w:t xml:space="preserve"> means, as to any Person, all applicable Laws binding upon such Person or to which such a Person is subject.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Margin</w:t>
      </w:r>
      <w:r>
        <w:rPr>
          <w:rFonts w:ascii="Times New Roman" w:hAnsi="Times New Roman"/>
          <w:sz w:val="20"/>
        </w:rPr>
        <w:t xml:space="preserve"> means, for any day, with respect to any ABR Loan, Daily Simple SOFR Loan or Term Benchmark Loan, as the case may be, the applicable rate per annum set forth under the relevant column heading in the Applicable Pricing Grid, based upon the Applicable Rating in effect on such day.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Parties</w:t>
      </w:r>
      <w:r>
        <w:rPr>
          <w:rFonts w:ascii="Times New Roman" w:hAnsi="Times New Roman"/>
          <w:sz w:val="20"/>
        </w:rPr>
        <w:t xml:space="preserve"> has the meaning assigned to it in Section 9.14.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Pricing Grid</w:t>
      </w:r>
      <w:r>
        <w:rPr>
          <w:rFonts w:ascii="Times New Roman" w:hAnsi="Times New Roman"/>
          <w:sz w:val="20"/>
        </w:rPr>
        <w:t xml:space="preserve"> means the table set forth on Schedule 1.1C.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Rating</w:t>
      </w:r>
      <w:r>
        <w:rPr>
          <w:rFonts w:ascii="Times New Roman" w:hAnsi="Times New Roman"/>
          <w:sz w:val="20"/>
        </w:rPr>
        <w:t xml:space="preserve"> means the Index Debt Rating; </w:t>
      </w:r>
      <w:r>
        <w:rPr>
          <w:rFonts w:ascii="Times New Roman" w:hAnsi="Times New Roman"/>
          <w:sz w:val="20"/>
          <w:u w:val="single"/>
        </w:rPr>
        <w:t>provided</w:t>
      </w:r>
      <w:r>
        <w:rPr>
          <w:rFonts w:ascii="Times New Roman" w:hAnsi="Times New Roman"/>
          <w:sz w:val="20"/>
        </w:rPr>
        <w:t xml:space="preserve">, that (i) in the event the Company has obtained or maintained an Applicable Facility Rating from at least two of Moodys, S&amp;P or Fitch, the Applicable Rating shall be the Applicable Facility Rating in effect at any time of determination and (ii) in the event that the ratings established or deemed to have been established by Moodys, S&amp;P or Fitch for the Index Debt Rating shall be changed (other than as a result of a change in the rating system of Moodys, S&amp;P or Fitch), such change shall be effective as of the third Business Day following the date on which it is first announced by the applicable rating agency, irrespective of when notice of such change shall have been furnished by the Borrower to the Administrative Agent. Each change in the Applicable Rating shall apply during the period commencing on the effective date of such change and ending on the date immediately preceding the effective date of the next such change. If the rating system of Moodys, S&amp;P or Fitch shall change, or if any such Rating Agency shall cease to be in the business of rating corporate debt obligations, the Borrower and the Lenders shall negotiate in good faith to amend this definition to reflect such changed rating system or the unavailability of ratings from such Rating Agency and, pending the effectiveness of any such amendment, the Applicable Rating shall be determined by reference to the rating most recently in effect prior to such change or cessation.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Approved Borrower Portal</w:t>
      </w:r>
      <w:r>
        <w:rPr>
          <w:rFonts w:ascii="Times New Roman" w:hAnsi="Times New Roman"/>
          <w:sz w:val="20"/>
        </w:rPr>
        <w:t xml:space="preserve"> has the meaning assigned to it in Section 9.14.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Approved Electronic Platform</w:t>
      </w:r>
      <w:r>
        <w:rPr>
          <w:rFonts w:ascii="Times New Roman" w:hAnsi="Times New Roman"/>
          <w:sz w:val="20"/>
        </w:rPr>
        <w:t xml:space="preserve"> has the meaning assigned to such term in Section 10.2(b).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Approved Fund</w:t>
      </w:r>
      <w:r>
        <w:rPr>
          <w:rFonts w:ascii="Times New Roman" w:hAnsi="Times New Roman"/>
          <w:sz w:val="20"/>
        </w:rPr>
        <w:t xml:space="preserve"> means any Person (other than a natural person) that is engaged in making, purchasing, holding or investing in revolving bank loans and similar revolving extensions of credit in the ordinary course and that is administered or managed by (a) a Lender, (b) an affiliate of a Lender or (c) an entity or an affiliate of an entity that administers or manages a Lender.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Arrangers</w:t>
      </w:r>
      <w:r>
        <w:rPr>
          <w:rFonts w:ascii="Times New Roman" w:hAnsi="Times New Roman"/>
          <w:sz w:val="20"/>
        </w:rPr>
        <w:t xml:space="preserve"> has the meaning assigned to such term in Section 9.11.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Assignee</w:t>
      </w:r>
      <w:r>
        <w:rPr>
          <w:rFonts w:ascii="Times New Roman" w:hAnsi="Times New Roman"/>
          <w:sz w:val="20"/>
        </w:rPr>
        <w:t xml:space="preserve"> has the meaning assigned to such term in Section 10.6(b).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Assignment and Assumption</w:t>
      </w:r>
      <w:r>
        <w:rPr>
          <w:rFonts w:ascii="Times New Roman" w:hAnsi="Times New Roman"/>
          <w:sz w:val="20"/>
        </w:rPr>
        <w:t xml:space="preserve"> means an Assignment and Assumption, substantially in the form of Exhibit 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Available Tenor</w:t>
      </w:r>
      <w:r>
        <w:rPr>
          <w:rFonts w:ascii="Times New Roman" w:hAnsi="Times New Roman"/>
          <w:sz w:val="20"/>
        </w:rPr>
        <w:t xml:space="preserve">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2.18.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Basel III</w:t>
      </w:r>
      <w:r>
        <w:rPr>
          <w:rFonts w:ascii="Times New Roman" w:hAnsi="Times New Roman"/>
          <w:sz w:val="20"/>
        </w:rPr>
        <w:t xml:space="preserve"> means: (a)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(b)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(c) and any further guidance or standards published by the Basel Committee on Banking Supervision relating to Basel III.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w:t>
      </w:r>
      <w:r>
        <w:rPr>
          <w:rFonts w:ascii="Times New Roman" w:hAnsi="Times New Roman"/>
          <w:sz w:val="20"/>
        </w:rPr>
        <w:t xml:space="preserve"> means, initially, with respect to any (i) Daily Simple SOFR Loan, the Daily Simple SOFR or (ii) Term Benchmark Loan, the Term SOFR Rate; provided that if a Benchmark Transition Event, and the related Benchmark Replacement Date have occurred with respect to the Daily Simple SOFR or Term SOFR Rate, as applicable, or the then-current Benchmark, then Benchmark means the applicable Benchmark Replacement to the extent that such Benchmark Replacement has replaced such prior benchmark rate pursuant to clause (b) of Section 2.18.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 Replacement</w:t>
      </w:r>
      <w:r>
        <w:rPr>
          <w:rFonts w:ascii="Times New Roman" w:hAnsi="Times New Roman"/>
          <w:sz w:val="20"/>
        </w:rPr>
        <w:t xml:space="preserve"> means, for any Available Tenor, 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 </w:t>
      </w:r>
    </w:p>
    <w:p>
      <w:pPr>
        <w:pStyle w:val="TextBody"/>
        <w:bidi w:val="0"/>
        <w:spacing w:before="240" w:after="0"/>
        <w:jc w:val="left"/>
        <w:rPr>
          <w:rFonts w:ascii="Times New Roman" w:hAnsi="Times New Roman"/>
          <w:sz w:val="20"/>
        </w:rPr>
      </w:pPr>
      <w:r>
        <w:rPr>
          <w:rFonts w:ascii="Times New Roman" w:hAnsi="Times New Roman"/>
          <w:sz w:val="20"/>
        </w:rPr>
        <w:t xml:space="preserve">If the Benchmark Replacement as determined above would be less than the Floor, the Benchmark Replacement will be deemed to be the Floor for the purposes of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 Replacement Adjustment</w:t>
      </w:r>
      <w:r>
        <w:rPr>
          <w:rFonts w:ascii="Times New Roman" w:hAnsi="Times New Roman"/>
          <w:sz w:val="20"/>
        </w:rPr>
        <w:t xml:space="preserve">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 Replacement Conforming Changes</w:t>
      </w:r>
      <w:r>
        <w:rPr>
          <w:rFonts w:ascii="Times New Roman" w:hAnsi="Times New Roman"/>
          <w:sz w:val="20"/>
        </w:rPr>
        <w:t xml:space="preserve"> means, with respect to any Benchmark Replacement and/or any Term Benchmark Loan subject to the occurrence of a Benchmark Replacement, any technical, administrative or operational changes (including changes to the definition of ABR,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 Replacement Date</w:t>
      </w:r>
      <w:r>
        <w:rPr>
          <w:rFonts w:ascii="Times New Roman" w:hAnsi="Times New Roman"/>
          <w:sz w:val="20"/>
        </w:rPr>
        <w:t xml:space="preserve"> means, with respect to any Benchmark, the earliest to occur of the following events with respect to such then-current Benchmark: </w:t>
      </w:r>
    </w:p>
    <w:p>
      <w:pPr>
        <w:pStyle w:val="TextBody"/>
        <w:bidi w:val="0"/>
        <w:spacing w:before="240" w:after="0"/>
        <w:jc w:val="left"/>
        <w:rPr>
          <w:rFonts w:ascii="Times New Roman" w:hAnsi="Times New Roman"/>
          <w:sz w:val="20"/>
        </w:rPr>
      </w:pPr>
      <w:r>
        <w:rPr>
          <w:rFonts w:ascii="Times New Roman" w:hAnsi="Times New Roman"/>
          <w:sz w:val="20"/>
        </w:rPr>
        <w:t xml:space="preserve">(1)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 </w:t>
      </w:r>
    </w:p>
    <w:p>
      <w:pPr>
        <w:pStyle w:val="TextBody"/>
        <w:bidi w:val="0"/>
        <w:spacing w:before="240" w:after="0"/>
        <w:jc w:val="left"/>
        <w:rPr>
          <w:rFonts w:ascii="Times New Roman" w:hAnsi="Times New Roman"/>
          <w:sz w:val="20"/>
        </w:rPr>
      </w:pPr>
      <w:r>
        <w:rPr>
          <w:rFonts w:ascii="Times New Roman" w:hAnsi="Times New Roman"/>
          <w:sz w:val="20"/>
        </w:rPr>
        <w:t xml:space="preserve">(2)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 Transition Event</w:t>
      </w:r>
      <w:r>
        <w:rPr>
          <w:rFonts w:ascii="Times New Roman" w:hAnsi="Times New Roman"/>
          <w:sz w:val="20"/>
        </w:rPr>
        <w:t xml:space="preserve"> means, with respect to any Benchmark, the occurrence of one or more of the following events with respect to such then-current Benchmark: </w:t>
      </w:r>
    </w:p>
    <w:p>
      <w:pPr>
        <w:pStyle w:val="TextBody"/>
        <w:bidi w:val="0"/>
        <w:spacing w:before="240" w:after="0"/>
        <w:jc w:val="left"/>
        <w:rPr>
          <w:rFonts w:ascii="Times New Roman" w:hAnsi="Times New Roman"/>
          <w:sz w:val="20"/>
        </w:rPr>
      </w:pPr>
      <w:r>
        <w:rPr>
          <w:rFonts w:ascii="Times New Roman" w:hAnsi="Times New Roman"/>
          <w:sz w:val="20"/>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w:t>
      </w:r>
    </w:p>
    <w:p>
      <w:pPr>
        <w:pStyle w:val="TextBody"/>
        <w:bidi w:val="0"/>
        <w:spacing w:before="240" w:after="0"/>
        <w:jc w:val="left"/>
        <w:rPr>
          <w:rFonts w:ascii="Times New Roman" w:hAnsi="Times New Roman"/>
          <w:sz w:val="20"/>
        </w:rPr>
      </w:pPr>
      <w:r>
        <w:rPr>
          <w:rFonts w:ascii="Times New Roman" w:hAnsi="Times New Roman"/>
          <w:sz w:val="20"/>
        </w:rPr>
        <w:t xml:space="preserve">(2) 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w:t>
      </w:r>
    </w:p>
    <w:p>
      <w:pPr>
        <w:pStyle w:val="TextBody"/>
        <w:bidi w:val="0"/>
        <w:spacing w:before="240" w:after="0"/>
        <w:jc w:val="left"/>
        <w:rPr>
          <w:rFonts w:ascii="Times New Roman" w:hAnsi="Times New Roman"/>
          <w:sz w:val="20"/>
        </w:rPr>
      </w:pPr>
      <w:r>
        <w:rPr>
          <w:rFonts w:ascii="Times New Roman" w:hAnsi="Times New Roman"/>
          <w:sz w:val="20"/>
        </w:rPr>
        <w:t xml:space="preserve">(3)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Benchmark Unavailability Period</w:t>
      </w:r>
      <w:r>
        <w:rPr>
          <w:rFonts w:ascii="Times New Roman" w:hAnsi="Times New Roman"/>
          <w:sz w:val="20"/>
        </w:rPr>
        <w:t xml:space="preserve">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2.18 and (y) ending at the time that a Benchmark Replacement has replaced such then-current Benchmark for all purposes hereunder and under any Loan Document in accordance with Section 2.18.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Beneficial Ownership Regulation</w:t>
      </w:r>
      <w:r>
        <w:rPr>
          <w:rFonts w:ascii="Times New Roman" w:hAnsi="Times New Roman"/>
          <w:sz w:val="20"/>
        </w:rPr>
        <w:t xml:space="preserve"> means 31 C.F.R. §1010.230.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Benefit Plan</w:t>
      </w:r>
      <w:r>
        <w:rPr>
          <w:rFonts w:ascii="Times New Roman" w:hAnsi="Times New Roman"/>
          <w:sz w:val="20"/>
        </w:rPr>
        <w:t xml:space="preserve">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Benefitted Lender</w:t>
      </w:r>
      <w:r>
        <w:rPr>
          <w:rFonts w:ascii="Times New Roman" w:hAnsi="Times New Roman"/>
          <w:sz w:val="20"/>
        </w:rPr>
        <w:t xml:space="preserve"> has the meaning assigned to such term in Section 10.7.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Board</w:t>
      </w:r>
      <w:r>
        <w:rPr>
          <w:rFonts w:ascii="Times New Roman" w:hAnsi="Times New Roman"/>
          <w:sz w:val="20"/>
        </w:rPr>
        <w:t xml:space="preserve"> means the Board of Governors of the Federal Reserve System of the United States (or any successor).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Borrower</w:t>
      </w:r>
      <w:r>
        <w:rPr>
          <w:rFonts w:ascii="Times New Roman" w:hAnsi="Times New Roman"/>
          <w:sz w:val="20"/>
        </w:rPr>
        <w:t xml:space="preserve"> means the Company, GMF or any other Subsidiary Borrower designated from time to time by the Company until (in the case of any Subsidiary Borrower) such time as such Subsidiary Borrower is removed as a party hereto pursuant to Section 10.1(d).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Borrower Communications</w:t>
      </w:r>
      <w:r>
        <w:rPr>
          <w:rFonts w:ascii="Times New Roman" w:hAnsi="Times New Roman"/>
          <w:sz w:val="20"/>
        </w:rPr>
        <w:t xml:space="preserve"> has the meaning assigned to it in Section 9.14.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Borrower Joinder Agreement</w:t>
      </w:r>
      <w:r>
        <w:rPr>
          <w:rFonts w:ascii="Times New Roman" w:hAnsi="Times New Roman"/>
          <w:sz w:val="20"/>
        </w:rPr>
        <w:t xml:space="preserve"> means a joinder agreement substantially in the form of Exhibit H.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Borrowing</w:t>
      </w:r>
      <w:r>
        <w:rPr>
          <w:rFonts w:ascii="Times New Roman" w:hAnsi="Times New Roman"/>
          <w:sz w:val="20"/>
        </w:rPr>
        <w:t xml:space="preserve"> means Loans of the same Type, made, converted or continued on the same date and, in the case of Term Benchmark Loans, as to which a single Interest Period is in effect.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Borrowing Date</w:t>
      </w:r>
      <w:r>
        <w:rPr>
          <w:rFonts w:ascii="Times New Roman" w:hAnsi="Times New Roman"/>
          <w:sz w:val="20"/>
        </w:rPr>
        <w:t xml:space="preserve"> means any Business Day specified by the Company or any Subsidiary Borrower as a date on which the Company or such Subsidiary Borrower requests the relevant Lenders to make Loans 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Borrowing Request</w:t>
      </w:r>
      <w:r>
        <w:rPr>
          <w:rFonts w:ascii="Times New Roman" w:hAnsi="Times New Roman"/>
          <w:sz w:val="20"/>
        </w:rPr>
        <w:t xml:space="preserve"> means a request by any Borrower for a Loan in substantially the form of Exhibit 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any day (other than a Saturday or a Sunday) on which banks are open for business in New York City; provided that, in addition to the foregoing, a Business Day shall be (a) in relation to Daily Simple SOFR Loans and any interest rate setting, fundings, disbursements, settlements or payments of any such Daily Simple SOFR Loan, or any other dealings of such Daily Simple SOFR Loan, and (b)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only a U.S. Government Securities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Capital Lease Obligations</w:t>
      </w:r>
      <w:r>
        <w:rPr>
          <w:rFonts w:ascii="Times New Roman" w:hAnsi="Times New Roman"/>
          <w:sz w:val="20"/>
        </w:rPr>
        <w:t xml:space="preserve">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Capital Stock</w:t>
      </w:r>
      <w:r>
        <w:rPr>
          <w:rFonts w:ascii="Times New Roman" w:hAnsi="Times New Roman"/>
          <w:sz w:val="20"/>
        </w:rPr>
        <w:t xml:space="preserve">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Change in Law</w:t>
      </w:r>
      <w:r>
        <w:rPr>
          <w:rFonts w:ascii="Times New Roman" w:hAnsi="Times New Roman"/>
          <w:sz w:val="20"/>
        </w:rPr>
        <w:t xml:space="preserve"> means (a) the adoption of any law, rule or regulation after the date of this Agreement, (b) any change in any law, rule or regulation or in the interpretation or application thereof by any Governmental Authority after the date of this Agreement or (c) compliance by any Lender (or, for purposes of Section 2.20, by any lending office of such Lender or by such Lenders holding company, if any) with any request, guideline or directive (whether or not having the force of law) of any Governmental Authority made or issued after the date of this Agreement. For purposes of this definition and Section 2.20, (x) the Dodd-Frank Wall Street Reform and Consumer Protection Act and all requests, rules, guidelines, requirements and directives thereunder or issued in connection therewith or in implementation thereof (whether or not having the force of law) and (y) all requests, rules, regulations, guidelines, requirements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Change of Control</w:t>
      </w:r>
      <w:r>
        <w:rPr>
          <w:rFonts w:ascii="Times New Roman" w:hAnsi="Times New Roman"/>
          <w:sz w:val="20"/>
        </w:rPr>
        <w:t> means the occurrence of any of the following events: (a) any </w:t>
      </w:r>
      <w:r>
        <w:rPr>
          <w:rFonts w:ascii="Times New Roman" w:hAnsi="Times New Roman"/>
          <w:sz w:val="20"/>
          <w:u w:val="single"/>
        </w:rPr>
        <w:t>person</w:t>
      </w:r>
      <w:r>
        <w:rPr>
          <w:rFonts w:ascii="Times New Roman" w:hAnsi="Times New Roman"/>
          <w:sz w:val="20"/>
        </w:rPr>
        <w:t> or </w:t>
      </w:r>
      <w:r>
        <w:rPr>
          <w:rFonts w:ascii="Times New Roman" w:hAnsi="Times New Roman"/>
          <w:sz w:val="20"/>
          <w:u w:val="single"/>
        </w:rPr>
        <w:t>group</w:t>
      </w:r>
      <w:r>
        <w:rPr>
          <w:rFonts w:ascii="Times New Roman" w:hAnsi="Times New Roman"/>
          <w:sz w:val="20"/>
        </w:rPr>
        <w:t> (as such terms are used in Sections 13(d) and 14(d) of the Exchange Act) shall become, or obtain rights (whether by means of warrants, options or otherwise) to become, the </w:t>
      </w:r>
      <w:r>
        <w:rPr>
          <w:rFonts w:ascii="Times New Roman" w:hAnsi="Times New Roman"/>
          <w:sz w:val="20"/>
          <w:u w:val="single"/>
        </w:rPr>
        <w:t>beneficial owner</w:t>
      </w:r>
      <w:r>
        <w:rPr>
          <w:rFonts w:ascii="Times New Roman" w:hAnsi="Times New Roman"/>
          <w:sz w:val="20"/>
        </w:rPr>
        <w:t xml:space="preserve"> (as defined in Rules 13(d)-3 and 13(d) 5 under the Exchange Act), directly or indirectly, of more than 50% of the outstanding Voting Stock of the Company or (b) Continuing Directors cease to constitute at least a majority of the members of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w:t>
      </w:r>
      <w:r>
        <w:rPr>
          <w:rFonts w:ascii="Times New Roman" w:hAnsi="Times New Roman"/>
          <w:sz w:val="20"/>
        </w:rPr>
        <w:t xml:space="preserve"> means any person that is primarily engaged in the issuance of securities based on, collateralized by or otherwise backed by one or more pools of assets consisting primarily of bank loans.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 Date</w:t>
      </w:r>
      <w:r>
        <w:rPr>
          <w:rFonts w:ascii="Times New Roman" w:hAnsi="Times New Roman"/>
          <w:sz w:val="20"/>
        </w:rPr>
        <w:t xml:space="preserve"> means the date on which the conditions precedent set forth in Section 5.1 shall have been satisfied, which date is March 28, 2024.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CME Term SOFR Administrator</w:t>
      </w:r>
      <w:r>
        <w:rPr>
          <w:rFonts w:ascii="Times New Roman" w:hAnsi="Times New Roman"/>
          <w:sz w:val="20"/>
        </w:rPr>
        <w:t xml:space="preserve"> means CME Group Benchmark Administration Limited as administrator of the forward-looking term Secured Overnight Financing Rate (SOFR) (or a successor administrator).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Co-Syndication Agent</w:t>
      </w:r>
      <w:r>
        <w:rPr>
          <w:rFonts w:ascii="Times New Roman" w:hAnsi="Times New Roman"/>
          <w:sz w:val="20"/>
        </w:rPr>
        <w:t xml:space="preserve"> has the meaning assigned to such term in the preamble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Code</w:t>
      </w:r>
      <w:r>
        <w:rPr>
          <w:rFonts w:ascii="Times New Roman" w:hAnsi="Times New Roman"/>
          <w:sz w:val="20"/>
        </w:rPr>
        <w:t xml:space="preserve"> means the Internal Revenue Code of 1986, as amended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Commitment</w:t>
      </w:r>
      <w:r>
        <w:rPr>
          <w:rFonts w:ascii="Times New Roman" w:hAnsi="Times New Roman"/>
          <w:sz w:val="20"/>
        </w:rPr>
        <w:t xml:space="preserve"> means as to any Lender, the obligation of such Lender, if any, to make Loans in an aggregate principal amount not to exceed the amount set forth under the heading Commitment opposite such Lenders name on Schedule 1.1A or in the Assignment and Assumption pursuant to which such Lender became a party hereto, as the same may be changed from time to time pursuant to the terms hereof, including pursuant to any Commitment Increase permitted pursuant to Section 2.27(a)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Commitment Increase</w:t>
      </w:r>
      <w:r>
        <w:rPr>
          <w:rFonts w:ascii="Times New Roman" w:hAnsi="Times New Roman"/>
          <w:sz w:val="20"/>
        </w:rPr>
        <w:t xml:space="preserve"> has the meaning assigned to such term in </w:t>
      </w:r>
      <w:r>
        <w:rPr>
          <w:rFonts w:ascii="Times New Roman" w:hAnsi="Times New Roman"/>
          <w:sz w:val="20"/>
          <w:u w:val="single"/>
        </w:rPr>
        <w:t>Section 2.27(a)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Commitment Increase Date</w:t>
      </w:r>
      <w:r>
        <w:rPr>
          <w:rFonts w:ascii="Times New Roman" w:hAnsi="Times New Roman"/>
          <w:sz w:val="20"/>
        </w:rPr>
        <w:t xml:space="preserve"> means, as to any Commitment Increase, the date (which shall be a Business Day) specified in the related Incremental Loan Activation Notice as the date on which such Commitment Increase shall be effective.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Commitment Period</w:t>
      </w:r>
      <w:r>
        <w:rPr>
          <w:rFonts w:ascii="Times New Roman" w:hAnsi="Times New Roman"/>
          <w:sz w:val="20"/>
        </w:rPr>
        <w:t xml:space="preserve"> means with respect to any Lender in the Facility, the period from and including the Closing Date (or in the case of a Lender that becomes a Lender under the Facility after the Closing Date, the date on which such Lender becomes a Lender under the Facility) to, but excluding, the Termination Date applicable to such Lender under the Facility.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Communications</w:t>
      </w:r>
      <w:r>
        <w:rPr>
          <w:rFonts w:ascii="Times New Roman" w:hAnsi="Times New Roman"/>
          <w:sz w:val="20"/>
        </w:rPr>
        <w:t xml:space="preserve"> means each notice, demand, communication, information, document and other material provided for hereunder or under any other Loan Document or otherwise transmitted between the parties hereto relating to this Agreement, the other Loan Documents, any Loan Party or its affiliates, or the transactions contemplated by this Agreement or the other Loan Documents.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w:t>
      </w:r>
      <w:r>
        <w:rPr>
          <w:rFonts w:ascii="Times New Roman" w:hAnsi="Times New Roman"/>
          <w:sz w:val="20"/>
        </w:rPr>
        <w:t xml:space="preserve"> has the meaning assigned to such term in the preamble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Compliance Certificate</w:t>
      </w:r>
      <w:r>
        <w:rPr>
          <w:rFonts w:ascii="Times New Roman" w:hAnsi="Times New Roman"/>
          <w:sz w:val="20"/>
        </w:rPr>
        <w:t xml:space="preserve"> means a certificate duly executed by a Responsible Officer, substantially in the form of Exhibit J.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Domestic Liquidity</w:t>
      </w:r>
      <w:r>
        <w:rPr>
          <w:rFonts w:ascii="Times New Roman" w:hAnsi="Times New Roman"/>
          <w:sz w:val="20"/>
        </w:rPr>
        <w:t xml:space="preserve"> means, as of any date of determination, the sum of (a) the 3-Year Total Available Commitments at such date </w:t>
      </w:r>
      <w:r>
        <w:rPr>
          <w:rFonts w:ascii="Times New Roman" w:hAnsi="Times New Roman"/>
          <w:sz w:val="20"/>
          <w:u w:val="single"/>
        </w:rPr>
        <w:t>plus</w:t>
      </w:r>
      <w:r>
        <w:rPr>
          <w:rFonts w:ascii="Times New Roman" w:hAnsi="Times New Roman"/>
          <w:sz w:val="20"/>
        </w:rPr>
        <w:t xml:space="preserve"> (b) the 5-Year Total Available Commitments at such date </w:t>
      </w:r>
      <w:r>
        <w:rPr>
          <w:rFonts w:ascii="Times New Roman" w:hAnsi="Times New Roman"/>
          <w:sz w:val="20"/>
          <w:u w:val="single"/>
        </w:rPr>
        <w:t>plus</w:t>
      </w:r>
      <w:r>
        <w:rPr>
          <w:rFonts w:ascii="Times New Roman" w:hAnsi="Times New Roman"/>
          <w:sz w:val="20"/>
        </w:rPr>
        <w:t xml:space="preserve"> (c) the Total Available Commitments at such date </w:t>
      </w:r>
      <w:r>
        <w:rPr>
          <w:rFonts w:ascii="Times New Roman" w:hAnsi="Times New Roman"/>
          <w:sz w:val="20"/>
          <w:u w:val="single"/>
        </w:rPr>
        <w:t>plus</w:t>
      </w:r>
      <w:r>
        <w:rPr>
          <w:rFonts w:ascii="Times New Roman" w:hAnsi="Times New Roman"/>
          <w:sz w:val="20"/>
        </w:rPr>
        <w:t xml:space="preserve"> (d) the total available commitments (after giving effect to any applicable borrowing base limitations) under other then-effective committed credit facilities of the Company or any Domestic Subsidiary, but excluding any warehouse facility of GMF </w:t>
      </w:r>
      <w:r>
        <w:rPr>
          <w:rFonts w:ascii="Times New Roman" w:hAnsi="Times New Roman"/>
          <w:sz w:val="20"/>
          <w:u w:val="single"/>
        </w:rPr>
        <w:t>plus</w:t>
      </w:r>
      <w:r>
        <w:rPr>
          <w:rFonts w:ascii="Times New Roman" w:hAnsi="Times New Roman"/>
          <w:sz w:val="20"/>
        </w:rPr>
        <w:t xml:space="preserve"> (e) 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Global Liquidity</w:t>
      </w:r>
      <w:r>
        <w:rPr>
          <w:rFonts w:ascii="Times New Roman" w:hAnsi="Times New Roman"/>
          <w:sz w:val="20"/>
        </w:rPr>
        <w:t xml:space="preserve"> means as of any date of determination, the sum of (a) the 3-Year Total Available Commitments as of such date </w:t>
      </w:r>
      <w:r>
        <w:rPr>
          <w:rFonts w:ascii="Times New Roman" w:hAnsi="Times New Roman"/>
          <w:sz w:val="20"/>
          <w:u w:val="single"/>
        </w:rPr>
        <w:t>plus</w:t>
      </w:r>
      <w:r>
        <w:rPr>
          <w:rFonts w:ascii="Times New Roman" w:hAnsi="Times New Roman"/>
          <w:sz w:val="20"/>
        </w:rPr>
        <w:t xml:space="preserve"> (b) the 5-Year Total Available Commitments as of such date </w:t>
      </w:r>
      <w:r>
        <w:rPr>
          <w:rFonts w:ascii="Times New Roman" w:hAnsi="Times New Roman"/>
          <w:sz w:val="20"/>
          <w:u w:val="single"/>
        </w:rPr>
        <w:t>plus</w:t>
      </w:r>
      <w:r>
        <w:rPr>
          <w:rFonts w:ascii="Times New Roman" w:hAnsi="Times New Roman"/>
          <w:sz w:val="20"/>
        </w:rPr>
        <w:t xml:space="preserve"> (c) the Total Available Commitments at such date </w:t>
      </w:r>
      <w:r>
        <w:rPr>
          <w:rFonts w:ascii="Times New Roman" w:hAnsi="Times New Roman"/>
          <w:sz w:val="20"/>
          <w:u w:val="single"/>
        </w:rPr>
        <w:t>plus</w:t>
      </w:r>
      <w:r>
        <w:rPr>
          <w:rFonts w:ascii="Times New Roman" w:hAnsi="Times New Roman"/>
          <w:sz w:val="20"/>
        </w:rPr>
        <w:t xml:space="preserve"> (d) the total available commitments (after giving effect to any applicable borrowing base limitations) under other then-effective committed credit facilities of the Company or any of its Subsidiaries, but excluding any warehouse facility of GMF </w:t>
      </w:r>
      <w:r>
        <w:rPr>
          <w:rFonts w:ascii="Times New Roman" w:hAnsi="Times New Roman"/>
          <w:sz w:val="20"/>
          <w:u w:val="single"/>
        </w:rPr>
        <w:t>plus</w:t>
      </w:r>
      <w:r>
        <w:rPr>
          <w:rFonts w:ascii="Times New Roman" w:hAnsi="Times New Roman"/>
          <w:sz w:val="20"/>
        </w:rPr>
        <w:t xml:space="preserve"> (e)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Tangible Assets</w:t>
      </w:r>
      <w:r>
        <w:rPr>
          <w:rFonts w:ascii="Times New Roman" w:hAnsi="Times New Roman"/>
          <w:sz w:val="20"/>
        </w:rPr>
        <w:t xml:space="preserve"> means the aggregate amount of the Companys consolidated assets after deducting therefrom all goodwill, trade names, trademarks, patents, unamortized debt discount and expense and other like intangibles, in each case as set forth in the most recent financial statements of the Company and its consolidated Subsidiaries delivered pursuant to Section 6.1 prepared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Total Assets</w:t>
      </w:r>
      <w:r>
        <w:rPr>
          <w:rFonts w:ascii="Times New Roman" w:hAnsi="Times New Roman"/>
          <w:sz w:val="20"/>
        </w:rPr>
        <w:t xml:space="preserve"> means, at any date, with respect to any Person, the amount set forth opposite the caption total assets (or any like caption) on a consolidated balance sheet (or the equivalent) of such Person and its consolidated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Continuing Director</w:t>
      </w:r>
      <w:r>
        <w:rPr>
          <w:rFonts w:ascii="Times New Roman" w:hAnsi="Times New Roman"/>
          <w:sz w:val="20"/>
        </w:rPr>
        <w:t xml:space="preserve"> means, at any date, an individual (a) who is a member of the board of directors of the Company on the Closing Date or (b) who has been nominated or appointed to be a member of such board of directors, or approved or otherwise ratified, by a majority of the other Continuing Directors then in office.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Contractual Obligation</w:t>
      </w:r>
      <w:r>
        <w:rPr>
          <w:rFonts w:ascii="Times New Roman" w:hAnsi="Times New Roman"/>
          <w:sz w:val="20"/>
        </w:rPr>
        <w:t xml:space="preserve"> means, as to any Person, any provision of any security issued by such Person or of any agreement, instrument or other undertaking to which such Person is a party or by which it or any of its property is bound.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Control</w:t>
      </w:r>
      <w:r>
        <w:rPr>
          <w:rFonts w:ascii="Times New Roman" w:hAnsi="Times New Roman"/>
          <w:sz w:val="20"/>
        </w:rPr>
        <w:t xml:space="preserve"> means the possession, directly or indirectly, of the power to direct or cause the direction of the management or policies of a Person, whether through the ability to exercise voting power, by contract or otherwise. Controlling and Controlled have meanings correlative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Converted Term Loan</w:t>
      </w:r>
      <w:r>
        <w:rPr>
          <w:rFonts w:ascii="Times New Roman" w:hAnsi="Times New Roman"/>
          <w:sz w:val="20"/>
        </w:rPr>
        <w:t xml:space="preserve"> has the meaning assigned to such term in Section 2.28(a).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Converted Term Loan Maturity Date</w:t>
      </w:r>
      <w:r>
        <w:rPr>
          <w:rFonts w:ascii="Times New Roman" w:hAnsi="Times New Roman"/>
          <w:sz w:val="20"/>
        </w:rPr>
        <w:t xml:space="preserve"> means March 27, 2026, which date is the first anniversary of the Termination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Corresponding Tenor</w:t>
      </w:r>
      <w:r>
        <w:rPr>
          <w:rFonts w:ascii="Times New Roman" w:hAnsi="Times New Roman"/>
          <w:sz w:val="20"/>
        </w:rPr>
        <w:t xml:space="preserve"> with respect to any Available Tenor means, as applicable, either a tenor (including overnight) or an interest payment period having approximately the same length (disregarding business day adjustment) as such Available Tenor.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Covered Entity</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p>
    <w:p>
      <w:pPr>
        <w:pStyle w:val="TextBody"/>
        <w:bidi w:val="0"/>
        <w:spacing w:before="12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 382.2(b).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Covered Party</w:t>
      </w:r>
      <w:r>
        <w:rPr>
          <w:rFonts w:ascii="Times New Roman" w:hAnsi="Times New Roman"/>
          <w:sz w:val="20"/>
        </w:rPr>
        <w:t xml:space="preserve"> has the meaning assigned to it in </w:t>
      </w:r>
      <w:r>
        <w:rPr>
          <w:rFonts w:ascii="Times New Roman" w:hAnsi="Times New Roman"/>
          <w:sz w:val="20"/>
          <w:u w:val="single"/>
        </w:rPr>
        <w:t>Section 10.21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Daily Simple SOFR</w:t>
      </w:r>
      <w:r>
        <w:rPr>
          <w:rFonts w:ascii="Times New Roman" w:hAnsi="Times New Roman"/>
          <w:sz w:val="20"/>
        </w:rPr>
        <w:t> means, for any day (a </w:t>
      </w:r>
      <w:r>
        <w:rPr>
          <w:rFonts w:ascii="Times New Roman" w:hAnsi="Times New Roman"/>
          <w:sz w:val="20"/>
          <w:u w:val="single"/>
        </w:rPr>
        <w:t>SOFR Rate Day</w:t>
      </w:r>
      <w:r>
        <w:rPr>
          <w:rFonts w:ascii="Times New Roman" w:hAnsi="Times New Roman"/>
          <w:sz w:val="20"/>
        </w:rPr>
        <w:t>), a rate per annum equal to SOFR for the day (such day </w:t>
      </w:r>
      <w:r>
        <w:rPr>
          <w:rFonts w:ascii="Times New Roman" w:hAnsi="Times New Roman"/>
          <w:sz w:val="20"/>
          <w:u w:val="single"/>
        </w:rPr>
        <w:t>SOFR Determination Date</w:t>
      </w:r>
      <w:r>
        <w:rPr>
          <w:rFonts w:ascii="Times New Roman" w:hAnsi="Times New Roman"/>
          <w:sz w:val="20"/>
        </w:rPr>
        <w:t xml:space="preserve">) that is three (3)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any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w:t>
      </w:r>
      <w:r>
        <w:rPr>
          <w:rFonts w:ascii="Times New Roman" w:hAnsi="Times New Roman"/>
          <w:sz w:val="20"/>
        </w:rPr>
        <w:t xml:space="preserve"> means any of the events specified in Section 8, whether or not any requirement for the giving of notice, the lapse of time, or both, has been satisfied.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Defaulting Lender</w:t>
      </w:r>
      <w:r>
        <w:rPr>
          <w:rFonts w:ascii="Times New Roman" w:hAnsi="Times New Roman"/>
          <w:sz w:val="20"/>
        </w:rPr>
        <w:t xml:space="preserve"> means, at any time, a Lender (a) that has defaulted in its obligation to make Loans under this Agreement, (b) that has, or the direct or indirect parent company of which has, notified the Administrative Agent or the Company, or has stated publicly, that it will not comply with any such funding obligation under this Agreement or that it will not comply with its funding obligations generally under other agreements in which it is obligated to extend credit, (c) that has, for three or more Business Days, failed to confirm in writing to the Company, in response to a written request of the Company after the Company has a reasonable basis to believe such Lender will not comply with its funding obligations under this Agreement, that it will comply with its funding obligations under this Agreement; </w:t>
      </w:r>
      <w:r>
        <w:rPr>
          <w:rFonts w:ascii="Times New Roman" w:hAnsi="Times New Roman"/>
          <w:sz w:val="20"/>
          <w:u w:val="single"/>
        </w:rPr>
        <w:t>provided</w:t>
      </w:r>
      <w:r>
        <w:rPr>
          <w:rFonts w:ascii="Times New Roman" w:hAnsi="Times New Roman"/>
          <w:sz w:val="20"/>
        </w:rPr>
        <w:t xml:space="preserve">, that such Lender shall cease to be a Defaulting Lender pursuant to this clause (c) upon the Companys receipt of such confirmation, (d) with respect to which a Lender Insolvency Event has occurred and is continuing or (e) which has become the subject of a Bail-In Action.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Designated Principal Trade Name</w:t>
      </w:r>
      <w:r>
        <w:rPr>
          <w:rFonts w:ascii="Times New Roman" w:hAnsi="Times New Roman"/>
          <w:sz w:val="20"/>
        </w:rPr>
        <w:t xml:space="preserve"> means a Principal Trade Name, designated by the Company as the Designated Principal Trade Name in a written notice to the Administrative Agent pursuant to the terms hereof; </w:t>
      </w:r>
      <w:r>
        <w:rPr>
          <w:rFonts w:ascii="Times New Roman" w:hAnsi="Times New Roman"/>
          <w:sz w:val="20"/>
          <w:u w:val="single"/>
        </w:rPr>
        <w:t>provided</w:t>
      </w:r>
      <w:r>
        <w:rPr>
          <w:rFonts w:ascii="Times New Roman" w:hAnsi="Times New Roman"/>
          <w:sz w:val="20"/>
        </w:rPr>
        <w:t xml:space="preserve">, that, for the avoidance of doubt, only one Principal Trade Name may be designated as a Designated Principal Trade Name during the term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Disposition</w:t>
      </w:r>
      <w:r>
        <w:rPr>
          <w:rFonts w:ascii="Times New Roman" w:hAnsi="Times New Roman"/>
          <w:sz w:val="20"/>
        </w:rPr>
        <w:t xml:space="preserve"> means, with respect to any property, any sale, transfer or other disposition thereof; and the terms Dispose and Disposed of shall have correlative meanings; </w:t>
      </w:r>
      <w:r>
        <w:rPr>
          <w:rFonts w:ascii="Times New Roman" w:hAnsi="Times New Roman"/>
          <w:sz w:val="20"/>
          <w:u w:val="single"/>
        </w:rPr>
        <w:t>provided</w:t>
      </w:r>
      <w:r>
        <w:rPr>
          <w:rFonts w:ascii="Times New Roman" w:hAnsi="Times New Roman"/>
          <w:sz w:val="20"/>
        </w:rPr>
        <w:t xml:space="preserve">,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Dollar Equivalent</w:t>
      </w:r>
      <w:r>
        <w:rPr>
          <w:rFonts w:ascii="Times New Roman" w:hAnsi="Times New Roman"/>
          <w:sz w:val="20"/>
        </w:rPr>
        <w:t xml:space="preserve"> means, on any date of determination, (a) with respect to any amount denominated in Dollars, such amount and (b) 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 determination of the Dollar Equivalent, the Administrative Agent shall use the relevant Exchange Rate in effect on the date upon which a Dollar Equivalent is required to be determined pursuant to the provisions of this Agreement. As appropriate, amounts specified herein as amounts in Dollars shall be or include any relevant Dollar Equivalent 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Dollars</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mean the lawful money of the United States.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Domestic Subsidiary</w:t>
      </w:r>
      <w:r>
        <w:rPr>
          <w:rFonts w:ascii="Times New Roman" w:hAnsi="Times New Roman"/>
          <w:sz w:val="20"/>
        </w:rPr>
        <w:t xml:space="preserve"> means, with respect to any Person, any Subsidiary of such Person that is not (a) a Foreign Subsidiary or (b) a Subsidiary that is owned, directly or indirectly, by a Foreign Subsidiary. Unless otherwise qualified, all references to a Domestic Subsidiary or to Domestic Subsidiaries in this Agreement shall refer to a Domestic Subsidiary or Domestic Subsidiaries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Domestic Subsidiary Borrower</w:t>
      </w:r>
      <w:r>
        <w:rPr>
          <w:rFonts w:ascii="Times New Roman" w:hAnsi="Times New Roman"/>
          <w:sz w:val="20"/>
        </w:rPr>
        <w:t xml:space="preserve"> means any Subsidiary Borrower which is a Domestic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EEA Financial Institution</w:t>
      </w:r>
      <w:r>
        <w:rPr>
          <w:rFonts w:ascii="Times New Roman" w:hAnsi="Times New Roman"/>
          <w:sz w:val="20"/>
        </w:rPr>
        <w:t xml:space="preserve"> means (a) any institution established in any EEA Member Country which is subject to the supervision of the applicable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Electronic Signature</w:t>
      </w:r>
      <w:r>
        <w:rPr>
          <w:rFonts w:ascii="Times New Roman" w:hAnsi="Times New Roman"/>
          <w:sz w:val="20"/>
        </w:rPr>
        <w:t xml:space="preserve"> means an electronic sound, symbol or process attached to, or associated with, a contract or other record and adopted by a Person with the intent to sign, authenticate or accept such contract or record.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Environmental Laws</w:t>
      </w:r>
      <w:r>
        <w:rPr>
          <w:rFonts w:ascii="Times New Roman" w:hAnsi="Times New Roman"/>
          <w:sz w:val="20"/>
        </w:rPr>
        <w:t xml:space="preserve"> means any and all foreign, federal, state, provincial, local or municipal laws, rules, orders, regulations, statutes, ordinances, codes, decrees, requirements of any Governmental Authority or other Requirements of Law (including common law) regulating, relating or imposing liability or standards of conduct concerning protection of human health, the environment or natural resources, as now or may at any time hereafter be in effect.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ERISA</w:t>
      </w:r>
      <w:r>
        <w:rPr>
          <w:rFonts w:ascii="Times New Roman" w:hAnsi="Times New Roman"/>
          <w:sz w:val="20"/>
        </w:rPr>
        <w:t xml:space="preserve"> means the Employee Retirement Income Security Act of 1974.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ERISA Affiliate</w:t>
      </w:r>
      <w:r>
        <w:rPr>
          <w:rFonts w:ascii="Times New Roman" w:hAnsi="Times New Roman"/>
          <w:sz w:val="20"/>
        </w:rPr>
        <w:t xml:space="preserve"> means any trade or business (whether or not incorporated) that together with the Company is treated as a single employer under Section 414(b) or (c) of the Code or any entity, whether or not incorporated, that is under common control with the Company within the meaning of Section 4001(a)(14) of ERISA.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ERISA Default</w:t>
      </w:r>
      <w:r>
        <w:rPr>
          <w:rFonts w:ascii="Times New Roman" w:hAnsi="Times New Roman"/>
          <w:sz w:val="20"/>
        </w:rPr>
        <w:t xml:space="preserve"> means (a) any of the following (i) the occurrence of a nonexempt prohibited transaction (within the meaning of Section 406 of ERISA or Section 4975 of the Code) with respect to any Plan to which the Company or any ERISA Affiliate is a party in interest (within the meaning of Section 3(14) of ERISA) or a disqualified person (within the meaning of Section 4975 of the Code); (ii) any failure by any Plan to satisfy the minimum funding standards (within the meaning of Sections 412 or 430 of the Code or Section 302 of ERISA) applicable to such Plan, whether or not waived; (iii)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by the Company or any ERISA Affiliate to make any required contribution to a Multiemployer Plan; (iv) the incurrence by the Company or any ERISA Affiliate of any liability under Title IV of ERISA with respect to the termination of any Plan, including but not limited to the imposition of any Lien in favor of the PBGC or any Plan; (v) the receipt by the Company or any ERISA Affiliate from the PBGC or a plan administrator of any notice relating to the intention to terminate any Plan or to appoint a trustee to administer any Plan under Section 4042 of ERISA; or (vi) the incurrence by the Company or any ERISA Affiliate of any liability with respect to the withdrawal or partial withdrawal from any Plan or Multiemployer Plan; and (b) in each case in clauses (i) through (vi), such event or condition, together with all other such events or conditions, if any, would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Event of Default</w:t>
      </w:r>
      <w:r>
        <w:rPr>
          <w:rFonts w:ascii="Times New Roman" w:hAnsi="Times New Roman"/>
          <w:sz w:val="20"/>
        </w:rPr>
        <w:t xml:space="preserve"> means any of the events specified in Section 8; </w:t>
      </w:r>
      <w:r>
        <w:rPr>
          <w:rFonts w:ascii="Times New Roman" w:hAnsi="Times New Roman"/>
          <w:sz w:val="20"/>
          <w:u w:val="single"/>
        </w:rPr>
        <w:t>provided</w:t>
      </w:r>
      <w:r>
        <w:rPr>
          <w:rFonts w:ascii="Times New Roman" w:hAnsi="Times New Roman"/>
          <w:sz w:val="20"/>
        </w:rPr>
        <w:t xml:space="preserve">, that any requirement for the giving of notice, the lapse of time, or both, has been satisfied.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means the Securities and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Rate</w:t>
      </w:r>
      <w:r>
        <w:rPr>
          <w:rFonts w:ascii="Times New Roman" w:hAnsi="Times New Roman"/>
          <w:sz w:val="20"/>
        </w:rPr>
        <w:t xml:space="preserve"> means, for any day with respect to any currency (other than Dollars), the rate at which such currency may be exchanged into Dollars, as set forth at 11:00 A.M., London time, on such day on the applicable Reuters currency page with respect to such currency on such day. In the event that such rate does not appear on the applicable Reuters currency page,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interbank market or other market where its foreign currency exchange operations in respect of such currency are then being conducted, at or about 11:00 A.M., London time, on such day for the purchase of Dollars with such currency, for delivery two Business Days later;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at the time of any such determination, for any reason, no such spot rate is being quoted, the Administrative Agent may use any reasonable method it deems appropriate to determine such rate, and such determination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Excluded Subsidiary</w:t>
      </w:r>
      <w:r>
        <w:rPr>
          <w:rFonts w:ascii="Times New Roman" w:hAnsi="Times New Roman"/>
          <w:sz w:val="20"/>
        </w:rPr>
        <w:t xml:space="preserve"> means (a) GM Holdings, (b) each of the Initial Excluded Subsidiaries, (c) each Subsidiary of the Company that (i) is prohibited by any applicable requirement of law or Governmental Authority from guaranteeing the obligations of the Loan Parties or (ii) is acquired after the Closing Date and, at the time of acquisition, is a party to, or is bound by, any contract, agreement, instrument, indenture or other Contractual Obligation pursuant to which such Subsidiarys agreement to guarantee the obligations of the Loan Parties is prohibited by, or would constitute a default or breach of, or would result in the termination of, such contract, agreement, instrument, indenture or other Contractual Obligation; </w:t>
      </w:r>
      <w:r>
        <w:rPr>
          <w:rFonts w:ascii="Times New Roman" w:hAnsi="Times New Roman"/>
          <w:sz w:val="20"/>
          <w:u w:val="single"/>
        </w:rPr>
        <w:t>provided</w:t>
      </w:r>
      <w:r>
        <w:rPr>
          <w:rFonts w:ascii="Times New Roman" w:hAnsi="Times New Roman"/>
          <w:sz w:val="20"/>
        </w:rPr>
        <w:t xml:space="preserve">, that such contract, agreement, instrument, indenture or other Contractual Obligation shall not have been entered into in contemplation of such acquisition;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Subsidiary shall cease to be an Excluded Subsidiary upon the termination of such contract, agreement, instrument, indenture or other Contractual Obligation, and will become a Subsidiary Guarantor only if required by and pursuant to this Agreement, (d) each Foreign Subsidiary, (e) each Subsidiary of a Foreign Subsidiary, (f) each Foreign Subsidiary Holding Company, (g) each Unconsolidated Subsidiary, (h) each Finance Subsidiary of the Company, (i) each Subsidiary that is a dealership and (j) each Subsidiary acquired or formed after the Closing Date primarily to operate an Excluded Subsidiary Business; </w:t>
      </w:r>
      <w:r>
        <w:rPr>
          <w:rFonts w:ascii="Times New Roman" w:hAnsi="Times New Roman"/>
          <w:sz w:val="20"/>
          <w:u w:val="single"/>
        </w:rPr>
        <w:t>provided</w:t>
      </w:r>
      <w:r>
        <w:rPr>
          <w:rFonts w:ascii="Times New Roman" w:hAnsi="Times New Roman"/>
          <w:sz w:val="20"/>
        </w:rPr>
        <w:t xml:space="preserve">, that such Subsidiary shall cease to be an Excluded Subsidiary if such Subsidiary no longer operates an Excluded Subsidiary Business or the Company elects, in its sole discretion, in writing to the Administrative Agent that it no longer intends that such Subsidiary shall do so.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Excluded Subsidiary Businesses</w:t>
      </w:r>
      <w:r>
        <w:rPr>
          <w:rFonts w:ascii="Times New Roman" w:hAnsi="Times New Roman"/>
          <w:sz w:val="20"/>
        </w:rPr>
        <w:t xml:space="preserve"> means the businesses and/or Subsidiaries indicated on Schedule 1.1E.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Excluded Taxes</w:t>
      </w:r>
      <w:r>
        <w:rPr>
          <w:rFonts w:ascii="Times New Roman" w:hAnsi="Times New Roman"/>
          <w:sz w:val="20"/>
        </w:rPr>
        <w:t xml:space="preserve"> means any of the following Taxes imposed on or with respect to a Recipient or required to be withheld or deducted from a payment to a Recipient, (a) Taxes imposed on or measured by income or profits (including franchise taxes imposed in lieu of or in addition to net income Taxes) imposed as a result of a present or former connection between the Recipient and the jurisdiction of the Governmental Authority imposing such Tax or any political subdivision or taxing authority thereof or therein (other than any such connection arising solely from the Recipient having executed, delivered or performed its obligations or received a payment under, or enforced, this Agreement or any other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Document), (b) any branch profit Taxes imposed by the United States or any similar Tax imposed by any other Governmental Authority in a jurisdiction described in clause (a) above, (c) in the case of a Lender,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Section 2.24) or (ii) such Lender changes its Applicable Lending Office, except in each case to the extent that, pursuant to Section 2.21, amounts with respect to such Taxes were payable either to such Lenders assignor immediately before such Lender became a party hereto or to such Lender immediately before it changed its lending office, (d) Taxes attributable to such Recipients failure to comply with Section 2.21(d) to the extent such Recipient is legally entitled to so comply and (e) any Taxes imposed under FATCA. </w:t>
      </w:r>
    </w:p>
    <w:p>
      <w:pPr>
        <w:pStyle w:val="TextBody"/>
        <w:bidi w:val="0"/>
        <w:spacing w:before="240" w:after="0"/>
        <w:jc w:val="left"/>
        <w:rPr>
          <w:rFonts w:ascii="Times New Roman" w:hAnsi="Times New Roman"/>
          <w:sz w:val="20"/>
        </w:rPr>
      </w:pPr>
      <w:r>
        <w:rPr>
          <w:rFonts w:ascii="Times New Roman" w:hAnsi="Times New Roman"/>
          <w:sz w:val="20"/>
          <w:u w:val="single"/>
        </w:rPr>
        <w:t>Existing 364-Day Credit Agreement</w:t>
      </w:r>
      <w:r>
        <w:rPr>
          <w:rFonts w:ascii="Times New Roman" w:hAnsi="Times New Roman"/>
          <w:sz w:val="20"/>
        </w:rPr>
        <w:t xml:space="preserve"> has the meaning assigned to such term in the recitals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Existing Loan</w:t>
      </w:r>
      <w:r>
        <w:rPr>
          <w:rFonts w:ascii="Times New Roman" w:hAnsi="Times New Roman"/>
          <w:sz w:val="20"/>
        </w:rPr>
        <w:t xml:space="preserve"> means any Loan under and as defined in the Existing 364-Day Credit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Existing Required Lenders</w:t>
      </w:r>
      <w:r>
        <w:rPr>
          <w:rFonts w:ascii="Times New Roman" w:hAnsi="Times New Roman"/>
          <w:sz w:val="20"/>
        </w:rPr>
        <w:t xml:space="preserve"> means the Required Lenders under and as defined in the Existing 364-Day Credit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Extensions of Credit</w:t>
      </w:r>
      <w:r>
        <w:rPr>
          <w:rFonts w:ascii="Times New Roman" w:hAnsi="Times New Roman"/>
          <w:sz w:val="20"/>
        </w:rPr>
        <w:t xml:space="preserve"> means, as to any Lender at any time, (a) prior to the Termination Date, an amount equal to the aggregate principal amount of all Loans held by such Lender then outstanding and (b) thereafter, the aggregate unpaid principal amount of all Converted Term Loans held by such Lender then outstanding.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Facility</w:t>
      </w:r>
      <w:r>
        <w:rPr>
          <w:rFonts w:ascii="Times New Roman" w:hAnsi="Times New Roman"/>
          <w:sz w:val="20"/>
        </w:rPr>
        <w:t xml:space="preserve"> means the Commitments and the extensions of credit made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Facility Fee</w:t>
      </w:r>
      <w:r>
        <w:rPr>
          <w:rFonts w:ascii="Times New Roman" w:hAnsi="Times New Roman"/>
          <w:sz w:val="20"/>
        </w:rPr>
        <w:t xml:space="preserve"> has the meaning assigned to such term in Section 2.10(a).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Facility Fee Rate</w:t>
      </w:r>
      <w:r>
        <w:rPr>
          <w:rFonts w:ascii="Times New Roman" w:hAnsi="Times New Roman"/>
          <w:sz w:val="20"/>
        </w:rPr>
        <w:t xml:space="preserve"> means, for any day relating to the Facility, with respect to the Facility Fees payable hereunder, the applicable rate per annum set forth under the column heading Facility Fee Rate in the Applicable Pricing Grid, based upon the Applicable Rating in effect on such day.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Facility Rating</w:t>
      </w:r>
      <w:r>
        <w:rPr>
          <w:rFonts w:ascii="Times New Roman" w:hAnsi="Times New Roman"/>
          <w:sz w:val="20"/>
        </w:rPr>
        <w:t xml:space="preserve"> means, as of any date, the credit rating provided by Moodys, S&amp;P or Fitch, as applicable, for the Facility provided 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FATCA</w:t>
      </w:r>
      <w:r>
        <w:rPr>
          <w:rFonts w:ascii="Times New Roman" w:hAnsi="Times New Roman"/>
          <w:sz w:val="20"/>
        </w:rPr>
        <w:t xml:space="preserve"> means Sections 1471 through 1474 of the Code, as of the date of this Agreement (or any amended or successor version that is substantively comparable), including any regulations or official interpretations thereof whether issued before or after the date of this Agreement, any agreements entered into pursuant to Section 1471(b)(1) of the Code, any intergovernmental agreements entered into between the United States and any other Governmental Authority in connection with the implementation of such Section of the Code (or any such amended or successor version thereof) and any law, regulation, rule, promulgation or official agreement implementing an official governmental agreement with respect to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Federal Funds Effective Rate</w:t>
      </w:r>
      <w:r>
        <w:rPr>
          <w:rFonts w:ascii="Times New Roman" w:hAnsi="Times New Roman"/>
          <w:sz w:val="20"/>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hAnsi="Times New Roman"/>
          <w:sz w:val="20"/>
          <w:u w:val="single"/>
        </w:rPr>
        <w:t>provided</w:t>
      </w:r>
      <w:r>
        <w:rPr>
          <w:rFonts w:ascii="Times New Roman" w:hAnsi="Times New Roman"/>
          <w:sz w:val="20"/>
        </w:rPr>
        <w:t xml:space="preserve">, that if the Federal Funds Effective Rate shall be less than zero, such rate shall be deemed to be zero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Fee Payment Date</w:t>
      </w:r>
      <w:r>
        <w:rPr>
          <w:rFonts w:ascii="Times New Roman" w:hAnsi="Times New Roman"/>
          <w:sz w:val="20"/>
        </w:rPr>
        <w:t xml:space="preserve"> means (a) the first day of each January, April, July and October (or, if any such day is not a Business Day, the next succeeding Business Day) and (b) the last day of the final Fee Payment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Fee Payment Period</w:t>
      </w:r>
      <w:r>
        <w:rPr>
          <w:rFonts w:ascii="Times New Roman" w:hAnsi="Times New Roman"/>
          <w:sz w:val="20"/>
        </w:rPr>
        <w:t xml:space="preserve"> means, initially, the period from and including the Closing Date to but excluding the first Fee Payment Period End Date to occur after the Closing Date, and thereafter, each period commencing on and including a Fee Payment Period End Date to but excluding the succeeding Fee Payment Period End Date (except that the final Fee Payment Period for any Lender shall end on the date on which the Commitment of such Lender terminates and its Extensions of Credit have been paid in full).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Fee Payment Period End Date</w:t>
      </w:r>
      <w:r>
        <w:rPr>
          <w:rFonts w:ascii="Times New Roman" w:hAnsi="Times New Roman"/>
          <w:sz w:val="20"/>
        </w:rPr>
        <w:t xml:space="preserve"> means the fifteenth day of each March, June, September and December of each year.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Finance Subsidiary</w:t>
      </w:r>
      <w:r>
        <w:rPr>
          <w:rFonts w:ascii="Times New Roman" w:hAnsi="Times New Roman"/>
          <w:sz w:val="20"/>
        </w:rPr>
        <w:t xml:space="preserve">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to the Company and/or its affiliates or others or (c) financing the Companys and/or its affiliates operations. For the avoidance of doubt, GM Global Treasury Centre Limited shall not be considered a Finance Subsidiary.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Financial Officer</w:t>
      </w:r>
      <w:r>
        <w:rPr>
          <w:rFonts w:ascii="Times New Roman" w:hAnsi="Times New Roman"/>
          <w:sz w:val="20"/>
        </w:rPr>
        <w:t xml:space="preserve"> means, with respect to any Person, the chief financial officer, principal accounting officer, a financial vice president, treasurer, assistant treasurer, or controller of such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Fitch</w:t>
      </w:r>
      <w:r>
        <w:rPr>
          <w:rFonts w:ascii="Times New Roman" w:hAnsi="Times New Roman"/>
          <w:sz w:val="20"/>
        </w:rPr>
        <w:t xml:space="preserve"> means Fitch Ratings, a business segment of Fitch Group, Inc. and its successors.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Floor</w:t>
      </w:r>
      <w:r>
        <w:rPr>
          <w:rFonts w:ascii="Times New Roman" w:hAnsi="Times New Roman"/>
          <w:sz w:val="20"/>
        </w:rPr>
        <w:t xml:space="preserve"> means the benchmark rate floor, if any, provided in this Agreement initially (as of the execution of this Agreement, the modification, amendment or renewal of this Agreement or otherwise) with respect to the Adjusted Term SOFR Rate or the Adjusted Daily Simple SOFR, as applicable. For the avoidance of doubt, the initial Floor for each of the Adjusted Term SOFR Rate or the Adjusted Daily Simple SOFR shall be 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Foreign Subsidiary</w:t>
      </w:r>
      <w:r>
        <w:rPr>
          <w:rFonts w:ascii="Times New Roman" w:hAnsi="Times New Roman"/>
          <w:sz w:val="20"/>
        </w:rPr>
        <w:t xml:space="preserve">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Foreign Subsidiary Holding Company</w:t>
      </w:r>
      <w:r>
        <w:rPr>
          <w:rFonts w:ascii="Times New Roman" w:hAnsi="Times New Roman"/>
          <w:sz w:val="20"/>
        </w:rPr>
        <w:t xml:space="preserve"> means a Subsidiary substantially all of the Net Book Value of whose assets consists of Capital Stock (or other interests that could reasonably be characterized as equity for U.S. federal income tax purposes) or indebtedness of one or more Foreign Subsidiaries or other Foreign Subsidiary Holding Companies.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Funding Office</w:t>
      </w:r>
      <w:r>
        <w:rPr>
          <w:rFonts w:ascii="Times New Roman" w:hAnsi="Times New Roman"/>
          <w:sz w:val="20"/>
        </w:rPr>
        <w:t xml:space="preserve"> means the office of the Administrative Agent specified in Section 10.2 or such other office as may be specified from time to time by the Administrative Agent as its funding office with respect to the Facility by written notice to the Company, any relevant Subsidiary Borrower and the applicable Lenders.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GAAP</w:t>
      </w:r>
      <w:r>
        <w:rPr>
          <w:rFonts w:ascii="Times New Roman" w:hAnsi="Times New Roman"/>
          <w:sz w:val="20"/>
        </w:rPr>
        <w:t xml:space="preserve"> means generally accepted accounting principles as in effect from time to time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GM Holdings</w:t>
      </w:r>
      <w:r>
        <w:rPr>
          <w:rFonts w:ascii="Times New Roman" w:hAnsi="Times New Roman"/>
          <w:sz w:val="20"/>
        </w:rPr>
        <w:t xml:space="preserve"> means General Motors Holdings LLC, a Delaware limited liability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GMF</w:t>
      </w:r>
      <w:r>
        <w:rPr>
          <w:rFonts w:ascii="Times New Roman" w:hAnsi="Times New Roman"/>
          <w:sz w:val="20"/>
        </w:rPr>
        <w:t xml:space="preserve"> has the meaning assigned to such term in the preamble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Governmental Authority</w:t>
      </w:r>
      <w:r>
        <w:rPr>
          <w:rFonts w:ascii="Times New Roman" w:hAnsi="Times New Roman"/>
          <w:sz w:val="20"/>
        </w:rPr>
        <w:t xml:space="preserve"> means any federal, state, provincial, municipal or other governmental department, commission, board, bureau, agency or instrumentality, or any federal, state or municipal court, in each case whether of the United States or a foreign jurisdiction, including any applicable supranational bodies (such as the European Union or European Central Bank).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Guarantee</w:t>
      </w:r>
      <w:r>
        <w:rPr>
          <w:rFonts w:ascii="Times New Roman" w:hAnsi="Times New Roman"/>
          <w:sz w:val="20"/>
        </w:rPr>
        <w:t xml:space="preserve"> means the Sixth Amended and Restated Guarantee Agreement to be executed and delivered by the Company, substantially in the form of Exhibit 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Guarantee Joinder</w:t>
      </w:r>
      <w:r>
        <w:rPr>
          <w:rFonts w:ascii="Times New Roman" w:hAnsi="Times New Roman"/>
          <w:sz w:val="20"/>
        </w:rPr>
        <w:t xml:space="preserve"> means a joinder agreement substantially in the form of Annex I to the Guarantee.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Guarantee Obligation</w:t>
      </w:r>
      <w:r>
        <w:rPr>
          <w:rFonts w:ascii="Times New Roman" w:hAnsi="Times New Roman"/>
          <w:sz w:val="20"/>
        </w:rPr>
        <w:t> means, as to any Person (the </w:t>
      </w:r>
      <w:r>
        <w:rPr>
          <w:rFonts w:ascii="Times New Roman" w:hAnsi="Times New Roman"/>
          <w:sz w:val="20"/>
          <w:u w:val="single"/>
        </w:rPr>
        <w:t>guaranteeing person</w:t>
      </w:r>
      <w:r>
        <w:rPr>
          <w:rFonts w:ascii="Times New Roman" w:hAnsi="Times New Roman"/>
          <w:sz w:val="20"/>
        </w:rPr>
        <w:t>), if the primary purpose or intent thereof is to provide assurance that the Indebtedness of another Person will be paid or discharged, 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Times New Roman" w:hAnsi="Times New Roman"/>
          <w:sz w:val="20"/>
          <w:u w:val="single"/>
        </w:rPr>
        <w:t>primary obligations</w:t>
      </w:r>
      <w:r>
        <w:rPr>
          <w:rFonts w:ascii="Times New Roman" w:hAnsi="Times New Roman"/>
          <w:sz w:val="20"/>
        </w:rPr>
        <w:t>) of any other third Person (the </w:t>
      </w:r>
      <w:r>
        <w:rPr>
          <w:rFonts w:ascii="Times New Roman" w:hAnsi="Times New Roman"/>
          <w:sz w:val="20"/>
          <w:u w:val="single"/>
        </w:rPr>
        <w:t>primary obligor</w:t>
      </w:r>
      <w:r>
        <w:rPr>
          <w:rFonts w:ascii="Times New Roman" w:hAnsi="Times New Roman"/>
          <w:sz w:val="20"/>
        </w:rPr>
        <w:t xml:space="preserve">) in any manner, whether directly or indirectly, including any obligation of the guaranteeing person, whether or not contingent, (a) to advance or supply funds for the purchase or payment of any such primary obligation, (b) to purchase property, securities or services primarily for the purpose of assuring the owner of any such primary obligation of the ability of the primary obligor to make payment of such primary obligation or (c) otherwise to assure or hold harmless the owner of any such primary obligation against loss in respect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term Guarantee Obligation shall not include endorsements of instruments for deposit or collection in the ordinary course of business. The amount of any Guarantee Obligation of any guaranteeing person shall be deemed to be the lower of (i) an amount equal to the stated or determinable amount of the primary obligation in respect of which such Guarantee Obligation is made and (ii)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reasonably anticipated liability in respect thereof as determined by such guaranteeing person in accordance with GAAP.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Guarantors</w:t>
      </w:r>
      <w:r>
        <w:rPr>
          <w:rFonts w:ascii="Times New Roman" w:hAnsi="Times New Roman"/>
          <w:sz w:val="20"/>
        </w:rPr>
        <w:t xml:space="preserve"> means, collectively, the Company (with respect to the Obligations of any Subsidiary Borrower) and any Subsidiary Guarantors (if applicable). For the avoidance of doubt, GM Holdings does not and shall not constitute a Guarantor.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Hedging Obligations</w:t>
      </w:r>
      <w:r>
        <w:rPr>
          <w:rFonts w:ascii="Times New Roman" w:hAnsi="Times New Roman"/>
          <w:sz w:val="20"/>
        </w:rPr>
        <w:t xml:space="preserve"> means any of the following: (a)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 in clause (a) above that is currently, or in the future becomes, recurrently entered into in the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Incremental Commitment</w:t>
      </w:r>
      <w:r>
        <w:rPr>
          <w:rFonts w:ascii="Times New Roman" w:hAnsi="Times New Roman"/>
          <w:sz w:val="20"/>
        </w:rPr>
        <w:t xml:space="preserve"> means, as to each Incremental Lender, in respect of any Commitment Increase, the obligation of such Incremental Lender on and after the applicable Commitment Increase Date to make Incremental Loans under this Facility in a principal amount equal to the amount set forth under the heading Incremental Commitment opposite such Incremental Lenders name on the applicable Incremental Loan Activation Notice.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Incremental Lender</w:t>
      </w:r>
      <w:r>
        <w:rPr>
          <w:rFonts w:ascii="Times New Roman" w:hAnsi="Times New Roman"/>
          <w:sz w:val="20"/>
        </w:rPr>
        <w:t xml:space="preserve"> means (a) any Lender designated by the Company, (b) any other bank, financial institution or other Person that does not have an investment grade rating from two of S&amp;P, Moodys and Fitch at the time of such Commitment Increase which becomes a signatory to an Incremental Loan Activation Notice with the consent of the Company (in its sole discretion) and the Administrative Agent and (c) each Lender which has made, or acquired pursuant to an assignment made in accordance with </w:t>
      </w:r>
      <w:r>
        <w:rPr>
          <w:rFonts w:ascii="Times New Roman" w:hAnsi="Times New Roman"/>
          <w:sz w:val="20"/>
          <w:u w:val="single"/>
        </w:rPr>
        <w:t>Section 10.6</w:t>
      </w:r>
      <w:r>
        <w:rPr>
          <w:rFonts w:ascii="Times New Roman" w:hAnsi="Times New Roman"/>
          <w:sz w:val="20"/>
        </w:rPr>
        <w:t xml:space="preserve">, an Incremental Commitment.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Incremental Loan Activation Notice</w:t>
      </w:r>
      <w:r>
        <w:rPr>
          <w:rFonts w:ascii="Times New Roman" w:hAnsi="Times New Roman"/>
          <w:sz w:val="20"/>
        </w:rPr>
        <w:t xml:space="preserve"> means a notice substantially in the form of Exhibit 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Incremental Loans</w:t>
      </w:r>
      <w:r>
        <w:rPr>
          <w:rFonts w:ascii="Times New Roman" w:hAnsi="Times New Roman"/>
          <w:sz w:val="20"/>
        </w:rPr>
        <w:t xml:space="preserve"> has the meaning assigned to such term in </w:t>
      </w:r>
      <w:r>
        <w:rPr>
          <w:rFonts w:ascii="Times New Roman" w:hAnsi="Times New Roman"/>
          <w:sz w:val="20"/>
          <w:u w:val="single"/>
        </w:rPr>
        <w:t>Section 2.27(b)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Indebtedness</w:t>
      </w:r>
      <w:r>
        <w:rPr>
          <w:rFonts w:ascii="Times New Roman" w:hAnsi="Times New Roman"/>
          <w:sz w:val="20"/>
        </w:rPr>
        <w:t xml:space="preserve"> of any Person at any date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(x) solely for purposes of Section 7.2, obligations of the kind referred to in clause (a) above and (y) for all other purposes, obligations of the kind referred to in clauses (a) through (f) 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all obligations of such Person in respect of Hedging Obligations.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Indemnified Liabilities</w:t>
      </w:r>
      <w:r>
        <w:rPr>
          <w:rFonts w:ascii="Times New Roman" w:hAnsi="Times New Roman"/>
          <w:sz w:val="20"/>
        </w:rPr>
        <w:t xml:space="preserve"> has the meaning assigned to such term in Section 10.5.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Indemnified Taxes</w:t>
      </w:r>
      <w:r>
        <w:rPr>
          <w:rFonts w:ascii="Times New Roman" w:hAnsi="Times New Roman"/>
          <w:sz w:val="20"/>
        </w:rPr>
        <w:t xml:space="preserve"> means (a) Taxes, other than Excluded Taxes, imposed on or with respect to any payment made by or on account of any obligation of the Company or any other Loan Party under any Loan Document and (b) to the extent not otherwise described in (a), Other Taxes.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Indemnitee</w:t>
      </w:r>
      <w:r>
        <w:rPr>
          <w:rFonts w:ascii="Times New Roman" w:hAnsi="Times New Roman"/>
          <w:sz w:val="20"/>
        </w:rPr>
        <w:t xml:space="preserve"> has the meaning assigned to such term in Section 10.5.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Index Debt Rating</w:t>
      </w:r>
      <w:r>
        <w:rPr>
          <w:rFonts w:ascii="Times New Roman" w:hAnsi="Times New Roman"/>
          <w:sz w:val="20"/>
        </w:rPr>
        <w:t xml:space="preserve"> means, as of any date, the credit rating provided by Moodys, S&amp;P or Fitch, as applicable, for senior, unsecured, long-term Indebtedness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Ineligible Assignee</w:t>
      </w:r>
      <w:r>
        <w:rPr>
          <w:rFonts w:ascii="Times New Roman" w:hAnsi="Times New Roman"/>
          <w:sz w:val="20"/>
        </w:rPr>
        <w:t xml:space="preserve"> means (a) any Person that is a hedge fund or a captive finance company,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Company or any of its Subsidiaries, (c) any CLO, (d) any person that is not a commercial bank, (e) holding company, investment vehicle or trust for, or owned and operated for the primary benefit of a natural person or (f) any Defaulting Lender.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Ineligible Participant</w:t>
      </w:r>
      <w:r>
        <w:rPr>
          <w:rFonts w:ascii="Times New Roman" w:hAnsi="Times New Roman"/>
          <w:sz w:val="20"/>
        </w:rPr>
        <w:t xml:space="preserve"> means any Person that is engaged in automotive vehicle manufacturing, automotive vehicle distribution, automotive vehicle parts manufacturing or automotive vehicle parts distribution and is a direct competitor of the Company or any of its Subsidiaries or any captive finance company controlled by such Person. For purposes of determining if a Person is an Ineligible Participant,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Initial Excluded Subsidiary</w:t>
      </w:r>
      <w:r>
        <w:rPr>
          <w:rFonts w:ascii="Times New Roman" w:hAnsi="Times New Roman"/>
          <w:sz w:val="20"/>
        </w:rPr>
        <w:t xml:space="preserve"> means each Subsidiary listed on Schedule 1.1B.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Intellectual Property</w:t>
      </w:r>
      <w:r>
        <w:rPr>
          <w:rFonts w:ascii="Times New Roman" w:hAnsi="Times New Roman"/>
          <w:sz w:val="20"/>
        </w:rPr>
        <w:t xml:space="preserve">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 Election Request</w:t>
      </w:r>
      <w:r>
        <w:rPr>
          <w:rFonts w:ascii="Times New Roman" w:hAnsi="Times New Roman"/>
          <w:sz w:val="20"/>
        </w:rPr>
        <w:t xml:space="preserve"> means a request by the applicable Borrower to convert or continue a Borrowing in accordance with Section 2.14.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 Payment Date</w:t>
      </w:r>
      <w:r>
        <w:rPr>
          <w:rFonts w:ascii="Times New Roman" w:hAnsi="Times New Roman"/>
          <w:sz w:val="20"/>
        </w:rPr>
        <w:t xml:space="preserve"> means (a) as to any ABR Loan, the fifteenth day of each March, June, September and December to occur while such Loan is outstanding and the final maturity date of such Loan, (b) with respect to any Daily Simple SOFR Loan, (1) initially the date that is one week after the date of the borrowing of such Daily Simple SOFR Loan and, thereafter, each successive date that is on the same weekday as such initial date (provided that if such initial date or any such successive date is a day other than a Business Day, the applicable Interest Payment Date shall be extended to the next succeeding Business Day unless such next succeeding Business Day would fall in the next calendar week, in which case such Interest Payment Date shall occur on the next preceding Business Day), (2) the Termination Date and (3) the Converted Term Loan Maturity Date,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the Termination Date and the Converted Term Loan Maturity Date and (d) as to any Loan, the date of any repayment or prepayment made in respect thereof (to the extent of such repayment or prepayment).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 Period</w:t>
      </w:r>
      <w:r>
        <w:rPr>
          <w:rFonts w:ascii="Times New Roman" w:hAnsi="Times New Roman"/>
          <w:sz w:val="20"/>
        </w:rPr>
        <w:t xml:space="preserve"> means, as to any Term Benchmark Loan (i), the period commencing on the borrowing or conversion date, as the case may be, with respect to such Loan and ending on the numerically corresponding day in the calendar month that is one, three or six months thereafter (in each case, subject to the availability for the Benchmark applicable to the relevant Loan or Commitment), as selected by the Company or relevant Subsidiary Borrower in its notice of borrowing or notice of conversion, as the case may be, given with respect thereto; and (ii) thereafter, each period commencing on the last day of the next preceding Interest Period applicable to such Loan and ending one, three or six months thereafter (in each case, subject to the availability for the Benchmark applicable to the relevant Loan or Commitment), as selected by the Company or relevant Subsidiary Borrower by irrevocable notice to the Administrative Agent not later than 1:00 P.M., New York City time, on the date that is three Business Days prior to the last day of the then current Interest Period with respect thereto; provided, that all of the foregoing provisions relating to Interest Periods are subject to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 </w:t>
      </w:r>
    </w:p>
    <w:p>
      <w:pPr>
        <w:pStyle w:val="TextBody"/>
        <w:bidi w:val="0"/>
        <w:spacing w:before="120" w:after="0"/>
        <w:jc w:val="left"/>
        <w:rPr>
          <w:rFonts w:ascii="Times New Roman" w:hAnsi="Times New Roman"/>
          <w:sz w:val="20"/>
        </w:rPr>
      </w:pPr>
      <w:r>
        <w:rPr>
          <w:rFonts w:ascii="Times New Roman" w:hAnsi="Times New Roman"/>
          <w:sz w:val="20"/>
        </w:rPr>
        <w:t xml:space="preserve">(B) the Company or relevant Subsidiary Borrower may not select an Interest Period under the Facility that would extend beyond the earliest Termination Date then in effect for the Facility unless the Loans are converted into Converted Term Loans pursuant to Section 2.28, in which case the applicable Borrower may not select an Interest Period that would extend beyond the Converted Term Loan Maturity Date; </w:t>
      </w:r>
    </w:p>
    <w:p>
      <w:pPr>
        <w:pStyle w:val="TextBody"/>
        <w:bidi w:val="0"/>
        <w:spacing w:before="120" w:after="0"/>
        <w:jc w:val="left"/>
        <w:rPr>
          <w:rFonts w:ascii="Times New Roman" w:hAnsi="Times New Roman"/>
          <w:sz w:val="20"/>
        </w:rPr>
      </w:pPr>
      <w:r>
        <w:rPr>
          <w:rFonts w:ascii="Times New Roman" w:hAnsi="Times New Roman"/>
          <w:sz w:val="20"/>
        </w:rPr>
        <w:t xml:space="preserve">(C) any Interest Period that begins on the last Business Day of a calendar month (or on a day for which there is no numerically corresponding day in the calendar month at the end of such Interest Period) shall end on the last Business Day of a calendar month; and </w:t>
      </w:r>
    </w:p>
    <w:p>
      <w:pPr>
        <w:pStyle w:val="TextBody"/>
        <w:bidi w:val="0"/>
        <w:spacing w:before="120" w:after="0"/>
        <w:jc w:val="left"/>
        <w:rPr>
          <w:rFonts w:ascii="Times New Roman" w:hAnsi="Times New Roman"/>
          <w:sz w:val="20"/>
        </w:rPr>
      </w:pPr>
      <w:r>
        <w:rPr>
          <w:rFonts w:ascii="Times New Roman" w:hAnsi="Times New Roman"/>
          <w:sz w:val="20"/>
        </w:rPr>
        <w:t xml:space="preserve">(D) no tenor that has been removed from this definition pursuant to Section 2.18(e)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Judgment Currency</w:t>
      </w:r>
      <w:r>
        <w:rPr>
          <w:rFonts w:ascii="Times New Roman" w:hAnsi="Times New Roman"/>
          <w:sz w:val="20"/>
        </w:rPr>
        <w:t xml:space="preserve"> has the meaning assigned to such term in Section 10.13.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Lender Insolvency Event</w:t>
      </w:r>
      <w:r>
        <w:rPr>
          <w:rFonts w:ascii="Times New Roman" w:hAnsi="Times New Roman"/>
          <w:sz w:val="20"/>
        </w:rPr>
        <w:t xml:space="preserve">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Lenders</w:t>
      </w:r>
      <w:r>
        <w:rPr>
          <w:rFonts w:ascii="Times New Roman" w:hAnsi="Times New Roman"/>
          <w:sz w:val="20"/>
        </w:rPr>
        <w:t xml:space="preserve"> has the meaning assigned to such term in the preamble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Liabilities</w:t>
      </w:r>
      <w:r>
        <w:rPr>
          <w:rFonts w:ascii="Times New Roman" w:hAnsi="Times New Roman"/>
          <w:sz w:val="20"/>
        </w:rPr>
        <w:t xml:space="preserve"> means any losses, claims (including interparty claims), demands, damages or liabilities of any kind.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Lien</w:t>
      </w:r>
      <w:r>
        <w:rPr>
          <w:rFonts w:ascii="Times New Roman" w:hAnsi="Times New Roman"/>
          <w:sz w:val="20"/>
        </w:rPr>
        <w:t xml:space="preserve"> means any mortgage, pledge, lien, security interest, charge, conditional sale or other title retention agreement or other similar encumbrance.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Loan Documents</w:t>
      </w:r>
      <w:r>
        <w:rPr>
          <w:rFonts w:ascii="Times New Roman" w:hAnsi="Times New Roman"/>
          <w:sz w:val="20"/>
        </w:rPr>
        <w:t xml:space="preserve"> means this Agreement, the Guarantee, the Notes, each Borrower Joinder Agreement, each Guarantee Joinder and any amendment, waiver, supplement or other modification to any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Loan Parties</w:t>
      </w:r>
      <w:r>
        <w:rPr>
          <w:rFonts w:ascii="Times New Roman" w:hAnsi="Times New Roman"/>
          <w:sz w:val="20"/>
        </w:rPr>
        <w:t xml:space="preserve"> means, collectively, the Company, each Subsidiary Borrower and each Subsidiary Guarantor (if 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term Loan Parties shall not include any such Person from and after the date such Person ceases to be a party to the Loan Documents in accordance with the terms thereof until the date such Person becomes or is required to become a party to any Loan Document.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Loans</w:t>
      </w:r>
      <w:r>
        <w:rPr>
          <w:rFonts w:ascii="Times New Roman" w:hAnsi="Times New Roman"/>
          <w:sz w:val="20"/>
        </w:rPr>
        <w:t xml:space="preserve"> means the loans and advances made by the Lenders pursuant to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Marketable Securities</w:t>
      </w:r>
      <w:r>
        <w:rPr>
          <w:rFonts w:ascii="Times New Roman" w:hAnsi="Times New Roman"/>
          <w:sz w:val="20"/>
        </w:rPr>
        <w:t xml:space="preserve">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Company and its Subsidiaries as of the last day of any fiscal quarter or fiscal year of the Company is equal to the amount reported on the Companys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Adverse Effect</w:t>
      </w:r>
      <w:r>
        <w:rPr>
          <w:rFonts w:ascii="Times New Roman" w:hAnsi="Times New Roman"/>
          <w:sz w:val="20"/>
        </w:rPr>
        <w:t xml:space="preserve"> means a material adverse effect on (a) the financial condition of the Company and its Domestic Subsidiaries, taken as a whole or (b) the validity or enforceability of the Loan Documents, taken as a whole, or the rights and remedies of the Administrative Agent and the Lenders hereunder or thereunder, taken as a whole.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Indebtedness</w:t>
      </w:r>
      <w:r>
        <w:rPr>
          <w:rFonts w:ascii="Times New Roman" w:hAnsi="Times New Roman"/>
          <w:sz w:val="20"/>
        </w:rPr>
        <w:t xml:space="preserve"> means, with respect to the Company or any Principal Domestic Subsidiary, indebtedness for borrowed money of, or guaranteed by, such Person having an aggregate principal amount, individually or in the aggregate, the Dollar Equivalent of which exceeds $1 billion.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Loan Party</w:t>
      </w:r>
      <w:r>
        <w:rPr>
          <w:rFonts w:ascii="Times New Roman" w:hAnsi="Times New Roman"/>
          <w:sz w:val="20"/>
        </w:rPr>
        <w:t xml:space="preserve"> means, (a) the Company and (b) any Subsidiary Guarantor (if any) that, at the time of determination, has Consolidated Total Assets equal to at least 10% of the Consolidated Total Assets of the Company at such time, as reflected initially in the 2023 10-K and thereafter in the most recent annual consolidated financial statements of the Company delivered or deemed delivered pursuant to Section 6.1.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Maximum Rate</w:t>
      </w:r>
      <w:r>
        <w:rPr>
          <w:rFonts w:ascii="Times New Roman" w:hAnsi="Times New Roman"/>
          <w:sz w:val="20"/>
        </w:rPr>
        <w:t xml:space="preserve"> has the meaning specified in Section 10.22.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Moodys</w:t>
      </w:r>
      <w:r>
        <w:rPr>
          <w:rFonts w:ascii="Times New Roman" w:hAnsi="Times New Roman"/>
          <w:sz w:val="20"/>
        </w:rPr>
        <w:t xml:space="preserve"> means Moodys Investors Service, Inc. and its successors.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Multiemployer Plan</w:t>
      </w:r>
      <w:r>
        <w:rPr>
          <w:rFonts w:ascii="Times New Roman" w:hAnsi="Times New Roman"/>
          <w:sz w:val="20"/>
        </w:rPr>
        <w:t xml:space="preserve">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Net Book Value</w:t>
      </w:r>
      <w:r>
        <w:rPr>
          <w:rFonts w:ascii="Times New Roman" w:hAnsi="Times New Roman"/>
          <w:sz w:val="20"/>
        </w:rPr>
        <w:t xml:space="preserve"> means with respect to any asset of any Person (a) other than accounts receivable, the gross book value of such asset on the balance sheet of such Person, </w:t>
      </w:r>
      <w:r>
        <w:rPr>
          <w:rFonts w:ascii="Times New Roman" w:hAnsi="Times New Roman"/>
          <w:sz w:val="20"/>
          <w:u w:val="single"/>
        </w:rPr>
        <w:t>minus</w:t>
      </w:r>
      <w:r>
        <w:rPr>
          <w:rFonts w:ascii="Times New Roman" w:hAnsi="Times New Roman"/>
          <w:sz w:val="20"/>
        </w:rPr>
        <w:t xml:space="preserve"> depreciation in respect of such asset on such balance sheet and (b) with respect to accounts receivable, the gross book value thereof, </w:t>
      </w:r>
      <w:r>
        <w:rPr>
          <w:rFonts w:ascii="Times New Roman" w:hAnsi="Times New Roman"/>
          <w:sz w:val="20"/>
          <w:u w:val="single"/>
        </w:rPr>
        <w:t>minus</w:t>
      </w:r>
      <w:r>
        <w:rPr>
          <w:rFonts w:ascii="Times New Roman" w:hAnsi="Times New Roman"/>
          <w:sz w:val="20"/>
        </w:rPr>
        <w:t xml:space="preserve"> any specific reserves attributable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Non-U.S. Lender</w:t>
      </w:r>
      <w:r>
        <w:rPr>
          <w:rFonts w:ascii="Times New Roman" w:hAnsi="Times New Roman"/>
          <w:sz w:val="20"/>
        </w:rPr>
        <w:t xml:space="preserve"> means any lender that is not a U.S.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Notes</w:t>
      </w:r>
      <w:r>
        <w:rPr>
          <w:rFonts w:ascii="Times New Roman" w:hAnsi="Times New Roman"/>
          <w:sz w:val="20"/>
        </w:rPr>
        <w:t xml:space="preserve"> has the meaning assigned to such term in Section 2.19(g).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NYFRB</w:t>
      </w:r>
      <w:r>
        <w:rPr>
          <w:rFonts w:ascii="Times New Roman" w:hAnsi="Times New Roman"/>
          <w:sz w:val="20"/>
        </w:rPr>
        <w:t xml:space="preserve"> means the Federal Reserve Bank of New York.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NYFRB Rate</w:t>
      </w:r>
      <w:r>
        <w:rPr>
          <w:rFonts w:ascii="Times New Roman" w:hAnsi="Times New Roman"/>
          <w:sz w:val="20"/>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hAnsi="Times New Roman"/>
          <w:sz w:val="20"/>
          <w:u w:val="single"/>
        </w:rPr>
        <w:t>provided</w:t>
      </w:r>
      <w:r>
        <w:rPr>
          <w:rFonts w:ascii="Times New Roman" w:hAnsi="Times New Roman"/>
          <w:sz w:val="20"/>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any of the aforesaid rates shall be less than zero, such rate shall be deemed to be zero for purposes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NYFRBs Website</w:t>
      </w:r>
      <w:r>
        <w:rPr>
          <w:rFonts w:ascii="Times New Roman" w:hAnsi="Times New Roman"/>
          <w:sz w:val="20"/>
        </w:rPr>
        <w:t xml:space="preserve"> means the website of the NYFRB at http://www.newyorkfed.org, or any successor source.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Obligations</w:t>
      </w:r>
      <w:r>
        <w:rPr>
          <w:rFonts w:ascii="Times New Roman" w:hAnsi="Times New Roman"/>
          <w:sz w:val="20"/>
        </w:rPr>
        <w:t xml:space="preserve"> means, collectively, the unpaid principal of and interest on the Loans and all other obligations and liabilities of the Company, any other Borrower and any Subsidiary Guarantor (including interest accruing at the then applicable rate provided in this Agreement after the maturity of the Loans and Post-Petition Interest) to the Administrative Agent or any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or the Lenders that are required to be paid by the Company, any of the Subsidiary Borrowers or any of the Subsidiary Guarantors pursuant to the terms of any of the Loan Documents).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OFAC</w:t>
      </w:r>
      <w:r>
        <w:rPr>
          <w:rFonts w:ascii="Times New Roman" w:hAnsi="Times New Roman"/>
          <w:sz w:val="20"/>
        </w:rPr>
        <w:t xml:space="preserve"> means the U.S. Department of the Treasurys Office of Foreign Assets Control.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Original Currency</w:t>
      </w:r>
      <w:r>
        <w:rPr>
          <w:rFonts w:ascii="Times New Roman" w:hAnsi="Times New Roman"/>
          <w:sz w:val="20"/>
        </w:rPr>
        <w:t xml:space="preserve"> has the meaning assigned to such term in Section 10.13.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Other Taxes</w:t>
      </w:r>
      <w:r>
        <w:rPr>
          <w:rFonts w:ascii="Times New Roman" w:hAnsi="Times New Roman"/>
          <w:sz w:val="20"/>
        </w:rPr>
        <w:t xml:space="preserve">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 except any such Taxes imposed with respect to an assignment (other than an assignment made pursuant to Section 2.24) as a result of a present or former connection between the recipient of such payment and the jurisdiction imposing such Taxes.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Outstanding Amount</w:t>
      </w:r>
      <w:r>
        <w:rPr>
          <w:rFonts w:ascii="Times New Roman" w:hAnsi="Times New Roman"/>
          <w:sz w:val="20"/>
        </w:rPr>
        <w:t xml:space="preserve"> means (a) with respect to indebtedness for borrowed money, the aggregate outstanding principal amount thereof, (b) with respect to Hedging Obligations, the aggregate amount recorded by the applicable obligor as its termination liability thereunder and (c) with respect to any other obligations, the aggregate outstanding amount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Overnight Bank Funding Rate</w:t>
      </w:r>
      <w:r>
        <w:rPr>
          <w:rFonts w:ascii="Times New Roman" w:hAnsi="Times New Roman"/>
          <w:sz w:val="20"/>
        </w:rPr>
        <w:t xml:space="preserve">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w:t>
      </w:r>
      <w:r>
        <w:rPr>
          <w:rFonts w:ascii="Times New Roman" w:hAnsi="Times New Roman"/>
          <w:sz w:val="20"/>
          <w:u w:val="single"/>
        </w:rPr>
        <w:t>provided</w:t>
      </w:r>
      <w:r>
        <w:rPr>
          <w:rFonts w:ascii="Times New Roman" w:hAnsi="Times New Roman"/>
          <w:sz w:val="20"/>
        </w:rPr>
        <w:t xml:space="preserve">, that if the Overnight Bank Funding Rate shall be less than zero, such rate shall be deemed to be zero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Participant</w:t>
      </w:r>
      <w:r>
        <w:rPr>
          <w:rFonts w:ascii="Times New Roman" w:hAnsi="Times New Roman"/>
          <w:sz w:val="20"/>
        </w:rPr>
        <w:t xml:space="preserve"> has the meaning assigned to such term in Section 10.6(c)(i).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Participant Register</w:t>
      </w:r>
      <w:r>
        <w:rPr>
          <w:rFonts w:ascii="Times New Roman" w:hAnsi="Times New Roman"/>
          <w:sz w:val="20"/>
        </w:rPr>
        <w:t xml:space="preserve"> has the meaning assigned to such term in Section 10.6(c)(i).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Payment</w:t>
      </w:r>
      <w:r>
        <w:rPr>
          <w:rFonts w:ascii="Times New Roman" w:hAnsi="Times New Roman"/>
          <w:sz w:val="20"/>
        </w:rPr>
        <w:t xml:space="preserve"> has the meaning assigned to it in Section 9.13(c).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Payment Notice</w:t>
      </w:r>
      <w:r>
        <w:rPr>
          <w:rFonts w:ascii="Times New Roman" w:hAnsi="Times New Roman"/>
          <w:sz w:val="20"/>
        </w:rPr>
        <w:t xml:space="preserve"> has the meaning assigned to it in Section 9.13(c).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PBGC</w:t>
      </w:r>
      <w:r>
        <w:rPr>
          <w:rFonts w:ascii="Times New Roman" w:hAnsi="Times New Roman"/>
          <w:sz w:val="20"/>
        </w:rPr>
        <w:t xml:space="preserve"> means the Pension Benefit Guaranty Corporation established pursuant to Subtitle A of Title IV of ERISA.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Percentage</w:t>
      </w:r>
      <w:r>
        <w:rPr>
          <w:rFonts w:ascii="Times New Roman" w:hAnsi="Times New Roman"/>
          <w:sz w:val="20"/>
        </w:rPr>
        <w:t xml:space="preserve"> means as to any Lender at any time, the percentage which such Lenders Commitment then constitutes of the aggregate amount of the Commitments then in effect or, at any time after the Commitments shall have expired or terminated, the percentage which the aggregate Outstanding Amount of Extensions of Credit of such Lender then outstanding constitutes of the aggregate Outstanding Amount of Extensions of Credit of the Lenders then outstanding.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Liens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Liens for Taxes, assessments, governmental charges and utility charges, in each case that (i) are not yet delinquent, (ii) are not yet subject to penalties or interest for non-payment, (iii) are due, but the Liens imposed for such Taxes, assessments or charges are unenforceable or (iv) are being contested in good faith by appropriate actions or proceedings, </w:t>
      </w:r>
      <w:r>
        <w:rPr>
          <w:rFonts w:ascii="Times New Roman" w:hAnsi="Times New Roman"/>
          <w:sz w:val="20"/>
          <w:u w:val="single"/>
        </w:rPr>
        <w:t>provided</w:t>
      </w:r>
      <w:r>
        <w:rPr>
          <w:rFonts w:ascii="Times New Roman" w:hAnsi="Times New Roman"/>
          <w:sz w:val="20"/>
        </w:rPr>
        <w:t xml:space="preserve">, that if and to the extent required by GAAP, adequate reserves with respect thereto are maintained on the books of the relevant Person in conformity with GAAP; </w:t>
      </w:r>
    </w:p>
    <w:p>
      <w:pPr>
        <w:pStyle w:val="TextBody"/>
        <w:bidi w:val="0"/>
        <w:spacing w:before="120" w:after="0"/>
        <w:jc w:val="left"/>
        <w:rPr>
          <w:rFonts w:ascii="Times New Roman" w:hAnsi="Times New Roman"/>
          <w:sz w:val="20"/>
        </w:rPr>
      </w:pPr>
      <w:r>
        <w:rPr>
          <w:rFonts w:ascii="Times New Roman" w:hAnsi="Times New Roman"/>
          <w:sz w:val="20"/>
        </w:rPr>
        <w:t xml:space="preserve">(b) 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 </w:t>
      </w:r>
    </w:p>
    <w:p>
      <w:pPr>
        <w:pStyle w:val="TextBody"/>
        <w:bidi w:val="0"/>
        <w:spacing w:before="120" w:after="0"/>
        <w:jc w:val="left"/>
        <w:rPr>
          <w:rFonts w:ascii="Times New Roman" w:hAnsi="Times New Roman"/>
          <w:sz w:val="20"/>
        </w:rPr>
      </w:pPr>
      <w:r>
        <w:rPr>
          <w:rFonts w:ascii="Times New Roman" w:hAnsi="Times New Roman"/>
          <w:sz w:val="20"/>
        </w:rPr>
        <w:t xml:space="preserve">(c) Liens securing Hedging Obligations not entered into for speculative purposes; </w:t>
      </w:r>
    </w:p>
    <w:p>
      <w:pPr>
        <w:pStyle w:val="TextBody"/>
        <w:bidi w:val="0"/>
        <w:spacing w:before="120" w:after="0"/>
        <w:jc w:val="left"/>
        <w:rPr>
          <w:rFonts w:ascii="Times New Roman" w:hAnsi="Times New Roman"/>
          <w:sz w:val="20"/>
        </w:rPr>
      </w:pPr>
      <w:r>
        <w:rPr>
          <w:rFonts w:ascii="Times New Roman" w:hAnsi="Times New Roman"/>
          <w:sz w:val="20"/>
        </w:rPr>
        <w:t xml:space="preserve">(d) 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 </w:t>
      </w:r>
    </w:p>
    <w:p>
      <w:pPr>
        <w:pStyle w:val="TextBody"/>
        <w:bidi w:val="0"/>
        <w:spacing w:before="120" w:after="0"/>
        <w:jc w:val="left"/>
        <w:rPr>
          <w:rFonts w:ascii="Times New Roman" w:hAnsi="Times New Roman"/>
          <w:sz w:val="20"/>
        </w:rPr>
      </w:pPr>
      <w:r>
        <w:rPr>
          <w:rFonts w:ascii="Times New Roman" w:hAnsi="Times New Roman"/>
          <w:sz w:val="20"/>
        </w:rPr>
        <w:t xml:space="preserve">(e) permits, licenses, leases or subleases granted to others, encroachments, covenants, use agreements, easements, rights-of-way, reservations of rights, title defects, servitudes, zoning and environmental restrictions, other restrictions and other similar 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Liens arising under leases or subleases of real or personal property that do not, individually or in the aggregate, materially interfere with the ordinary conduct of business of the Company and the Principal Domestic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(g) 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 as security for contested taxes or import or customs duties or similar obligations or for the payment of rent, in each case,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(h) Liens arising from UCC financing statement filings (or similar filings) regarding or otherwise arising under (i) leases entered into by the Company or any Principal Domestic Subsidiary in the ordinary course of business or (ii) sales of accounts, payment intangibles, chattel paper, receivables and/or instruments; </w:t>
      </w:r>
    </w:p>
    <w:p>
      <w:pPr>
        <w:pStyle w:val="TextBody"/>
        <w:bidi w:val="0"/>
        <w:spacing w:before="120" w:after="0"/>
        <w:jc w:val="left"/>
        <w:rPr>
          <w:rFonts w:ascii="Times New Roman" w:hAnsi="Times New Roman"/>
          <w:sz w:val="20"/>
        </w:rPr>
      </w:pPr>
      <w:r>
        <w:rPr>
          <w:rFonts w:ascii="Times New Roman" w:hAnsi="Times New Roman"/>
          <w:sz w:val="20"/>
        </w:rPr>
        <w:t xml:space="preserve">(i) 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 merger or consolidation) limited, in each case, to the property purchased 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 </w:t>
      </w:r>
    </w:p>
    <w:p>
      <w:pPr>
        <w:pStyle w:val="TextBody"/>
        <w:bidi w:val="0"/>
        <w:spacing w:before="120" w:after="0"/>
        <w:jc w:val="left"/>
        <w:rPr>
          <w:rFonts w:ascii="Times New Roman" w:hAnsi="Times New Roman"/>
          <w:sz w:val="20"/>
        </w:rPr>
      </w:pPr>
      <w:r>
        <w:rPr>
          <w:rFonts w:ascii="Times New Roman" w:hAnsi="Times New Roman"/>
          <w:sz w:val="20"/>
        </w:rPr>
        <w:t xml:space="preserve">(j) Liens in existence on the Closing Date and listed on Schedule 1.1D, </w:t>
      </w:r>
      <w:r>
        <w:rPr>
          <w:rFonts w:ascii="Times New Roman" w:hAnsi="Times New Roman"/>
          <w:sz w:val="20"/>
          <w:u w:val="single"/>
        </w:rPr>
        <w:t>provided</w:t>
      </w:r>
      <w:r>
        <w:rPr>
          <w:rFonts w:ascii="Times New Roman" w:hAnsi="Times New Roman"/>
          <w:sz w:val="20"/>
        </w:rPr>
        <w:t xml:space="preserve">, that no such Lien is spread to cover any unrelated property acquired by the Company or any Principal Domestic Subsidiary after the Closing Date and that the amount of Indebtedness or other obligations secured thereby is not increased (except as otherwise permitted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(k) Liens on property or Capital Stock of a Person at the time such Person becomes a Subsidiary;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Liens are not created, incurred or assumed in connection with, or in contemplation of, such other Person becoming a Subsidiary;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Lien may not extend to any other property owned by the Company or any Principal Domestic Subsidiary; </w:t>
      </w:r>
    </w:p>
    <w:p>
      <w:pPr>
        <w:pStyle w:val="TextBody"/>
        <w:bidi w:val="0"/>
        <w:spacing w:before="120" w:after="0"/>
        <w:jc w:val="left"/>
        <w:rPr>
          <w:rFonts w:ascii="Times New Roman" w:hAnsi="Times New Roman"/>
          <w:sz w:val="20"/>
        </w:rPr>
      </w:pPr>
      <w:r>
        <w:rPr>
          <w:rFonts w:ascii="Times New Roman" w:hAnsi="Times New Roman"/>
          <w:sz w:val="20"/>
        </w:rPr>
        <w:t xml:space="preserve">(l) Liens on property at the time the Company or any Principal Domestic Subsidiary acquires the property, including any acquisition by means of a merger or consolidation with or into the Company or such Principal Domestic Subsidiary; </w:t>
      </w:r>
      <w:r>
        <w:rPr>
          <w:rFonts w:ascii="Times New Roman" w:hAnsi="Times New Roman"/>
          <w:sz w:val="20"/>
          <w:u w:val="single"/>
        </w:rPr>
        <w:t>provided</w:t>
      </w:r>
      <w:r>
        <w:rPr>
          <w:rFonts w:ascii="Times New Roman" w:hAnsi="Times New Roman"/>
          <w:i/>
          <w:sz w:val="20"/>
        </w:rPr>
        <w:t>,</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Liens are not created, incurred or assumed in connection with, or in contemplation of, such acquisition;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Liens may not extend to any other property owned by the Company or any Principal Domestic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any Lien securing the renewal, extension, refinancing, replacing, amending, extending, modifying or refunding of any indebtedness or obligation secured by any Lien permitted by clause (i), (j), (k), (l) or (p) or this clause (m) without any change in the assets subject to such Lien; </w:t>
      </w:r>
    </w:p>
    <w:p>
      <w:pPr>
        <w:pStyle w:val="TextBody"/>
        <w:bidi w:val="0"/>
        <w:spacing w:before="120" w:after="0"/>
        <w:jc w:val="left"/>
        <w:rPr>
          <w:rFonts w:ascii="Times New Roman" w:hAnsi="Times New Roman"/>
          <w:sz w:val="20"/>
        </w:rPr>
      </w:pPr>
      <w:r>
        <w:rPr>
          <w:rFonts w:ascii="Times New Roman" w:hAnsi="Times New Roman"/>
          <w:sz w:val="20"/>
        </w:rPr>
        <w:t xml:space="preserve">(n) any Lien arising out of claims under a judgment rendered, decree or claim filed so long as such judgments, decrees or claims do not constitute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(o) any Lien consisting of rights reserved to or vested in any Governmental Authority by any statutory provision; </w:t>
      </w:r>
    </w:p>
    <w:p>
      <w:pPr>
        <w:pStyle w:val="TextBody"/>
        <w:bidi w:val="0"/>
        <w:spacing w:before="120" w:after="0"/>
        <w:jc w:val="left"/>
        <w:rPr>
          <w:rFonts w:ascii="Times New Roman" w:hAnsi="Times New Roman"/>
          <w:sz w:val="20"/>
        </w:rPr>
      </w:pPr>
      <w:r>
        <w:rPr>
          <w:rFonts w:ascii="Times New Roman" w:hAnsi="Times New Roman"/>
          <w:sz w:val="20"/>
        </w:rPr>
        <w:t xml:space="preserve">(p) Liens in favor of lessors pursuant to Sale/Leaseback Transactions; </w:t>
      </w:r>
    </w:p>
    <w:p>
      <w:pPr>
        <w:pStyle w:val="TextBody"/>
        <w:bidi w:val="0"/>
        <w:spacing w:before="120" w:after="0"/>
        <w:jc w:val="left"/>
        <w:rPr>
          <w:rFonts w:ascii="Times New Roman" w:hAnsi="Times New Roman"/>
          <w:sz w:val="20"/>
        </w:rPr>
      </w:pPr>
      <w:r>
        <w:rPr>
          <w:rFonts w:ascii="Times New Roman" w:hAnsi="Times New Roman"/>
          <w:sz w:val="20"/>
        </w:rPr>
        <w:t xml:space="preserve">(q) 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 (iii) take or pay obligations in supply agreements, (iv) reimbursement obligations regarding workers compensation claims, (v) indemnification, adjustment of purchase price and similar obligations incurred in connection with (A) the acquisition or disposition of any business or assets or (B) sales contracts, (vi) coverage of long term counterparty risk in respect of insurance companies, (vii) purchasing and supply agreements, (viii) rental deposits, (ix) judicial appeals and (x) service contracts; </w:t>
      </w:r>
    </w:p>
    <w:p>
      <w:pPr>
        <w:pStyle w:val="TextBody"/>
        <w:bidi w:val="0"/>
        <w:spacing w:before="120" w:after="0"/>
        <w:jc w:val="left"/>
        <w:rPr>
          <w:rFonts w:ascii="Times New Roman" w:hAnsi="Times New Roman"/>
          <w:sz w:val="20"/>
        </w:rPr>
      </w:pPr>
      <w:r>
        <w:rPr>
          <w:rFonts w:ascii="Times New Roman" w:hAnsi="Times New Roman"/>
          <w:sz w:val="20"/>
        </w:rPr>
        <w:t xml:space="preserve">(r) Liens securing Indebtedness or other obligations of a Subsidiary owing to the Company or any Principal Domestic Subsidiary; </w:t>
      </w:r>
    </w:p>
    <w:p>
      <w:pPr>
        <w:pStyle w:val="TextBody"/>
        <w:bidi w:val="0"/>
        <w:spacing w:before="120" w:after="0"/>
        <w:jc w:val="left"/>
        <w:rPr>
          <w:rFonts w:ascii="Times New Roman" w:hAnsi="Times New Roman"/>
          <w:sz w:val="20"/>
        </w:rPr>
      </w:pPr>
      <w:r>
        <w:rPr>
          <w:rFonts w:ascii="Times New Roman" w:hAnsi="Times New Roman"/>
          <w:sz w:val="20"/>
        </w:rPr>
        <w:t xml:space="preserve">(s) statutory and other Liens incurred or pledges or deposits made in favor of a Governmental Authority to secure the performance of obligations of the Company or any Subsidiary of the Company under Environmental Laws to which any assets of the Company or such Subsidiary are subject; </w:t>
      </w:r>
    </w:p>
    <w:p>
      <w:pPr>
        <w:pStyle w:val="TextBody"/>
        <w:bidi w:val="0"/>
        <w:spacing w:before="120" w:after="0"/>
        <w:jc w:val="left"/>
        <w:rPr>
          <w:rFonts w:ascii="Times New Roman" w:hAnsi="Times New Roman"/>
          <w:sz w:val="20"/>
        </w:rPr>
      </w:pPr>
      <w:r>
        <w:rPr>
          <w:rFonts w:ascii="Times New Roman" w:hAnsi="Times New Roman"/>
          <w:sz w:val="20"/>
        </w:rPr>
        <w:t xml:space="preserve">(t) 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 arising from the honoring by a bank or other financial institution of a check, draft or similar instrument drawn against insufficient funds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(u) Liens under industrial revenue, municipal or similar bonds; </w:t>
      </w:r>
    </w:p>
    <w:p>
      <w:pPr>
        <w:pStyle w:val="TextBody"/>
        <w:bidi w:val="0"/>
        <w:spacing w:before="120" w:after="0"/>
        <w:jc w:val="left"/>
        <w:rPr>
          <w:rFonts w:ascii="Times New Roman" w:hAnsi="Times New Roman"/>
          <w:sz w:val="20"/>
        </w:rPr>
      </w:pPr>
      <w:r>
        <w:rPr>
          <w:rFonts w:ascii="Times New Roman" w:hAnsi="Times New Roman"/>
          <w:sz w:val="20"/>
        </w:rPr>
        <w:t xml:space="preserve">(v) servicing agreements, development agreements, site plan agreements and other agreements with Governmental Authorities pertaining to the use or development of any of the properties and assets of the Company or any Principal Domestic Subsidiary consisting of real or personal property; </w:t>
      </w:r>
    </w:p>
    <w:p>
      <w:pPr>
        <w:pStyle w:val="TextBody"/>
        <w:bidi w:val="0"/>
        <w:spacing w:before="120" w:after="0"/>
        <w:jc w:val="left"/>
        <w:rPr>
          <w:rFonts w:ascii="Times New Roman" w:hAnsi="Times New Roman"/>
          <w:sz w:val="20"/>
        </w:rPr>
      </w:pPr>
      <w:r>
        <w:rPr>
          <w:rFonts w:ascii="Times New Roman" w:hAnsi="Times New Roman"/>
          <w:sz w:val="20"/>
        </w:rPr>
        <w:t xml:space="preserve">(w) Liens arising from security interests granted by Persons who are not affiliates of the Company or any Subsidiary in such Persons co-ownership interest in Intellectual Property that such Person co-owns together with the Company or 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Liens under licensing agreements for use of Intellectual Property or licenses or sublicenses of Intellectual Property, in each case,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(y) Liens of sellers of goods to any Loan Party arising under Article 2 of the UCC or similar provisions of applicable law in the ordinary course of business; and </w:t>
      </w:r>
    </w:p>
    <w:p>
      <w:pPr>
        <w:pStyle w:val="TextBody"/>
        <w:bidi w:val="0"/>
        <w:spacing w:before="120" w:after="0"/>
        <w:jc w:val="left"/>
        <w:rPr>
          <w:rFonts w:ascii="Times New Roman" w:hAnsi="Times New Roman"/>
          <w:sz w:val="20"/>
        </w:rPr>
      </w:pPr>
      <w:r>
        <w:rPr>
          <w:rFonts w:ascii="Times New Roman" w:hAnsi="Times New Roman"/>
          <w:sz w:val="20"/>
        </w:rPr>
        <w:t xml:space="preserve">(z) so long as no Event of Default shall have occurred and be continuing, Liens in favor of any finance party granted by the Company or any Principal Domestic Subsidiary on company cars and receivables (and other Collateral evidencing, securing, or relating to such company cars or receivables including Supporting Obligations and Letter-of-Credit Rights, in each case, as such terms are defined in the UCC).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Principal Trade Name Transfer</w:t>
      </w:r>
      <w:r>
        <w:rPr>
          <w:rFonts w:ascii="Times New Roman" w:hAnsi="Times New Roman"/>
          <w:sz w:val="20"/>
        </w:rPr>
        <w:t xml:space="preserve"> means the transfer of the Designated Principal Trade Name to a Qualified IP Holding Company so long as, immediately prior to and after giving effect to such transfer, no Default or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 individual, partnership, corporation, limited liability company, business trust, joint stock company, trust, unincorporated association, joint venture, Governmental Authority or other entity of whatever nature.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Plan</w:t>
      </w:r>
      <w:r>
        <w:rPr>
          <w:rFonts w:ascii="Times New Roman" w:hAnsi="Times New Roman"/>
          <w:sz w:val="20"/>
        </w:rPr>
        <w:t xml:space="preserve"> means, at a particular time, an employee pension benefit plan covered by Title IV of ERISA or Section 412 of the Code or Section 303 of ERISA, but excluding any Multiemployer Plan, (a) which is sponsored, established, contributed to or maintained by the Company or any ERISA Affiliate, (b) for which the Company or any ERISA Affiliate could have any liability, whether actual or contingent (whether pursuant to Section 4069 of ERISA or otherwise) or (c) for which the Company or any ERISA Affiliate is (or, if such Plan were terminated, would under Section 4062 or Section 4069 of ERISA be deemed to be) an employer as defined in Section 3(5) of ERISA.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Plan Asset Regulations</w:t>
      </w:r>
      <w:r>
        <w:rPr>
          <w:rFonts w:ascii="Times New Roman" w:hAnsi="Times New Roman"/>
          <w:sz w:val="20"/>
        </w:rPr>
        <w:t xml:space="preserve"> means of 29 CFR § 2510.3-101 et seq., as modified by Section 3(42) of ERISA, as amended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Post-Petition Interest</w:t>
      </w:r>
      <w:r>
        <w:rPr>
          <w:rFonts w:ascii="Times New Roman" w:hAnsi="Times New Roman"/>
          <w:sz w:val="20"/>
        </w:rPr>
        <w:t xml:space="preserve"> shall mean all interest (or entitlement to fees or expenses or other charges) accruing or that would have accrued after the commencement of any bankruptcy, insolvency or reorganization proceeding, irrespective of whether a claim for post-filing or petition interest (or entitlement to fees or expenses or other charges) is allowed in any such bankruptcy, insolvency or reorganization proceeding.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Prime Rate</w:t>
      </w:r>
      <w:r>
        <w:rPr>
          <w:rFonts w:ascii="Times New Roman" w:hAnsi="Times New Roman"/>
          <w:sz w:val="20"/>
        </w:rPr>
        <w:t xml:space="preserve"> means the rate of interest per annum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Principal Domestic Subsidiary</w:t>
      </w:r>
      <w:r>
        <w:rPr>
          <w:rFonts w:ascii="Times New Roman" w:hAnsi="Times New Roman"/>
          <w:sz w:val="20"/>
        </w:rPr>
        <w:t xml:space="preserve"> means (a) GM Holdings, (b) each Subsidiary Guarantor (if any) and (c) each Domestic Subsidiary of the Company, other than an Excluded Subsidiary, that (A) has Consolidated Total Assets with a Net Book Value in excess of $500 million as of the most recent audited annual financial statements delivered pursuant to Section 6.1 (or, prior to the first such required delivery, as of the 2023 10-K), (B) at least 80% or more of the Capital Stock or Voting Stock of such Domestic Subsidiary is owned, directly or indirectly, by the Company and (C) none of the Capital Stock of such Domestic Subsidiary is publicly held.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Principal Trade Names</w:t>
      </w:r>
      <w:r>
        <w:rPr>
          <w:rFonts w:ascii="Times New Roman" w:hAnsi="Times New Roman"/>
          <w:sz w:val="20"/>
        </w:rPr>
        <w:t xml:space="preserve"> means GM, GMC, Chevrolet, Cadillac, and Buick and any variation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PTE</w:t>
      </w:r>
      <w:r>
        <w:rPr>
          <w:rFonts w:ascii="Times New Roman" w:hAnsi="Times New Roman"/>
          <w:sz w:val="20"/>
        </w:rPr>
        <w:t xml:space="preserve"> means a prohibited transaction class exemption issued by the U.S. Department of Labor, as any such exemption may be amended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QFC Credit Support</w:t>
      </w:r>
      <w:r>
        <w:rPr>
          <w:rFonts w:ascii="Times New Roman" w:hAnsi="Times New Roman"/>
          <w:sz w:val="20"/>
        </w:rPr>
        <w:t xml:space="preserve"> has the meaning assigned to it in </w:t>
      </w:r>
      <w:r>
        <w:rPr>
          <w:rFonts w:ascii="Times New Roman" w:hAnsi="Times New Roman"/>
          <w:sz w:val="20"/>
          <w:u w:val="single"/>
        </w:rPr>
        <w:t>Section 10.21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Qualified IP Holding Company</w:t>
      </w:r>
      <w:r>
        <w:rPr>
          <w:rFonts w:ascii="Times New Roman" w:hAnsi="Times New Roman"/>
          <w:sz w:val="20"/>
        </w:rPr>
        <w:t xml:space="preserve"> means any wholly-owned Foreign Subsidiary of the Company to which the Designated Principal Trade Name is transferred.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Receiving Party</w:t>
      </w:r>
      <w:r>
        <w:rPr>
          <w:rFonts w:ascii="Times New Roman" w:hAnsi="Times New Roman"/>
          <w:sz w:val="20"/>
        </w:rPr>
        <w:t xml:space="preserve"> has the meaning assigned to such term in Section 10.16.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Recipient</w:t>
      </w:r>
      <w:r>
        <w:rPr>
          <w:rFonts w:ascii="Times New Roman" w:hAnsi="Times New Roman"/>
          <w:sz w:val="20"/>
        </w:rPr>
        <w:t xml:space="preserve"> means (a) the Administrative Agent or (b) any Lender, as applicable.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Reference Time</w:t>
      </w:r>
      <w:r>
        <w:rPr>
          <w:rFonts w:ascii="Times New Roman" w:hAnsi="Times New Roman"/>
          <w:sz w:val="20"/>
        </w:rPr>
        <w:t xml:space="preserve"> with respect to any setting of the then-current Benchmark means (1) if such Benchmark is the Term SOFR Rate, 5:00 a.m. (Chicago time) on the day that is two U.S. Government Securities Business Days preceding the date of such setting, (2) if such Benchmark is Daily Simple SOFR, then two Business Days prior to such setting or (3) if such Benchmark is none of the Term SOFR Rate or Daily Simple SOFR, the time determined by the Administrative Agent in its reasonable discretion.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Register</w:t>
      </w:r>
      <w:r>
        <w:rPr>
          <w:rFonts w:ascii="Times New Roman" w:hAnsi="Times New Roman"/>
          <w:sz w:val="20"/>
        </w:rPr>
        <w:t xml:space="preserve"> has the meaning assigned to such term in Section 10.6(b)(iv).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Regulation D</w:t>
      </w:r>
      <w:r>
        <w:rPr>
          <w:rFonts w:ascii="Times New Roman" w:hAnsi="Times New Roman"/>
          <w:sz w:val="20"/>
        </w:rPr>
        <w:t xml:space="preserve"> means Regulation D of the Board as in effect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Regulation T</w:t>
      </w:r>
      <w:r>
        <w:rPr>
          <w:rFonts w:ascii="Times New Roman" w:hAnsi="Times New Roman"/>
          <w:sz w:val="20"/>
        </w:rPr>
        <w:t xml:space="preserve"> means Regulation T of the Board as in effect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Regulation U</w:t>
      </w:r>
      <w:r>
        <w:rPr>
          <w:rFonts w:ascii="Times New Roman" w:hAnsi="Times New Roman"/>
          <w:sz w:val="20"/>
        </w:rPr>
        <w:t xml:space="preserve"> means Regulation U of the Board as in effect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Regulation X</w:t>
      </w:r>
      <w:r>
        <w:rPr>
          <w:rFonts w:ascii="Times New Roman" w:hAnsi="Times New Roman"/>
          <w:sz w:val="20"/>
        </w:rPr>
        <w:t xml:space="preserve"> means Regulation X of the Board as in effect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Regulatory Authority</w:t>
      </w:r>
      <w:r>
        <w:rPr>
          <w:rFonts w:ascii="Times New Roman" w:hAnsi="Times New Roman"/>
          <w:sz w:val="20"/>
        </w:rPr>
        <w:t xml:space="preserve"> has the meaning assigned to such term in Section 10.16.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Related Parties</w:t>
      </w:r>
      <w:r>
        <w:rPr>
          <w:rFonts w:ascii="Times New Roman" w:hAnsi="Times New Roman"/>
          <w:sz w:val="20"/>
        </w:rPr>
        <w:t xml:space="preserve"> means, with respect to any specified Person, such Persons Affiliates and the respective directors, officers, employees, agents and advisors of such Person and such Persons Affiliates.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Relevant Governmental Body</w:t>
      </w:r>
      <w:r>
        <w:rPr>
          <w:rFonts w:ascii="Times New Roman" w:hAnsi="Times New Roman"/>
          <w:sz w:val="20"/>
        </w:rPr>
        <w:t xml:space="preserve"> means the Federal Reserve Board and/or the NYFRB, or a committee officially endorsed or convened by the Federal Reserve Board and/or the NYFRB or, in each case, any successor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Relevant Rate</w:t>
      </w:r>
      <w:r>
        <w:rPr>
          <w:rFonts w:ascii="Times New Roman" w:hAnsi="Times New Roman"/>
          <w:sz w:val="20"/>
        </w:rPr>
        <w:t xml:space="preserve"> means (i) with respect to any Term Benchmark Borrowing, the Adjusted Term SOFR Rate or (ii) with respect to any Daily Simple SOFR Borrowing, the Adjusted Daily Simple SOFR,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Required Lenders</w:t>
      </w:r>
      <w:r>
        <w:rPr>
          <w:rFonts w:ascii="Times New Roman" w:hAnsi="Times New Roman"/>
          <w:sz w:val="20"/>
        </w:rPr>
        <w:t xml:space="preserve"> means, at any time, the holders of more than 50% of the aggregate amount of the Total Commitments (or, at any time after the Commitments shall have expired or terminated, the holders of more than 50% of the sum of the Total Extensions of Credit).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Requirements of Law</w:t>
      </w:r>
      <w:r>
        <w:rPr>
          <w:rFonts w:ascii="Times New Roman" w:hAnsi="Times New Roman"/>
          <w:sz w:val="20"/>
        </w:rPr>
        <w:t xml:space="preserve">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Responsible Officer</w:t>
      </w:r>
      <w:r>
        <w:rPr>
          <w:rFonts w:ascii="Times New Roman" w:hAnsi="Times New Roman"/>
          <w:sz w:val="20"/>
        </w:rPr>
        <w:t xml:space="preserve"> means the chief executive officer, president, chief accounting officer, chief financial officer, controller, assistant controller, treasurer or assistant treasurer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w:t>
      </w:r>
      <w:r>
        <w:rPr>
          <w:rFonts w:ascii="Times New Roman" w:hAnsi="Times New Roman"/>
          <w:sz w:val="20"/>
        </w:rPr>
        <w:t xml:space="preserve"> means Standard &amp; Poors Ratings Service and its successors.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Sale/Leaseback Transaction</w:t>
      </w:r>
      <w:r>
        <w:rPr>
          <w:rFonts w:ascii="Times New Roman" w:hAnsi="Times New Roman"/>
          <w:sz w:val="20"/>
        </w:rPr>
        <w:t xml:space="preserve"> means any arrangement with any Person providing for the leasing by any Loan Party or Principal Domestic Subsidiary of real or personal property that has been or is to be sold or transferred by the applicable Loan Party or Principal Domestic Subsidiary to such Person, including any other Person to whom funds have been or are to be advanced by such Person on the security of such property or rental obligations of the applicable Loan Party or Principal Domestic Subsidiary.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Sanctioned Country</w:t>
      </w:r>
      <w:r>
        <w:rPr>
          <w:rFonts w:ascii="Times New Roman" w:hAnsi="Times New Roman"/>
          <w:sz w:val="20"/>
        </w:rPr>
        <w:t xml:space="preserve"> has the meaning assigned to such term in Section 4.15.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Sanctions</w:t>
      </w:r>
      <w:r>
        <w:rPr>
          <w:rFonts w:ascii="Times New Roman" w:hAnsi="Times New Roman"/>
          <w:sz w:val="20"/>
        </w:rPr>
        <w:t xml:space="preserve">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His Majestys Treasury of the United Kingdom.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Sanctions List</w:t>
      </w:r>
      <w:r>
        <w:rPr>
          <w:rFonts w:ascii="Times New Roman" w:hAnsi="Times New Roman"/>
          <w:sz w:val="20"/>
        </w:rPr>
        <w:t xml:space="preserve"> has the meaning assigned to such term in Section 4.15.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w:t>
      </w:r>
      <w:r>
        <w:rPr>
          <w:rFonts w:ascii="Times New Roman" w:hAnsi="Times New Roman"/>
          <w:sz w:val="20"/>
        </w:rPr>
        <w:t xml:space="preserve"> means the Securities and Exchange Commission, and any analogous Governmental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SOFR</w:t>
      </w:r>
      <w:r>
        <w:rPr>
          <w:rFonts w:ascii="Times New Roman" w:hAnsi="Times New Roman"/>
          <w:sz w:val="20"/>
        </w:rPr>
        <w:t xml:space="preserve"> means a rate per annum equal to the secured overnight financing rate as administered by the SOFR Administrator.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SOFR Administrator</w:t>
      </w:r>
      <w:r>
        <w:rPr>
          <w:rFonts w:ascii="Times New Roman" w:hAnsi="Times New Roman"/>
          <w:sz w:val="20"/>
        </w:rPr>
        <w:t xml:space="preserve"> means the NYFRB (or a successor administrator of the secured overnight financing rate).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SOFR Administrators Website</w:t>
      </w:r>
      <w:r>
        <w:rPr>
          <w:rFonts w:ascii="Times New Roman" w:hAnsi="Times New Roman"/>
          <w:sz w:val="20"/>
        </w:rPr>
        <w:t xml:space="preserve"> means the NYFRBs Website, currently at http://www.newyorkfed.org, or any successor source for the secured overnight financing rate identified as such by the SOFR Administrator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SOFR Determination Date</w:t>
      </w:r>
      <w:r>
        <w:rPr>
          <w:rFonts w:ascii="Times New Roman" w:hAnsi="Times New Roman"/>
          <w:sz w:val="20"/>
        </w:rPr>
        <w:t xml:space="preserve"> has the meaning specified in the definition of Daily Simple SOFR.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SOFR Rate Day</w:t>
      </w:r>
      <w:r>
        <w:rPr>
          <w:rFonts w:ascii="Times New Roman" w:hAnsi="Times New Roman"/>
          <w:sz w:val="20"/>
        </w:rPr>
        <w:t xml:space="preserve"> has the meaning specified in the definition of Daily Simple SOFR.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xml:space="preserve">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have or shall have the right to have voting power by reason of the happening of any contingency) is at the time directly or indirectly, owned or controlled by such Person and/or one or more Subsidiaries of such Person. Unless otherwise qualified, all references to a Subsidiary or to Subsidiaries in this Agreement shall refer to a Subsidiary or Subsidiaries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 Borrower</w:t>
      </w:r>
      <w:r>
        <w:rPr>
          <w:rFonts w:ascii="Times New Roman" w:hAnsi="Times New Roman"/>
          <w:sz w:val="20"/>
        </w:rPr>
        <w:t xml:space="preserve"> means GMF and any other Domestic Subsidiary that becomes a party hereto pursuant to Section 10.1(d) until such time as such Subsidiary Borrower is removed as a party hereto pursuant to Section 10.1(d).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 Guarantor</w:t>
      </w:r>
      <w:r>
        <w:rPr>
          <w:rFonts w:ascii="Times New Roman" w:hAnsi="Times New Roman"/>
          <w:sz w:val="20"/>
        </w:rPr>
        <w:t xml:space="preserve"> means each Principal Domestic Subsidiary that became a party to the Guarantee pursuant to Section 6.6(a) or Section 10.1(b).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Supported QFC</w:t>
      </w:r>
      <w:r>
        <w:rPr>
          <w:rFonts w:ascii="Times New Roman" w:hAnsi="Times New Roman"/>
          <w:sz w:val="20"/>
        </w:rPr>
        <w:t xml:space="preserve"> has the meaning assigned to it in Section 10.21.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Syndication Agent</w:t>
      </w:r>
      <w:r>
        <w:rPr>
          <w:rFonts w:ascii="Times New Roman" w:hAnsi="Times New Roman"/>
          <w:sz w:val="20"/>
        </w:rPr>
        <w:t xml:space="preserve"> has the meaning assigned to such term in the preamble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Taxes</w:t>
      </w:r>
      <w:r>
        <w:rPr>
          <w:rFonts w:ascii="Times New Roman" w:hAnsi="Times New Roman"/>
          <w:sz w:val="20"/>
        </w:rPr>
        <w:t xml:space="preserve"> means any taxes, charges or assessments, including but not limited to income, sales, use, transfer, rental, ad valorem, value-added, stamp, property, consumption, franchise, license, capital, net worth, gross receipts, excise, occupancy, intangibles or similar taxes, charges or assessments.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Benchmark</w:t>
      </w:r>
      <w:r>
        <w:rPr>
          <w:rFonts w:ascii="Times New Roman" w:hAnsi="Times New Roman"/>
          <w:sz w:val="20"/>
        </w:rPr>
        <w:t xml:space="preserve"> when used in reference to any Loan or Borrowing, refers to whether such Loan, or the Loans comprising such Borrowing, are bearing interest at a rate determined by reference to the Adjusted Term SOFR Rate.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Benchmark Tranche</w:t>
      </w:r>
      <w:r>
        <w:rPr>
          <w:rFonts w:ascii="Times New Roman" w:hAnsi="Times New Roman"/>
          <w:sz w:val="20"/>
        </w:rPr>
        <w:t xml:space="preserve"> means the collective reference to Term Benchmark Loans under the Facility, the then current Interest Periods with respect to all of which begin on the same date and end on the same later date (whether or not such Loans shall originally have been made on the same day) (it being understood that any such group of Term Benchmark Loans that constitutes one Term Benchmark Tranche pursuant to the foregoing shall be amalgamated and deemed to be one Term Benchmark Loan for all purposes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SOFR Determination Day</w:t>
      </w:r>
      <w:r>
        <w:rPr>
          <w:rFonts w:ascii="Times New Roman" w:hAnsi="Times New Roman"/>
          <w:sz w:val="20"/>
        </w:rPr>
        <w:t xml:space="preserve"> has the meaning assigned to it under the definition of Term SOFR Reference Rate.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SOFR Rate</w:t>
      </w:r>
      <w:r>
        <w:rPr>
          <w:rFonts w:ascii="Times New Roman" w:hAnsi="Times New Roman"/>
          <w:sz w:val="20"/>
        </w:rPr>
        <w:t xml:space="preserve">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SOFR Reference Rate</w:t>
      </w:r>
      <w:r>
        <w:rPr>
          <w:rFonts w:ascii="Times New Roman" w:hAnsi="Times New Roman"/>
          <w:sz w:val="20"/>
        </w:rPr>
        <w:t xml:space="preserve"> means, for any day and time (such day, the Term SOFR Determination Day), with respect to any Term Benchmark Borrowing denominated in Dollars and for any tenor comparable to the applicable Interest Period, the rate per annum published by the CME Term SOFR Administrator and identified by the Administrative Agent as the forward-looking term rate per annum based on SOFR. If by 5:00 pm (New York City time) on such Term SOFR Determination Day, the Term SOFR Reference Rate for the applicable tenor has not been published by the CME Term SOFR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Termination Date</w:t>
      </w:r>
      <w:r>
        <w:rPr>
          <w:rFonts w:ascii="Times New Roman" w:hAnsi="Times New Roman"/>
          <w:sz w:val="20"/>
        </w:rPr>
        <w:t xml:space="preserve"> means March 27, 2025 which is the date which is 364 calendar days following the Closing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Total Available Commitments</w:t>
      </w:r>
      <w:r>
        <w:rPr>
          <w:rFonts w:ascii="Times New Roman" w:hAnsi="Times New Roman"/>
          <w:sz w:val="20"/>
        </w:rPr>
        <w:t xml:space="preserve"> means, at any time, an amount equal to the excess, if any, of (a) the Total Commitments then in effect, </w:t>
      </w:r>
      <w:r>
        <w:rPr>
          <w:rFonts w:ascii="Times New Roman" w:hAnsi="Times New Roman"/>
          <w:sz w:val="20"/>
          <w:u w:val="single"/>
        </w:rPr>
        <w:t>over</w:t>
      </w:r>
      <w:r>
        <w:rPr>
          <w:rFonts w:ascii="Times New Roman" w:hAnsi="Times New Roman"/>
          <w:sz w:val="20"/>
        </w:rPr>
        <w:t xml:space="preserve"> (b) the Total Extensions of Credit then outstanding.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Total Commitments</w:t>
      </w:r>
      <w:r>
        <w:rPr>
          <w:rFonts w:ascii="Times New Roman" w:hAnsi="Times New Roman"/>
          <w:sz w:val="20"/>
        </w:rPr>
        <w:t xml:space="preserve"> means, at any time, the aggregate amount of the Commitments then in effect. The original amount of the Total Commitments is $2.0 billion.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Total Extensions of Credit</w:t>
      </w:r>
      <w:r>
        <w:rPr>
          <w:rFonts w:ascii="Times New Roman" w:hAnsi="Times New Roman"/>
          <w:sz w:val="20"/>
        </w:rPr>
        <w:t xml:space="preserve"> means, at any time, the aggregate Outstanding Amount of the Extensions of Credit of the Lenders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Transferee</w:t>
      </w:r>
      <w:r>
        <w:rPr>
          <w:rFonts w:ascii="Times New Roman" w:hAnsi="Times New Roman"/>
          <w:sz w:val="20"/>
        </w:rPr>
        <w:t xml:space="preserve"> means any Assignee or Participant.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Type</w:t>
      </w:r>
      <w:r>
        <w:rPr>
          <w:rFonts w:ascii="Times New Roman" w:hAnsi="Times New Roman"/>
          <w:sz w:val="20"/>
        </w:rPr>
        <w:t xml:space="preserve"> means as to any Loan, its nature as an ABR Loan, a Term Benchmark Loan or a Daily Simple SOFR Loan.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UCC</w:t>
      </w:r>
      <w:r>
        <w:rPr>
          <w:rFonts w:ascii="Times New Roman" w:hAnsi="Times New Roman"/>
          <w:sz w:val="20"/>
        </w:rPr>
        <w:t xml:space="preserve"> means the Uniform Commercial Code as in effect in any applicable jurisdiction.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UK Financial Institution</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U.S. Government Securities Business Day</w:t>
      </w:r>
      <w:r>
        <w:rPr>
          <w:rFonts w:ascii="Times New Roman" w:hAnsi="Times New Roman"/>
          <w:sz w:val="20"/>
        </w:rPr>
        <w:t xml:space="preserve">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U.S. Person</w:t>
      </w:r>
      <w:r>
        <w:rPr>
          <w:rFonts w:ascii="Times New Roman" w:hAnsi="Times New Roman"/>
          <w:sz w:val="20"/>
        </w:rPr>
        <w:t xml:space="preserve"> means any Person that is a United States Person as defined in Section 7701(a)(30) of the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United Kingdom</w:t>
      </w:r>
      <w:r>
        <w:rPr>
          <w:rFonts w:ascii="Times New Roman" w:hAnsi="Times New Roman"/>
          <w:sz w:val="20"/>
        </w:rPr>
        <w:t xml:space="preserve"> means the United Kingdom of Great Britain and Northern Ireland.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United States</w:t>
      </w:r>
      <w:r>
        <w:rPr>
          <w:rFonts w:ascii="Times New Roman" w:hAnsi="Times New Roman"/>
          <w:sz w:val="20"/>
        </w:rPr>
        <w:t xml:space="preserve"> means the United States of America and its territories and possessions.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Unconsolidated Subsidiary</w:t>
      </w:r>
      <w:r>
        <w:rPr>
          <w:rFonts w:ascii="Times New Roman" w:hAnsi="Times New Roman"/>
          <w:sz w:val="20"/>
        </w:rPr>
        <w:t xml:space="preserve"> means a subsidiary of the Company or other Person whose financial results are not, in accordance with GAAP, included in the consolidated financial statements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U.S. Special Resolution Regime</w:t>
      </w:r>
      <w:r>
        <w:rPr>
          <w:rFonts w:ascii="Times New Roman" w:hAnsi="Times New Roman"/>
          <w:sz w:val="20"/>
        </w:rPr>
        <w:t xml:space="preserve"> has the meaning assigned to it in Section 10.21.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USA Patriot Act</w:t>
      </w:r>
      <w:r>
        <w:rPr>
          <w:rFonts w:ascii="Times New Roman" w:hAnsi="Times New Roman"/>
          <w:sz w:val="20"/>
        </w:rPr>
        <w:t xml:space="preserve"> has the meaning assigned to such term in Section 10.18.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Voting Stock</w:t>
      </w:r>
      <w:r>
        <w:rPr>
          <w:rFonts w:ascii="Times New Roman" w:hAnsi="Times New Roman"/>
          <w:sz w:val="20"/>
        </w:rPr>
        <w:t xml:space="preserve"> means, with respect to any Person, such Persons Capital Stock having the right to vote for election of directors (or the equivalent thereof) of such Person under ordinary circumstances.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Other Definitional Provisions</w:t>
      </w:r>
      <w:r>
        <w:rPr>
          <w:rFonts w:ascii="Times New Roman" w:hAnsi="Times New Roman"/>
          <w:sz w:val="20"/>
        </w:rPr>
        <w:t xml:space="preserve">. (a) Unless otherwise specified therein, all terms defined in this Agreement shall have the defined meanings when used in the other Loan Documents or any certificate or other document made or delivered pursuant hereto or thereto. </w:t>
      </w:r>
    </w:p>
    <w:p>
      <w:pPr>
        <w:pStyle w:val="TextBody"/>
        <w:bidi w:val="0"/>
        <w:spacing w:before="240" w:after="0"/>
        <w:jc w:val="left"/>
        <w:rPr>
          <w:rFonts w:ascii="Times New Roman" w:hAnsi="Times New Roman"/>
          <w:sz w:val="20"/>
        </w:rPr>
      </w:pPr>
      <w:r>
        <w:rPr>
          <w:rFonts w:ascii="Times New Roman" w:hAnsi="Times New Roman"/>
          <w:sz w:val="20"/>
        </w:rPr>
        <w:t xml:space="preserve">(b) As used herein and in the other Loan Documents, and any certificate or other document made or delivered pursuant hereto or thereto, (i) accounting terms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or otherwise modified from time to time, (vi) references to any Person shall include its successors and permitted assigns, (vii)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 (viii) unless otherwise specified, references to fiscal periods shall be deemed to be references to fiscal periods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meanings given to terms defined herein shall be equally applicable to both the singular and plural forms of such terms.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Conversion of Foreign Currencies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For purposes of determining compliance with Section 7.2, with respect to any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Other Interpretive Provisions</w:t>
      </w:r>
      <w:r>
        <w:rPr>
          <w:rFonts w:ascii="Times New Roman" w:hAnsi="Times New Roman"/>
          <w:sz w:val="20"/>
        </w:rPr>
        <w:t xml:space="preserve">. If a Lien satisfies the requirements of two or more clauses of the definition of Permitted Lien, the Company may, at any time and from time to time designate or redesignate such Lien as a Permitted Lien in any of such clauses and the Company need not classify such Lien solely by reference to one such clause.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Interest Rates; Benchmark Notification.</w:t>
      </w:r>
      <w:r>
        <w:rPr>
          <w:rFonts w:ascii="Times New Roman" w:hAnsi="Times New Roman"/>
          <w:sz w:val="20"/>
        </w:rPr>
        <w:t xml:space="preserve"> The interest rate on a Loan denominated in dollars may be derived from an interest rate benchmark that may be discontinued or is, or may in the future become, the subject of regulatory reform. Upon the occurrence of a Benchmark Transition Event, Section 2.18(b)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Divisions</w:t>
      </w:r>
      <w:r>
        <w:rPr>
          <w:rFonts w:ascii="Times New Roman" w:hAnsi="Times New Roman"/>
          <w:sz w:val="20"/>
        </w:rPr>
        <w:t xml:space="preserve">.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SECTION 2. AMOUNT AND TERMS OF COMMITMENTS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Commitments</w:t>
      </w:r>
      <w:r>
        <w:rPr>
          <w:rFonts w:ascii="Times New Roman" w:hAnsi="Times New Roman"/>
          <w:sz w:val="20"/>
        </w:rPr>
        <w:t>. (a) Subject to the terms and conditions hereof, each Lender severally agrees to make (or cause its Applicable Lending Office to make) revolving loans (</w:t>
      </w:r>
      <w:r>
        <w:rPr>
          <w:rFonts w:ascii="Times New Roman" w:hAnsi="Times New Roman"/>
          <w:sz w:val="20"/>
          <w:u w:val="single"/>
        </w:rPr>
        <w:t>Loans</w:t>
      </w:r>
      <w:r>
        <w:rPr>
          <w:rFonts w:ascii="Times New Roman" w:hAnsi="Times New Roman"/>
          <w:sz w:val="20"/>
        </w:rPr>
        <w:t xml:space="preserve">) in Dollars to the Company or any Subsidiary Borrower from time to time during the Commitment Period of such Lender; </w:t>
      </w:r>
      <w:r>
        <w:rPr>
          <w:rFonts w:ascii="Times New Roman" w:hAnsi="Times New Roman"/>
          <w:sz w:val="20"/>
          <w:u w:val="single"/>
        </w:rPr>
        <w:t>provided</w:t>
      </w:r>
      <w:r>
        <w:rPr>
          <w:rFonts w:ascii="Times New Roman" w:hAnsi="Times New Roman"/>
          <w:sz w:val="20"/>
        </w:rPr>
        <w:t xml:space="preserve">, that, after giving effect to such borrowing and the use of proceeds thereof, (i) such Lenders Extensions of Credit do not exceed the amount of such Lenders Commitments and (ii) the Total Extensions of Credit shall not exceed the Total Commitments then in effect. During the Commitment Period of the applicable Lenders for the Facility, the Company and any Subsidiary Borrower may use the Commitments by borrowing, prepaying the Loans in whole or in part, and reborrowing, all in accordance with the terms and conditions hereof. The Loans may from time to time be Term Benchmark Loans, Daily Simple SOFR Loans or ABR Loans or any combination of the foregoing, as determined by the Company or the relevant Subsidiary Borrower and notified to the Administrative Agent in accordance with Section 2.2 and 2.14.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to the extent of its borrowings, any relevant Subsidiary Borrower shall repay all outstanding Loans of a Lender on the Termination Date for such Lender under the Facility unless Loans are converted into Converted Term Loans pursuant to Section 2.28, in which case the Company and, to the extent of its borrowings, any relevant Subsidiary Borrower shall repay all outstanding Converted Term Loans of a Lender on the Converted Term Loan Maturity Date.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Procedure for Borrowing</w:t>
      </w:r>
      <w:r>
        <w:rPr>
          <w:rFonts w:ascii="Times New Roman" w:hAnsi="Times New Roman"/>
          <w:sz w:val="20"/>
        </w:rPr>
        <w:t xml:space="preserve">. The Company and any Subsidiary Borrower may borrow under the Commitments during the Commitment Period on any Business Day; </w:t>
      </w:r>
      <w:r>
        <w:rPr>
          <w:rFonts w:ascii="Times New Roman" w:hAnsi="Times New Roman"/>
          <w:sz w:val="20"/>
          <w:u w:val="single"/>
        </w:rPr>
        <w:t>provided</w:t>
      </w:r>
      <w:r>
        <w:rPr>
          <w:rFonts w:ascii="Times New Roman" w:hAnsi="Times New Roman"/>
          <w:sz w:val="20"/>
        </w:rPr>
        <w:t xml:space="preserve">, that, the Company or the relevant Subsidiary Borrower shall give the Administrative Agent a written Borrowing Request prior to (a) in the case of Term Benchmark Loans, 11:00 a.m., New York City time, three U.S. Government Securities Business Days prior to the requested Borrowing Date, (b) in the case of Daily Simple SOFR Loans, 11:00 a.m., New York City time, three U.S. Government Securities Business Days prior to the requested Borrowing Date or (c) in the case of ABR Loans, 11:00 a.m., New York City time, on the date of the proposed borrowing, specifying (i) the amount and Type of Loans to be borrowed, (ii) the requested Borrowing Date and (iii) in the case of Term Benchmark Loans, the respective lengths of the initial Interest Period(s) therefor;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Borrowing Request submitted by a Subsidiary Borrower shall include the written consent of the Company. If no election as to the Type of a Loan is specified in any such notice, then the requested borrowing shall be an ABR Loan. If no Interest Period with respect to a Term Benchmark Loan is specified in any such notice, then the Company or the relevant Subsidiary Borrower shall be deemed to have selected an Interest Period of one months duration. Each borrowing under the Commitments shall be in an amount equal to $25 million (or, if the Total Available Commitments at such time are less than $25 million, such lesser amount) or a whole multiple of $5 million in excess thereof. Upon receipt of any such notice from the Company or the relevant Subsidiary Borrower, the Administrative Agent shall promptly notify each Lender thereof. Each Lender will make (or cause its Applicable Lending Office to make) the amount of its </w:t>
      </w:r>
      <w:r>
        <w:rPr>
          <w:rFonts w:ascii="Times New Roman" w:hAnsi="Times New Roman"/>
          <w:sz w:val="20"/>
          <w:u w:val="single"/>
        </w:rPr>
        <w:t>pro rata</w:t>
      </w:r>
      <w:r>
        <w:rPr>
          <w:rFonts w:ascii="Times New Roman" w:hAnsi="Times New Roman"/>
          <w:sz w:val="20"/>
        </w:rPr>
        <w:t xml:space="preserve"> share of each such borrowing available to the Administrative Agent for the account of the Company or the relevant Subsidiary Borrower at the Funding Office prior to 1:00 P.M., New York City time, on the Borrowing Date requested (or deemed requested) by the Company or the relevant Subsidiary Borrower in funds immediately available to the Administrative Agent. Such borrowing will then be made available to the Company or the relevant Subsidiary Borrower by the Administrative Agent crediting the account of the Company or the relevant Subsidiary Borrower on the books of such office or such other account as the Company or the relevant Subsidiary Borrower may specify to the Administrative Agent with the aggregate of the amounts made available to the Administrative Agent by the Lenders and in like funds as received by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2.10 </w:t>
      </w:r>
      <w:r>
        <w:rPr>
          <w:rFonts w:ascii="Times New Roman" w:hAnsi="Times New Roman"/>
          <w:sz w:val="20"/>
          <w:u w:val="single"/>
        </w:rPr>
        <w:t>Facility Fees, etc.</w:t>
      </w:r>
      <w:r>
        <w:rPr>
          <w:rFonts w:ascii="Times New Roman" w:hAnsi="Times New Roman"/>
          <w:sz w:val="20"/>
        </w:rPr>
        <w:t>. (a) The Company agrees to pay to the Administrative Agent a facility fee (the </w:t>
      </w:r>
      <w:r>
        <w:rPr>
          <w:rFonts w:ascii="Times New Roman" w:hAnsi="Times New Roman"/>
          <w:sz w:val="20"/>
          <w:u w:val="single"/>
        </w:rPr>
        <w:t>Facility Fee</w:t>
      </w:r>
      <w:r>
        <w:rPr>
          <w:rFonts w:ascii="Times New Roman" w:hAnsi="Times New Roman"/>
          <w:sz w:val="20"/>
        </w:rPr>
        <w:t xml:space="preserve">) for the account of each Lender for the period from and including the Closing Date (or such later date as of which such Lender shall become a Lender) to the date on which all Extensions of Credit of such Lender under the Facility have been paid in full and the Commitments of such Lender under the Facility have been terminated, computed at the Facility Fee Rate on the average daily amount of the Commitments of such Lender (whether used or unused) under the Facility, or, if such Commitments have been terminated, on the daily average Extensions of Credit of such Lender under the Facility during the related Fee Payment Period for which payment is made, payable in arrears on each Fee Payment Date, commencing on the first such date to occur after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agrees to pay to the Administrative Agent the fees in the amounts and on the dates as set forth in the Arranger Fee Letter, dated as of February 9, 2024, between the Company and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Termination and Reduction of Commitments</w:t>
      </w:r>
      <w:r>
        <w:rPr>
          <w:rFonts w:ascii="Times New Roman" w:hAnsi="Times New Roman"/>
          <w:sz w:val="20"/>
        </w:rPr>
        <w:t xml:space="preserve">. The Company shall have the right, upon not less than three Business Days notice to the Administrative Agent, to terminate the Commitments under the Facility or, from time to time, to reduce the amount of Commitments under the Facility; </w:t>
      </w:r>
      <w:r>
        <w:rPr>
          <w:rFonts w:ascii="Times New Roman" w:hAnsi="Times New Roman"/>
          <w:sz w:val="20"/>
          <w:u w:val="single"/>
        </w:rPr>
        <w:t>provided</w:t>
      </w:r>
      <w:r>
        <w:rPr>
          <w:rFonts w:ascii="Times New Roman" w:hAnsi="Times New Roman"/>
          <w:sz w:val="20"/>
        </w:rPr>
        <w:t xml:space="preserve">, that no such termination or reduction of such Commitments shall be permitted if, after giving effect thereto and to any prepayments of the Loans (if applicable) made on the effective date thereof, (x) the Total Extensions of Credit would exceed the Total Commitments then in effect or (y) the Extensions of Credit of any Lender would exceed such Lenders Commitment then in effect. In the event that the Administrative Agent receives such notice, the Administrative Agent shall give notice thereof to the relevant Lenders as soon as practicable thereafter. Any such reduction shall be in an amount equal to $25 million or a whole multiple of $10 million in excess thereof and shall reduce permanently the Commitments then in effect under the Facility. Each notice delivered by the Company pursuant to this Section 2.11 shall be irrevocable; </w:t>
      </w:r>
      <w:r>
        <w:rPr>
          <w:rFonts w:ascii="Times New Roman" w:hAnsi="Times New Roman"/>
          <w:sz w:val="20"/>
          <w:u w:val="single"/>
        </w:rPr>
        <w:t>provided</w:t>
      </w:r>
      <w:r>
        <w:rPr>
          <w:rFonts w:ascii="Times New Roman" w:hAnsi="Times New Roman"/>
          <w:sz w:val="20"/>
        </w:rPr>
        <w:t xml:space="preserve">, that a notice to terminate any Commitments delivered by the Company may state that such notice is conditioned upon the effectiveness of other credit facilities or a Change of Control, in which case, such notice may be revoked by the Company (by notice to the Administrative Agent on or prior to the specified effective date) if such condition is not satisfied. Notwithstanding the foregoing, the revocation of a termination notice shall not affect the Companys obligation to indemnify any Lender in accordance with Section 2.22 for any loss or expense sustained or incurred as a consequence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2.12 </w:t>
      </w:r>
      <w:r>
        <w:rPr>
          <w:rFonts w:ascii="Times New Roman" w:hAnsi="Times New Roman"/>
          <w:sz w:val="20"/>
          <w:u w:val="single"/>
        </w:rPr>
        <w:t>Optional Prepayments</w:t>
      </w:r>
      <w:r>
        <w:rPr>
          <w:rFonts w:ascii="Times New Roman" w:hAnsi="Times New Roman"/>
          <w:sz w:val="20"/>
        </w:rPr>
        <w:t xml:space="preserve">. The Company and any relevant Subsidiary Borrower may at any time and from time to time prepay the Loans, in whole or in part, without premium or penalty, upon irrevocable notice delivered to the Administrative Agent no later than 11:00 a.m., New York City time, three Business Days prior thereto, in the case of Term Benchmark Loans and Daily Simple SOFR Loans, and no later than 11:00 a.m., New York City time, on the day of such prepayment, in the case of ABR Loans, in each case which notice shall specify the date and amount of prepayment and whether the prepayment is of Term Benchmark Loans, Daily Simple SOFR Loans or ABR Loans; </w:t>
      </w:r>
      <w:r>
        <w:rPr>
          <w:rFonts w:ascii="Times New Roman" w:hAnsi="Times New Roman"/>
          <w:sz w:val="20"/>
          <w:u w:val="single"/>
        </w:rPr>
        <w:t>provided</w:t>
      </w:r>
      <w:r>
        <w:rPr>
          <w:rFonts w:ascii="Times New Roman" w:hAnsi="Times New Roman"/>
          <w:sz w:val="20"/>
        </w:rPr>
        <w:t xml:space="preserve">, that if a Term Benchmark Loan is prepaid on any day other than the last day of the Interest Period applicable thereto, the Company or the relevant Subsidiary Borrower shall also pay any amounts owing pursuant to Section 2.22;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notice to prepay the Loans delivered by the Company may state that such notice is conditioned upon the effectiveness of other credit facilities or a Change of Control, in either case, which such notice may be revoked by the Company (by further notice to the Administrative Agent on or prior to the specified effective date) if such condition is not satisfied. Notwithstanding the foregoing, the revocation of a prepayment notice shall not affect the Companys or any relevant Subsidiary Borrowers obligation to indemnify any Lender in accordance with Section 2.22 for any loss or expense sustained or incurred as a consequence thereof. Upon receipt of any such notice the Administrative Agent shall promptly notify each relevant Lender thereof. If any such notice is given (and not revoked as provided herein), the amount specified in such notice shall be due and payable on the date specified therein, together with (except in the case of ABR Loans) accrued interest to such date on the amount prepaid. Partial prepayments of Loans shall be in an integral multiple of $1 million and no less than $25 million. Optional prepayments of Converted Term Loans may not be reborrowed. </w:t>
      </w:r>
    </w:p>
    <w:p>
      <w:pPr>
        <w:pStyle w:val="TextBody"/>
        <w:bidi w:val="0"/>
        <w:spacing w:before="240" w:after="0"/>
        <w:jc w:val="left"/>
        <w:rPr>
          <w:rFonts w:ascii="Times New Roman" w:hAnsi="Times New Roman"/>
          <w:sz w:val="20"/>
        </w:rPr>
      </w:pPr>
      <w:r>
        <w:rPr>
          <w:rFonts w:ascii="Times New Roman" w:hAnsi="Times New Roman"/>
          <w:sz w:val="20"/>
        </w:rPr>
        <w:t>2.13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2.14 </w:t>
      </w:r>
      <w:r>
        <w:rPr>
          <w:rFonts w:ascii="Times New Roman" w:hAnsi="Times New Roman"/>
          <w:sz w:val="20"/>
          <w:u w:val="single"/>
        </w:rPr>
        <w:t>Conversion and Continuation Options.</w:t>
      </w:r>
      <w:r>
        <w:rPr>
          <w:rFonts w:ascii="Times New Roman" w:hAnsi="Times New Roman"/>
          <w:sz w:val="20"/>
        </w:rPr>
        <w:t xml:space="preserve"> (a) The Company or any Subsidiary Borrower may elect from time to time to convert Term Benchmark Loans in Dollars to Daily Simple SOFR Loans or ABR Loans by giving the Administrative Agent prior irrevocable notice of such election no later than 1:00 P.M., New York City time, on the third Business Day preceding the proposed conversion date, </w:t>
      </w:r>
      <w:r>
        <w:rPr>
          <w:rFonts w:ascii="Times New Roman" w:hAnsi="Times New Roman"/>
          <w:sz w:val="20"/>
          <w:u w:val="single"/>
        </w:rPr>
        <w:t>provided</w:t>
      </w:r>
      <w:r>
        <w:rPr>
          <w:rFonts w:ascii="Times New Roman" w:hAnsi="Times New Roman"/>
          <w:sz w:val="20"/>
        </w:rPr>
        <w:t xml:space="preserve">, that any such conversion of Term Benchmark Loans that is not made on the last day of an Interest Period with respect thereto shall be subject to Section 2.22. The Company or any Subsidiary Borrower may elect from time to time to convert (x) Daily Simple SOFR Loans to ABR Loans or (y) ABR Loans to Daily Simple SOFR Loans, in each case, by giving the Administrative Agent prior irrevocable notice of such election no later than 1:00 P.M., New York City time, on the third Business Day preceding the proposed conversion date. The Company or any Subsidiary Borrower may elect from time to time to convert ABR Loans or Daily Simple SOFR Loans to Term Benchmark Loans by giving the Administrative Agent prior irrevocable notice of such election no later than 1:00 P.M., New York City time, on the third Business Day preceding the proposed conversion date (which notice shall specify the length of the initial Interest Period therefor); </w:t>
      </w:r>
      <w:r>
        <w:rPr>
          <w:rFonts w:ascii="Times New Roman" w:hAnsi="Times New Roman"/>
          <w:sz w:val="20"/>
          <w:u w:val="single"/>
        </w:rPr>
        <w:t>provided</w:t>
      </w:r>
      <w:r>
        <w:rPr>
          <w:rFonts w:ascii="Times New Roman" w:hAnsi="Times New Roman"/>
          <w:sz w:val="20"/>
        </w:rPr>
        <w:t xml:space="preserve">, that no ABR Loan may be converted into a Term Benchmark Loan when (after giving effect to such Loan and to the application of proceeds thereof) any Event of Default has occurred and is continuing and the Administrative Agent has or the Required Lenders have determined in its or their sole discretion not to permit such conversions (and the Administrative Agent shall notify the Company within a reasonable amount of time of any such determination). Upon receipt of any such conversion notice, the Administrative Agent shall promptly notify each relevant Lender, the Company and any relevant Subsidiary Borrower thereof. </w:t>
      </w:r>
    </w:p>
    <w:p>
      <w:pPr>
        <w:pStyle w:val="TextBody"/>
        <w:bidi w:val="0"/>
        <w:spacing w:before="240" w:after="0"/>
        <w:jc w:val="left"/>
        <w:rPr>
          <w:rFonts w:ascii="Times New Roman" w:hAnsi="Times New Roman"/>
          <w:sz w:val="20"/>
        </w:rPr>
      </w:pPr>
      <w:r>
        <w:rPr>
          <w:rFonts w:ascii="Times New Roman" w:hAnsi="Times New Roman"/>
          <w:sz w:val="20"/>
        </w:rPr>
        <w:t xml:space="preserve">(b) Any Term Benchmark Loan may be continued as such upon the expiration of the then current Interest Period with respect thereto by the Company or relevant Subsidiary Borrower giving irrevocable notice to the Administrative Agent, in accordance with the applicable provisions of the term Interest Period set forth in Section 1.1, of the length of the next Interest Period(s) to be applicable to such Loans; </w:t>
      </w:r>
      <w:r>
        <w:rPr>
          <w:rFonts w:ascii="Times New Roman" w:hAnsi="Times New Roman"/>
          <w:sz w:val="20"/>
          <w:u w:val="single"/>
        </w:rPr>
        <w:t>provided</w:t>
      </w:r>
      <w:r>
        <w:rPr>
          <w:rFonts w:ascii="Times New Roman" w:hAnsi="Times New Roman"/>
          <w:sz w:val="20"/>
        </w:rPr>
        <w:t xml:space="preserve">, that notwithstanding any contrary provision hereof, if (after giving effect to such Loan and to the application of proceeds thereof) an Event of Default has occurred and is continuing and the Administrative Agent, at the request of the Required Lenders or in its sole discretion, so notifies the Company, then, so long as an Event of Default is continuing, other than to the extent repaid, each Term Benchmark Loan under the Facility shall be converted to an ABR Loan at the end of the Interest Period applicable thereto;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Company or such Subsidiary Borrower shall fail to give any required notice as described above in this paragraph such Loans shall be automatically continued as a Term Benchmark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the Company and any relevant Subsidiary Borrower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2.15 </w:t>
      </w:r>
      <w:r>
        <w:rPr>
          <w:rFonts w:ascii="Times New Roman" w:hAnsi="Times New Roman"/>
          <w:sz w:val="20"/>
          <w:u w:val="single"/>
        </w:rPr>
        <w:t>Limitations on Term Benchmark Tranches and Daily Simple SOFR Borrowings</w:t>
      </w:r>
      <w:r>
        <w:rPr>
          <w:rFonts w:ascii="Times New Roman" w:hAnsi="Times New Roman"/>
          <w:sz w:val="20"/>
        </w:rPr>
        <w:t xml:space="preserve">. Notwithstanding anything to the contrary in this Agreement, all borrowings, conversions and continuations of Term Benchmark Loans and all selections of Interest Periods shall be in such amounts and be made pursuant to such elections so that no more than ten (10) Term Benchmark Tranches shall be outstanding at any one time. Notwithstanding anything to the contrary in this Agreement, all borrowings, conversions and continuations of Daily Simple SOFR Loans shall be in such amounts and be made pursuant to such elections so that no more than ten (10) Daily Simple SOFR Borrowings shall be outstanding at any one time. </w:t>
      </w:r>
    </w:p>
    <w:p>
      <w:pPr>
        <w:pStyle w:val="TextBody"/>
        <w:bidi w:val="0"/>
        <w:spacing w:before="240" w:after="0"/>
        <w:jc w:val="left"/>
        <w:rPr>
          <w:rFonts w:ascii="Times New Roman" w:hAnsi="Times New Roman"/>
          <w:sz w:val="20"/>
        </w:rPr>
      </w:pPr>
      <w:r>
        <w:rPr>
          <w:rFonts w:ascii="Times New Roman" w:hAnsi="Times New Roman"/>
          <w:sz w:val="20"/>
        </w:rPr>
        <w:t xml:space="preserve">2.16 </w:t>
      </w:r>
      <w:r>
        <w:rPr>
          <w:rFonts w:ascii="Times New Roman" w:hAnsi="Times New Roman"/>
          <w:sz w:val="20"/>
          <w:u w:val="single"/>
        </w:rPr>
        <w:t>Interest Rates and Payment Dates.</w:t>
      </w:r>
      <w:r>
        <w:rPr>
          <w:rFonts w:ascii="Times New Roman" w:hAnsi="Times New Roman"/>
          <w:sz w:val="20"/>
        </w:rPr>
        <w:t xml:space="preserve"> (a) Each (x) Term Benchmark Loan shall bear interest for each day during each Interest Period with respect thereto at a rate per annum equal to the Adjusted Term SOFR Rate determined for such Interest Period </w:t>
      </w:r>
      <w:r>
        <w:rPr>
          <w:rFonts w:ascii="Times New Roman" w:hAnsi="Times New Roman"/>
          <w:sz w:val="20"/>
          <w:u w:val="single"/>
        </w:rPr>
        <w:t>plus</w:t>
      </w:r>
      <w:r>
        <w:rPr>
          <w:rFonts w:ascii="Times New Roman" w:hAnsi="Times New Roman"/>
          <w:sz w:val="20"/>
        </w:rPr>
        <w:t xml:space="preserve"> the Applicable Margin and (y) Daily Simple SOFR Loan shall bear interest for each day at a rate per annum equal to the Adjusted Daily Simple SOFR </w:t>
      </w:r>
      <w:r>
        <w:rPr>
          <w:rFonts w:ascii="Times New Roman" w:hAnsi="Times New Roman"/>
          <w:sz w:val="20"/>
          <w:u w:val="single"/>
        </w:rPr>
        <w:t>plus</w:t>
      </w:r>
      <w:r>
        <w:rPr>
          <w:rFonts w:ascii="Times New Roman" w:hAnsi="Times New Roman"/>
          <w:sz w:val="20"/>
        </w:rPr>
        <w:t xml:space="preserve"> the Applicable Margin. </w:t>
      </w:r>
    </w:p>
    <w:p>
      <w:pPr>
        <w:pStyle w:val="TextBody"/>
        <w:bidi w:val="0"/>
        <w:spacing w:before="240" w:after="0"/>
        <w:jc w:val="left"/>
        <w:rPr>
          <w:rFonts w:ascii="Times New Roman" w:hAnsi="Times New Roman"/>
          <w:sz w:val="20"/>
        </w:rPr>
      </w:pPr>
      <w:r>
        <w:rPr>
          <w:rFonts w:ascii="Times New Roman" w:hAnsi="Times New Roman"/>
          <w:sz w:val="20"/>
        </w:rPr>
        <w:t xml:space="preserve">(b) Each ABR Loan shall bear interest at a rate per annum equal to the ABR </w:t>
      </w:r>
      <w:r>
        <w:rPr>
          <w:rFonts w:ascii="Times New Roman" w:hAnsi="Times New Roman"/>
          <w:sz w:val="20"/>
          <w:u w:val="single"/>
        </w:rPr>
        <w:t>plus</w:t>
      </w:r>
      <w:r>
        <w:rPr>
          <w:rFonts w:ascii="Times New Roman" w:hAnsi="Times New Roman"/>
          <w:sz w:val="20"/>
        </w:rPr>
        <w:t xml:space="preserve"> the Applicable Margin. </w:t>
      </w:r>
    </w:p>
    <w:p>
      <w:pPr>
        <w:pStyle w:val="TextBody"/>
        <w:bidi w:val="0"/>
        <w:spacing w:before="240" w:after="0"/>
        <w:jc w:val="left"/>
        <w:rPr>
          <w:rFonts w:ascii="Times New Roman" w:hAnsi="Times New Roman"/>
          <w:sz w:val="20"/>
        </w:rPr>
      </w:pPr>
      <w:r>
        <w:rPr>
          <w:rFonts w:ascii="Times New Roman" w:hAnsi="Times New Roman"/>
          <w:sz w:val="20"/>
        </w:rPr>
        <w:t xml:space="preserve">(c) (i) If all or a portion of the principal amount of any Loan shall not be paid when due (whether at the stated maturity, by acceleration or otherwise), such overdue amount shall bear interest at a rate per annum equal to the rate that would otherwise be applicable thereto pursuant to the foregoing provisions of this Section 2.16 </w:t>
      </w:r>
      <w:r>
        <w:rPr>
          <w:rFonts w:ascii="Times New Roman" w:hAnsi="Times New Roman"/>
          <w:sz w:val="20"/>
          <w:u w:val="single"/>
        </w:rPr>
        <w:t>plus</w:t>
      </w:r>
      <w:r>
        <w:rPr>
          <w:rFonts w:ascii="Times New Roman" w:hAnsi="Times New Roman"/>
          <w:sz w:val="20"/>
        </w:rPr>
        <w:t xml:space="preserve"> 2% per annum and (ii) if all or a portion of any interest payable on any Loan or any Facility Fee payable hereunder shall not be paid when due (whether at the stated maturity, by acceleration or otherwise), such overdue amount shall bear interest at a rate per annum equal to the rate then applicable to ABR Loans, in each case, with respect to clauses (i) and (ii) above, from the date of such nonpayment until such amount is paid in full (after as well as before judgment). </w:t>
      </w:r>
    </w:p>
    <w:p>
      <w:pPr>
        <w:pStyle w:val="TextBody"/>
        <w:bidi w:val="0"/>
        <w:spacing w:before="240" w:after="0"/>
        <w:jc w:val="left"/>
        <w:rPr>
          <w:rFonts w:ascii="Times New Roman" w:hAnsi="Times New Roman"/>
          <w:sz w:val="20"/>
        </w:rPr>
      </w:pPr>
      <w:r>
        <w:rPr>
          <w:rFonts w:ascii="Times New Roman" w:hAnsi="Times New Roman"/>
          <w:sz w:val="20"/>
        </w:rPr>
        <w:t xml:space="preserve">(d) Interest shall be payable in arrears on each Interest Payment Date, </w:t>
      </w:r>
      <w:r>
        <w:rPr>
          <w:rFonts w:ascii="Times New Roman" w:hAnsi="Times New Roman"/>
          <w:sz w:val="20"/>
          <w:u w:val="single"/>
        </w:rPr>
        <w:t>provided</w:t>
      </w:r>
      <w:r>
        <w:rPr>
          <w:rFonts w:ascii="Times New Roman" w:hAnsi="Times New Roman"/>
          <w:sz w:val="20"/>
        </w:rPr>
        <w:t xml:space="preserve">, that interest accruing pursuant to Section 2.16(c) shall be payable from time to time on demand. </w:t>
      </w:r>
    </w:p>
    <w:p>
      <w:pPr>
        <w:pStyle w:val="TextBody"/>
        <w:bidi w:val="0"/>
        <w:spacing w:before="240" w:after="0"/>
        <w:jc w:val="left"/>
        <w:rPr>
          <w:rFonts w:ascii="Times New Roman" w:hAnsi="Times New Roman"/>
          <w:sz w:val="20"/>
        </w:rPr>
      </w:pPr>
      <w:r>
        <w:rPr>
          <w:rFonts w:ascii="Times New Roman" w:hAnsi="Times New Roman"/>
          <w:sz w:val="20"/>
        </w:rPr>
        <w:t xml:space="preserve">(e) All interest hereunder shall be paid in Dollars. </w:t>
      </w:r>
    </w:p>
    <w:p>
      <w:pPr>
        <w:pStyle w:val="TextBody"/>
        <w:bidi w:val="0"/>
        <w:spacing w:before="240" w:after="0"/>
        <w:jc w:val="left"/>
        <w:rPr>
          <w:rFonts w:ascii="Times New Roman" w:hAnsi="Times New Roman"/>
          <w:sz w:val="20"/>
        </w:rPr>
      </w:pPr>
      <w:r>
        <w:rPr>
          <w:rFonts w:ascii="Times New Roman" w:hAnsi="Times New Roman"/>
          <w:sz w:val="20"/>
        </w:rPr>
        <w:t xml:space="preserve">2.17 </w:t>
      </w:r>
      <w:r>
        <w:rPr>
          <w:rFonts w:ascii="Times New Roman" w:hAnsi="Times New Roman"/>
          <w:sz w:val="20"/>
          <w:u w:val="single"/>
        </w:rPr>
        <w:t>Computation of Interest and Fees.</w:t>
      </w:r>
      <w:r>
        <w:rPr>
          <w:rFonts w:ascii="Times New Roman" w:hAnsi="Times New Roman"/>
          <w:sz w:val="20"/>
        </w:rPr>
        <w:t xml:space="preserve"> (a) Interest and fees payable pursuant hereto shall be calculated on the basis of a 360-day year for the actual days elapsed, except that interest computed by reference to ABR at times when ABR is based on the Prime Rate shall be computed on the basis of a year of 365 days (or 366 days in a leap year), and shall be payable for the actual number of days elapsed. All interest hereunder on any Loan shall be computed on a daily basis based upon the outstanding principal amount of such Loan as of the applicable date of determination. The applicable ABR, Adjusted Term SOFR Rate, Term SOFR Rate, Adjusted Daily Simple SOFR Rate or Daily Simple SOFR shall be determined by the Administrative Agent, and such determination shall be conclusive absent manifest error. The Administrative Agent shall as soon as practicable notify the Company or relevant Subsidiary Borrower and the Lenders of each determination of the Term SOFR Rate and Adjusted Term SOFR Rate. Any change in the interest rate resulting from a change in the ABR shall become effective as of the opening of business on the day on which such change becomes effective. The Administrative Agent shall as soon as practicable notify the Company or relevant Subsidiary Borrower and the relevant Lenders of the effective date and the amount of each such change in interest rate. The Administrative Agent shall, at the request of the Company, or any Subsidiary Borrower, deliver to the Company or such Subsidiary Borrower a statement showing the quotations used by the Administrative Agent in determining any interest rate pursuant to this Section 2.17.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2.18 </w:t>
      </w:r>
      <w:r>
        <w:rPr>
          <w:rFonts w:ascii="Times New Roman" w:hAnsi="Times New Roman"/>
          <w:sz w:val="20"/>
          <w:u w:val="single"/>
        </w:rPr>
        <w:t>Alternate Rate of Interest.</w:t>
      </w:r>
      <w:r>
        <w:rPr>
          <w:rFonts w:ascii="Times New Roman" w:hAnsi="Times New Roman"/>
          <w:sz w:val="20"/>
        </w:rPr>
        <w:t xml:space="preserve"> (a) Subject to clauses (b), (c), (d), (e) and (f) of this Section 2.18, if: </w:t>
      </w:r>
    </w:p>
    <w:p>
      <w:pPr>
        <w:pStyle w:val="TextBody"/>
        <w:bidi w:val="0"/>
        <w:spacing w:before="240" w:after="0"/>
        <w:jc w:val="left"/>
        <w:rPr>
          <w:rFonts w:ascii="Times New Roman" w:hAnsi="Times New Roman"/>
          <w:sz w:val="20"/>
        </w:rPr>
      </w:pPr>
      <w:r>
        <w:rPr>
          <w:rFonts w:ascii="Times New Roman" w:hAnsi="Times New Roman"/>
          <w:sz w:val="20"/>
        </w:rPr>
        <w:t xml:space="preserve">(i) the Administrative Agent determines (which determination shall be conclusive absent manifest error) (A) prior to the commencement of any Interest Period for a Term Benchmark Borrowing, that adequate and reasonable means do not exist for ascertaining the Adjusted Term SOFR Rate or the Term SOFR Rate (including because the Term SOFR Reference Rate is not available or published on a current basis), for such Interest Period or (B) at any time, that adequate and reasonable means do not exist for ascertaining the applicable Adjusted Daily Simple SOFR or Daily Simple SOFR; or </w:t>
      </w:r>
    </w:p>
    <w:p>
      <w:pPr>
        <w:pStyle w:val="TextBody"/>
        <w:bidi w:val="0"/>
        <w:spacing w:before="240" w:after="0"/>
        <w:jc w:val="left"/>
        <w:rPr>
          <w:rFonts w:ascii="Times New Roman" w:hAnsi="Times New Roman"/>
          <w:sz w:val="20"/>
        </w:rPr>
      </w:pPr>
      <w:r>
        <w:rPr>
          <w:rFonts w:ascii="Times New Roman" w:hAnsi="Times New Roman"/>
          <w:sz w:val="20"/>
        </w:rPr>
        <w:t xml:space="preserve">(ii) the Administrative Agent is advised by the Required Lenders that (A) prior to the commencement of any Interest Period for a Term Benchmark Borrowing, the Adjusted Term SOFR Rate or the Term SOFR Rate for such Interest Period will not adequately and fairly reflect the cost to such Lenders of making or maintaining their Loans included in such Borrowing for such Interest Period or (B) at any time, Adjusted Daily Simple SOFR will not adequately and fairly reflect the cost to such Lenders (or Lender) of making or maintaining their Loans (or its Loan) included in such Borrowing; </w:t>
      </w:r>
    </w:p>
    <w:p>
      <w:pPr>
        <w:pStyle w:val="TextBody"/>
        <w:bidi w:val="0"/>
        <w:spacing w:before="240" w:after="0"/>
        <w:jc w:val="left"/>
        <w:rPr>
          <w:rFonts w:ascii="Times New Roman" w:hAnsi="Times New Roman"/>
          <w:sz w:val="20"/>
        </w:rPr>
      </w:pPr>
      <w:r>
        <w:rPr>
          <w:rFonts w:ascii="Times New Roman" w:hAnsi="Times New Roman"/>
          <w:sz w:val="20"/>
        </w:rPr>
        <w:t xml:space="preserve">then the Administrative Agent shall give notice thereof to the Company and any relevant Subsidiary Borrower and the Lenders by telephone, telecopy or electronic mail as promptly as practicable thereafter and, until (x) the Administrative Agent notifies the Company and any relevant Subsidiary Borrower and the Lenders that the circumstances giving rise to such notice no longer exist with respect to the relevant Benchmark and (y) the relevant Borrower delivers a new Interest Election Request in accordance with the terms of Section 2.14 or a new Borrowing Request in accordance with the terms of Section 2.2,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 Daily Simple SOFR Borrowing so long as the Adjusted Daily Simple SOFR is not also the subject of Section 2.18(a)(i) or (ii) above or (y) an ABR Borrowing if the Adjusted Daily Simple SOFR also is the subject of Section 2.18(a)(i) or (ii) above and (2) any Borrowing Request that requests a Daily Simple SOFR Borrowing shall instead be deemed to be a Borrowing Request for an ABR Borrowing; provided that if the circumstances giving rise to such notice affect only one Type of Borrowings, then all other Types of Borrowings shall be permitted. Furthermore, if any Term Benchmark Loan or Daily Simple SOFR Loan is outstanding on the date of the Companys receipt of the notice from the Administrative Agent referred to in this Section 2.18(a) with respect to a Relevant Rate applicable to such Term Benchmark Loan or Daily Simple SOFR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2.14 or a new Borrowing Request in accordance with the terms of Section 2.2, (1) any Term Benchmark Loan shall on the last day of the Interest Period applicable to such Loan (or the next succeeding Business Day if such day is not a Business Day), be converted by the Administrative Agent to, and shall constitute, (x) a Daily Simple SOFR Borrowing so long as the Adjusted Daily Simple SOFR is not also the subject of Section 2.18(a)(i) or (ii) above or (y) an ABR Loan if the Adjusted Daily Simple SOFR also is the subject of Section 2.18(a)(i) or (ii) above, on such day and (2) any Daily Simple SOFR Loan shall on and from such day be converted by the Administrative Agent to, and shall constitute an ABR Loan.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herein or in any other Loan Document, if a Benchmark Transition Event and its related Benchmark Replacement Date have occurred prior to the Reference Time in respect of any setting of the then-current Benchmark, then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w:t>
      </w:r>
    </w:p>
    <w:p>
      <w:pPr>
        <w:pStyle w:val="TextBody"/>
        <w:bidi w:val="0"/>
        <w:spacing w:before="240" w:after="0"/>
        <w:jc w:val="left"/>
        <w:rPr>
          <w:rFonts w:ascii="Times New Roman" w:hAnsi="Times New Roman"/>
          <w:sz w:val="20"/>
        </w:rPr>
      </w:pPr>
      <w:r>
        <w:rPr>
          <w:rFonts w:ascii="Times New Roman" w:hAnsi="Times New Roman"/>
          <w:sz w:val="20"/>
        </w:rPr>
        <w:t xml:space="preserve">(d) The Administrative Agent will promptly notify the Company and any relevant Subsidiary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2.18,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2.18.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 </w:t>
      </w:r>
    </w:p>
    <w:p>
      <w:pPr>
        <w:pStyle w:val="TextBody"/>
        <w:bidi w:val="0"/>
        <w:spacing w:before="240" w:after="0"/>
        <w:jc w:val="left"/>
        <w:rPr>
          <w:rFonts w:ascii="Times New Roman" w:hAnsi="Times New Roman"/>
          <w:sz w:val="20"/>
        </w:rPr>
      </w:pPr>
      <w:r>
        <w:rPr>
          <w:rFonts w:ascii="Times New Roman" w:hAnsi="Times New Roman"/>
          <w:sz w:val="20"/>
        </w:rPr>
        <w:t xml:space="preserve">(f) Upon the Companys and any relevant Subsidiary Borrowers receipt of notice of the commencement of a Benchmark Unavailability Period, the applicable Borrower may revoke any request for a Term Benchmark Borrowing or Daily Simple SOFR Borrowing of, or any request for the conversion to or continuation of Term Benchmark Loans to be made, converted or continued during any Benchmark Unavailability Period and, failing that, such Borrower will be deemed to have converted any request for (1) a Term Benchmark Borrowing into a request for a Borrowing of or conversion to (i) a Daily Simple SOFR Borrowing so long as the Adjusted Daily Simple SOFR is not the subject of a Benchmark Transition Event or (ii) an ABR Borrowing if the Adjusted Daily Simple SOFR is the subject of a Benchmark Transition Event and (2) a Daily Simple SOFR Borrowing into a request for a Borrowing of or conversion to an ABR Borrowing.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Daily Simple SOFR Loan is outstanding on the date of the Companys and any relevant Subsidiary Borrowers receipt of notice of the commencement of a Benchmark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Unavailability Period with respect to the Relevant Rate applicable to such Term Benchmark Loan or Daily Simple SOFR Loan, then until such time as a Benchmark Replacement is implemented pursuant to this Section 2.18, (1) any Term Benchmark Loan shall on the last day of the Interest Period applicable to such Loan (or the next succeeding Business Day if such day is not a Business Day), be converted by the Administrative Agent to, and shall constitute, (x) a Daily Simple SOFR Borrowing so long as the Adjusted Daily Simple SOFR is not the subject of a Benchmark Transition Event or (y) an ABR Loan if the Adjusted Daily Simple SOFR is the subject of a Benchmark Transition Event, on such day and (2) any Daily Simple SOFR Loan shall on and from such day be converted by the Administrative Agent to, and shall constitute, an ABR Loan. </w:t>
      </w:r>
    </w:p>
    <w:p>
      <w:pPr>
        <w:pStyle w:val="TextBody"/>
        <w:bidi w:val="0"/>
        <w:spacing w:before="240" w:after="0"/>
        <w:jc w:val="left"/>
        <w:rPr>
          <w:rFonts w:ascii="Times New Roman" w:hAnsi="Times New Roman"/>
          <w:sz w:val="20"/>
        </w:rPr>
      </w:pPr>
      <w:r>
        <w:rPr>
          <w:rFonts w:ascii="Times New Roman" w:hAnsi="Times New Roman"/>
          <w:sz w:val="20"/>
        </w:rPr>
        <w:t xml:space="preserve">2.19 </w:t>
      </w:r>
      <w:r>
        <w:rPr>
          <w:rFonts w:ascii="Times New Roman" w:hAnsi="Times New Roman"/>
          <w:sz w:val="20"/>
          <w:u w:val="single"/>
        </w:rPr>
        <w:t>Pro Rata Treatment and Payments; Evidence of Debt.</w:t>
      </w:r>
      <w:r>
        <w:rPr>
          <w:rFonts w:ascii="Times New Roman" w:hAnsi="Times New Roman"/>
          <w:sz w:val="20"/>
        </w:rPr>
        <w:t xml:space="preserve"> (a) Each borrowing of Loans under the Facility by the Company or any Subsidiary Borrower from the Lenders under the Facility, each payment by the Company or any Subsidiary Borrower on account of any Facility Fee and any reduction of the Commitments of the Lenders under the Facility shall be made </w:t>
      </w:r>
      <w:r>
        <w:rPr>
          <w:rFonts w:ascii="Times New Roman" w:hAnsi="Times New Roman"/>
          <w:sz w:val="20"/>
          <w:u w:val="single"/>
        </w:rPr>
        <w:t>pro rata</w:t>
      </w:r>
      <w:r>
        <w:rPr>
          <w:rFonts w:ascii="Times New Roman" w:hAnsi="Times New Roman"/>
          <w:sz w:val="20"/>
        </w:rPr>
        <w:t xml:space="preserve"> according to the respective Percentages under the Facility, of the relevant Lenders in the Facility except to the extent required or permitted pursuant to Sections 2.11, 2.24 and 2.25. </w:t>
      </w:r>
    </w:p>
    <w:p>
      <w:pPr>
        <w:pStyle w:val="TextBody"/>
        <w:bidi w:val="0"/>
        <w:spacing w:before="240" w:after="0"/>
        <w:jc w:val="left"/>
        <w:rPr>
          <w:rFonts w:ascii="Times New Roman" w:hAnsi="Times New Roman"/>
          <w:sz w:val="20"/>
        </w:rPr>
      </w:pPr>
      <w:r>
        <w:rPr>
          <w:rFonts w:ascii="Times New Roman" w:hAnsi="Times New Roman"/>
          <w:sz w:val="20"/>
        </w:rPr>
        <w:t xml:space="preserve">(b) Each payment (including each prepayment) by the Company or any Subsidiary Borrower on account of principal of and interest on the Loans under the Facility shall be made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to the Lenders under the Facility according to the respective outstanding principal amounts of the Loans under the Facility then held by the Lenders under the Facility except to the extent required or permitted pursuant to Sections 2.11, 2.24 and 2.25. Each such payment shall be paid in Dollars. </w:t>
      </w:r>
    </w:p>
    <w:p>
      <w:pPr>
        <w:pStyle w:val="TextBody"/>
        <w:bidi w:val="0"/>
        <w:spacing w:before="240" w:after="0"/>
        <w:jc w:val="left"/>
        <w:rPr>
          <w:rFonts w:ascii="Times New Roman" w:hAnsi="Times New Roman"/>
          <w:sz w:val="20"/>
        </w:rPr>
      </w:pPr>
      <w:r>
        <w:rPr>
          <w:rFonts w:ascii="Times New Roman" w:hAnsi="Times New Roman"/>
          <w:sz w:val="20"/>
        </w:rPr>
        <w:t xml:space="preserve">(c) All payments (including prepayments) to be made by the Company or any Subsidiary Borrower hereunder, whether on account of principal, interest, fees or otherwise, shall be made without setoff or counterclaim and shall be made prior to 3:00 P.M., New York time, on the due date thereof to the Administrative Agent, for the account of the applicable Lenders, at the Funding Office, in Dollars and in immediately available funds. The Administrative Agent shall distribute such payments to the applicable Lenders promptly upon receipt in like funds as received. If any payment hereunder becomes due and payable on a day other than a Business Day, such payment shall be extended to the next succeeding Business Day, except as otherwise provided with respect to the payment of interest at the expiration of an Interest Period for a Term Benchmark Loan as provided in the proviso to the definition of Interest Period.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 </w:t>
      </w:r>
    </w:p>
    <w:p>
      <w:pPr>
        <w:pStyle w:val="TextBody"/>
        <w:bidi w:val="0"/>
        <w:spacing w:before="240" w:after="0"/>
        <w:jc w:val="left"/>
        <w:rPr>
          <w:rFonts w:ascii="Times New Roman" w:hAnsi="Times New Roman"/>
          <w:sz w:val="20"/>
        </w:rPr>
      </w:pPr>
      <w:r>
        <w:rPr>
          <w:rFonts w:ascii="Times New Roman" w:hAnsi="Times New Roman"/>
          <w:sz w:val="20"/>
        </w:rPr>
        <w:t xml:space="preserve">(d) 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Company or any Subsidiary Borrower a corresponding amount. If such amount is not made available to the Administrative Agent by the required time on the Borrowing Date therefor, such Lender shall pay to the Administrative Agent, on demand, such amount with interest thereon, at a rate up to the greater of (i) the Federal Funds Effective Rate and (ii) a rate reasonably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at the rate per annum applicable to ABR Loans under the Facility, on demand, from the Company or the relevant Subsidiary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Unless the Administrative Agent shall have been notified in writing by the Company or relevant Subsidiary Borrower prior to the date of any payment due to be made by the Company or such Subsidiary Borrower under the Facility that the Company or such Subsidiary Borrower will not make such payment to the Administrative Agent, the Administrative Agent may assume that the Company or such Subsidiary Borrower is making such payment, and the Administrative Agent may, but shall not be required to, in reliance upon such assumption, make available to the Lenders under the Facility their respective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shares of a corresponding amount. If such payment is not made to the Administrative Agent by the Company or relevant Subsidiary Borrower within three Business Days after such due date, the Administrative Agent shall be entitled to recover, on demand, from each such Lender to which any amount was made available pursuant to the preceding sentence, such amount with interest thereon at the rate per annum equal to the daily average Federal Funds Effective Rate. Nothing herein shall be deemed to limit the rights of the Administrative Agent or any Lender against the Company or any Subsidiary Borrower. </w:t>
      </w:r>
    </w:p>
    <w:p>
      <w:pPr>
        <w:pStyle w:val="TextBody"/>
        <w:bidi w:val="0"/>
        <w:spacing w:before="240" w:after="0"/>
        <w:jc w:val="left"/>
        <w:rPr>
          <w:rFonts w:ascii="Times New Roman" w:hAnsi="Times New Roman"/>
          <w:sz w:val="20"/>
        </w:rPr>
      </w:pPr>
      <w:r>
        <w:rPr>
          <w:rFonts w:ascii="Times New Roman" w:hAnsi="Times New Roman"/>
          <w:sz w:val="20"/>
        </w:rPr>
        <w:t xml:space="preserve">(f) 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2.19(a) and (b) (applied as if such payments were made by the Company) and Section 10.7. </w:t>
      </w:r>
    </w:p>
    <w:p>
      <w:pPr>
        <w:pStyle w:val="TextBody"/>
        <w:bidi w:val="0"/>
        <w:spacing w:before="240" w:after="0"/>
        <w:jc w:val="left"/>
        <w:rPr>
          <w:rFonts w:ascii="Times New Roman" w:hAnsi="Times New Roman"/>
          <w:sz w:val="20"/>
        </w:rPr>
      </w:pPr>
      <w:r>
        <w:rPr>
          <w:rFonts w:ascii="Times New Roman" w:hAnsi="Times New Roman"/>
          <w:sz w:val="20"/>
        </w:rPr>
        <w:t>(g) Each of the Company and the Subsidiary Borrowers agrees that, upon the request to the Administrative Agent by any Lender, the Company or the applicable Subsidiary Borrower shall promptly execute and deliver to such Lender a promissory note of the Company and/or such Subsidiary Borrower evidencing the Loans of such Lender, substantially in the forms of Exhibit K (a </w:t>
      </w:r>
      <w:r>
        <w:rPr>
          <w:rFonts w:ascii="Times New Roman" w:hAnsi="Times New Roman"/>
          <w:sz w:val="20"/>
          <w:u w:val="single"/>
        </w:rPr>
        <w:t>Note</w:t>
      </w:r>
      <w:r>
        <w:rPr>
          <w:rFonts w:ascii="Times New Roman" w:hAnsi="Times New Roman"/>
          <w:sz w:val="20"/>
        </w:rPr>
        <w:t xml:space="preserve">), with appropriate insertions as to date and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2.20 </w:t>
      </w:r>
      <w:r>
        <w:rPr>
          <w:rFonts w:ascii="Times New Roman" w:hAnsi="Times New Roman"/>
          <w:sz w:val="20"/>
          <w:u w:val="single"/>
        </w:rPr>
        <w:t>Requirements of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any Change in Law shall: </w:t>
      </w:r>
    </w:p>
    <w:p>
      <w:pPr>
        <w:pStyle w:val="TextBody"/>
        <w:bidi w:val="0"/>
        <w:spacing w:before="240" w:after="0"/>
        <w:jc w:val="left"/>
        <w:rPr>
          <w:rFonts w:ascii="Times New Roman" w:hAnsi="Times New Roman"/>
          <w:sz w:val="20"/>
        </w:rPr>
      </w:pPr>
      <w:r>
        <w:rPr>
          <w:rFonts w:ascii="Times New Roman" w:hAnsi="Times New Roman"/>
          <w:sz w:val="20"/>
        </w:rPr>
        <w:t xml:space="preserve">(i)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Adjusted Term SOFR Rate; or </w:t>
      </w:r>
    </w:p>
    <w:p>
      <w:pPr>
        <w:pStyle w:val="TextBody"/>
        <w:bidi w:val="0"/>
        <w:spacing w:before="240" w:after="0"/>
        <w:jc w:val="left"/>
        <w:rPr>
          <w:rFonts w:ascii="Times New Roman" w:hAnsi="Times New Roman"/>
          <w:sz w:val="20"/>
        </w:rPr>
      </w:pPr>
      <w:r>
        <w:rPr>
          <w:rFonts w:ascii="Times New Roman" w:hAnsi="Times New Roman"/>
          <w:sz w:val="20"/>
        </w:rPr>
        <w:t xml:space="preserve">(ii) impose on such Lender or any interbank market any other condition;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is to increase the cost to the Administrative Agent or such Lender (or its affiliate, as the case may be), by an amount that the Administrative Agent or such Lender reasonably deems material, of making, converting into, continuing or maintaining Term Benchmark Loans or to reduce any amount receivable hereunder in respect thereof, then, in any such case, the Company and any relevant Subsidiary Borrower shall pay the Administrative Agent or such Lender, within 15 Business Days of receipt of notice from the Administrative Agent or the relevant Lender as described below, any additional amounts necessary to compensate the Administrative Agent or such Lender for such increased cost or reduced amount receivable (it being understood that the provisions set forth in this Section 2.20(a) are not intended to derogate from the Companys rights provided in Section 2.23 and Section 2.24). If the Administrative Agent or any Lender becomes entitled to claim any additional amounts pursuant to this paragraph, it shall promptly notify the Company or the relevant Subsidiary Borrower (with a copy to the Administrative Agent) of the event by reason of which it has become so entitled (including a reasonably detailed calculation of such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any Lender shall have determined that any Change in Law regarding capital or liquidity requirements has or would have the effect of reducing the rate of return on such Lenders or an entity controlling such Lenders capital as a consequence of its obligations hereunder to a level below that which such Lender or such entity could have achieved but for such Change in Law (taking into consideration such Lenders or such entitys policies with respect to capital adequacy or liquidity) by an amount deemed by such Lender to be material, then from time to time, within 15 Business Days after submission by such Lender to the Company and any relevant Subsidiary Borrower (with a copy to the Administrative Agent) of a written request therefor (together with a reasonably detailed description and calculation of such amounts), the Company and any relevant Subsidiary Borrower shall pay to such Lender such additional amount or amounts as will compensate such Lender or such entity for such reduction (it being understood that the provisions set forth in this Section 2.20(b) are not intended to derogate from the Companys rights provided in Sections 2.23 and 2.24). </w:t>
      </w:r>
    </w:p>
    <w:p>
      <w:pPr>
        <w:pStyle w:val="TextBody"/>
        <w:bidi w:val="0"/>
        <w:spacing w:before="240" w:after="0"/>
        <w:jc w:val="left"/>
        <w:rPr>
          <w:rFonts w:ascii="Times New Roman" w:hAnsi="Times New Roman"/>
          <w:sz w:val="20"/>
        </w:rPr>
      </w:pPr>
      <w:r>
        <w:rPr>
          <w:rFonts w:ascii="Times New Roman" w:hAnsi="Times New Roman"/>
          <w:sz w:val="20"/>
        </w:rPr>
        <w:t>(c) A certificate as to any additional amounts payable pursuant to this Section 2.20 submitted by the Administrative Agent or any Lender to the Company and any relevant Subsidiary Borrower (with a copy to the Administrative Agent) shall be prima facie evidence of the amount owing in the absence of manifest error. Notwithstanding anything to the contrary in this Agreement, (i) neither the Administrative Agent nor any Lender shall be entitled to request any payment or amount under this Section 2.20 unless the Administrative Agent or such Lender is generally demanding payment (and certifies to the Company that it is generally demanding payment) under comparable provisions of its agreements with similarly situated borrowers of similar credit quality (</w:t>
      </w:r>
      <w:r>
        <w:rPr>
          <w:rFonts w:ascii="Times New Roman" w:hAnsi="Times New Roman"/>
          <w:sz w:val="20"/>
          <w:u w:val="single"/>
        </w:rPr>
        <w:t>provided</w:t>
      </w:r>
      <w:r>
        <w:rPr>
          <w:rFonts w:ascii="Times New Roman" w:hAnsi="Times New Roman"/>
          <w:sz w:val="20"/>
        </w:rPr>
        <w:t xml:space="preserve">, that the Administrative Agent shall not be under any obligation to verify any such request of a Lender) and (ii) the Company and any relevant Subsidiary Borrower shall not be required to compensate the Administrative Agent or a Lender pursuant to this Section 2.20 for any amounts incurred more than 90 days prior to the date that the Administrative Agent or such Lender notifies the Company or relevant Subsidiary Borrower of the Administrative Agents or such Lenders intention to claim compensation therefor; </w:t>
      </w:r>
      <w:r>
        <w:rPr>
          <w:rFonts w:ascii="Times New Roman" w:hAnsi="Times New Roman"/>
          <w:sz w:val="20"/>
          <w:u w:val="single"/>
        </w:rPr>
        <w:t>provided</w:t>
      </w:r>
      <w:r>
        <w:rPr>
          <w:rFonts w:ascii="Times New Roman" w:hAnsi="Times New Roman"/>
          <w:sz w:val="20"/>
        </w:rPr>
        <w:t xml:space="preserve">, that, if the circumstances giving rise to such claim have a retroactive effect, then such 90 day period shall be extended to include the period of such retroactive effect, but not more than 180 days prior to the date that such notice was received by the Company and the relevant Subsidiary Borrower, if any. The obligations of the Company and the Subsidiary Borrowers pursuant to this Section 2.20 shall survive the termination of this Agreement and the payment of the Loans and all interest thereon and fees payable hereunder. </w:t>
      </w:r>
    </w:p>
    <w:p>
      <w:pPr>
        <w:pStyle w:val="TextBody"/>
        <w:bidi w:val="0"/>
        <w:spacing w:before="240" w:after="0"/>
        <w:jc w:val="left"/>
        <w:rPr>
          <w:rFonts w:ascii="Times New Roman" w:hAnsi="Times New Roman"/>
          <w:sz w:val="20"/>
        </w:rPr>
      </w:pPr>
      <w:r>
        <w:rPr>
          <w:rFonts w:ascii="Times New Roman" w:hAnsi="Times New Roman"/>
          <w:sz w:val="20"/>
        </w:rPr>
        <w:t xml:space="preserve">2.21 </w:t>
      </w:r>
      <w:r>
        <w:rPr>
          <w:rFonts w:ascii="Times New Roman" w:hAnsi="Times New Roman"/>
          <w:sz w:val="20"/>
          <w:u w:val="single"/>
        </w:rPr>
        <w:t>Taxes.</w:t>
      </w:r>
      <w:r>
        <w:rPr>
          <w:rFonts w:ascii="Times New Roman" w:hAnsi="Times New Roman"/>
          <w:sz w:val="20"/>
        </w:rPr>
        <w:t xml:space="preserve"> (a) All payments made by or on behalf of any Loan Party under this Agreement or any other Loan Document shall be made free and clear of, and without deduction or withholding for or on account of, any present or future Taxes, except as required by law. If any Taxes are required to be deducted or withheld from any such amounts payable, as determined in good faith by the applicable withholding agent, the applicable withholding agent shall make such deductions or withholdings and shall pay the full amount deducted or withheld to the relevant Governmental Authority in accordance with applicable laws. If such Tax is an Indemnified Tax, the amounts so payable by the applicable Loan Party shall be increased to the extent necessary so that after such deduction or withholding has been made, the applicable Recipient receives an amount equal to the sum which would have been received had no such deduction or withholding been made. </w:t>
      </w:r>
    </w:p>
    <w:p>
      <w:pPr>
        <w:pStyle w:val="TextBody"/>
        <w:bidi w:val="0"/>
        <w:spacing w:before="240" w:after="0"/>
        <w:jc w:val="left"/>
        <w:rPr>
          <w:rFonts w:ascii="Times New Roman" w:hAnsi="Times New Roman"/>
          <w:sz w:val="20"/>
        </w:rPr>
      </w:pPr>
      <w:r>
        <w:rPr>
          <w:rFonts w:ascii="Times New Roman" w:hAnsi="Times New Roman"/>
          <w:sz w:val="20"/>
        </w:rPr>
        <w:t xml:space="preserve">(b) In addition, each Loan Party shall pay any Other Taxes over to the relevant Governmental Authority in accordance with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Whenever any Indemnified Taxes are payable by any Loan Party, as promptly as practicable thereafter such Loan Party shall send to the Administrative Agent for its own account or for the account of the relevant Lender, as the case may be, a certified copy of an original official receipt received by such Loan Party (or other evidence reasonably satisfactory to the Administrative Agent or the relevant Lender) showing payment thereof. If (i) any Loan Party fails to pay any Indemnified Taxes when due to the appropriate taxing authority, (ii) any Loan Party fails to remit to the Administrative Agent the required receipts or other required documentary evidence or (iii) any Indemnified Taxes are imposed directly upon the Administrative Agent or any Lender, the Loan Parties shall indemnify the Administrative Agent and the Lenders for such amount and any incremental taxes, interest, additions to tax, expenses or penalties that may become payable by the Administrative Agent or any Lender as a result of any such failure in the case of clauses (i) and (ii), or any such direct imposition in the case of clause (iii). The indemnification payment under this Section 2.21 shall be made within 30 days after the date the Administrative Agent makes a written demand therefor (together with a reasonably detailed calculation of such amounts). </w:t>
      </w:r>
    </w:p>
    <w:p>
      <w:pPr>
        <w:pStyle w:val="TextBody"/>
        <w:bidi w:val="0"/>
        <w:spacing w:before="240" w:after="0"/>
        <w:jc w:val="left"/>
        <w:rPr>
          <w:rFonts w:ascii="Times New Roman" w:hAnsi="Times New Roman"/>
          <w:sz w:val="20"/>
        </w:rPr>
      </w:pPr>
      <w:r>
        <w:rPr>
          <w:rFonts w:ascii="Times New Roman" w:hAnsi="Times New Roman"/>
          <w:sz w:val="20"/>
        </w:rPr>
        <w:t xml:space="preserve">(d) (i) 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(A), (B) and (D) of Section 2.21(d)(ii)) shall not be required if in the Lenders reasonable judgment such completion, execution or submission would subject such Lender to any material unreimbursed cost or expense or would materially prejudice the legal or commercial position of such Lender.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(A) Each Non-U.S. Lender shall deliver to the Company, any relevant Domestic Subsidiary Borrower and the Administrative Agent (or in the case of a Participant, to the Lender from which the related participation shall have been purchased) two copies of IRS Form W-8BEN, Form W-8BEN-E, Form W-8ECI or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I-1, Exhibit I-2, Exhibit I-3 or Exhibit I-4, as applicable, and the applicable IRS Form W-8, or any subsequent versions thereof or successors thereto, properly completed and duly executed by such Non-U.S. Lender claiming complete exemption from U.S. federal withholding tax on all payments by the Company under this Agreement and the other Loan Documents and </w:t>
      </w:r>
    </w:p>
    <w:p>
      <w:pPr>
        <w:pStyle w:val="TextBody"/>
        <w:bidi w:val="0"/>
        <w:spacing w:before="120" w:after="0"/>
        <w:jc w:val="left"/>
        <w:rPr>
          <w:rFonts w:ascii="Times New Roman" w:hAnsi="Times New Roman"/>
          <w:sz w:val="20"/>
        </w:rPr>
      </w:pPr>
      <w:r>
        <w:rPr>
          <w:rFonts w:ascii="Times New Roman" w:hAnsi="Times New Roman"/>
          <w:sz w:val="20"/>
        </w:rPr>
        <w:t xml:space="preserve">(B) Each Lender that is a U.S. Person shall deliver to the Company, any relevant Domestic Subsidiary Borrower and the Administrative Agent (or in the case of a Participant, to the Lender from which the related participation shall have been purchased) two properly completed and duly executed copies of IRS Form W-9 certifying that such Lender is exempt from U.S. federal backup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(C) Each Lender shall deliver to the Company, any relevant Domestic Subsidiary Borrower 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permit the Company, any relevant Domestic Subsidiary Borrower and the Administrative Agent to determine the withholding or deduction required to be made. Each Lender shall promptly notify the Company and any relevant Domestic Subsidiary Borrower at any time it determines that it is no longer in a position to provide any previously delivered certificate to the Company (and any other form of certification adopted by the U.S. taxing authorities for such purpose). </w:t>
      </w:r>
    </w:p>
    <w:p>
      <w:pPr>
        <w:pStyle w:val="TextBody"/>
        <w:bidi w:val="0"/>
        <w:spacing w:before="120" w:after="0"/>
        <w:jc w:val="left"/>
        <w:rPr>
          <w:rFonts w:ascii="Times New Roman" w:hAnsi="Times New Roman"/>
          <w:sz w:val="20"/>
        </w:rPr>
      </w:pPr>
      <w:r>
        <w:rPr>
          <w:rFonts w:ascii="Times New Roman" w:hAnsi="Times New Roman"/>
          <w:sz w:val="20"/>
        </w:rPr>
        <w:t xml:space="preserve">(D) In addition, if a payment made to a Lender under this Agreement or the other Loan Documents would be subject to U.S. federal withholding tax imposed by FATCA if such Lender fails to comply with the applicable reporting requirements of FATCA (including those contained in Sections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Section 2.21(d), FATCA shall include any amendments made to FATCA after the date of this Agreement. Notwithstanding any other provision of this Section 2.21, a Lender shall not be required to deliver any form pursuant to this Section 2.21 (other than clause (ii) of the first sentence of this paragraph) that such Lender is not legally able to deliver. </w:t>
      </w:r>
    </w:p>
    <w:p>
      <w:pPr>
        <w:pStyle w:val="TextBody"/>
        <w:bidi w:val="0"/>
        <w:spacing w:before="120" w:after="0"/>
        <w:jc w:val="left"/>
        <w:rPr>
          <w:rFonts w:ascii="Times New Roman" w:hAnsi="Times New Roman"/>
          <w:sz w:val="20"/>
        </w:rPr>
      </w:pPr>
      <w:r>
        <w:rPr>
          <w:rFonts w:ascii="Times New Roman" w:hAnsi="Times New Roman"/>
          <w:sz w:val="20"/>
        </w:rPr>
        <w:t xml:space="preserve">Such forms shall be delivered by each Lender on or before the date it becomes a party to this Agreement (or, in the case of any Participant, on or before the date such Participant purchases the related participation). Thereafter, each Lender shall, to the extent it is legally able to do so, deliver such forms promptly upon the obsolescence, inaccuracy or invalidity of any form previously delivered by such Lender at any other time prescribed by applicable law or as reasonably requested by the Company or any relevant Subsidiary Borrower. If any Commitment is reallocated in accordance with Section 2.11(b), then the relevant Lender (to whom such Commitment has been reallocated) shall deliver, on the effective date of such reallocation, all such forms that it is legally able to deliver. </w:t>
      </w:r>
    </w:p>
    <w:p>
      <w:pPr>
        <w:pStyle w:val="TextBody"/>
        <w:bidi w:val="0"/>
        <w:spacing w:before="240" w:after="0"/>
        <w:jc w:val="left"/>
        <w:rPr>
          <w:rFonts w:ascii="Times New Roman" w:hAnsi="Times New Roman"/>
          <w:sz w:val="20"/>
        </w:rPr>
      </w:pPr>
      <w:r>
        <w:rPr>
          <w:rFonts w:ascii="Times New Roman" w:hAnsi="Times New Roman"/>
          <w:sz w:val="20"/>
        </w:rPr>
        <w:t xml:space="preserve">(e) If the Administrative Agent, any Transferee or any Lender determines, in its sole good faith discretion, that it has received a refund of any Indemnified Taxes as to which it has been indemnified by any Loan Party or with respect to which a Loan Party has paid additional amounts pursuant to this Section 2.21, it shall pay over such refund to such Loan Party (but only to the extent of indemnity payments made, or additional amounts paid, by such Loan Party under this Section 2.21 with respect to the Indemnified Taxes giving rise to such refund), net of all out-of-pocket expenses of the Administrative Agent, such Transferee or such Lender and without interest (other than any interest paid by the relevant Governmental Authority with respect to such refund); provided, that such Loan Party, upon the request of the Administrative Agent, such Transferee or such Lender, agrees to repay the amount paid over to such Loan Party (plus any penalties, interest or other charges imposed by the relevant Governmental Authority) to the Administrative Agent, such Transferee or such Lender in the event the Administrative Agent, such Transferee or such Lender is required to repay such refund to such Governmental Authority. This paragraph shall not be construed to (i) interfere with the right of the Administrative Agent, any Transferee or any Lender to arrange its tax affairs in whatever manner it sees fit, (ii) obligate the Administrative Agent, any Transferee or any Lender to claim any tax refund, (iii) require the Administrative Agent, any Transferee or any Lender to make available its tax returns (or any other information relating to its taxes or any computation in respect thereof which it deems in its sole discretion to be confidential) to any Loan Party or any other Person, or (iv) require the Administrative Agent, any Transferee or any Lender to do anything that would in its sole discretion prejudice its ability to benefit from any other refunds, credits, reliefs, remissions or repayments to which it may be entitled.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Each Lender shall indemnify the Administrative Agent (to the extent not reimbursed by or on behalf of the Company if it is required to do so under Section 2.21(a) or 10.5 and without limiting the obligation of the Company under Section 2.21(a) or 10.5 to do so) for the full amount of any taxes, levies, imposts, duties, charges, fees, deductions, withholdings or similar charges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(g) Each Assignee shall be bound by this Section 2.21. </w:t>
      </w:r>
    </w:p>
    <w:p>
      <w:pPr>
        <w:pStyle w:val="TextBody"/>
        <w:bidi w:val="0"/>
        <w:spacing w:before="240" w:after="0"/>
        <w:jc w:val="left"/>
        <w:rPr>
          <w:rFonts w:ascii="Times New Roman" w:hAnsi="Times New Roman"/>
          <w:sz w:val="20"/>
        </w:rPr>
      </w:pPr>
      <w:r>
        <w:rPr>
          <w:rFonts w:ascii="Times New Roman" w:hAnsi="Times New Roman"/>
          <w:sz w:val="20"/>
        </w:rPr>
        <w:t xml:space="preserve">(h) The agreements in this Section 2.21 shall survive the resignation or replacement of the Administrative Agent or any assignment of rights by, or the replacement of, a Lender, the termination of the Commitments or this Agreement and the repayment, satisfaction or discharge of the Loans and all other amounts payable hereunder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2.22 </w:t>
      </w:r>
      <w:r>
        <w:rPr>
          <w:rFonts w:ascii="Times New Roman" w:hAnsi="Times New Roman"/>
          <w:sz w:val="20"/>
          <w:u w:val="single"/>
        </w:rPr>
        <w:t>Indemnity</w:t>
      </w:r>
      <w:r>
        <w:rPr>
          <w:rFonts w:ascii="Times New Roman" w:hAnsi="Times New Roman"/>
          <w:sz w:val="20"/>
        </w:rPr>
        <w:t xml:space="preserve">. The Company and each relevant Subsidiary Borrower agrees to indemnify each Lender for, and to hold each Lender harmless from, any actual loss or expense that such Lender may sustain or incur as a consequence of (a) default by the Company or relevant Subsidiary Borrower in making a borrowing of, conversion into or continuation of Term Benchmark Loans after the Company or such Subsidiary Borrower has given a notice requesting the same in accordance with the provisions of this Agreement, (b) default by the Company or relevant Subsidiary Borrower in making any prepayment of or conversion from Term Benchmark Loans after the Company or such Subsidiary Borrower has given a notice thereof in accordance with the provisions of this Agreement, (c) the making of a prepayment of Term Benchmark Loans (or the conversion of a Term Benchmark Loan into a Loan of a different Type) on a day that is not the last day of an Interest Period with respect thereto or (d) the assignment of any Term Benchmark Loan other than on the last day of an Interest Period therefor as a result of a request by the Company pursuant to Section 2.24. Such indemnification may include an amount up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market. </w:t>
      </w:r>
    </w:p>
    <w:p>
      <w:pPr>
        <w:pStyle w:val="TextBody"/>
        <w:bidi w:val="0"/>
        <w:spacing w:before="240" w:after="0"/>
        <w:jc w:val="left"/>
        <w:rPr>
          <w:rFonts w:ascii="Times New Roman" w:hAnsi="Times New Roman"/>
          <w:sz w:val="20"/>
        </w:rPr>
      </w:pPr>
      <w:r>
        <w:rPr>
          <w:rFonts w:ascii="Times New Roman" w:hAnsi="Times New Roman"/>
          <w:sz w:val="20"/>
        </w:rPr>
        <w:t xml:space="preserve">A certificate as to any amounts payable pursuant to this Section 2.22 submitted to the Company and the relevant Subsidiary Borrower, if any, by any Lender (together with a reasonably detailed calculation of such amounts) shall be prima facie evidence thereof and shall be payable within 30 days of receipt of any such notice. The agreements in this Section 2.22 shall survive the termination of this Agreement, the repayment of the Loans and all other amounts payable hereunder and the other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2.23 </w:t>
      </w:r>
      <w:r>
        <w:rPr>
          <w:rFonts w:ascii="Times New Roman" w:hAnsi="Times New Roman"/>
          <w:sz w:val="20"/>
          <w:u w:val="single"/>
        </w:rPr>
        <w:t>Change of Applicable Lending Office</w:t>
      </w:r>
      <w:r>
        <w:rPr>
          <w:rFonts w:ascii="Times New Roman" w:hAnsi="Times New Roman"/>
          <w:sz w:val="20"/>
        </w:rPr>
        <w:t xml:space="preserve">. Each Lender agrees that, upon the occurrence of any event giving rise to the operation of Section 2.20 or 2.21(a) with respect to such Lender or its Applicable Lending Office, as applicable, it will, if requested by the Company, use reasonable efforts (subject to overall policy considerations of such Lender) to designate another Applicable Lending Office for any Loans affected by such event with the object of avoiding or minimizing the consequences of such event; </w:t>
      </w:r>
      <w:r>
        <w:rPr>
          <w:rFonts w:ascii="Times New Roman" w:hAnsi="Times New Roman"/>
          <w:sz w:val="20"/>
          <w:u w:val="single"/>
        </w:rPr>
        <w:t>provided</w:t>
      </w:r>
      <w:r>
        <w:rPr>
          <w:rFonts w:ascii="Times New Roman" w:hAnsi="Times New Roman"/>
          <w:sz w:val="20"/>
        </w:rPr>
        <w:t xml:space="preserve">, that such designation is made on terms that, in the reasonable judgment of such Lender, do not cause such Lender and its lending office(s) to suffer any material economic, legal or regulatory disadvantage;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nothing in this Section 2.23 shall affect or postpone any of the obligations of the Company or the rights of any Lender pursuant to Section 2.20 or 2.21(a) </w:t>
      </w:r>
    </w:p>
    <w:p>
      <w:pPr>
        <w:pStyle w:val="TextBody"/>
        <w:bidi w:val="0"/>
        <w:spacing w:before="240" w:after="0"/>
        <w:jc w:val="left"/>
        <w:rPr>
          <w:rFonts w:ascii="Times New Roman" w:hAnsi="Times New Roman"/>
          <w:sz w:val="20"/>
        </w:rPr>
      </w:pPr>
      <w:r>
        <w:rPr>
          <w:rFonts w:ascii="Times New Roman" w:hAnsi="Times New Roman"/>
          <w:sz w:val="20"/>
        </w:rPr>
        <w:t xml:space="preserve">2.24 </w:t>
      </w:r>
      <w:r>
        <w:rPr>
          <w:rFonts w:ascii="Times New Roman" w:hAnsi="Times New Roman"/>
          <w:sz w:val="20"/>
          <w:u w:val="single"/>
        </w:rPr>
        <w:t>Replacement/Termination of Lenders</w:t>
      </w:r>
      <w:r>
        <w:rPr>
          <w:rFonts w:ascii="Times New Roman" w:hAnsi="Times New Roman"/>
          <w:sz w:val="20"/>
        </w:rPr>
        <w:t xml:space="preserve">. The Company shall be permitted to replace with a replacement financial institution or terminate the Commitments under the Facility and repay any outstanding Loans at par under the Facility (and any accrued interest and fees thereon) of a Defaulting Lender or any Lender that (i) requests reimbursement for amounts owing pursuant to Section 2.20 or 2.21(a), (ii) fails to give its consent for any amendment, consent or waiver requiring the consent of 100% of the Lenders or all affected Lenders under the Facility (and such Lender is an affected Lender) and for which the Required Lenders have consented or (iii) fails to give its consent to an extension of the Termination Date or the Converted Term Loan Maturity Date to which the Required Lenders have consented; </w:t>
      </w:r>
      <w:r>
        <w:rPr>
          <w:rFonts w:ascii="Times New Roman" w:hAnsi="Times New Roman"/>
          <w:sz w:val="20"/>
          <w:u w:val="single"/>
        </w:rPr>
        <w:t>provided</w:t>
      </w:r>
      <w:r>
        <w:rPr>
          <w:rFonts w:ascii="Times New Roman" w:hAnsi="Times New Roman"/>
          <w:sz w:val="20"/>
        </w:rPr>
        <w:t>, in each case, that (A) the replacement financial institution or the Company, as applicable, shall purchase or repay at par, all Loans owing to such replaced or terminated Lender on or prior to the date of replacement or termination, and shall pay all accrued interest and fees thereon to such date, (B) unless otherwise agreed, the Company shall be liable to such replaced or terminated Lender under Section 2.22 if any Term Benchmark Loan owing to such replaced Lender shall be purchased or repaid other than on the last day of the Interest Period relating thereto, (C) any replacement financial institution, if not a Lender, shall be reasonably satisfactory to the Administrative Agent and if a Lender, shall not constitute a Defaulting Lender, (D) any replaced Lender shall be obligated to make such replacement in accordance with the provisions of Section 10.6 (</w:t>
      </w:r>
      <w:r>
        <w:rPr>
          <w:rFonts w:ascii="Times New Roman" w:hAnsi="Times New Roman"/>
          <w:sz w:val="20"/>
          <w:u w:val="single"/>
        </w:rPr>
        <w:t>provided</w:t>
      </w:r>
      <w:r>
        <w:rPr>
          <w:rFonts w:ascii="Times New Roman" w:hAnsi="Times New Roman"/>
          <w:sz w:val="20"/>
        </w:rPr>
        <w:t xml:space="preserve">, that, unless otherwise agreed, the Company shall be obligated to pay the registration and processing fee referred to therein), (E) until such time as such replacement shall be consummated, the Company shall pay all additional amounts (if any) required pursuant to Section 2.20 or 2.21(a), as the case may be, and (F) any such replacement, termination and/or repayment shall not be deemed to be a waiver of any rights that the Company, any other Loan Party, the Administrative Agent or any other Lender shall have against the replaced Lender. Notwithstanding the foregoing, in the event that a Lender being replaced pursuant to this Section 2.24 shall not have executed an Assignment and Assumption requested by the 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 Section 10.6 without any action by any other party hereto (including the Administrative Agent), and the Administrative Agent shall record the same. </w:t>
      </w:r>
    </w:p>
    <w:p>
      <w:pPr>
        <w:pStyle w:val="TextBody"/>
        <w:bidi w:val="0"/>
        <w:spacing w:before="240" w:after="0"/>
        <w:jc w:val="left"/>
        <w:rPr>
          <w:rFonts w:ascii="Times New Roman" w:hAnsi="Times New Roman"/>
          <w:sz w:val="20"/>
        </w:rPr>
      </w:pPr>
      <w:r>
        <w:rPr>
          <w:rFonts w:ascii="Times New Roman" w:hAnsi="Times New Roman"/>
          <w:sz w:val="20"/>
        </w:rPr>
        <w:t xml:space="preserve">2.25 </w:t>
      </w:r>
      <w:r>
        <w:rPr>
          <w:rFonts w:ascii="Times New Roman" w:hAnsi="Times New Roman"/>
          <w:sz w:val="20"/>
          <w:u w:val="single"/>
        </w:rPr>
        <w:t>Defaulting Lender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provision of this Agreement to the contrary, if any Lender becomes a Defaulting Lender, then the following provisions shall apply for so long as such Lender is a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(a) Facility Fees, if any, shall cease to accrue on the unfunded Commitment of such Defaulting Lender pursuant to Section 2.10;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such Defaulting Lender and the Commitment and Extensions of Credit of such Defaulting Lender shall not be included in determining whether the Lenders, the Required Lenders or any directly affected Lender under the Facility have taken or may take any action hereunder (including any consent to any amendment, consent, waiver or other modification pursuant to Section 10.1); </w:t>
      </w:r>
      <w:r>
        <w:rPr>
          <w:rFonts w:ascii="Times New Roman" w:hAnsi="Times New Roman"/>
          <w:sz w:val="20"/>
          <w:u w:val="single"/>
        </w:rPr>
        <w:t>provided</w:t>
      </w:r>
      <w:r>
        <w:rPr>
          <w:rFonts w:ascii="Times New Roman" w:hAnsi="Times New Roman"/>
          <w:sz w:val="20"/>
        </w:rPr>
        <w:t xml:space="preserve">, that this clause (b) shall not apply in the case of an amendment, waiver or other modification that has the effect of (i) increasing the amount or extending the expiration date of all or any portion of such Defaulting Lenders Commitment or extending the final scheduled maturity date of any Loan held by such Defaulting Lender, (ii) forgiving or reducing any principal amount of any Loan owing to such Defaulting Lender, or (iii) reducing the stated rate of any interest or fees payable to such Defaulting Lender hereunder, or extending the scheduled date of any payment required hereunder (for the purpose of clarity, the foregoing clauses (i), (ii), and (iii) shall not include any waiver of a mandatory prepayment and shall not preclude a waiver of applicability of any post-default increases in interest rates). </w:t>
      </w:r>
    </w:p>
    <w:p>
      <w:pPr>
        <w:pStyle w:val="TextBody"/>
        <w:bidi w:val="0"/>
        <w:spacing w:before="240" w:after="0"/>
        <w:jc w:val="left"/>
        <w:rPr>
          <w:rFonts w:ascii="Times New Roman" w:hAnsi="Times New Roman"/>
          <w:sz w:val="20"/>
        </w:rPr>
      </w:pPr>
      <w:r>
        <w:rPr>
          <w:rFonts w:ascii="Times New Roman" w:hAnsi="Times New Roman"/>
          <w:sz w:val="20"/>
        </w:rPr>
        <w:t xml:space="preserve">2.26 </w:t>
      </w:r>
      <w:r>
        <w:rPr>
          <w:rFonts w:ascii="Times New Roman" w:hAnsi="Times New Roman"/>
          <w:sz w:val="20"/>
          <w:u w:val="single"/>
        </w:rPr>
        <w:t>Reallocation of Payments for the Account of Defaulting Lenders</w:t>
      </w:r>
      <w:r>
        <w:rPr>
          <w:rFonts w:ascii="Times New Roman" w:hAnsi="Times New Roman"/>
          <w:sz w:val="20"/>
        </w:rPr>
        <w:t xml:space="preserve">. Any payment of principal, interest, fees or other amounts received by the Administrative Agent for the account of any Defaulting Lender under the Facility (whether voluntary or mandatory, at or prior to maturity, or otherwise), shall be applied at such time or times as may be determined by the Administrative Agent as follows: </w:t>
      </w:r>
      <w:r>
        <w:rPr>
          <w:rFonts w:ascii="Times New Roman" w:hAnsi="Times New Roman"/>
          <w:sz w:val="20"/>
          <w:u w:val="single"/>
        </w:rPr>
        <w:t>first</w:t>
      </w:r>
      <w:r>
        <w:rPr>
          <w:rFonts w:ascii="Times New Roman" w:hAnsi="Times New Roman"/>
          <w:sz w:val="20"/>
        </w:rPr>
        <w:t>, to the payment of any amounts owing by such Defaulting Lender to the Administrative Agent hereunder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in accordance with the amounts owed by such Defaulting Lender to the Administrative Agent); </w:t>
      </w:r>
      <w:r>
        <w:rPr>
          <w:rFonts w:ascii="Times New Roman" w:hAnsi="Times New Roman"/>
          <w:sz w:val="20"/>
          <w:u w:val="single"/>
        </w:rPr>
        <w:t>second</w:t>
      </w:r>
      <w:r>
        <w:rPr>
          <w:rFonts w:ascii="Times New Roman" w:hAnsi="Times New Roman"/>
          <w:sz w:val="20"/>
        </w:rPr>
        <w:t xml:space="preserve">, as the Company may request (so long as no Event of Default has occurred and is continuing), to the funding of any Loan under the Facility in respect of which such Defaulting Lender has failed to fund its portion thereof as required by this Agreement, as determined by the Administrative Agent; </w:t>
      </w:r>
      <w:r>
        <w:rPr>
          <w:rFonts w:ascii="Times New Roman" w:hAnsi="Times New Roman"/>
          <w:sz w:val="20"/>
          <w:u w:val="single"/>
        </w:rPr>
        <w:t>third</w:t>
      </w:r>
      <w:r>
        <w:rPr>
          <w:rFonts w:ascii="Times New Roman" w:hAnsi="Times New Roman"/>
          <w:sz w:val="20"/>
        </w:rPr>
        <w:t xml:space="preserve">, if so determined by the Administrative Agent and the Company, to be held in an interest bearing deposit account and released from time to time in order to satisfy obligations of such Defaulting Lender to fund Loans under the Facility (it being understood and agreed that the accrued interest thereon shall be held as additional collateral for such obligations); </w:t>
      </w:r>
      <w:r>
        <w:rPr>
          <w:rFonts w:ascii="Times New Roman" w:hAnsi="Times New Roman"/>
          <w:sz w:val="20"/>
          <w:u w:val="single"/>
        </w:rPr>
        <w:t>fourth</w:t>
      </w:r>
      <w:r>
        <w:rPr>
          <w:rFonts w:ascii="Times New Roman" w:hAnsi="Times New Roman"/>
          <w:sz w:val="20"/>
        </w:rPr>
        <w:t xml:space="preserve">, to the payment of any amounts owing to the Lenders under the Facility as a result of any judgment of a court of competent jurisdiction obtained by any Lender against such Defaulting Lender as a result of such Defaulting Lenders breach of its obligations under this Agreement; </w:t>
      </w:r>
      <w:r>
        <w:rPr>
          <w:rFonts w:ascii="Times New Roman" w:hAnsi="Times New Roman"/>
          <w:sz w:val="20"/>
          <w:u w:val="single"/>
        </w:rPr>
        <w:t>fifth</w:t>
      </w:r>
      <w:r>
        <w:rPr>
          <w:rFonts w:ascii="Times New Roman" w:hAnsi="Times New Roman"/>
          <w:sz w:val="20"/>
        </w:rPr>
        <w:t xml:space="preserve">, to the payment of any amounts owing to a Loan Party as a result of any judgment of a court of competent jurisdiction obtained by such Loan Party against such Defaulting Lender as a result of such Defaulting Lenders breach of its obligations under this Agreement; and </w:t>
      </w:r>
      <w:r>
        <w:rPr>
          <w:rFonts w:ascii="Times New Roman" w:hAnsi="Times New Roman"/>
          <w:sz w:val="20"/>
          <w:u w:val="single"/>
        </w:rPr>
        <w:t>sixth</w:t>
      </w:r>
      <w:r>
        <w:rPr>
          <w:rFonts w:ascii="Times New Roman" w:hAnsi="Times New Roman"/>
          <w:sz w:val="20"/>
        </w:rPr>
        <w:t xml:space="preserve">, to such Defaulting Lender or as otherwise directed by a court of competent jurisdiction; </w:t>
      </w:r>
      <w:r>
        <w:rPr>
          <w:rFonts w:ascii="Times New Roman" w:hAnsi="Times New Roman"/>
          <w:sz w:val="20"/>
          <w:u w:val="single"/>
        </w:rPr>
        <w:t>provided</w:t>
      </w:r>
      <w:r>
        <w:rPr>
          <w:rFonts w:ascii="Times New Roman" w:hAnsi="Times New Roman"/>
          <w:sz w:val="20"/>
        </w:rPr>
        <w:t xml:space="preserve">, that if (x) such payment is a payment of the principal amount of any Loans in respect of which such Defaulting Lender has not fully funded its appropriate share and (y) such Loans were made at a time when the conditions set forth in Section 5.2 were satisfied or waived, such payment shall be applied solely to pay the Loans under the Facility of all non-Defaulting Lenders under the Facility on a </w:t>
      </w:r>
      <w:r>
        <w:rPr>
          <w:rFonts w:ascii="Times New Roman" w:hAnsi="Times New Roman"/>
          <w:sz w:val="20"/>
          <w:u w:val="single"/>
        </w:rPr>
        <w:t>pro rata</w:t>
      </w:r>
      <w:r>
        <w:rPr>
          <w:rFonts w:ascii="Times New Roman" w:hAnsi="Times New Roman"/>
          <w:sz w:val="20"/>
        </w:rPr>
        <w:t xml:space="preserve"> basis prior to being applied to the payment of any Loans of such Defaulting Lender. Any payments, prepayments or other amounts paid or payable to a Defaulting Lender that are applied (or held) to pay amounts owed by such Defaulting Lender pursuant to this Section 2.26 shall be deemed paid to and redirected by such Defaulting Lender, and each Lender under the Facility irrevocably consents hereto. </w:t>
      </w:r>
    </w:p>
    <w:p>
      <w:pPr>
        <w:pStyle w:val="TextBody"/>
        <w:bidi w:val="0"/>
        <w:spacing w:before="240" w:after="0"/>
        <w:jc w:val="left"/>
        <w:rPr>
          <w:rFonts w:ascii="Times New Roman" w:hAnsi="Times New Roman"/>
          <w:sz w:val="20"/>
        </w:rPr>
      </w:pPr>
      <w:r>
        <w:rPr>
          <w:rFonts w:ascii="Times New Roman" w:hAnsi="Times New Roman"/>
          <w:sz w:val="20"/>
        </w:rPr>
        <w:t xml:space="preserve">2.27 </w:t>
      </w:r>
      <w:r>
        <w:rPr>
          <w:rFonts w:ascii="Times New Roman" w:hAnsi="Times New Roman"/>
          <w:sz w:val="20"/>
          <w:u w:val="single"/>
        </w:rPr>
        <w:t>Incremental Commitments</w:t>
      </w:r>
      <w:r>
        <w:rPr>
          <w:rFonts w:ascii="Times New Roman" w:hAnsi="Times New Roman"/>
          <w:sz w:val="20"/>
        </w:rPr>
        <w:t>. (a) The Company may from time to time notify the Administrative Agent that certain of the Lenders designated by the Company and/or that additional lenders shall be added to this Agreement as Incremental Lenders with Commitments for the purpose of increasing the existing Commitments under the Facility (a </w:t>
      </w:r>
      <w:r>
        <w:rPr>
          <w:rFonts w:ascii="Times New Roman" w:hAnsi="Times New Roman"/>
          <w:sz w:val="20"/>
          <w:u w:val="single"/>
        </w:rPr>
        <w:t>Commitment Increase</w:t>
      </w:r>
      <w:r>
        <w:rPr>
          <w:rFonts w:ascii="Times New Roman" w:hAnsi="Times New Roman"/>
          <w:sz w:val="20"/>
        </w:rPr>
        <w:t xml:space="preserve">) by executing and delivering to the Administrative Agent an Incremental Loan Activation Notice signed by such Lenders or such additional lenders and specifying (i) the respective Incremental Commitments of such Incremental Lenders and (ii) the applicable Commitment Increase Date; </w:t>
      </w:r>
      <w:r>
        <w:rPr>
          <w:rFonts w:ascii="Times New Roman" w:hAnsi="Times New Roman"/>
          <w:sz w:val="20"/>
          <w:u w:val="single"/>
        </w:rPr>
        <w:t>provided</w:t>
      </w:r>
      <w:r>
        <w:rPr>
          <w:rFonts w:ascii="Times New Roman" w:hAnsi="Times New Roman"/>
          <w:sz w:val="20"/>
        </w:rPr>
        <w:t xml:space="preserve">, that after giving effect to such Commitment Increase (including the incurrence of any Incremental Loans on the applicable Commitment Increase Date and use of proceeds thereof) (x) no Default or Event of Default shall be continuing and (y) the sum of the Total Commitments then in effect (including, for the avoidance of doubt, Incremental Commitments) shall not exceed $2 billion.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Each Incremental Lender that is a signatory to an Incremental Loan Activation Notice severally agrees, on the terms and conditions of this Agreement, to make revolving credit loans (each, an </w:t>
      </w:r>
      <w:r>
        <w:rPr>
          <w:rFonts w:ascii="Times New Roman" w:hAnsi="Times New Roman"/>
          <w:sz w:val="20"/>
          <w:u w:val="single"/>
        </w:rPr>
        <w:t>Incremental Loan</w:t>
      </w:r>
      <w:r>
        <w:rPr>
          <w:rFonts w:ascii="Times New Roman" w:hAnsi="Times New Roman"/>
          <w:sz w:val="20"/>
        </w:rPr>
        <w:t xml:space="preserve">) to the Company and/or the applicable Subsidiary Borrowers from time to time on or after the Commitment Increase Date specified in such Incremental Loan Activation Notice in an aggregate principal amount outstanding at any time up to but not exceeding the amount of the Incremental Commitment of such Incremental Lender specified in such Incremental Loan Activation Notice, subject to the terms of this Agreement and the applicable Incremental Loan Activation Notice. Nothing in this </w:t>
      </w:r>
      <w:r>
        <w:rPr>
          <w:rFonts w:ascii="Times New Roman" w:hAnsi="Times New Roman"/>
          <w:sz w:val="20"/>
          <w:u w:val="single"/>
        </w:rPr>
        <w:t>Section 2.27</w:t>
      </w:r>
      <w:r>
        <w:rPr>
          <w:rFonts w:ascii="Times New Roman" w:hAnsi="Times New Roman"/>
          <w:sz w:val="20"/>
        </w:rPr>
        <w:t xml:space="preserve"> shall be construed to obligate any Lender to execute an Incremental Loan Activation Notice. </w:t>
      </w:r>
    </w:p>
    <w:p>
      <w:pPr>
        <w:pStyle w:val="TextBody"/>
        <w:bidi w:val="0"/>
        <w:spacing w:before="240" w:after="0"/>
        <w:jc w:val="left"/>
        <w:rPr>
          <w:rFonts w:ascii="Times New Roman" w:hAnsi="Times New Roman"/>
          <w:sz w:val="20"/>
        </w:rPr>
      </w:pPr>
      <w:r>
        <w:rPr>
          <w:rFonts w:ascii="Times New Roman" w:hAnsi="Times New Roman"/>
          <w:sz w:val="20"/>
        </w:rPr>
        <w:t xml:space="preserve">(c) On any Commitment Increase Date, in the event any Loans under the Facility are then outstanding, (i) each relevant Incremental Lender shall make available to the Administrative Agent such amounts in immediately available funds as the Administrative Agent shall determine are necessary in order to cause, after giving effect to such increased Commitments and the application of such amounts to prepay Loans under the Facility of other relevant Lenders, the Loans under the Facility to be held ratably by all Lenders with Commitments in the Facility in accordance with such Commitments after giving effect to such increase, (ii) the Company and any relevant Subsidiary Borrower shall be deemed to have prepaid and reborrowed all outstanding Loans under this Agreement and (iii) the Company and any relevant Subsidiary Borrower shall pay to the relevant Lenders the amounts, if any, payable under Section 2.22 as a result of such prepayment. </w:t>
      </w:r>
    </w:p>
    <w:p>
      <w:pPr>
        <w:pStyle w:val="TextBody"/>
        <w:bidi w:val="0"/>
        <w:spacing w:before="240" w:after="0"/>
        <w:jc w:val="left"/>
        <w:rPr>
          <w:rFonts w:ascii="Times New Roman" w:hAnsi="Times New Roman"/>
          <w:sz w:val="20"/>
        </w:rPr>
      </w:pPr>
      <w:r>
        <w:rPr>
          <w:rFonts w:ascii="Times New Roman" w:hAnsi="Times New Roman"/>
          <w:sz w:val="20"/>
        </w:rPr>
        <w:t xml:space="preserve">2.28 </w:t>
      </w:r>
      <w:r>
        <w:rPr>
          <w:rFonts w:ascii="Times New Roman" w:hAnsi="Times New Roman"/>
          <w:sz w:val="20"/>
          <w:u w:val="single"/>
        </w:rPr>
        <w:t>Term Loan Conversion; Repayment of Converted Term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 the event that there are any Loans outstanding on the Termination Date, at the option of the applicable Borrower or the Company, all or a portion of such Loans may be converted to term loans (each, a </w:t>
      </w:r>
      <w:r>
        <w:rPr>
          <w:rFonts w:ascii="Times New Roman" w:hAnsi="Times New Roman"/>
          <w:sz w:val="20"/>
          <w:u w:val="single"/>
        </w:rPr>
        <w:t>Converted Term Loan</w:t>
      </w:r>
      <w:r>
        <w:rPr>
          <w:rFonts w:ascii="Times New Roman" w:hAnsi="Times New Roman"/>
          <w:sz w:val="20"/>
        </w:rPr>
        <w:t xml:space="preserve">) on such date and the Commitments shall automatically terminate. Upon the conversion of such Loans to Converted Term Loans, (i) each Borrowers obligations in respect of such Loans shall remain in effect except as otherwise expressly provided for herein and (ii) each Lender shall be deemed to hold its applicable Percentage (determined immediately prior to giving effect to the Termination Date) of each of the Converted Term Loans; </w:t>
      </w:r>
      <w:r>
        <w:rPr>
          <w:rFonts w:ascii="Times New Roman" w:hAnsi="Times New Roman"/>
          <w:sz w:val="20"/>
          <w:u w:val="single"/>
        </w:rPr>
        <w:t>provided</w:t>
      </w:r>
      <w:r>
        <w:rPr>
          <w:rFonts w:ascii="Times New Roman" w:hAnsi="Times New Roman"/>
          <w:sz w:val="20"/>
        </w:rPr>
        <w:t xml:space="preserve"> (i) that immediately before and after giving effect to such conversion each of the representations and warranties made by the Company in or pursuant to the Loan Documents shall be true and correct in all material respects on and as of such date of conversion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 such earlier date), (ii) that immediately before and after giving effect to such conversion no Default or Event of Default shall have occurred and be continuing and (iii) the applicable Borrower or the Company shall have paid a fee to the Administrative Agent, for the account of each Lender holding Converted Term Loans, in an amount equal to 1.00% of aggregate principal amount of such Converted Term Loans held by such Lender. </w:t>
      </w:r>
    </w:p>
    <w:p>
      <w:pPr>
        <w:pStyle w:val="TextBody"/>
        <w:bidi w:val="0"/>
        <w:spacing w:before="240" w:after="0"/>
        <w:jc w:val="left"/>
        <w:rPr>
          <w:rFonts w:ascii="Times New Roman" w:hAnsi="Times New Roman"/>
          <w:sz w:val="20"/>
        </w:rPr>
      </w:pPr>
      <w:r>
        <w:rPr>
          <w:rFonts w:ascii="Times New Roman" w:hAnsi="Times New Roman"/>
          <w:sz w:val="20"/>
        </w:rPr>
        <w:t xml:space="preserve">(b) Each Converted Term Loan shall continue to bear interest at the same rate as, and contain such other terms that are identical to, the Loan from which such Converted Term Loan was converted (including, in the case of a Converted Term Loan that was converted from a Loan that was a Term Benchmark Loan at the time of conversion, the same Interest Period applicable to such Loan at the time of conversion) and each reference herein to Loans shall be deemed to be a reference to Converted Term Loans as appropriate; </w:t>
      </w:r>
      <w:r>
        <w:rPr>
          <w:rFonts w:ascii="Times New Roman" w:hAnsi="Times New Roman"/>
          <w:sz w:val="20"/>
          <w:u w:val="single"/>
        </w:rPr>
        <w:t>provided</w:t>
      </w:r>
      <w:r>
        <w:rPr>
          <w:rFonts w:ascii="Times New Roman" w:hAnsi="Times New Roman"/>
          <w:sz w:val="20"/>
        </w:rPr>
        <w:t xml:space="preserve">, however that amounts paid or prepaid in respect of Converted Term Loans may not be reborrowed. To the extent not previously paid, all Converted Term Loans shall be due and payable on the Converted Term Loan Maturity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SECTION 3. [RESERVED] </w:t>
      </w:r>
    </w:p>
    <w:p>
      <w:pPr>
        <w:pStyle w:val="TextBody"/>
        <w:bidi w:val="0"/>
        <w:spacing w:before="240" w:after="0"/>
        <w:jc w:val="center"/>
        <w:rPr>
          <w:rFonts w:ascii="Times New Roman" w:hAnsi="Times New Roman"/>
          <w:sz w:val="20"/>
        </w:rPr>
      </w:pPr>
      <w:r>
        <w:rPr>
          <w:rFonts w:ascii="Times New Roman" w:hAnsi="Times New Roman"/>
          <w:sz w:val="20"/>
        </w:rPr>
        <w:t xml:space="preserve">SECTION 4. 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To induce the Lenders to enter into this Agreement and to make the Loans the Company hereby represents and warrants to each Lender that: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Financial Condition</w:t>
      </w:r>
      <w:r>
        <w:rPr>
          <w:rFonts w:ascii="Times New Roman" w:hAnsi="Times New Roman"/>
          <w:sz w:val="20"/>
        </w:rPr>
        <w:t>. The consolidated financial statements of the Company included in its Annual Report on Form 10-K, for the twelve-month period ended December 31, 2023 (the </w:t>
      </w:r>
      <w:r>
        <w:rPr>
          <w:rFonts w:ascii="Times New Roman" w:hAnsi="Times New Roman"/>
          <w:sz w:val="20"/>
          <w:u w:val="single"/>
        </w:rPr>
        <w:t>2023 10-K</w:t>
      </w:r>
      <w:r>
        <w:rPr>
          <w:rFonts w:ascii="Times New Roman" w:hAnsi="Times New Roman"/>
          <w:sz w:val="20"/>
        </w:rPr>
        <w:t xml:space="preserve">) as most recently updated or amended on or before the Closing Date and filed with the SEC, present fairly, in all material respects, in accordance with GAAP, the financial condition and results of operations of the Company and its Subsidiaries as of, and for, the twelve-month period ended on December 31, 2023; </w:t>
      </w:r>
      <w:r>
        <w:rPr>
          <w:rFonts w:ascii="Times New Roman" w:hAnsi="Times New Roman"/>
          <w:sz w:val="20"/>
          <w:u w:val="single"/>
        </w:rPr>
        <w:t>provided</w:t>
      </w:r>
      <w:r>
        <w:rPr>
          <w:rFonts w:ascii="Times New Roman" w:hAnsi="Times New Roman"/>
          <w:sz w:val="20"/>
        </w:rPr>
        <w:t xml:space="preserve">, that the foregoing representation shall not be deemed to have been incorrect if, in the event of a subsequent restatement of such financial statements, the changes reflected in such restatement(s) do not reflect a change in the financial condition or results of operation of the Company and its Subsidiaries, taken as a whole, which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No Change</w:t>
      </w:r>
      <w:r>
        <w:rPr>
          <w:rFonts w:ascii="Times New Roman" w:hAnsi="Times New Roman"/>
          <w:sz w:val="20"/>
        </w:rPr>
        <w:t xml:space="preserve">. Between the date of the financial statements included in the 2023 10-K and the Closing Date, there has been no development or event which has had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Existence</w:t>
      </w:r>
      <w:r>
        <w:rPr>
          <w:rFonts w:ascii="Times New Roman" w:hAnsi="Times New Roman"/>
          <w:sz w:val="20"/>
        </w:rPr>
        <w:t xml:space="preserve">. Each Loan Party (a) is duly organized, validly existing and in good standing under the laws of its jurisdiction of organization, (b) has the power and authority to conduct the business in which it is currently engaged and (c) is duly qualified and in good standing in each jurisdiction where it is required to be so qualified and in good standing, except to the extent all failures with respect to the foregoing clauses (a), (b) and (c) would not,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Power; Authorization; Enforceable Obligations</w:t>
      </w:r>
      <w:r>
        <w:rPr>
          <w:rFonts w:ascii="Times New Roman" w:hAnsi="Times New Roman"/>
          <w:sz w:val="20"/>
        </w:rPr>
        <w:t xml:space="preserve">. Each Loan Party (a) has the requisite organizational power and authority to execute, deliver and perform its obligations under each Loan Document to which it is a party, (b) has taken all necessary corporate or other organizational action to authorize the execution, delivery and performance thereof, (c) has duly executed and delivered each Loan Document to which it is a party and (d) each such Loan Document constitutes a legal, valid and 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No Legal Bar</w:t>
      </w:r>
      <w:r>
        <w:rPr>
          <w:rFonts w:ascii="Times New Roman" w:hAnsi="Times New Roman"/>
          <w:sz w:val="20"/>
        </w:rPr>
        <w:t xml:space="preserve">. The execution, delivery and performance of this Agreement and the other Loan Documents by each Loan Party that is party to such documents,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would not,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Litigation</w:t>
      </w:r>
      <w:r>
        <w:rPr>
          <w:rFonts w:ascii="Times New Roman" w:hAnsi="Times New Roman"/>
          <w:sz w:val="20"/>
        </w:rPr>
        <w:t xml:space="preserve">. Except as set forth on Schedule 4.6 and except as set forth in the 2023 10-K or on any Current Report on Form 8-K of the Company filed with the SEC after December 31, 2023 and prior to the Closing Date, no litigation, investigation, proceeding or arbitration is pending, or to the best of the Companys knowledge, is threatened against the Company or any Loan Party as of the Closing Date that would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No Default</w:t>
      </w:r>
      <w:r>
        <w:rPr>
          <w:rFonts w:ascii="Times New Roman" w:hAnsi="Times New Roman"/>
          <w:sz w:val="20"/>
        </w:rPr>
        <w:t xml:space="preserve">. As of the Closing Date no Default or Event of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Ownership of Property</w:t>
      </w:r>
      <w:r>
        <w:rPr>
          <w:rFonts w:ascii="Times New Roman" w:hAnsi="Times New Roman"/>
          <w:sz w:val="20"/>
        </w:rPr>
        <w:t xml:space="preserve">. As of the Closing Date, the Company and each Principal Domestic Subsidiary, as applicable, has good title to, or a valid leasehold interest in, all of its other property then owned or leased by it; </w:t>
      </w:r>
      <w:r>
        <w:rPr>
          <w:rFonts w:ascii="Times New Roman" w:hAnsi="Times New Roman"/>
          <w:sz w:val="20"/>
          <w:u w:val="single"/>
        </w:rPr>
        <w:t>provided</w:t>
      </w:r>
      <w:r>
        <w:rPr>
          <w:rFonts w:ascii="Times New Roman" w:hAnsi="Times New Roman"/>
          <w:sz w:val="20"/>
        </w:rPr>
        <w:t xml:space="preserve">, that the foregoing representation shall not be deemed to have been incorrect, (a) if any such property (inclusive, in the case of any such real property, of associated machinery and equipment installed in such property) with respect to which the Company or a Principal Domestic Subsidiary cannot make such representation has a Net Book Value of less than $500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Intellectual Property</w:t>
      </w:r>
      <w:r>
        <w:rPr>
          <w:rFonts w:ascii="Times New Roman" w:hAnsi="Times New Roman"/>
          <w:sz w:val="20"/>
        </w:rPr>
        <w:t xml:space="preserve">. As of the Closing Date, the Company and each Principal Domestic Subsidiary own, or are licensed to use, all United States Intellectual Property necessary for the operation of their respective businesses as currently conducted and as proposed to be conducted, except where the failure to own or be licensed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Federal Regulations</w:t>
      </w:r>
      <w:r>
        <w:rPr>
          <w:rFonts w:ascii="Times New Roman" w:hAnsi="Times New Roman"/>
          <w:sz w:val="20"/>
        </w:rPr>
        <w:t xml:space="preserve">. No part of the proceeds of any Loans, and no other extensions of credit hereunder, will be used for any purpose that violates the provisions of Regulation T, U or X of the Board.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ERISA</w:t>
      </w:r>
      <w:r>
        <w:rPr>
          <w:rFonts w:ascii="Times New Roman" w:hAnsi="Times New Roman"/>
          <w:sz w:val="20"/>
        </w:rPr>
        <w:t xml:space="preserve">. No ERISA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Investment Company Act</w:t>
      </w:r>
      <w:r>
        <w:rPr>
          <w:rFonts w:ascii="Times New Roman" w:hAnsi="Times New Roman"/>
          <w:sz w:val="20"/>
        </w:rPr>
        <w:t xml:space="preserve">. No Loan Party is an investment company, or a company controlled by an investment company, registered or required to be registered as such under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Ownership of the Subsidiary Borrowers</w:t>
      </w:r>
      <w:r>
        <w:rPr>
          <w:rFonts w:ascii="Times New Roman" w:hAnsi="Times New Roman"/>
          <w:sz w:val="20"/>
        </w:rPr>
        <w:t xml:space="preserve">. As of the Closing Date, each Subsidiary Borrower is a direct or indirect wholly-owned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Use of Proceeds</w:t>
      </w:r>
      <w:r>
        <w:rPr>
          <w:rFonts w:ascii="Times New Roman" w:hAnsi="Times New Roman"/>
          <w:sz w:val="20"/>
        </w:rPr>
        <w:t xml:space="preserve">. The proceeds of the Loans shall be used to finance the working capital needs of the Company and its Subsidiaries and for general corporate or entity purposes, including to enable the Company to make valuable transfers to any of its Subsidiaries in connection with the operation of their respective businesses. </w:t>
      </w:r>
    </w:p>
    <w:p>
      <w:pPr>
        <w:pStyle w:val="TextBody"/>
        <w:bidi w:val="0"/>
        <w:spacing w:before="240" w:after="0"/>
        <w:jc w:val="left"/>
        <w:rPr>
          <w:rFonts w:ascii="Times New Roman" w:hAnsi="Times New Roman"/>
          <w:sz w:val="20"/>
        </w:rPr>
      </w:pPr>
      <w:r>
        <w:rPr>
          <w:rFonts w:ascii="Times New Roman" w:hAnsi="Times New Roman"/>
          <w:sz w:val="20"/>
        </w:rPr>
        <w:t xml:space="preserve">4.15 </w:t>
      </w:r>
      <w:r>
        <w:rPr>
          <w:rFonts w:ascii="Times New Roman" w:hAnsi="Times New Roman"/>
          <w:sz w:val="20"/>
          <w:u w:val="single"/>
        </w:rPr>
        <w:t>Anti-Corruption Laws and Sanctions</w:t>
      </w:r>
      <w:r>
        <w:rPr>
          <w:rFonts w:ascii="Times New Roman" w:hAnsi="Times New Roman"/>
          <w:sz w:val="20"/>
        </w:rPr>
        <w:t xml:space="preserve">. The Company has implemented and maintains in effect corporate policies reasonably designed to promote compliance by the Company, its Subsidiaries and their respective employees with Anti-Corruption Laws and with applicable Sanctions. Neither the Company nor any of its Subsidiaries is included on the Specially Designated Nationals and Blocked Persons List, the Foreign Sanctions Evaders List or the Sectoral Sanctions Identifications List maintained by OFAC or any publicly available Sanctions-related list of designated Persons maintained by the U.S. Department of Treasury, His Majestys Treasury of the United Kingdom or the U.S. Department of State or the European Union (collectively, the Sanctions Lists). Neither the Company nor any of its Subsidiaries has a physical place of business, or is organized or resident, in (a) Cuba, Iran, North Korea, Syria, the Crimea, Kherson, or Zaporizhzhia regions of Ukraine, the so-called Donetsk Peoples Republic or the so-called Luhansk Peoples Republic or (b) in any other Sanctioned Country. The Company and its Subsidiary Borrowers will not knowingly use the proceeds of the Loans (i) in violation of any Anti-Corruption Laws or (ii) to fund any activities or business (x) of or with any individual or entity that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included on any Sanctions List or (y) in, or with the government of, any country, region or territory that is the subject or target of comprehensive territorial sanctions administered by OFAC, the U.S. Department of Treasury or the U.S. Department of State (a </w:t>
      </w:r>
      <w:r>
        <w:rPr>
          <w:rFonts w:ascii="Times New Roman" w:hAnsi="Times New Roman"/>
          <w:sz w:val="20"/>
          <w:u w:val="single"/>
        </w:rPr>
        <w:t>Sanctioned Country</w:t>
      </w:r>
      <w:r>
        <w:rPr>
          <w:rFonts w:ascii="Times New Roman" w:hAnsi="Times New Roman"/>
          <w:sz w:val="20"/>
        </w:rPr>
        <w:t xml:space="preserve">), except in the case of (x) or (y), to the extent licensed or otherwise authorized under U.S. law or (in the case of clause (x)) such other applicable law, as the case may be. Notwithstanding the foregoing, if any country, region or territory, including Cuba, Iran, North Korea, Syria, the Crimea, Kherson, or Zaporizhzhia regions of Ukraine, the so-called Donetsk Peoples Republic or the so-called Luhansk Peoples Republic, shall no longer be the subject of comprehensive territorial sanctions administered by OFAC, then it shall not be considered a Sanctioned Country for purposes hereof and the provisions of this Section 4.15 shall no longer apply with respect to that country, region or territory. </w:t>
      </w:r>
    </w:p>
    <w:p>
      <w:pPr>
        <w:pStyle w:val="TextBody"/>
        <w:bidi w:val="0"/>
        <w:spacing w:before="240" w:after="0"/>
        <w:jc w:val="center"/>
        <w:rPr>
          <w:rFonts w:ascii="Times New Roman" w:hAnsi="Times New Roman"/>
          <w:sz w:val="20"/>
        </w:rPr>
      </w:pPr>
      <w:r>
        <w:rPr>
          <w:rFonts w:ascii="Times New Roman" w:hAnsi="Times New Roman"/>
          <w:sz w:val="20"/>
        </w:rPr>
        <w:t xml:space="preserve">SECTION 5.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Conditions to Closing Date</w:t>
      </w:r>
      <w:r>
        <w:rPr>
          <w:rFonts w:ascii="Times New Roman" w:hAnsi="Times New Roman"/>
          <w:sz w:val="20"/>
        </w:rPr>
        <w:t xml:space="preserve">. This Agreement and the obligation of each Lender to make extensions of credit requested to be made by it hereunder shall be effective upon (1) the execution and delivery of this Agreement by each of the Administrative Agent, the Syndication Agent, the Co-Syndication Agent, the Company, each other Borrower, the Existing Required Lenders, each Person listed on Schedule 1.1A and each other party hereto and (2) written confirmation by the Administrative Agent to the Company and the Lenders confirming that the following conditions have been satisfied (or waived in accordance with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Guarantee</w:t>
      </w:r>
      <w:r>
        <w:rPr>
          <w:rFonts w:ascii="Times New Roman" w:hAnsi="Times New Roman"/>
          <w:sz w:val="20"/>
        </w:rPr>
        <w:t xml:space="preserve">. The Company shall have executed and delivered the Guarantee.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Fees</w:t>
      </w:r>
      <w:r>
        <w:rPr>
          <w:rFonts w:ascii="Times New Roman" w:hAnsi="Times New Roman"/>
          <w:sz w:val="20"/>
        </w:rPr>
        <w:t xml:space="preserve">. The Lenders, the Administrative Agent and the Arrangers shall have received all fees and out-of-pocket expenses required to be paid hereunder and (with respect to such expenses) invoiced at least three (3) Business Days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Closing Certificate; Certified Certificate of Incorporation; Good Standing Certificates</w:t>
      </w:r>
      <w:r>
        <w:rPr>
          <w:rFonts w:ascii="Times New Roman" w:hAnsi="Times New Roman"/>
          <w:sz w:val="20"/>
        </w:rPr>
        <w:t xml:space="preserve">. The Administrative Agent shall have received (i) a certificate of each Loan Party (or a certificate of the Loan Parties), dated the Closing Date, substantially in the form of Exhibit F, with appropriate insertions and attachments, including the certificate of incorporation or formation (or equivalent organizational document) of each Loan Party, certified by the relevant authority of the jurisdiction of organization of such Loan Party, (ii) a long form good standing certificate (or equivalent thereof in the relevant jurisdiction) for each Loan Party from its jurisdiction of organization (but only to the extent applicable in the relevant jurisdiction) and (iii) a certificate of the Company, dated the Closing Date, to the effect that the conditions set forth in Section 5.2 have been satisfied or waived.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Legal Opinions</w:t>
      </w:r>
      <w:r>
        <w:rPr>
          <w:rFonts w:ascii="Times New Roman" w:hAnsi="Times New Roman"/>
          <w:sz w:val="20"/>
        </w:rPr>
        <w:t xml:space="preserve">. The Administrative Agent shall have received the executed legal opinion of (i) in house counsel to the Loan Parties and (ii) Mayer Brown LLP, counsel to the Loan Parties, each in form and substance reasonably acceptable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Existing 364-Day Credit Agreement</w:t>
      </w:r>
      <w:r>
        <w:rPr>
          <w:rFonts w:ascii="Times New Roman" w:hAnsi="Times New Roman"/>
          <w:sz w:val="20"/>
        </w:rPr>
        <w:t xml:space="preserve">. The Administrative Agent shall have received reasonably satisfactory evidence that all Existing Loans shall be repaid, the commitments of the lenders under the Existing 364-Day Credit Agreement that are not Lenders hereunder shall have been terminated (and the Commitments of all continuing Lenders shall be as set forth on Schedule 1.1(A)) and all accrued interest and fees under the Existing 364-Day Credit Agreement shall have been paid, or arrangements satisfactory to the Administrative Agent in respect thereof shall have been made.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USA Patriot Act</w:t>
      </w:r>
      <w:r>
        <w:rPr>
          <w:rFonts w:ascii="Times New Roman" w:hAnsi="Times New Roman"/>
          <w:sz w:val="20"/>
        </w:rPr>
        <w:t xml:space="preserve">. The Administrative Agent shall have received all documentation and other information reasonably requested by the Administrative Agent or any Lender who is not a lender under the Existing 364-Day Credit Agreement under applicable know your customer and anti-money-laundering rules and regulations, including the USA Patriot Act and the Beneficial Ownership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Conditions to Each Extension of Credit</w:t>
      </w:r>
      <w:r>
        <w:rPr>
          <w:rFonts w:ascii="Times New Roman" w:hAnsi="Times New Roman"/>
          <w:sz w:val="20"/>
        </w:rPr>
        <w:t xml:space="preserve">. The agreement of each Lender to make any Loan (it being expressly understood and agreed that the foregoing shall not apply to any conversion or continuation of an outstanding Loan) requested to be made by it on any date (including its initial extension of credit) is subject to the Closing Date having occurred and to the satisfaction (or waiver pursuant to Section 10.1) of the following conditions precedent as of the borrowing date for such Loan: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4.9 and 4.13), in which case, such representations and warranties shall have been true and correct in all material respects on and as of such earlier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Default or Event of Default</w:t>
      </w:r>
      <w:r>
        <w:rPr>
          <w:rFonts w:ascii="Times New Roman" w:hAnsi="Times New Roman"/>
          <w:sz w:val="20"/>
        </w:rPr>
        <w:t xml:space="preserve">. No Default or Event of Default shall have occurred and be continuing on such date, after giving effect to the extensions of credit requested to be made on such date and the use of proceeds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Subsidiary Borrower Bankruptcy Events</w:t>
      </w:r>
      <w:r>
        <w:rPr>
          <w:rFonts w:ascii="Times New Roman" w:hAnsi="Times New Roman"/>
          <w:sz w:val="20"/>
        </w:rPr>
        <w:t xml:space="preserve">. With respect to any Loan made to any Subsidiary Borrower, (i) such Subsidiary Borrower shall not have (A) commenced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made a general assignment for the benefit of its creditors; and (ii) there shall not be commenced against such Subsidiary Borrower any case, proceeding or other action of a nature referred to in clause (i) above that (A) results in the entry of an order for relief or any such adjudication or appointment or (B) remains undismissed, undischarged or unbonded for a period of 90 days. </w:t>
      </w:r>
    </w:p>
    <w:p>
      <w:pPr>
        <w:pStyle w:val="TextBody"/>
        <w:bidi w:val="0"/>
        <w:spacing w:before="240" w:after="0"/>
        <w:jc w:val="left"/>
        <w:rPr>
          <w:rFonts w:ascii="Times New Roman" w:hAnsi="Times New Roman"/>
          <w:sz w:val="20"/>
        </w:rPr>
      </w:pPr>
      <w:r>
        <w:rPr>
          <w:rFonts w:ascii="Times New Roman" w:hAnsi="Times New Roman"/>
          <w:sz w:val="20"/>
        </w:rPr>
        <w:t xml:space="preserve">Each borrowing hereunder shall constitute a representation and warranty by the Company as of the date of such borrowing or the date of such issuance or such amendment, as the case may be, that the conditions contained in this Section 5.2 have been satisfied or waived. </w:t>
      </w:r>
    </w:p>
    <w:p>
      <w:pPr>
        <w:pStyle w:val="TextBody"/>
        <w:bidi w:val="0"/>
        <w:spacing w:before="240" w:after="0"/>
        <w:jc w:val="center"/>
        <w:rPr>
          <w:rFonts w:ascii="Times New Roman" w:hAnsi="Times New Roman"/>
          <w:sz w:val="20"/>
        </w:rPr>
      </w:pPr>
      <w:r>
        <w:rPr>
          <w:rFonts w:ascii="Times New Roman" w:hAnsi="Times New Roman"/>
          <w:sz w:val="20"/>
        </w:rPr>
        <w:t xml:space="preserve">SECTION 6. 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agrees that, so long as the Commitments remain in effect or any Loan, interest or fee payable hereunder or under any other Loan Document is owing to any Lender: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Financial Statements</w:t>
      </w:r>
      <w:r>
        <w:rPr>
          <w:rFonts w:ascii="Times New Roman" w:hAnsi="Times New Roman"/>
          <w:sz w:val="20"/>
        </w:rPr>
        <w:t xml:space="preserve">. The Company shall deliver to the Administrative Agent, audited annual financial statements and unaudited quarterly financial statements of the Company within 15 days after it is required to file the same with the SEC pursuant to Section 13 or Section 15(d) of the Exchange Act, after giving effect to any extensions (or, if it is not required to file annual financial statements or unaudited quarterly financial statements with the SEC pursuant to Section 13 or Section 15(d) of the Exchange Act, then within 15 days after it would be required to file the same with the SEC pursuant to Section 13 or Section 15(d) of the Exchange Act, after giving effect to any extensions, if it had a security listed and registered on a national securities exchange) (and, for the avoidance of doubt, no such unaudited quarterly financial statements shall be required to be delivered with respect to the last fiscal quarter of any fiscal year); </w:t>
      </w:r>
      <w:r>
        <w:rPr>
          <w:rFonts w:ascii="Times New Roman" w:hAnsi="Times New Roman"/>
          <w:sz w:val="20"/>
          <w:u w:val="single"/>
        </w:rPr>
        <w:t>provided</w:t>
      </w:r>
      <w:r>
        <w:rPr>
          <w:rFonts w:ascii="Times New Roman" w:hAnsi="Times New Roman"/>
          <w:sz w:val="20"/>
        </w:rPr>
        <w:t xml:space="preserve">, that such financial statements shall be deemed to be delivered upon the filing with the SEC of its Form 10-K or Form 10-Q for the relevant fiscal period;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restatement of previously delivered (or deemed delivered) financial statements shall not constitute a breach or violation of this Section 6.1.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Compliance Certificates</w:t>
      </w:r>
      <w:r>
        <w:rPr>
          <w:rFonts w:ascii="Times New Roman" w:hAnsi="Times New Roman"/>
          <w:sz w:val="20"/>
        </w:rPr>
        <w:t xml:space="preserve">. The Company shall deliver to the Administrative Agent within 5 Business Days after the delivery (or deemed delivery) of 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 (ii) containing a calculation of Consolidated Domestic Liquidity and Consolidated Global Liquidity as of the last day of the fiscal period covered by such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Maintenance of Business; Existence</w:t>
      </w:r>
      <w:r>
        <w:rPr>
          <w:rFonts w:ascii="Times New Roman" w:hAnsi="Times New Roman"/>
          <w:sz w:val="20"/>
        </w:rPr>
        <w:t xml:space="preserve">. The Company shall continue to engage primarily in the automotive business and preserve, renew and keep in full force and effect its organizational existence and take all reasonable actions to maintain all rights necessary for the normal conduct of its principal line of business, except, in each case, (i) to the extent that failure to do so would not have a Material Adverse Effect and (ii) as otherwise permitted or provided in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Maintenance of Insurance</w:t>
      </w:r>
      <w:r>
        <w:rPr>
          <w:rFonts w:ascii="Times New Roman" w:hAnsi="Times New Roman"/>
          <w:sz w:val="20"/>
        </w:rPr>
        <w:t xml:space="preserve">. The Company shall, and shall cause each other Loan Party to, maintain, as appropriate, with insurance companies that the 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 the size and nature of its business) and against at least such risks (and with such risk retentions, deductibles, and exclusions) as the Company believes (in the good faith judgment of the management of the Company) are reasonable in light of the size and nature of its business.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Notices</w:t>
      </w:r>
      <w:r>
        <w:rPr>
          <w:rFonts w:ascii="Times New Roman" w:hAnsi="Times New Roman"/>
          <w:sz w:val="20"/>
        </w:rPr>
        <w:t xml:space="preserve">. Promptly upon a Financial Officer of the Company obtaining actual knowledge thereof, the Company shall give notice to the Administrative Agent of the occurrence of any Default or Event of Default. Each notice pursuant to this Section 6.5 shall be accompanied by a statement of a Responsible Officer setting forth details of the occurrence referred to therein and stating what action the Company or the other relevant Loan Party has taken, is taking, or proposes to take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Guarantors, etc</w:t>
      </w:r>
      <w:r>
        <w:rPr>
          <w:rFonts w:ascii="Times New Roman" w:hAnsi="Times New Roman"/>
          <w:sz w:val="20"/>
        </w:rPr>
        <w:t xml:space="preserve">. (a) If any Principal Domestic Subsidiary (other than an Excluded Subsidiary) provides a guarantee of Material Indebtedness of the Company, the Company shall, substantially simultaneously with the provision of such guarantee of Material Indebtedness, deliver, or cause to be delivered, to the Administrative Agent a Guarantee Joinder, executed and delivered by such Principal Domestic Subsidiary (other than an Excluded Subsidiary), together with customary secretarys certificates, resolutions and legal opinions.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or anything in any Loan Document to the contrary, in no event shall GM Holdings or any other Excluded Subsidiary be required to be a Guarantor or a Subsidiary Guarantor.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Books and Records</w:t>
      </w:r>
      <w:r>
        <w:rPr>
          <w:rFonts w:ascii="Times New Roman" w:hAnsi="Times New Roman"/>
          <w:sz w:val="20"/>
        </w:rPr>
        <w:t xml:space="preserve">. The Company shall and shall cause each other Loan Party to keep proper books of records and account in which entries are made in a manner so as to permit preparation of financial statements in conformity with GAAP (or, in the case of any Foreign Subsidiary, generally accepted accounting principles in effect in the jurisdiction of organization of such Foreign Subsidiary). </w:t>
      </w:r>
    </w:p>
    <w:p>
      <w:pPr>
        <w:pStyle w:val="TextBody"/>
        <w:bidi w:val="0"/>
        <w:spacing w:before="24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Ratings</w:t>
      </w:r>
      <w:r>
        <w:rPr>
          <w:rFonts w:ascii="Times New Roman" w:hAnsi="Times New Roman"/>
          <w:sz w:val="20"/>
        </w:rPr>
        <w:t xml:space="preserve">. The Company shall use commercially reasonable efforts to maintain an Index Debt Rating, to the extent available, from each of S&amp;P, Moodys and Fitch (it being understood that Moodys does not provide Index Debt Ratings for investment grade companies); </w:t>
      </w:r>
      <w:r>
        <w:rPr>
          <w:rFonts w:ascii="Times New Roman" w:hAnsi="Times New Roman"/>
          <w:sz w:val="20"/>
          <w:u w:val="single"/>
        </w:rPr>
        <w:t>provided</w:t>
      </w:r>
      <w:r>
        <w:rPr>
          <w:rFonts w:ascii="Times New Roman" w:hAnsi="Times New Roman"/>
          <w:sz w:val="20"/>
        </w:rPr>
        <w:t xml:space="preserve">, that the Company shall not be required to obtain or maintain, as applicable, a specific Index Debt Rating.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SECTION 7. 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agrees that, so long as the Commitments remain in effect or any Loan, interest or fee payable hereunder or under any other Loan Document is owing to any Lender: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Minimum Liquidity</w:t>
      </w:r>
      <w:r>
        <w:rPr>
          <w:rFonts w:ascii="Times New Roman" w:hAnsi="Times New Roman"/>
          <w:sz w:val="20"/>
        </w:rPr>
        <w:t xml:space="preserve">. The Company shall not at any time permit the Consolidated Global Liquidity to be less than $4 billion or the Consolidated Domestic Liquidity to be less than $2 billion.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Indebtedness</w:t>
      </w:r>
      <w:r>
        <w:rPr>
          <w:rFonts w:ascii="Times New Roman" w:hAnsi="Times New Roman"/>
          <w:sz w:val="20"/>
        </w:rPr>
        <w:t xml:space="preserve">. The Company shall not, and shall not permit any Principal Domestic Subsidiary (other than an Excluded Subsidiary) to incur (A) in the case of the Company, any Indebtedness secured by a Lien and (B) in the case of any Principal Domestic Subsidiary, any Indebtedness, in each case, other than (i) Indebtedness secured by Permitted Liens, (ii) intercompany Indebtedness among the Company and its Subsidiaries (including Indebtedness between Subsidiaries), and (iii) Indebtedness (other than Indebtedness described in clauses (i)-(ii) above), in an aggregate principal amount, the Dollar Equivalent of which, at the time of the incurrence thereof, does not exceed 6.0% of Consolidated Tangible Assets.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Asset Sale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All or Substantially All</w:t>
      </w:r>
      <w:r>
        <w:rPr>
          <w:rFonts w:ascii="Times New Roman" w:hAnsi="Times New Roman"/>
          <w:sz w:val="20"/>
        </w:rPr>
        <w:t xml:space="preserve">. The Company shall not, nor shall it permit any Principal Domestic Subsidiary to, in one transaction or a series of related transactions, Dispose of all or substantially all of their respective assets (on a consolidated basis), except (x) in a transaction that complies with Section 7.4(a) or (y) in the case of any Principal Domestic Subsidiary, to a wholly-owned Principal Domestic Subsidiary (or a wholly-owned Domestic Subsidiary that will be, following receipt of such assets, a wholly-owned Principal Domestic Subsidiary), in each case, other than any Excluded Subsidiary; </w:t>
      </w:r>
      <w:r>
        <w:rPr>
          <w:rFonts w:ascii="Times New Roman" w:hAnsi="Times New Roman"/>
          <w:sz w:val="20"/>
          <w:u w:val="single"/>
        </w:rPr>
        <w:t>provided</w:t>
      </w:r>
      <w:r>
        <w:rPr>
          <w:rFonts w:ascii="Times New Roman" w:hAnsi="Times New Roman"/>
          <w:sz w:val="20"/>
        </w:rPr>
        <w:t xml:space="preserve">, that notwithstanding the foregoing the Company or any of its Principal Domestic Subsidiaries may Dispose of all or any portion of an Excluded Subsidiary Business to one or more Excluded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Principal Trade Names</w:t>
      </w:r>
      <w:r>
        <w:rPr>
          <w:rFonts w:ascii="Times New Roman" w:hAnsi="Times New Roman"/>
          <w:sz w:val="20"/>
        </w:rPr>
        <w:t xml:space="preserve">. The Company shall not, nor shall it permit any Principal Domestic Subsidiary or Qualified IP Holding Company to, Dispose of any Principal Trade Name, except (x) in a transaction that complies with Section 7.4 (other than Section 7.4(b)(iii)), (y) to a wholly-owned Principal Domestic Subsidiary (or a wholly-owned Domestic Subsidiary that will be, following receipt of such Principal Trade Name, a wholly-owned Principal Domestic Subsidiary), in each case, other than any Excluded Subsidiary or (z) in the case of the Designated Principal Trade Name, in any Permitted Principal Trade Name Transfer.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Fundamental Changes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the Company nor any Subsidiary Borrower shall merge or consolidate with any other Person or Dispose of all or substantially all of its assets to any Person unless (A) no Event of Default shall be continuing after giving effect to such transaction and (B)(x) such Borrower shall be the continuing entity or (y)(1) the Person formed by or surviving such merger or consolidation, or the transferee of such assets, shall be an entity organized or existing under the laws of the United States, any state thereof, or the District of Columbia that expressly assumes all the obligations of such Borrower under the Loan Documents pursuant to a supplement or amendment to the Loan Documents reasonably satisfactory to the Administrative Agent, (2) the Company and each Subsidiary Guarantor (if any) shall have reaffirmed its obligations under the Loan Documents and (3) the Administrative Agent shall have received an opinion of counsel (which may be internal counsel to a Loan Party) which is reasonably satisfactory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and consistent with the opinions delivered on the Closing Date with respect to such Borrower; </w:t>
      </w:r>
      <w:r>
        <w:rPr>
          <w:rFonts w:ascii="Times New Roman" w:hAnsi="Times New Roman"/>
          <w:sz w:val="20"/>
          <w:u w:val="single"/>
        </w:rPr>
        <w:t>provided</w:t>
      </w:r>
      <w:r>
        <w:rPr>
          <w:rFonts w:ascii="Times New Roman" w:hAnsi="Times New Roman"/>
          <w:i/>
          <w:sz w:val="20"/>
        </w:rPr>
        <w:t>,</w:t>
      </w:r>
      <w:r>
        <w:rPr>
          <w:rFonts w:ascii="Times New Roman" w:hAnsi="Times New Roman"/>
          <w:sz w:val="20"/>
        </w:rPr>
        <w:t xml:space="preserve"> that, so long as no Obligations are owed by the applicable Subsidiary Borrower, the Company may elect for such Subsidiary to cease to be a Borrower hereunder pursuant to Section 10.1(d) hereof and, thereafter, such Subsidiary shall not be subject to the restrictions contained in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(b) No Subsidiary that is a Subsidiary Guarantor shall merge or consolidate with any other Person or dispose of all or substantially all of its assets to any Person unless (i) the Company or a Subsidiary Guarantor shall be the continuing entity or shall be the transferee of such assets, (ii) (A) the Person formed by or surviving such merger or consolidation, or the transferee of such assets, shall be an entity organized or existing under the laws of the United States, any state thereof, or the District of Columbia that expressly assumes all the obligations of such other Subsidiary Guarantor under the Loan Documents pursuant to a supplement or amendment to each applicable Loan Document reasonably satisfactory to the Administrative Agent, (B) the Company and each then-remaining Loan Party shall have reaffirmed its obligations under the Loan Documents and (C) the Administrative Agent shall have received an opinion of counsel (which may be internal counsel to a Loan Party) which is reasonably satisfactory to the Administrative Agent and, if applicable, consistent with the opinions delivered on the Closing Date with respect to such Loan Party, or (iii) in connection with an asset sale not prohibited by Section 7.3.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Anti-Corruption Laws and Sanctions</w:t>
      </w:r>
      <w:r>
        <w:rPr>
          <w:rFonts w:ascii="Times New Roman" w:hAnsi="Times New Roman"/>
          <w:sz w:val="20"/>
        </w:rPr>
        <w:t xml:space="preserve">. The Company and its Subsidiary Borrowers shall not, and shall not permit any of its Subsidiaries to, knowingly use the proceeds of the Loans (i) in violation of any Anti-Corruption Laws or (ii) to fund any activities or business (x) of or with any individual or entity that is included on any Sanctions List or (y) in, or with the government of, a Sanctioned Country, except in the case of (x) or (y), to the extent licensed or otherwise authorized under U.S. law or (in the case of clause (x)) such other applicable law, as the case may be. Notwithstanding the foregoing, if any country, region or territory, including Cuba, Iran, North Korea, Syria, the Crimea, Kherson, or Zaporizhzhia regions of Ukraine, the so-called Donetsk Peoples Republic or the so-called Luhansk Peoples Republic, shall no longer be the subject of comprehensive territorial sanctions administered by OFAC, the U.S. Department of Treasury or the U.S. Department of State, then it shall not be considered a Sanctioned Country for purposes hereof and the provisions of this Section 7.5 shall no longer apply with respect to that country, region or territory. </w:t>
      </w:r>
    </w:p>
    <w:p>
      <w:pPr>
        <w:pStyle w:val="TextBody"/>
        <w:bidi w:val="0"/>
        <w:spacing w:before="240" w:after="0"/>
        <w:jc w:val="center"/>
        <w:rPr>
          <w:rFonts w:ascii="Times New Roman" w:hAnsi="Times New Roman"/>
          <w:sz w:val="20"/>
        </w:rPr>
      </w:pPr>
      <w:r>
        <w:rPr>
          <w:rFonts w:ascii="Times New Roman" w:hAnsi="Times New Roman"/>
          <w:sz w:val="20"/>
        </w:rPr>
        <w:t xml:space="preserve">SECTION 8.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If any of the following events shall occur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(a) any Borrower shall fail to pay (i) any principal of any Loan at maturity, (ii) any interest or Facility Fee hereunder for a period of five Business Days after receipt of notice of such failure by such Borrower and the Company from the Administrative Agent or (iii) any other amount due and payable under any Loan Document for 30 days after receipt of notice of such failure by such Borrower and the Company from the Administrative Agent (other than, in the case of amounts in this clause (iii), any such amount being disputed by the Company in good faith); or </w:t>
      </w:r>
    </w:p>
    <w:p>
      <w:pPr>
        <w:pStyle w:val="TextBody"/>
        <w:bidi w:val="0"/>
        <w:spacing w:before="240" w:after="0"/>
        <w:jc w:val="left"/>
        <w:rPr>
          <w:rFonts w:ascii="Times New Roman" w:hAnsi="Times New Roman"/>
          <w:sz w:val="20"/>
        </w:rPr>
      </w:pPr>
      <w:r>
        <w:rPr>
          <w:rFonts w:ascii="Times New Roman" w:hAnsi="Times New Roman"/>
          <w:sz w:val="20"/>
        </w:rPr>
        <w:t xml:space="preserve">(b) any representation or warranty made or deemed made by the Company in any Loan Document or in any certified statement furnished pursuant to Section 6.2 at any time, shall prove to have been incorrect in any material respect on or as of the date made or deemed made or furnished; or </w:t>
      </w:r>
    </w:p>
    <w:p>
      <w:pPr>
        <w:pStyle w:val="TextBody"/>
        <w:bidi w:val="0"/>
        <w:spacing w:before="240" w:after="0"/>
        <w:jc w:val="left"/>
        <w:rPr>
          <w:rFonts w:ascii="Times New Roman" w:hAnsi="Times New Roman"/>
          <w:sz w:val="20"/>
        </w:rPr>
      </w:pPr>
      <w:r>
        <w:rPr>
          <w:rFonts w:ascii="Times New Roman" w:hAnsi="Times New Roman"/>
          <w:sz w:val="20"/>
        </w:rPr>
        <w:t xml:space="preserve">(c) any Loan Party or any Principal Domestic Subsidiary shall default in the observance or performance of (i) its agreements in Section 7.1 for a period of 20 consecutive days, or (ii) any other agreement contained in this Agreement (limited with respect to any Subsidiary Borrower that is not a Principal Domestic Subsidiary, to Section 7.4 and 7.5) or in any other Loan Document; </w:t>
      </w:r>
      <w:r>
        <w:rPr>
          <w:rFonts w:ascii="Times New Roman" w:hAnsi="Times New Roman"/>
          <w:sz w:val="20"/>
          <w:u w:val="single"/>
        </w:rPr>
        <w:t>provided</w:t>
      </w:r>
      <w:r>
        <w:rPr>
          <w:rFonts w:ascii="Times New Roman" w:hAnsi="Times New Roman"/>
          <w:sz w:val="20"/>
        </w:rPr>
        <w:t xml:space="preserve">, that, with respect to clause (ii) only, such default shall continue unremedied for a period of 20 Business Days after the Companys receipt from the Administrative Agent of notice of such default;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Company or any Principal Domestic Subsidiary shall (i) default in making any payment of any principal of any Material Indebtedness on the due date with respect thereto beyond the period of grace, if any, provided in the instrument or agreement under which such Indebtedness was created; or (ii) default in making any payment of any interest on any Material Indebtedness beyond the period of grace, if any, provided in the instrument or agreement evidencing, 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 due prior to its stated maturity or (in the case of any such Material Indebtedness constituting a Guarantee Obligation) to become payable; or </w:t>
      </w:r>
    </w:p>
    <w:p>
      <w:pPr>
        <w:pStyle w:val="TextBody"/>
        <w:bidi w:val="0"/>
        <w:spacing w:before="240" w:after="0"/>
        <w:jc w:val="left"/>
        <w:rPr>
          <w:rFonts w:ascii="Times New Roman" w:hAnsi="Times New Roman"/>
          <w:sz w:val="20"/>
        </w:rPr>
      </w:pPr>
      <w:r>
        <w:rPr>
          <w:rFonts w:ascii="Times New Roman" w:hAnsi="Times New Roman"/>
          <w:sz w:val="20"/>
        </w:rPr>
        <w:t xml:space="preserve">(e) (i)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 or for all or any substantial part of its assets, or (B) make a general assignment for the benefit of its creditors; or (ii) there shall be commenced against any Material Loan Party, any case, proceeding or other action of a nature referred to in clause (i) above that (A) results in the entry of an order for relief or any such adjudication or appointment or (B) remains undismissed, undischarged or unbonded for a period of 90 days; or </w:t>
      </w:r>
    </w:p>
    <w:p>
      <w:pPr>
        <w:pStyle w:val="TextBody"/>
        <w:bidi w:val="0"/>
        <w:spacing w:before="240" w:after="0"/>
        <w:jc w:val="left"/>
        <w:rPr>
          <w:rFonts w:ascii="Times New Roman" w:hAnsi="Times New Roman"/>
          <w:sz w:val="20"/>
        </w:rPr>
      </w:pPr>
      <w:r>
        <w:rPr>
          <w:rFonts w:ascii="Times New Roman" w:hAnsi="Times New Roman"/>
          <w:sz w:val="20"/>
        </w:rPr>
        <w:t xml:space="preserve">(f) the occurrence of an ERISA Default; or </w:t>
      </w:r>
    </w:p>
    <w:p>
      <w:pPr>
        <w:pStyle w:val="TextBody"/>
        <w:bidi w:val="0"/>
        <w:spacing w:before="240" w:after="0"/>
        <w:jc w:val="left"/>
        <w:rPr>
          <w:rFonts w:ascii="Times New Roman" w:hAnsi="Times New Roman"/>
          <w:sz w:val="20"/>
        </w:rPr>
      </w:pPr>
      <w:r>
        <w:rPr>
          <w:rFonts w:ascii="Times New Roman" w:hAnsi="Times New Roman"/>
          <w:sz w:val="20"/>
        </w:rPr>
        <w:t xml:space="preserve">(g) 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individually or in the aggregate, of $1 billion or more; or </w:t>
      </w:r>
    </w:p>
    <w:p>
      <w:pPr>
        <w:pStyle w:val="TextBody"/>
        <w:bidi w:val="0"/>
        <w:spacing w:before="240" w:after="0"/>
        <w:jc w:val="left"/>
        <w:rPr>
          <w:rFonts w:ascii="Times New Roman" w:hAnsi="Times New Roman"/>
          <w:sz w:val="20"/>
        </w:rPr>
      </w:pPr>
      <w:r>
        <w:rPr>
          <w:rFonts w:ascii="Times New Roman" w:hAnsi="Times New Roman"/>
          <w:sz w:val="20"/>
        </w:rPr>
        <w:t xml:space="preserve">(h) the Guarantee of the Company or any Subsidiary Guarantor shall cease to be in full force and effect (other than pursuant to or as provided by the terms hereof or any other Loan Document); or </w:t>
      </w:r>
    </w:p>
    <w:p>
      <w:pPr>
        <w:pStyle w:val="TextBody"/>
        <w:bidi w:val="0"/>
        <w:spacing w:before="240" w:after="0"/>
        <w:jc w:val="left"/>
        <w:rPr>
          <w:rFonts w:ascii="Times New Roman" w:hAnsi="Times New Roman"/>
          <w:sz w:val="20"/>
        </w:rPr>
      </w:pPr>
      <w:r>
        <w:rPr>
          <w:rFonts w:ascii="Times New Roman" w:hAnsi="Times New Roman"/>
          <w:sz w:val="20"/>
        </w:rPr>
        <w:t xml:space="preserve">(i) the occurrence of a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then, and in any such event, (A) if such event is an Event of Default specified in paragraph (e) above with respect to the Company, automatically the Commitments shall immediately terminate and the Loans (with accrued interest thereon) and all other amounts owing by any Loan Party to the Lenders under this Agreement and the other Loan Documents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to be terminated forthwith, whereupon the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to the Lenders under this Agreement and the other Loan Documents to be due and payable forthwith, whereupon the same shall immediately become due and payable. Except as expressly provided above in this Section 8, presentment, demand, protest and all other notices of any kind are hereby expressly waived by the Borrowers.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SECTION 9. THE AGENTS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Appointment</w:t>
      </w:r>
      <w:r>
        <w:rPr>
          <w:rFonts w:ascii="Times New Roman" w:hAnsi="Times New Roman"/>
          <w:sz w:val="20"/>
        </w:rPr>
        <w:t xml:space="preserve">.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in any other Loan Document, or any fiduciary relationship with any Lender, and no implied covenants, functions, responsibilities, duties, obligations or liabilities shall be read into this Agreement or any other Loan Document or otherwise exist against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Delegation of Duties</w:t>
      </w:r>
      <w:r>
        <w:rPr>
          <w:rFonts w:ascii="Times New Roman" w:hAnsi="Times New Roman"/>
          <w:sz w:val="20"/>
        </w:rPr>
        <w:t xml:space="preserve">.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Exculpatory Provisions</w:t>
      </w:r>
      <w:r>
        <w:rPr>
          <w:rFonts w:ascii="Times New Roman" w:hAnsi="Times New Roman"/>
          <w:sz w:val="20"/>
        </w:rPr>
        <w:t xml:space="preserve">. Neither the Administrative Agent nor any of its officers, directors, employees, agents, attorneys-in-fact or affiliates shall be (i) liable for any action lawfully taken or omitted to be taken by it or such Person under or in connection with this Agreement or any other Loan Document (except to the extent that any of the foregoing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any Loan Party a party hereto or thereto to perform its obligations hereunder or thereunder. The Administrative Agent shall not be under any obligation to any Lender to ascertain or to inquire as to the observance or performance of any of the agreements contained in, or conditions of, this Agreement or any other Loan Document, or to inspect the properties, books or records of any Loan Party.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 xml:space="preserve">Reliance by Administrative Agent </w:t>
      </w:r>
      <w:r>
        <w:rPr>
          <w:rFonts w:ascii="Times New Roman" w:hAnsi="Times New Roman"/>
          <w:sz w:val="20"/>
        </w:rPr>
        <w:t xml:space="preserve">. The Administrative Agent shall be entitled to rely, and shall be fully protected in relying, upon any instrument, writing, resolution, notice, consent, certificate, affidavit, letter, facsimile, telex or teletype message, e-mail, statement, order or other document or conversation believed by it in good faith to be genuine and correct and to have been signed, sent or made by the proper Person or Persons and upon advice and statements of legal counsel (including counsel to any Loan Party),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or any other instructing group of Lenders specified in this Agreement) as it deems appropriate or it shall first be indemnified to its satisfaction by the Lenders against any and all liability and expense that may be incurred by it by reason of taking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or any other instructing group of Lenders specified in this Agreement), and such request and any action taken or failure to act pursuant thereto shall be binding upon all the Lenders and all future holders of the Loans.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Notice of Default</w:t>
      </w:r>
      <w:r>
        <w:rPr>
          <w:rFonts w:ascii="Times New Roman" w:hAnsi="Times New Roman"/>
          <w:sz w:val="20"/>
        </w:rPr>
        <w:t xml:space="preserve">. The Administrative Agent shall not be deemed to have knowledge or notice of the occurrence of any Default or Event of Default unless the Administrative Agent has received notice from a Lender or the Company referring to this Agreement, describing such Default or Event of Default and stating that such notice is a notice of default. In the event that the Administrative Agent receives such a notice, the Administrative Agent shall give notice thereof to the Lenders as soon as practicable thereafter. The Administrative Agent shall take such action with respect to such Default or Event of Default as shall be reasonably directed by the Required Lenders (or, if so specified by this Agreement, all Lenders or any other instructing group of Lenders specified in this Agreement); </w:t>
      </w:r>
      <w:r>
        <w:rPr>
          <w:rFonts w:ascii="Times New Roman" w:hAnsi="Times New Roman"/>
          <w:sz w:val="20"/>
          <w:u w:val="single"/>
        </w:rPr>
        <w:t>provided</w:t>
      </w:r>
      <w:r>
        <w:rPr>
          <w:rFonts w:ascii="Times New Roman" w:hAnsi="Times New Roman"/>
          <w:sz w:val="20"/>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sz w:val="20"/>
          <w:u w:val="single"/>
        </w:rPr>
        <w:t>Non-Reliance on Agents and Other Lenders</w:t>
      </w:r>
      <w:r>
        <w:rPr>
          <w:rFonts w:ascii="Times New Roman" w:hAnsi="Times New Roman"/>
          <w:sz w:val="20"/>
        </w:rPr>
        <w:t xml:space="preserve">. Each Lender expressly acknowledges that neither the Administrative Agent nor any of its officers, directors, employees, agents, attorneys-in-fact or affiliates have made any representations or warranties to it and that no act by the Administrative Agent hereafter taken, including any review of the affairs of a Loan Party or any affiliate of a Loan Party, shall be deemed to constitute any representation or warranty by the Administrative Agent to any Lender. Each Lender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and other extensions of credit hereunder and enter into this Agreement. Each Lender also represents that it will, independently and without reliance upon the Administrative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attorneys-in-fact or affiliates. </w:t>
      </w:r>
    </w:p>
    <w:p>
      <w:pPr>
        <w:pStyle w:val="TextBody"/>
        <w:bidi w:val="0"/>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sz w:val="20"/>
          <w:u w:val="single"/>
        </w:rPr>
        <w:t>Indemnification</w:t>
      </w:r>
      <w:r>
        <w:rPr>
          <w:rFonts w:ascii="Times New Roman" w:hAnsi="Times New Roman"/>
          <w:sz w:val="20"/>
        </w:rPr>
        <w:t xml:space="preserve">. The Lenders agree to indemnify the Administrative Agent in its capacity as such (to the extent not reimbursed by or on behalf of the Company if it is required to do so under Section 10.5 and without limiting the obligation of the Company under Section 10.5 to do so), ratably according to their respective Commitments in effect on the date on which indemnification is sought under this Section 9.7 (or, if indemnification is sought after the date upon which the Commitments shall have terminated and the Loans shall have been paid in full, ratably in accordance with such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the Administrative Agent in any way relating to or arising out of, the Commitments, this Agreement, any of the other Loan Documents or any documents contemplated by or referred to herein or therein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transactions contemplated hereby or thereby or any action taken or omitted by the Administrative Agent under or in connection with any of the foregoing; </w:t>
      </w:r>
      <w:r>
        <w:rPr>
          <w:rFonts w:ascii="Times New Roman" w:hAnsi="Times New Roman"/>
          <w:sz w:val="20"/>
          <w:u w:val="single"/>
        </w:rPr>
        <w:t>provided</w:t>
      </w:r>
      <w:r>
        <w:rPr>
          <w:rFonts w:ascii="Times New Roman" w:hAnsi="Times New Roman"/>
          <w:sz w:val="20"/>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the Administrative Agents gross negligence or willful misconduct. The agreements in this Section 9.7 shall survive the payment of the Loans and all other amounts payable hereunder. </w:t>
      </w:r>
    </w:p>
    <w:p>
      <w:pPr>
        <w:pStyle w:val="TextBody"/>
        <w:bidi w:val="0"/>
        <w:spacing w:before="240" w:after="0"/>
        <w:jc w:val="left"/>
        <w:rPr>
          <w:rFonts w:ascii="Times New Roman" w:hAnsi="Times New Roman"/>
          <w:sz w:val="20"/>
        </w:rPr>
      </w:pPr>
      <w:r>
        <w:rPr>
          <w:rFonts w:ascii="Times New Roman" w:hAnsi="Times New Roman"/>
          <w:sz w:val="20"/>
        </w:rPr>
        <w:t xml:space="preserve">9.8 </w:t>
      </w:r>
      <w:r>
        <w:rPr>
          <w:rFonts w:ascii="Times New Roman" w:hAnsi="Times New Roman"/>
          <w:sz w:val="20"/>
          <w:u w:val="single"/>
        </w:rPr>
        <w:t>Administrative Agent in Its Individual Capacity</w:t>
      </w:r>
      <w:r>
        <w:rPr>
          <w:rFonts w:ascii="Times New Roman" w:hAnsi="Times New Roman"/>
          <w:sz w:val="20"/>
        </w:rPr>
        <w:t xml:space="preserve">. The Administrative Agent and its affiliates may make loans to, accept deposits from and generally engage in any kind of business with any Loan Party as though the Administrative Agent were not the Administrative Agent. With respect to its Loans made or renewed by it and any other extension of credit made by it hereunder, the Administrative Agent shall have the same rights and powers under this Agreement and the other Loan Documents as any Lender and may exercise the same as though it were not the Administrative Agent, and the terms Lender and Lenders shall include the Administrative Agent in its individual capacity. </w:t>
      </w:r>
    </w:p>
    <w:p>
      <w:pPr>
        <w:pStyle w:val="TextBody"/>
        <w:bidi w:val="0"/>
        <w:spacing w:before="240" w:after="0"/>
        <w:jc w:val="left"/>
        <w:rPr>
          <w:rFonts w:ascii="Times New Roman" w:hAnsi="Times New Roman"/>
          <w:sz w:val="20"/>
        </w:rPr>
      </w:pPr>
      <w:r>
        <w:rPr>
          <w:rFonts w:ascii="Times New Roman" w:hAnsi="Times New Roman"/>
          <w:sz w:val="20"/>
        </w:rPr>
        <w:t xml:space="preserve">9.9 </w:t>
      </w:r>
      <w:r>
        <w:rPr>
          <w:rFonts w:ascii="Times New Roman" w:hAnsi="Times New Roman"/>
          <w:sz w:val="20"/>
          <w:u w:val="single"/>
        </w:rPr>
        <w:t>Successor Administrative Agent</w:t>
      </w:r>
      <w:r>
        <w:rPr>
          <w:rFonts w:ascii="Times New Roman" w:hAnsi="Times New Roman"/>
          <w:sz w:val="20"/>
        </w:rPr>
        <w:t xml:space="preserve">. The Administrative Agent may resign as Administrative Agent upon 30 days notice to the Lenders and the Company.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8(e) with respect to the Company shall have occurred and be continuing) be subject to approval by the Company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 may, on behalf of the Lenders and with the consent of the Company (such consent not to be unreasonably withheld or delayed and which consent shall not be required if an Event of Default under Section 8(a) or Section 8(e) with respect to the Company shall have occurred and be continuing), appoint a successor Administrative Agent, which shall be a commercial bank organized or licensed under the laws of the United States of America or of any State thereof and having a combined capital and surplus of at least $500 million.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9.10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9.11 </w:t>
      </w:r>
      <w:r>
        <w:rPr>
          <w:rFonts w:ascii="Times New Roman" w:hAnsi="Times New Roman"/>
          <w:sz w:val="20"/>
          <w:u w:val="single"/>
        </w:rPr>
        <w:t>Bookrunners, Lead Arrangers, Global and Regional Coordinators, Documentation Agents, Syndication Agent and Co-Syndication Agent</w:t>
      </w:r>
      <w:r>
        <w:rPr>
          <w:rFonts w:ascii="Times New Roman" w:hAnsi="Times New Roman"/>
          <w:sz w:val="20"/>
        </w:rPr>
        <w:t>. None of the Syndication Agent, Co-Syndication Agent nor any of the bookrunners, lead arrangers, documentation agents, global or regional coordinator, or other agents identified on the cover page to this Agreement or in any commitment letter relating hereto (collectively, the </w:t>
      </w:r>
      <w:r>
        <w:rPr>
          <w:rFonts w:ascii="Times New Roman" w:hAnsi="Times New Roman"/>
          <w:sz w:val="20"/>
          <w:u w:val="single"/>
        </w:rPr>
        <w:t>Arrangers</w:t>
      </w:r>
      <w:r>
        <w:rPr>
          <w:rFonts w:ascii="Times New Roman" w:hAnsi="Times New Roman"/>
          <w:sz w:val="20"/>
        </w:rPr>
        <w:t xml:space="preserve">) shall have any duties or responsibilities under this Agreement or the other Loan Documents in their respective capacities as such, nor shall the consent of any such Person, in its capacity as such, be required for any amendment, modification or supplement to this Agreement or any other Loan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9.12 </w:t>
      </w:r>
      <w:r>
        <w:rPr>
          <w:rFonts w:ascii="Times New Roman" w:hAnsi="Times New Roman"/>
          <w:sz w:val="20"/>
          <w:u w:val="single"/>
        </w:rPr>
        <w:t>Certain ERISA Matters.</w:t>
      </w:r>
      <w:r>
        <w:rPr>
          <w:rFonts w:ascii="Times New Roman" w:hAnsi="Times New Roman"/>
          <w:sz w:val="20"/>
        </w:rPr>
        <w:t xml:space="preserve">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Borrowers or any other Loan Party,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Lender is not using plan assets (within the meaning of the Plan Asset Regulations) of one or more Benefit Plans in connection with the Loans or the Commitments, </w:t>
      </w:r>
    </w:p>
    <w:p>
      <w:pPr>
        <w:pStyle w:val="TextBody"/>
        <w:bidi w:val="0"/>
        <w:spacing w:before="120" w:after="0"/>
        <w:jc w:val="left"/>
        <w:rPr>
          <w:rFonts w:ascii="Times New Roman" w:hAnsi="Times New Roman"/>
          <w:sz w:val="20"/>
        </w:rPr>
      </w:pPr>
      <w:r>
        <w:rPr>
          <w:rFonts w:ascii="Times New Roman" w:hAnsi="Times New Roman"/>
          <w:sz w:val="20"/>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(iv) such other representation, warranty and covenant as may be agreed in writing between the Administrative Agent, in its sole discretion, and such Lender. </w:t>
      </w:r>
    </w:p>
    <w:p>
      <w:pPr>
        <w:pStyle w:val="TextBody"/>
        <w:bidi w:val="0"/>
        <w:spacing w:before="240" w:after="0"/>
        <w:jc w:val="left"/>
        <w:rPr>
          <w:rFonts w:ascii="Times New Roman" w:hAnsi="Times New Roman"/>
          <w:sz w:val="20"/>
        </w:rPr>
      </w:pPr>
      <w:r>
        <w:rPr>
          <w:rFonts w:ascii="Times New Roman" w:hAnsi="Times New Roman"/>
          <w:sz w:val="20"/>
        </w:rPr>
        <w:t xml:space="preserve">(b) In addition, unless either (1) sub-clause (i) in the immediately preceding clause (a) is true with respect to a Lender or (2) a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Borrowers or any other Loan Party, that none of the Administrative Agent, or any Arranger or any of their respective Affiliates is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to hereto or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9.13 </w:t>
      </w:r>
      <w:r>
        <w:rPr>
          <w:rFonts w:ascii="Times New Roman" w:hAnsi="Times New Roman"/>
          <w:sz w:val="20"/>
          <w:u w:val="single"/>
        </w:rPr>
        <w:t>Acknowledgements of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in each case in the ordinary course of business and is making the Loans hereunder as commercial loans in the ordinary course of its business and not for the purpose of investing in the general performance or operations of any Borrower, or for the purpose of purchasing, acquiring or holding any other type of financial instrument such as a security (and each Lender agrees not to assert a claim in contravention of the foregoing, such as a claim under the federal or state securities laws), (iii) it has, independently and without reliance upon the Administrative Agent, any Arranger, any Syndication Agent, any Co-Syndication Agent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any Arranger any Syndication Agent, any Co-Syndication Agent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 </w:t>
      </w:r>
    </w:p>
    <w:p>
      <w:pPr>
        <w:pStyle w:val="TextBody"/>
        <w:bidi w:val="0"/>
        <w:spacing w:before="240" w:after="0"/>
        <w:jc w:val="left"/>
        <w:rPr>
          <w:rFonts w:ascii="Times New Roman" w:hAnsi="Times New Roman"/>
          <w:sz w:val="20"/>
        </w:rPr>
      </w:pPr>
      <w:r>
        <w:rPr>
          <w:rFonts w:ascii="Times New Roman" w:hAnsi="Times New Roman"/>
          <w:sz w:val="20"/>
        </w:rPr>
        <w:t xml:space="preserve">(b) Each Lender, by delivering its signature page to this Agreement on the Closing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 </w:t>
      </w:r>
    </w:p>
    <w:p>
      <w:pPr>
        <w:pStyle w:val="TextBody"/>
        <w:bidi w:val="0"/>
        <w:spacing w:before="240" w:after="0"/>
        <w:jc w:val="left"/>
        <w:rPr>
          <w:rFonts w:ascii="Times New Roman" w:hAnsi="Times New Roman"/>
          <w:sz w:val="20"/>
        </w:rPr>
      </w:pPr>
      <w:r>
        <w:rPr>
          <w:rFonts w:ascii="Times New Roman" w:hAnsi="Times New Roman"/>
          <w:sz w:val="20"/>
        </w:rPr>
        <w:t>(c) (i)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hAnsi="Times New Roman"/>
          <w:b/>
          <w:i/>
          <w:sz w:val="20"/>
        </w:rPr>
        <w:t>Payment</w:t>
      </w:r>
      <w:r>
        <w:rPr>
          <w:rFonts w:ascii="Times New Roman" w:hAnsi="Times New Roman"/>
          <w:sz w:val="20"/>
        </w:rPr>
        <w:t xml:space="preserve">) were erroneously transmitted to such Lender (whether or not known to such Lender), and demands the return of such Payment (or a portion thereof), such Lender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customary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9.13(c) shall be conclusive,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hAnsi="Times New Roman"/>
          <w:b/>
          <w:i/>
          <w:sz w:val="20"/>
        </w:rPr>
        <w:t>Payment Notice</w:t>
      </w:r>
      <w:r>
        <w:rPr>
          <w:rFonts w:ascii="Times New Roman" w:hAnsi="Times New Roman"/>
          <w:sz w:val="20"/>
        </w:rPr>
        <w:t xml:space="preserv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customary banking industry rules on interbank compensation from time to time in effect. </w:t>
      </w:r>
    </w:p>
    <w:p>
      <w:pPr>
        <w:pStyle w:val="TextBody"/>
        <w:bidi w:val="0"/>
        <w:spacing w:before="240" w:after="0"/>
        <w:jc w:val="left"/>
        <w:rPr>
          <w:rFonts w:ascii="Times New Roman" w:hAnsi="Times New Roman"/>
          <w:sz w:val="20"/>
        </w:rPr>
      </w:pPr>
      <w:r>
        <w:rPr>
          <w:rFonts w:ascii="Times New Roman" w:hAnsi="Times New Roman"/>
          <w:sz w:val="20"/>
        </w:rPr>
        <w:t xml:space="preserve">(iii) Each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any Borrower or any other Loan Party except, in each case, to the extent such Payment is, and solely with respect to the amount of such Payment that is, comprised of funds of such Borrower or any other Loan Party (including, for the avoidance of doubt, the proceeds of any financing or contribution incurred or obtained by such Borrower or any Loan Party). </w:t>
      </w:r>
    </w:p>
    <w:p>
      <w:pPr>
        <w:pStyle w:val="TextBody"/>
        <w:bidi w:val="0"/>
        <w:spacing w:before="240" w:after="0"/>
        <w:jc w:val="left"/>
        <w:rPr>
          <w:rFonts w:ascii="Times New Roman" w:hAnsi="Times New Roman"/>
          <w:sz w:val="20"/>
        </w:rPr>
      </w:pPr>
      <w:r>
        <w:rPr>
          <w:rFonts w:ascii="Times New Roman" w:hAnsi="Times New Roman"/>
          <w:sz w:val="20"/>
        </w:rPr>
        <w:t xml:space="preserve">(iv) Each partys obligations under this Section 9.13(c) shall survive the resignation or replacement of the Administrative Agent or any transfer of rights or obligations by, or the replacement of, a Lender, the termination of the Commitments or the repayment, satisfaction or discharge of all Obligations under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9.14 </w:t>
      </w:r>
      <w:r>
        <w:rPr>
          <w:rFonts w:ascii="Times New Roman" w:hAnsi="Times New Roman"/>
          <w:sz w:val="20"/>
          <w:u w:val="single"/>
        </w:rPr>
        <w:t>Borrower Communications.</w:t>
      </w:r>
      <w:r>
        <w:rPr>
          <w:rFonts w:ascii="Times New Roman" w:hAnsi="Times New Roman"/>
          <w:sz w:val="20"/>
        </w:rPr>
        <w:t xml:space="preserve"> (a) The Administrative Agent and the Lenders agree that the Borrowers may, but shall not be obligated to, make any Borrower Communications to the Administrative Agent through an electronic platform chosen by the Administrative Agent to be its electronic transmission system (the </w:t>
      </w:r>
      <w:r>
        <w:rPr>
          <w:rFonts w:ascii="Times New Roman" w:hAnsi="Times New Roman"/>
          <w:sz w:val="20"/>
          <w:u w:val="single"/>
        </w:rPr>
        <w:t>Approved Borrower Portal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Although the Approved Borrower Portal and its primary web portal are secured with generally-applicable security procedures and policies implemented or modified by the Administrative Agent from time to time (including, as of the Closing Date, a user ID/password authorization system), each of the Lenders and each Borrower acknowledges and agrees that the distribution of material through an electronic medium is not necessarily secure, that the Administrative Agent is not responsible for approving or vetting the representatives or contacts of the Borrowers that are added to the Approved Borrower Portal, and that there may be confidentiality and other risks associated with such distribution. Each of the Lenders and each Borrower hereby approves distribution of Borrower Communications through the Approved Borrower Portal and understands and assumes the risks of such distribution. </w:t>
      </w:r>
    </w:p>
    <w:p>
      <w:pPr>
        <w:pStyle w:val="TextBody"/>
        <w:bidi w:val="0"/>
        <w:spacing w:before="240" w:after="0"/>
        <w:jc w:val="left"/>
        <w:rPr>
          <w:rFonts w:ascii="Times New Roman" w:hAnsi="Times New Roman"/>
          <w:sz w:val="20"/>
        </w:rPr>
      </w:pPr>
      <w:r>
        <w:rPr>
          <w:rFonts w:ascii="Times New Roman" w:hAnsi="Times New Roman"/>
          <w:sz w:val="20"/>
        </w:rPr>
        <w:t xml:space="preserve">(c) 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FROM VIRUSES OR OTHER CODE DEFECTS, IS MADE BY THE APPLICABLE PARTIES IN CONNECTION WITH THE BORROWER COMMUNICATIONS OR THE APPROVED BORROWER PORTAL. IN NO EVENT SHALL THE ADMINISTRATIVE AGENT, ANY ARRANGER, ANY CO-DOCUMENTATION AGENT, ANY SYNDICATION AGENT, ANY REGIONAL COORDINATOR OR ANY OF THEIR RESPECTIVE RELATED PARTIES (COLLECTIVELY, </w:t>
      </w:r>
      <w:r>
        <w:rPr>
          <w:rFonts w:ascii="Times New Roman" w:hAnsi="Times New Roman"/>
          <w:sz w:val="20"/>
          <w:u w:val="single"/>
        </w:rPr>
        <w:t>APPLICABLE PARTIES</w:t>
      </w:r>
      <w:r>
        <w:rPr>
          <w:rFonts w:ascii="Times New Roman" w:hAnsi="Times New Roman"/>
          <w:sz w:val="20"/>
        </w:rPr>
        <w:t xml:space="preserve">) HAVE ANY LIABILITY TO ANY LOAN PARTY, ANY LENDER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Borrower Communications</w:t>
      </w:r>
      <w:r>
        <w:rPr>
          <w:rFonts w:ascii="Times New Roman" w:hAnsi="Times New Roman"/>
          <w:sz w:val="20"/>
        </w:rPr>
        <w:t xml:space="preserve"> means, collectively, any Borrowing Request, Interest Election Request, notice of prepayment or other notice, demand, communication, information, document or other material provided by or on behalf of any Loan Party pursuant to any Loan Document or the transactions contemplated therein which is distributed by the Borrower to the Administrative Agent through an Approved Borrower Portal. </w:t>
      </w:r>
    </w:p>
    <w:p>
      <w:pPr>
        <w:pStyle w:val="TextBody"/>
        <w:bidi w:val="0"/>
        <w:spacing w:before="240" w:after="0"/>
        <w:jc w:val="left"/>
        <w:rPr>
          <w:rFonts w:ascii="Times New Roman" w:hAnsi="Times New Roman"/>
          <w:sz w:val="20"/>
        </w:rPr>
      </w:pPr>
      <w:r>
        <w:rPr>
          <w:rFonts w:ascii="Times New Roman" w:hAnsi="Times New Roman"/>
          <w:sz w:val="20"/>
        </w:rPr>
        <w:t xml:space="preserve">(d) Each of the Lenders and each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 </w:t>
      </w:r>
    </w:p>
    <w:p>
      <w:pPr>
        <w:pStyle w:val="TextBody"/>
        <w:bidi w:val="0"/>
        <w:spacing w:before="240" w:after="0"/>
        <w:jc w:val="left"/>
        <w:rPr>
          <w:rFonts w:ascii="Times New Roman" w:hAnsi="Times New Roman"/>
          <w:sz w:val="20"/>
        </w:rPr>
      </w:pPr>
      <w:r>
        <w:rPr>
          <w:rFonts w:ascii="Times New Roman" w:hAnsi="Times New Roman"/>
          <w:sz w:val="20"/>
        </w:rPr>
        <w:t xml:space="preserve">(e) Nothing herein shall prejudice the right of the Borrowers to give any notice or other communication pursuant to any Loan Document in any other manner specified in such Loan Document. </w:t>
      </w:r>
    </w:p>
    <w:p>
      <w:pPr>
        <w:pStyle w:val="TextBody"/>
        <w:bidi w:val="0"/>
        <w:spacing w:before="240" w:after="0"/>
        <w:jc w:val="center"/>
        <w:rPr>
          <w:rFonts w:ascii="Times New Roman" w:hAnsi="Times New Roman"/>
          <w:sz w:val="20"/>
        </w:rPr>
      </w:pPr>
      <w:r>
        <w:rPr>
          <w:rFonts w:ascii="Times New Roman" w:hAnsi="Times New Roman"/>
          <w:sz w:val="20"/>
        </w:rPr>
        <w:t xml:space="preserve">SECTION 10. MISCELLANEOUS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Amendments and Waivers.</w:t>
      </w:r>
      <w:r>
        <w:rPr>
          <w:rFonts w:ascii="Times New Roman" w:hAnsi="Times New Roman"/>
          <w:sz w:val="20"/>
        </w:rPr>
        <w:t xml:space="preserve"> (a) Subject to Section 2.18(b) and (c) and Section 10.1(e), neither this Agreement, any other Loan Document, nor any terms hereof or thereof may be amended, supplemented or modified except in accordance with the provisions of this Section 10.1 or as otherwise expressly provided herein; </w:t>
      </w:r>
      <w:r>
        <w:rPr>
          <w:rFonts w:ascii="Times New Roman" w:hAnsi="Times New Roman"/>
          <w:sz w:val="20"/>
          <w:u w:val="single"/>
        </w:rPr>
        <w:t>provided</w:t>
      </w:r>
      <w:r>
        <w:rPr>
          <w:rFonts w:ascii="Times New Roman" w:hAnsi="Times New Roman"/>
          <w:sz w:val="20"/>
        </w:rPr>
        <w:t xml:space="preserve">, that any update or revision to any annex or schedule to any Loan Document (other than any amendment or modification to Schedule 1.1C to this Agreement) (including any update or revision to any annex or schedule to any Loan Document related to a Guarantee Joinder) shall not constitute an amendment, supplement or modification for purposes of this Section 10.1 and shall be effective upon acceptance thereof by the Administrative Agent. The Required Lenders and the Company (on its own behalf and as agent on behalf of any other Loan Party to the relevant Loan Document) may, or, with the written consent of the Required Lenders, the Administrative Agent (on behalf of the Required Lenders) and the Company (on its own behalf and as agent on behalf of any Loan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or obligations of the Administrative Agent, the Lenders or of the Loan Parties hereunder or thereunder or (ii) waive, on such terms and conditions as the Required Lenders or the Administrative Agent, as the case may be, may specify in such instrument, any of the requirements of this Agreement (including any condition precedent to an Extension of Credit) or the other Loan Documents or any Default or Event of Default and its consequences;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waiver and no such amendment, supplement or modification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forgive or reduce any principal amount or extend the final scheduled date of maturity of any Loan (for the purpose of clarity each of the foregoing not to include any waiver of a mandatory prepayment), reduce the stated rate of any interest, fee or prepayment premium payable hereunder or under any other Loan Document (except in connection with the waiver of applicability of any post-default increases in interest rates), or extend the scheduled date of any payment thereof or increase the amount or extend the expiration date of any Lenders Commitment, in each case without the written consent of each Lender directly and adversely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(B) eliminate or reduce the voting rights of any Lender under this Section 10.1 without the written consent of such Lender; </w:t>
      </w:r>
    </w:p>
    <w:p>
      <w:pPr>
        <w:pStyle w:val="TextBody"/>
        <w:bidi w:val="0"/>
        <w:spacing w:before="120" w:after="0"/>
        <w:jc w:val="left"/>
        <w:rPr>
          <w:rFonts w:ascii="Times New Roman" w:hAnsi="Times New Roman"/>
          <w:sz w:val="20"/>
        </w:rPr>
      </w:pPr>
      <w:r>
        <w:rPr>
          <w:rFonts w:ascii="Times New Roman" w:hAnsi="Times New Roman"/>
          <w:sz w:val="20"/>
        </w:rPr>
        <w:t xml:space="preserve">(C) consent to the assignment or transfer by or release of any Borrower of any of its rights and obligations under this Agreement and the other Loan Documents (except, for the avoidance of doubt, in the case of any Subsidiary Borrower, pursuant to Section 10.1(d) below), release the Company from its obligations under the Guarantee, release all or substantially all of the Subsidiary Guarantors from the obligations under the Guarantee (in each case, except as otherwise provided in the Loan Documents), in each case without the written consent of all Lenders; </w:t>
      </w:r>
    </w:p>
    <w:p>
      <w:pPr>
        <w:pStyle w:val="TextBody"/>
        <w:bidi w:val="0"/>
        <w:spacing w:before="120" w:after="0"/>
        <w:jc w:val="left"/>
        <w:rPr>
          <w:rFonts w:ascii="Times New Roman" w:hAnsi="Times New Roman"/>
          <w:sz w:val="20"/>
        </w:rPr>
      </w:pPr>
      <w:r>
        <w:rPr>
          <w:rFonts w:ascii="Times New Roman" w:hAnsi="Times New Roman"/>
          <w:sz w:val="20"/>
        </w:rPr>
        <w:t xml:space="preserve">(D) reduce the percentage specified in the definition of Required Lenders without the written consent of all Lenders; </w:t>
      </w:r>
    </w:p>
    <w:p>
      <w:pPr>
        <w:pStyle w:val="TextBody"/>
        <w:bidi w:val="0"/>
        <w:spacing w:before="120" w:after="0"/>
        <w:jc w:val="left"/>
        <w:rPr>
          <w:rFonts w:ascii="Times New Roman" w:hAnsi="Times New Roman"/>
          <w:sz w:val="20"/>
        </w:rPr>
      </w:pPr>
      <w:r>
        <w:rPr>
          <w:rFonts w:ascii="Times New Roman" w:hAnsi="Times New Roman"/>
          <w:sz w:val="20"/>
        </w:rPr>
        <w:t xml:space="preserve">(E) [Reserved]; </w:t>
      </w:r>
    </w:p>
    <w:p>
      <w:pPr>
        <w:pStyle w:val="TextBody"/>
        <w:bidi w:val="0"/>
        <w:spacing w:before="120" w:after="0"/>
        <w:jc w:val="left"/>
        <w:rPr>
          <w:rFonts w:ascii="Times New Roman" w:hAnsi="Times New Roman"/>
          <w:sz w:val="20"/>
        </w:rPr>
      </w:pPr>
      <w:r>
        <w:rPr>
          <w:rFonts w:ascii="Times New Roman" w:hAnsi="Times New Roman"/>
          <w:sz w:val="20"/>
        </w:rPr>
        <w:t xml:space="preserve">(F) amend, modify or waive any provision of Section 9 in a manner adverse to the Administrative Agent without the written consent of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(G) [Reserved]; </w:t>
      </w:r>
    </w:p>
    <w:p>
      <w:pPr>
        <w:pStyle w:val="TextBody"/>
        <w:bidi w:val="0"/>
        <w:spacing w:before="120" w:after="0"/>
        <w:jc w:val="left"/>
        <w:rPr>
          <w:rFonts w:ascii="Times New Roman" w:hAnsi="Times New Roman"/>
          <w:sz w:val="20"/>
        </w:rPr>
      </w:pPr>
      <w:r>
        <w:rPr>
          <w:rFonts w:ascii="Times New Roman" w:hAnsi="Times New Roman"/>
          <w:sz w:val="20"/>
        </w:rPr>
        <w:t xml:space="preserve">(H) amend, modify or waive any provision of Section 2.19(a) or (b) or Section 10.7 without the written consent of each Lender adversely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 [Reserved]; or </w:t>
      </w:r>
    </w:p>
    <w:p>
      <w:pPr>
        <w:pStyle w:val="TextBody"/>
        <w:bidi w:val="0"/>
        <w:spacing w:before="120" w:after="0"/>
        <w:jc w:val="left"/>
        <w:rPr>
          <w:rFonts w:ascii="Times New Roman" w:hAnsi="Times New Roman"/>
          <w:sz w:val="20"/>
        </w:rPr>
      </w:pPr>
      <w:r>
        <w:rPr>
          <w:rFonts w:ascii="Times New Roman" w:hAnsi="Times New Roman"/>
          <w:sz w:val="20"/>
        </w:rPr>
        <w:t xml:space="preserve">(J) add additional available currencies to the Facility without the written consent of each Lender directly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positions and rights hereunder and under the other Loan Documents and any Default or Event of Default waived shall be deemed to be cured and not continuing; but no such waiver shall extend to any subsequent or other Default or Event of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paragraph (a), without the consent of the Required Lenders, but subject to any consent required by paragraphs (A) through (J) above, the Administrative Agent (on its own behalf and as agent on behalf of each Lender) and the Company (on its own behalf and as agent on behalf of any other Loan Party who is a party to the relevant Loan Document) may amend, modify or supplement any provision of this Agreement or any other Loan Document, and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its own behalf and as agent on behalf of each Lender) may waive any provision of this Agreement or any other Loan Document, in each case to (A) cure any ambiguity, omission, defect or inconsistency, (B) permit additional affiliates of the Company or other Persons to guarantee the Obligations, (C) release any Subsidiary Guarantor or other guarantor that is required or permitted to be released by the terms of any Loan Document and to release any such Subsidiary Guarantor that was or becomes an Excluded Subsidiary or (D) add or effect changes to administrative or ministerial provisions contained herein reasonably believed to be required as a result of the addition of Subsidiary Borrowers pursuant to Section 10.1(d); </w:t>
      </w:r>
      <w:r>
        <w:rPr>
          <w:rFonts w:ascii="Times New Roman" w:hAnsi="Times New Roman"/>
          <w:sz w:val="20"/>
          <w:u w:val="single"/>
        </w:rPr>
        <w:t>provided</w:t>
      </w:r>
      <w:r>
        <w:rPr>
          <w:rFonts w:ascii="Times New Roman" w:hAnsi="Times New Roman"/>
          <w:sz w:val="20"/>
        </w:rPr>
        <w:t xml:space="preserve">, that the Administrative Agent shall notify the Lenders of any such amendment, modification, supplement or waiver consummated in accordance with this clause (ii) promptly after consummation thereof. </w:t>
      </w:r>
    </w:p>
    <w:p>
      <w:pPr>
        <w:pStyle w:val="TextBody"/>
        <w:bidi w:val="0"/>
        <w:spacing w:before="240" w:after="0"/>
        <w:jc w:val="left"/>
        <w:rPr>
          <w:rFonts w:ascii="Times New Roman" w:hAnsi="Times New Roman"/>
          <w:sz w:val="20"/>
        </w:rPr>
      </w:pPr>
      <w:r>
        <w:rPr>
          <w:rFonts w:ascii="Times New Roman" w:hAnsi="Times New Roman"/>
          <w:sz w:val="20"/>
        </w:rPr>
        <w:t xml:space="preserve">(c) For the avoidance of doubt it is understood that (i) any transaction permitted by Sections 2.11 shall not be subject to this Section 10.1 and the Company and the Administrative Agent may, without the input or consent of any other Lender (except to the extent provided in any such Section), effect amendments to this Agreement as may be necessary in the reasonable opinion of the Company and the Administrative Agent to effect the provisions of such Sections (including any definitions relating to or necessary to effectuate the foregoing) and (ii) the delivery of a Guarantee Joinder shall not constitute an amendment, supplement or modification for purposes of this Section 10.1 and shall be effective upon the delivery thereof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(d) In addition, notwithstanding the foregoing, this Agreement may be amended after the Closing Date without consent of the Lenders, so long as no Default or Event of Default shall have occurred and be continuing, as follows: </w:t>
      </w:r>
    </w:p>
    <w:p>
      <w:pPr>
        <w:pStyle w:val="TextBody"/>
        <w:bidi w:val="0"/>
        <w:spacing w:before="240" w:after="0"/>
        <w:jc w:val="left"/>
        <w:rPr>
          <w:rFonts w:ascii="Times New Roman" w:hAnsi="Times New Roman"/>
          <w:sz w:val="20"/>
        </w:rPr>
      </w:pPr>
      <w:r>
        <w:rPr>
          <w:rFonts w:ascii="Times New Roman" w:hAnsi="Times New Roman"/>
          <w:sz w:val="20"/>
        </w:rPr>
        <w:t xml:space="preserve">(i) to designate any Domestic Subsidiary of the Company as a Subsidiary Borrower upon (A) ten Business Days prior notice to the Administrative Agent (such notice to contain the name, primary business address and taxpayer identification number of such Domestic Subsidiary), (B) the execution and delivery by the Company, such Domestic Subsidiary and the Administrative Agent of a Borrower Joinder Agreement, providing for such Domestic Subsidiary to become a Subsidiary Borrower, (C) the agreement and acknowledgment by the Company and each Subsidiary Guarantor (if any), that the Guarantee covers the Obligations of such Domestic Subsidiary, (D) the delivery to the Administrative Agent of corporate or other applicable resolutions, other corporate or other applicable documents, certificates and legal opinions in respect of such Domestic Subsidiary reasonably equivalent to comparable documents delivered on the Closing Date and (E) the delivery to the Administrative Agent of any documentation or other information reasonably requested by the Administrative Agent and necessary to satisfy obligations of the Lenders described in Section 10.18 or any applicable know your customer or other anti-money-laundering Requirement of Law; and </w:t>
      </w:r>
    </w:p>
    <w:p>
      <w:pPr>
        <w:pStyle w:val="TextBody"/>
        <w:bidi w:val="0"/>
        <w:spacing w:before="240" w:after="0"/>
        <w:jc w:val="left"/>
        <w:rPr>
          <w:rFonts w:ascii="Times New Roman" w:hAnsi="Times New Roman"/>
          <w:sz w:val="20"/>
        </w:rPr>
      </w:pPr>
      <w:r>
        <w:rPr>
          <w:rFonts w:ascii="Times New Roman" w:hAnsi="Times New Roman"/>
          <w:sz w:val="20"/>
        </w:rPr>
        <w:t xml:space="preserve">(ii) to remove any Subsidiary as a Subsidiary Borrower upon (A) execution and delivery by the Company to the Administrative Agent of a written notification to such effect, (B) repayment in full of all Loans made to such Subsidiary Borrower and (C) repayment in full of all other amounts owing by such Subsidiary Borrower under this Agreement and the other Loan Documents (it being agreed that any such repayment shall be in accordance with the other terms of this Agreement) (it being understood that in the event any Subsidiary Borrower shall cease to be a Subsidiary of the Company, the Company shall remove such Subsidiary Borrower as a Subsidiary Borrower hereunder in accordance with the terms of this clause (ii)).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in this Agreement or any other Loan Document to the contrary, this Agreement may be amended, supplemented or otherwise modified as set forth in Section 2.18.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Notices.</w:t>
      </w:r>
      <w:r>
        <w:rPr>
          <w:rFonts w:ascii="Times New Roman" w:hAnsi="Times New Roman"/>
          <w:sz w:val="20"/>
        </w:rPr>
        <w:t xml:space="preserve"> (a) All notices, requests and demands to or upon the respective parties hereto to be effective shall be in writing (including by facsimile or electronic transmission), and, unless 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any Borrower and the Administrative Agent, and as set forth in an administrative questionnaire delivered to the Administrative Agent and the Company in the case of the Lenders or to such other address as may be hereafter notified by the respective parties hereto: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02"/>
        <w:gridCol w:w="122"/>
        <w:gridCol w:w="6981"/>
      </w:tblGrid>
      <w:tr>
        <w:trPr/>
        <w:tc>
          <w:tcPr>
            <w:tcW w:w="310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981" w:type="dxa"/>
            <w:tcBorders/>
            <w:vAlign w:val="center"/>
          </w:tcPr>
          <w:p>
            <w:pPr>
              <w:pStyle w:val="TableContents"/>
              <w:bidi w:val="0"/>
              <w:spacing w:before="0" w:after="283"/>
              <w:jc w:val="left"/>
              <w:rPr>
                <w:sz w:val="4"/>
                <w:szCs w:val="4"/>
              </w:rPr>
            </w:pPr>
            <w:r>
              <w:rPr>
                <w:sz w:val="4"/>
                <w:szCs w:val="4"/>
              </w:rPr>
            </w:r>
          </w:p>
        </w:tc>
      </w:tr>
      <w:tr>
        <w:trPr/>
        <w:tc>
          <w:tcPr>
            <w:tcW w:w="3102" w:type="dxa"/>
            <w:tcBorders/>
          </w:tcPr>
          <w:p>
            <w:pPr>
              <w:pStyle w:val="TableContents"/>
              <w:bidi w:val="0"/>
              <w:spacing w:before="0" w:after="283"/>
              <w:jc w:val="left"/>
              <w:rPr/>
            </w:pPr>
            <w:r>
              <w:rPr/>
              <w:t>Any Borrower:</w:t>
            </w:r>
          </w:p>
        </w:tc>
        <w:tc>
          <w:tcPr>
            <w:tcW w:w="122" w:type="dxa"/>
            <w:tcBorders/>
            <w:vAlign w:val="bottom"/>
          </w:tcPr>
          <w:p>
            <w:pPr>
              <w:pStyle w:val="TableContents"/>
              <w:bidi w:val="0"/>
              <w:spacing w:before="0" w:after="283"/>
              <w:jc w:val="left"/>
              <w:rPr/>
            </w:pPr>
            <w:r>
              <w:rPr/>
              <w:t>  </w:t>
            </w:r>
          </w:p>
        </w:tc>
        <w:tc>
          <w:tcPr>
            <w:tcW w:w="6981" w:type="dxa"/>
            <w:tcBorders/>
          </w:tcPr>
          <w:p>
            <w:pPr>
              <w:pStyle w:val="TableContents"/>
              <w:bidi w:val="0"/>
              <w:spacing w:before="0" w:after="0"/>
              <w:jc w:val="left"/>
              <w:rPr>
                <w:rFonts w:ascii="Times New Roman" w:hAnsi="Times New Roman"/>
                <w:sz w:val="20"/>
              </w:rPr>
            </w:pPr>
            <w:r>
              <w:rPr>
                <w:rFonts w:ascii="Times New Roman" w:hAnsi="Times New Roman"/>
                <w:sz w:val="20"/>
              </w:rPr>
              <w:t>General Motors Company</w:t>
            </w:r>
          </w:p>
          <w:p>
            <w:pPr>
              <w:pStyle w:val="TableContents"/>
              <w:bidi w:val="0"/>
              <w:spacing w:before="0" w:after="0"/>
              <w:jc w:val="left"/>
              <w:rPr>
                <w:rFonts w:ascii="Times New Roman" w:hAnsi="Times New Roman"/>
                <w:sz w:val="20"/>
              </w:rPr>
            </w:pPr>
            <w:r>
              <w:rPr>
                <w:rFonts w:ascii="Times New Roman" w:hAnsi="Times New Roman"/>
                <w:sz w:val="20"/>
              </w:rPr>
              <w:t>Detroit Treasury Office</w:t>
            </w:r>
          </w:p>
          <w:p>
            <w:pPr>
              <w:pStyle w:val="TableContents"/>
              <w:bidi w:val="0"/>
              <w:spacing w:before="0" w:after="0"/>
              <w:jc w:val="left"/>
              <w:rPr>
                <w:rFonts w:ascii="Times New Roman" w:hAnsi="Times New Roman"/>
                <w:sz w:val="20"/>
              </w:rPr>
            </w:pPr>
            <w:r>
              <w:rPr>
                <w:rFonts w:ascii="Times New Roman" w:hAnsi="Times New Roman"/>
                <w:sz w:val="20"/>
              </w:rPr>
              <w:t>300 Renaissance Center</w:t>
            </w:r>
          </w:p>
          <w:p>
            <w:pPr>
              <w:pStyle w:val="TableContents"/>
              <w:bidi w:val="0"/>
              <w:spacing w:before="0" w:after="0"/>
              <w:jc w:val="left"/>
              <w:rPr>
                <w:rFonts w:ascii="Times New Roman" w:hAnsi="Times New Roman"/>
                <w:sz w:val="20"/>
              </w:rPr>
            </w:pPr>
            <w:r>
              <w:rPr>
                <w:rFonts w:ascii="Times New Roman" w:hAnsi="Times New Roman"/>
                <w:sz w:val="20"/>
              </w:rPr>
              <w:t>Mail code: 482-C26-A68</w:t>
            </w:r>
          </w:p>
          <w:p>
            <w:pPr>
              <w:pStyle w:val="TableContents"/>
              <w:bidi w:val="0"/>
              <w:spacing w:before="0" w:after="0"/>
              <w:jc w:val="left"/>
              <w:rPr>
                <w:rFonts w:ascii="Times New Roman" w:hAnsi="Times New Roman"/>
                <w:sz w:val="20"/>
              </w:rPr>
            </w:pPr>
            <w:r>
              <w:rPr>
                <w:rFonts w:ascii="Times New Roman" w:hAnsi="Times New Roman"/>
                <w:sz w:val="20"/>
              </w:rPr>
              <w:t>Detroit, MI 48265</w:t>
            </w:r>
          </w:p>
          <w:p>
            <w:pPr>
              <w:pStyle w:val="TableContents"/>
              <w:bidi w:val="0"/>
              <w:spacing w:before="0" w:after="20"/>
              <w:jc w:val="left"/>
              <w:rPr>
                <w:rFonts w:ascii="Times New Roman" w:hAnsi="Times New Roman"/>
                <w:sz w:val="20"/>
              </w:rPr>
            </w:pPr>
            <w:r>
              <w:rPr>
                <w:rFonts w:ascii="Times New Roman" w:hAnsi="Times New Roman"/>
                <w:sz w:val="20"/>
              </w:rPr>
              <w:t>Attention: Treasurer</w:t>
            </w:r>
          </w:p>
        </w:tc>
      </w:tr>
      <w:tr>
        <w:trPr>
          <w:trHeight w:val="120" w:hRule="atLeast"/>
        </w:trPr>
        <w:tc>
          <w:tcPr>
            <w:tcW w:w="3102" w:type="dxa"/>
            <w:tcBorders/>
            <w:vAlign w:val="center"/>
          </w:tcPr>
          <w:p>
            <w:pPr>
              <w:pStyle w:val="TableContents"/>
              <w:bidi w:val="0"/>
              <w:spacing w:before="0" w:after="283"/>
              <w:jc w:val="left"/>
              <w:rPr>
                <w:sz w:val="4"/>
                <w:szCs w:val="4"/>
              </w:rPr>
            </w:pPr>
            <w:r>
              <w:rPr>
                <w:sz w:val="4"/>
                <w:szCs w:val="4"/>
              </w:rPr>
            </w:r>
          </w:p>
        </w:tc>
        <w:tc>
          <w:tcPr>
            <w:tcW w:w="7103" w:type="dxa"/>
            <w:gridSpan w:val="2"/>
            <w:tcBorders/>
            <w:vAlign w:val="center"/>
          </w:tcPr>
          <w:p>
            <w:pPr>
              <w:pStyle w:val="TableContents"/>
              <w:bidi w:val="0"/>
              <w:spacing w:before="0" w:after="283"/>
              <w:jc w:val="left"/>
              <w:rPr>
                <w:sz w:val="4"/>
                <w:szCs w:val="4"/>
              </w:rPr>
            </w:pPr>
            <w:r>
              <w:rPr>
                <w:sz w:val="4"/>
                <w:szCs w:val="4"/>
              </w:rPr>
            </w:r>
          </w:p>
        </w:tc>
      </w:tr>
      <w:tr>
        <w:trPr/>
        <w:tc>
          <w:tcPr>
            <w:tcW w:w="3102" w:type="dxa"/>
            <w:tcBorders/>
          </w:tcPr>
          <w:p>
            <w:pPr>
              <w:pStyle w:val="TableContents"/>
              <w:bidi w:val="0"/>
              <w:spacing w:before="0" w:after="283"/>
              <w:jc w:val="left"/>
              <w:rPr/>
            </w:pPr>
            <w:r>
              <w:rPr/>
              <w:t>with a copy to (which shall not constitute notice):</w:t>
            </w:r>
          </w:p>
        </w:tc>
        <w:tc>
          <w:tcPr>
            <w:tcW w:w="122" w:type="dxa"/>
            <w:tcBorders/>
            <w:vAlign w:val="bottom"/>
          </w:tcPr>
          <w:p>
            <w:pPr>
              <w:pStyle w:val="TableContents"/>
              <w:bidi w:val="0"/>
              <w:spacing w:before="0" w:after="283"/>
              <w:jc w:val="left"/>
              <w:rPr/>
            </w:pPr>
            <w:r>
              <w:rPr/>
              <w:t>  </w:t>
            </w:r>
          </w:p>
        </w:tc>
        <w:tc>
          <w:tcPr>
            <w:tcW w:w="6981" w:type="dxa"/>
            <w:tcBorders/>
          </w:tcPr>
          <w:p>
            <w:pPr>
              <w:pStyle w:val="TableContents"/>
              <w:bidi w:val="0"/>
              <w:spacing w:before="0" w:after="0"/>
              <w:jc w:val="left"/>
              <w:rPr>
                <w:rFonts w:ascii="Times New Roman" w:hAnsi="Times New Roman"/>
                <w:sz w:val="20"/>
              </w:rPr>
            </w:pPr>
            <w:r>
              <w:rPr>
                <w:rFonts w:ascii="Times New Roman" w:hAnsi="Times New Roman"/>
                <w:sz w:val="20"/>
              </w:rPr>
              <w:t>General Motors Company</w:t>
            </w:r>
          </w:p>
          <w:p>
            <w:pPr>
              <w:pStyle w:val="TableContents"/>
              <w:bidi w:val="0"/>
              <w:spacing w:before="0" w:after="0"/>
              <w:jc w:val="left"/>
              <w:rPr>
                <w:rFonts w:ascii="Times New Roman" w:hAnsi="Times New Roman"/>
                <w:sz w:val="20"/>
              </w:rPr>
            </w:pPr>
            <w:r>
              <w:rPr>
                <w:rFonts w:ascii="Times New Roman" w:hAnsi="Times New Roman"/>
                <w:sz w:val="20"/>
              </w:rPr>
              <w:t>Detroit Treasury Office</w:t>
            </w:r>
          </w:p>
          <w:p>
            <w:pPr>
              <w:pStyle w:val="TableContents"/>
              <w:bidi w:val="0"/>
              <w:spacing w:before="0" w:after="0"/>
              <w:jc w:val="left"/>
              <w:rPr>
                <w:rFonts w:ascii="Times New Roman" w:hAnsi="Times New Roman"/>
                <w:sz w:val="20"/>
              </w:rPr>
            </w:pPr>
            <w:r>
              <w:rPr>
                <w:rFonts w:ascii="Times New Roman" w:hAnsi="Times New Roman"/>
                <w:sz w:val="20"/>
              </w:rPr>
              <w:t>300 Renaissance Center</w:t>
            </w:r>
          </w:p>
          <w:p>
            <w:pPr>
              <w:pStyle w:val="TableContents"/>
              <w:bidi w:val="0"/>
              <w:spacing w:before="0" w:after="0"/>
              <w:jc w:val="left"/>
              <w:rPr>
                <w:rFonts w:ascii="Times New Roman" w:hAnsi="Times New Roman"/>
                <w:sz w:val="20"/>
              </w:rPr>
            </w:pPr>
            <w:r>
              <w:rPr>
                <w:rFonts w:ascii="Times New Roman" w:hAnsi="Times New Roman"/>
                <w:sz w:val="20"/>
              </w:rPr>
              <w:t>Mail code: 482-C26-D41</w:t>
            </w:r>
          </w:p>
          <w:p>
            <w:pPr>
              <w:pStyle w:val="TableContents"/>
              <w:bidi w:val="0"/>
              <w:spacing w:before="0" w:after="0"/>
              <w:jc w:val="left"/>
              <w:rPr>
                <w:rFonts w:ascii="Times New Roman" w:hAnsi="Times New Roman"/>
                <w:sz w:val="20"/>
              </w:rPr>
            </w:pPr>
            <w:r>
              <w:rPr>
                <w:rFonts w:ascii="Times New Roman" w:hAnsi="Times New Roman"/>
                <w:sz w:val="20"/>
              </w:rPr>
              <w:t>Detroit, MI 48265</w:t>
            </w:r>
          </w:p>
          <w:p>
            <w:pPr>
              <w:pStyle w:val="TableContents"/>
              <w:bidi w:val="0"/>
              <w:spacing w:before="0" w:after="20"/>
              <w:jc w:val="left"/>
              <w:rPr>
                <w:rFonts w:ascii="Times New Roman" w:hAnsi="Times New Roman"/>
                <w:sz w:val="20"/>
              </w:rPr>
            </w:pPr>
            <w:r>
              <w:rPr>
                <w:rFonts w:ascii="Times New Roman" w:hAnsi="Times New Roman"/>
                <w:sz w:val="20"/>
              </w:rPr>
              <w:t>Attention: Assistant Treasurer</w:t>
            </w:r>
          </w:p>
        </w:tc>
      </w:tr>
      <w:tr>
        <w:trPr>
          <w:trHeight w:val="120" w:hRule="atLeast"/>
        </w:trPr>
        <w:tc>
          <w:tcPr>
            <w:tcW w:w="3102" w:type="dxa"/>
            <w:tcBorders/>
            <w:vAlign w:val="center"/>
          </w:tcPr>
          <w:p>
            <w:pPr>
              <w:pStyle w:val="TableContents"/>
              <w:bidi w:val="0"/>
              <w:spacing w:before="0" w:after="283"/>
              <w:jc w:val="left"/>
              <w:rPr>
                <w:sz w:val="4"/>
                <w:szCs w:val="4"/>
              </w:rPr>
            </w:pPr>
            <w:r>
              <w:rPr>
                <w:sz w:val="4"/>
                <w:szCs w:val="4"/>
              </w:rPr>
            </w:r>
          </w:p>
        </w:tc>
        <w:tc>
          <w:tcPr>
            <w:tcW w:w="7103" w:type="dxa"/>
            <w:gridSpan w:val="2"/>
            <w:tcBorders/>
            <w:vAlign w:val="center"/>
          </w:tcPr>
          <w:p>
            <w:pPr>
              <w:pStyle w:val="TableContents"/>
              <w:bidi w:val="0"/>
              <w:spacing w:before="0" w:after="283"/>
              <w:jc w:val="left"/>
              <w:rPr>
                <w:sz w:val="4"/>
                <w:szCs w:val="4"/>
              </w:rPr>
            </w:pPr>
            <w:r>
              <w:rPr>
                <w:sz w:val="4"/>
                <w:szCs w:val="4"/>
              </w:rPr>
            </w:r>
          </w:p>
        </w:tc>
      </w:tr>
      <w:tr>
        <w:trPr/>
        <w:tc>
          <w:tcPr>
            <w:tcW w:w="3102" w:type="dxa"/>
            <w:tcBorders/>
          </w:tcPr>
          <w:p>
            <w:pPr>
              <w:pStyle w:val="TableContents"/>
              <w:bidi w:val="0"/>
              <w:spacing w:before="0" w:after="283"/>
              <w:jc w:val="left"/>
              <w:rPr/>
            </w:pPr>
            <w:r>
              <w:rPr/>
              <w:t>with a further copy to (which shall not constitute notice):</w:t>
            </w:r>
          </w:p>
        </w:tc>
        <w:tc>
          <w:tcPr>
            <w:tcW w:w="122" w:type="dxa"/>
            <w:tcBorders/>
            <w:vAlign w:val="bottom"/>
          </w:tcPr>
          <w:p>
            <w:pPr>
              <w:pStyle w:val="TableContents"/>
              <w:bidi w:val="0"/>
              <w:spacing w:before="0" w:after="283"/>
              <w:jc w:val="left"/>
              <w:rPr/>
            </w:pPr>
            <w:r>
              <w:rPr/>
              <w:t>  </w:t>
            </w:r>
          </w:p>
        </w:tc>
        <w:tc>
          <w:tcPr>
            <w:tcW w:w="6981" w:type="dxa"/>
            <w:tcBorders/>
          </w:tcPr>
          <w:p>
            <w:pPr>
              <w:pStyle w:val="TableContents"/>
              <w:bidi w:val="0"/>
              <w:spacing w:before="0" w:after="0"/>
              <w:jc w:val="left"/>
              <w:rPr>
                <w:rFonts w:ascii="Times New Roman" w:hAnsi="Times New Roman"/>
                <w:sz w:val="20"/>
              </w:rPr>
            </w:pPr>
            <w:r>
              <w:rPr>
                <w:rFonts w:ascii="Times New Roman" w:hAnsi="Times New Roman"/>
                <w:sz w:val="20"/>
              </w:rPr>
              <w:t>General Motors Company</w:t>
            </w:r>
          </w:p>
          <w:p>
            <w:pPr>
              <w:pStyle w:val="TableContents"/>
              <w:bidi w:val="0"/>
              <w:spacing w:before="0" w:after="0"/>
              <w:jc w:val="left"/>
              <w:rPr>
                <w:rFonts w:ascii="Times New Roman" w:hAnsi="Times New Roman"/>
                <w:sz w:val="20"/>
              </w:rPr>
            </w:pPr>
            <w:r>
              <w:rPr>
                <w:rFonts w:ascii="Times New Roman" w:hAnsi="Times New Roman"/>
                <w:sz w:val="20"/>
              </w:rPr>
              <w:t>Detroit Treasury Office</w:t>
            </w:r>
          </w:p>
          <w:p>
            <w:pPr>
              <w:pStyle w:val="TableContents"/>
              <w:bidi w:val="0"/>
              <w:spacing w:before="0" w:after="0"/>
              <w:jc w:val="left"/>
              <w:rPr>
                <w:rFonts w:ascii="Times New Roman" w:hAnsi="Times New Roman"/>
                <w:sz w:val="20"/>
              </w:rPr>
            </w:pPr>
            <w:r>
              <w:rPr>
                <w:rFonts w:ascii="Times New Roman" w:hAnsi="Times New Roman"/>
                <w:sz w:val="20"/>
              </w:rPr>
              <w:t>300 Renaissance Center</w:t>
            </w:r>
          </w:p>
          <w:p>
            <w:pPr>
              <w:pStyle w:val="TableContents"/>
              <w:bidi w:val="0"/>
              <w:spacing w:before="0" w:after="0"/>
              <w:jc w:val="left"/>
              <w:rPr>
                <w:rFonts w:ascii="Times New Roman" w:hAnsi="Times New Roman"/>
                <w:sz w:val="20"/>
              </w:rPr>
            </w:pPr>
            <w:r>
              <w:rPr>
                <w:rFonts w:ascii="Times New Roman" w:hAnsi="Times New Roman"/>
                <w:sz w:val="20"/>
              </w:rPr>
              <w:t>Mail code: 482-C26-C18</w:t>
            </w:r>
          </w:p>
          <w:p>
            <w:pPr>
              <w:pStyle w:val="TableContents"/>
              <w:bidi w:val="0"/>
              <w:spacing w:before="0" w:after="0"/>
              <w:jc w:val="left"/>
              <w:rPr>
                <w:rFonts w:ascii="Times New Roman" w:hAnsi="Times New Roman"/>
                <w:sz w:val="20"/>
              </w:rPr>
            </w:pPr>
            <w:r>
              <w:rPr>
                <w:rFonts w:ascii="Times New Roman" w:hAnsi="Times New Roman"/>
                <w:sz w:val="20"/>
              </w:rPr>
              <w:t>Detroit, MI 48265</w:t>
            </w:r>
          </w:p>
          <w:p>
            <w:pPr>
              <w:pStyle w:val="TableContents"/>
              <w:bidi w:val="0"/>
              <w:spacing w:before="0" w:after="20"/>
              <w:jc w:val="left"/>
              <w:rPr>
                <w:rFonts w:ascii="Times New Roman" w:hAnsi="Times New Roman"/>
                <w:sz w:val="20"/>
              </w:rPr>
            </w:pPr>
            <w:r>
              <w:rPr>
                <w:rFonts w:ascii="Times New Roman" w:hAnsi="Times New Roman"/>
                <w:sz w:val="20"/>
              </w:rPr>
              <w:t>Attention: Director, Capital Markets</w:t>
            </w:r>
          </w:p>
        </w:tc>
      </w:tr>
      <w:tr>
        <w:trPr>
          <w:trHeight w:val="120" w:hRule="atLeast"/>
        </w:trPr>
        <w:tc>
          <w:tcPr>
            <w:tcW w:w="3102" w:type="dxa"/>
            <w:tcBorders/>
            <w:vAlign w:val="center"/>
          </w:tcPr>
          <w:p>
            <w:pPr>
              <w:pStyle w:val="TableContents"/>
              <w:bidi w:val="0"/>
              <w:spacing w:before="0" w:after="283"/>
              <w:jc w:val="left"/>
              <w:rPr>
                <w:sz w:val="4"/>
                <w:szCs w:val="4"/>
              </w:rPr>
            </w:pPr>
            <w:r>
              <w:rPr>
                <w:sz w:val="4"/>
                <w:szCs w:val="4"/>
              </w:rPr>
            </w:r>
          </w:p>
        </w:tc>
        <w:tc>
          <w:tcPr>
            <w:tcW w:w="7103" w:type="dxa"/>
            <w:gridSpan w:val="2"/>
            <w:tcBorders/>
            <w:vAlign w:val="center"/>
          </w:tcPr>
          <w:p>
            <w:pPr>
              <w:pStyle w:val="TableContents"/>
              <w:bidi w:val="0"/>
              <w:spacing w:before="0" w:after="283"/>
              <w:jc w:val="left"/>
              <w:rPr>
                <w:sz w:val="4"/>
                <w:szCs w:val="4"/>
              </w:rPr>
            </w:pPr>
            <w:r>
              <w:rPr>
                <w:sz w:val="4"/>
                <w:szCs w:val="4"/>
              </w:rPr>
            </w:r>
          </w:p>
        </w:tc>
      </w:tr>
      <w:tr>
        <w:trPr/>
        <w:tc>
          <w:tcPr>
            <w:tcW w:w="3102" w:type="dxa"/>
            <w:tcBorders/>
          </w:tcPr>
          <w:p>
            <w:pPr>
              <w:pStyle w:val="TableContents"/>
              <w:bidi w:val="0"/>
              <w:spacing w:before="0" w:after="283"/>
              <w:jc w:val="left"/>
              <w:rPr/>
            </w:pPr>
            <w:r>
              <w:rPr/>
              <w:t>with a further copy to (which shall not constitute notice):</w:t>
            </w:r>
          </w:p>
        </w:tc>
        <w:tc>
          <w:tcPr>
            <w:tcW w:w="122" w:type="dxa"/>
            <w:tcBorders/>
            <w:vAlign w:val="bottom"/>
          </w:tcPr>
          <w:p>
            <w:pPr>
              <w:pStyle w:val="TableContents"/>
              <w:bidi w:val="0"/>
              <w:spacing w:before="0" w:after="283"/>
              <w:jc w:val="left"/>
              <w:rPr/>
            </w:pPr>
            <w:r>
              <w:rPr/>
              <w:t>  </w:t>
            </w:r>
          </w:p>
        </w:tc>
        <w:tc>
          <w:tcPr>
            <w:tcW w:w="6981" w:type="dxa"/>
            <w:tcBorders/>
          </w:tcPr>
          <w:p>
            <w:pPr>
              <w:pStyle w:val="TableContents"/>
              <w:bidi w:val="0"/>
              <w:spacing w:before="0" w:after="0"/>
              <w:jc w:val="left"/>
              <w:rPr>
                <w:rFonts w:ascii="Times New Roman" w:hAnsi="Times New Roman"/>
                <w:sz w:val="20"/>
              </w:rPr>
            </w:pPr>
            <w:r>
              <w:rPr>
                <w:rFonts w:ascii="Times New Roman" w:hAnsi="Times New Roman"/>
                <w:sz w:val="20"/>
              </w:rPr>
              <w:t>General Motors Company</w:t>
            </w:r>
          </w:p>
          <w:p>
            <w:pPr>
              <w:pStyle w:val="TableContents"/>
              <w:bidi w:val="0"/>
              <w:spacing w:before="0" w:after="0"/>
              <w:jc w:val="left"/>
              <w:rPr>
                <w:rFonts w:ascii="Times New Roman" w:hAnsi="Times New Roman"/>
                <w:sz w:val="20"/>
              </w:rPr>
            </w:pPr>
            <w:r>
              <w:rPr>
                <w:rFonts w:ascii="Times New Roman" w:hAnsi="Times New Roman"/>
                <w:sz w:val="20"/>
              </w:rPr>
              <w:t>Detroit Treasury Office</w:t>
            </w:r>
          </w:p>
          <w:p>
            <w:pPr>
              <w:pStyle w:val="TableContents"/>
              <w:bidi w:val="0"/>
              <w:spacing w:before="0" w:after="0"/>
              <w:jc w:val="left"/>
              <w:rPr>
                <w:rFonts w:ascii="Times New Roman" w:hAnsi="Times New Roman"/>
                <w:sz w:val="20"/>
              </w:rPr>
            </w:pPr>
            <w:r>
              <w:rPr>
                <w:rFonts w:ascii="Times New Roman" w:hAnsi="Times New Roman"/>
                <w:sz w:val="20"/>
              </w:rPr>
              <w:t>300 Renaissance Center</w:t>
            </w:r>
          </w:p>
          <w:p>
            <w:pPr>
              <w:pStyle w:val="TableContents"/>
              <w:bidi w:val="0"/>
              <w:spacing w:before="0" w:after="0"/>
              <w:jc w:val="left"/>
              <w:rPr>
                <w:rFonts w:ascii="Times New Roman" w:hAnsi="Times New Roman"/>
                <w:sz w:val="20"/>
              </w:rPr>
            </w:pPr>
            <w:r>
              <w:rPr>
                <w:rFonts w:ascii="Times New Roman" w:hAnsi="Times New Roman"/>
                <w:sz w:val="20"/>
              </w:rPr>
              <w:t>Mail code: 482-C26-B98</w:t>
            </w:r>
          </w:p>
          <w:p>
            <w:pPr>
              <w:pStyle w:val="TableContents"/>
              <w:bidi w:val="0"/>
              <w:spacing w:before="0" w:after="0"/>
              <w:jc w:val="left"/>
              <w:rPr>
                <w:rFonts w:ascii="Times New Roman" w:hAnsi="Times New Roman"/>
                <w:sz w:val="20"/>
              </w:rPr>
            </w:pPr>
            <w:r>
              <w:rPr>
                <w:rFonts w:ascii="Times New Roman" w:hAnsi="Times New Roman"/>
                <w:sz w:val="20"/>
              </w:rPr>
              <w:t>Detroit, MI 48265</w:t>
            </w:r>
          </w:p>
          <w:p>
            <w:pPr>
              <w:pStyle w:val="TableContents"/>
              <w:bidi w:val="0"/>
              <w:spacing w:before="0" w:after="20"/>
              <w:jc w:val="left"/>
              <w:rPr>
                <w:rFonts w:ascii="Times New Roman" w:hAnsi="Times New Roman"/>
                <w:sz w:val="20"/>
              </w:rPr>
            </w:pPr>
            <w:r>
              <w:rPr>
                <w:rFonts w:ascii="Times New Roman" w:hAnsi="Times New Roman"/>
                <w:sz w:val="20"/>
              </w:rPr>
              <w:t>Attention: Director, Treasury Operations</w:t>
            </w:r>
          </w:p>
        </w:tc>
      </w:tr>
      <w:tr>
        <w:trPr>
          <w:trHeight w:val="120" w:hRule="atLeast"/>
        </w:trPr>
        <w:tc>
          <w:tcPr>
            <w:tcW w:w="3102" w:type="dxa"/>
            <w:tcBorders/>
            <w:vAlign w:val="center"/>
          </w:tcPr>
          <w:p>
            <w:pPr>
              <w:pStyle w:val="TableContents"/>
              <w:bidi w:val="0"/>
              <w:spacing w:before="0" w:after="283"/>
              <w:jc w:val="left"/>
              <w:rPr>
                <w:sz w:val="4"/>
                <w:szCs w:val="4"/>
              </w:rPr>
            </w:pPr>
            <w:r>
              <w:rPr>
                <w:sz w:val="4"/>
                <w:szCs w:val="4"/>
              </w:rPr>
            </w:r>
          </w:p>
        </w:tc>
        <w:tc>
          <w:tcPr>
            <w:tcW w:w="7103" w:type="dxa"/>
            <w:gridSpan w:val="2"/>
            <w:tcBorders/>
            <w:vAlign w:val="center"/>
          </w:tcPr>
          <w:p>
            <w:pPr>
              <w:pStyle w:val="TableContents"/>
              <w:bidi w:val="0"/>
              <w:spacing w:before="0" w:after="283"/>
              <w:jc w:val="left"/>
              <w:rPr>
                <w:sz w:val="4"/>
                <w:szCs w:val="4"/>
              </w:rPr>
            </w:pPr>
            <w:r>
              <w:rPr>
                <w:sz w:val="4"/>
                <w:szCs w:val="4"/>
              </w:rPr>
            </w:r>
          </w:p>
        </w:tc>
      </w:tr>
      <w:tr>
        <w:trPr/>
        <w:tc>
          <w:tcPr>
            <w:tcW w:w="3102" w:type="dxa"/>
            <w:tcBorders/>
          </w:tcPr>
          <w:p>
            <w:pPr>
              <w:pStyle w:val="TableContents"/>
              <w:bidi w:val="0"/>
              <w:spacing w:before="0" w:after="283"/>
              <w:jc w:val="left"/>
              <w:rPr/>
            </w:pPr>
            <w:r>
              <w:rPr/>
              <w:t>with a further copy to (which shall not constitute notice):</w:t>
            </w:r>
          </w:p>
        </w:tc>
        <w:tc>
          <w:tcPr>
            <w:tcW w:w="122" w:type="dxa"/>
            <w:tcBorders/>
            <w:vAlign w:val="bottom"/>
          </w:tcPr>
          <w:p>
            <w:pPr>
              <w:pStyle w:val="TableContents"/>
              <w:bidi w:val="0"/>
              <w:spacing w:before="0" w:after="283"/>
              <w:jc w:val="left"/>
              <w:rPr/>
            </w:pPr>
            <w:r>
              <w:rPr/>
              <w:t>  </w:t>
            </w:r>
          </w:p>
        </w:tc>
        <w:tc>
          <w:tcPr>
            <w:tcW w:w="6981" w:type="dxa"/>
            <w:tcBorders/>
          </w:tcPr>
          <w:p>
            <w:pPr>
              <w:pStyle w:val="TableContents"/>
              <w:bidi w:val="0"/>
              <w:spacing w:before="0" w:after="0"/>
              <w:jc w:val="left"/>
              <w:rPr>
                <w:rFonts w:ascii="Times New Roman" w:hAnsi="Times New Roman"/>
                <w:sz w:val="20"/>
              </w:rPr>
            </w:pPr>
            <w:r>
              <w:rPr>
                <w:rFonts w:ascii="Times New Roman" w:hAnsi="Times New Roman"/>
                <w:sz w:val="20"/>
              </w:rPr>
              <w:t>General Motors Company</w:t>
            </w:r>
          </w:p>
          <w:p>
            <w:pPr>
              <w:pStyle w:val="TableContents"/>
              <w:bidi w:val="0"/>
              <w:spacing w:before="0" w:after="0"/>
              <w:jc w:val="left"/>
              <w:rPr>
                <w:rFonts w:ascii="Times New Roman" w:hAnsi="Times New Roman"/>
                <w:sz w:val="20"/>
              </w:rPr>
            </w:pPr>
            <w:r>
              <w:rPr>
                <w:rFonts w:ascii="Times New Roman" w:hAnsi="Times New Roman"/>
                <w:sz w:val="20"/>
              </w:rPr>
              <w:t>Mail Code 482-C39-B40</w:t>
            </w:r>
          </w:p>
          <w:p>
            <w:pPr>
              <w:pStyle w:val="TableContents"/>
              <w:bidi w:val="0"/>
              <w:spacing w:before="0" w:after="0"/>
              <w:jc w:val="left"/>
              <w:rPr>
                <w:rFonts w:ascii="Times New Roman" w:hAnsi="Times New Roman"/>
                <w:sz w:val="20"/>
              </w:rPr>
            </w:pPr>
            <w:r>
              <w:rPr>
                <w:rFonts w:ascii="Times New Roman" w:hAnsi="Times New Roman"/>
                <w:sz w:val="20"/>
              </w:rPr>
              <w:t>300 Renaissance Center</w:t>
            </w:r>
          </w:p>
          <w:p>
            <w:pPr>
              <w:pStyle w:val="TableContents"/>
              <w:bidi w:val="0"/>
              <w:spacing w:before="0" w:after="0"/>
              <w:jc w:val="left"/>
              <w:rPr>
                <w:rFonts w:ascii="Times New Roman" w:hAnsi="Times New Roman"/>
                <w:sz w:val="20"/>
              </w:rPr>
            </w:pPr>
            <w:r>
              <w:rPr>
                <w:rFonts w:ascii="Times New Roman" w:hAnsi="Times New Roman"/>
                <w:sz w:val="20"/>
              </w:rPr>
              <w:t>P.O. Box 300</w:t>
            </w:r>
          </w:p>
          <w:p>
            <w:pPr>
              <w:pStyle w:val="TableContents"/>
              <w:bidi w:val="0"/>
              <w:spacing w:before="0" w:after="0"/>
              <w:jc w:val="left"/>
              <w:rPr>
                <w:rFonts w:ascii="Times New Roman" w:hAnsi="Times New Roman"/>
                <w:sz w:val="20"/>
              </w:rPr>
            </w:pPr>
            <w:r>
              <w:rPr>
                <w:rFonts w:ascii="Times New Roman" w:hAnsi="Times New Roman"/>
                <w:sz w:val="20"/>
              </w:rPr>
              <w:t>Detroit, MI 48265-3000</w:t>
            </w:r>
          </w:p>
          <w:p>
            <w:pPr>
              <w:pStyle w:val="TableContents"/>
              <w:bidi w:val="0"/>
              <w:spacing w:before="0" w:after="0"/>
              <w:jc w:val="left"/>
              <w:rPr>
                <w:rFonts w:ascii="Times New Roman" w:hAnsi="Times New Roman"/>
                <w:sz w:val="20"/>
              </w:rPr>
            </w:pPr>
            <w:r>
              <w:rPr>
                <w:rFonts w:ascii="Times New Roman" w:hAnsi="Times New Roman"/>
                <w:sz w:val="20"/>
              </w:rPr>
              <w:t>Attention: General Counsel</w:t>
            </w:r>
          </w:p>
          <w:p>
            <w:pPr>
              <w:pStyle w:val="TableContents"/>
              <w:bidi w:val="0"/>
              <w:spacing w:before="0" w:after="20"/>
              <w:jc w:val="left"/>
              <w:rPr>
                <w:rFonts w:ascii="Times New Roman" w:hAnsi="Times New Roman"/>
                <w:sz w:val="20"/>
              </w:rPr>
            </w:pPr>
            <w:r>
              <w:rPr>
                <w:rFonts w:ascii="Times New Roman" w:hAnsi="Times New Roman"/>
                <w:sz w:val="20"/>
              </w:rPr>
              <w:t>Email: craig.glidden@gm.com</w:t>
            </w:r>
          </w:p>
        </w:tc>
      </w:tr>
      <w:tr>
        <w:trPr>
          <w:trHeight w:val="120" w:hRule="atLeast"/>
        </w:trPr>
        <w:tc>
          <w:tcPr>
            <w:tcW w:w="3102" w:type="dxa"/>
            <w:tcBorders/>
            <w:vAlign w:val="center"/>
          </w:tcPr>
          <w:p>
            <w:pPr>
              <w:pStyle w:val="TableContents"/>
              <w:bidi w:val="0"/>
              <w:spacing w:before="0" w:after="283"/>
              <w:jc w:val="left"/>
              <w:rPr>
                <w:sz w:val="4"/>
                <w:szCs w:val="4"/>
              </w:rPr>
            </w:pPr>
            <w:r>
              <w:rPr>
                <w:sz w:val="4"/>
                <w:szCs w:val="4"/>
              </w:rPr>
            </w:r>
          </w:p>
        </w:tc>
        <w:tc>
          <w:tcPr>
            <w:tcW w:w="7103" w:type="dxa"/>
            <w:gridSpan w:val="2"/>
            <w:tcBorders/>
            <w:vAlign w:val="center"/>
          </w:tcPr>
          <w:p>
            <w:pPr>
              <w:pStyle w:val="TableContents"/>
              <w:bidi w:val="0"/>
              <w:spacing w:before="0" w:after="283"/>
              <w:jc w:val="left"/>
              <w:rPr>
                <w:sz w:val="4"/>
                <w:szCs w:val="4"/>
              </w:rPr>
            </w:pPr>
            <w:r>
              <w:rPr>
                <w:sz w:val="4"/>
                <w:szCs w:val="4"/>
              </w:rPr>
            </w:r>
          </w:p>
        </w:tc>
      </w:tr>
      <w:tr>
        <w:trPr/>
        <w:tc>
          <w:tcPr>
            <w:tcW w:w="3102" w:type="dxa"/>
            <w:tcBorders/>
          </w:tcPr>
          <w:p>
            <w:pPr>
              <w:pStyle w:val="TableContents"/>
              <w:bidi w:val="0"/>
              <w:spacing w:before="0" w:after="283"/>
              <w:jc w:val="left"/>
              <w:rPr/>
            </w:pPr>
            <w:r>
              <w:rPr/>
              <w:t>with a further copy to (which shall not constitute notice):</w:t>
            </w:r>
          </w:p>
        </w:tc>
        <w:tc>
          <w:tcPr>
            <w:tcW w:w="122" w:type="dxa"/>
            <w:tcBorders/>
            <w:vAlign w:val="bottom"/>
          </w:tcPr>
          <w:p>
            <w:pPr>
              <w:pStyle w:val="TableContents"/>
              <w:bidi w:val="0"/>
              <w:spacing w:before="0" w:after="283"/>
              <w:jc w:val="left"/>
              <w:rPr/>
            </w:pPr>
            <w:r>
              <w:rPr/>
              <w:t>  </w:t>
            </w:r>
          </w:p>
        </w:tc>
        <w:tc>
          <w:tcPr>
            <w:tcW w:w="6981" w:type="dxa"/>
            <w:tcBorders/>
          </w:tcPr>
          <w:p>
            <w:pPr>
              <w:pStyle w:val="TableContents"/>
              <w:bidi w:val="0"/>
              <w:spacing w:before="0" w:after="0"/>
              <w:jc w:val="left"/>
              <w:rPr>
                <w:rFonts w:ascii="Times New Roman" w:hAnsi="Times New Roman"/>
                <w:sz w:val="20"/>
              </w:rPr>
            </w:pPr>
            <w:r>
              <w:rPr>
                <w:rFonts w:ascii="Times New Roman" w:hAnsi="Times New Roman"/>
                <w:sz w:val="20"/>
              </w:rPr>
              <w:t>General Motors Company</w:t>
            </w:r>
          </w:p>
          <w:p>
            <w:pPr>
              <w:pStyle w:val="TableContents"/>
              <w:bidi w:val="0"/>
              <w:spacing w:before="0" w:after="0"/>
              <w:jc w:val="left"/>
              <w:rPr>
                <w:rFonts w:ascii="Times New Roman" w:hAnsi="Times New Roman"/>
                <w:sz w:val="20"/>
              </w:rPr>
            </w:pPr>
            <w:r>
              <w:rPr>
                <w:rFonts w:ascii="Times New Roman" w:hAnsi="Times New Roman"/>
                <w:sz w:val="20"/>
              </w:rPr>
              <w:t>Mail Code 482-C23-A68</w:t>
            </w:r>
          </w:p>
          <w:p>
            <w:pPr>
              <w:pStyle w:val="TableContents"/>
              <w:bidi w:val="0"/>
              <w:spacing w:before="0" w:after="0"/>
              <w:jc w:val="left"/>
              <w:rPr>
                <w:rFonts w:ascii="Times New Roman" w:hAnsi="Times New Roman"/>
                <w:sz w:val="20"/>
              </w:rPr>
            </w:pPr>
            <w:r>
              <w:rPr>
                <w:rFonts w:ascii="Times New Roman" w:hAnsi="Times New Roman"/>
                <w:sz w:val="20"/>
              </w:rPr>
              <w:t>300 Renaissance Center</w:t>
            </w:r>
          </w:p>
          <w:p>
            <w:pPr>
              <w:pStyle w:val="TableContents"/>
              <w:bidi w:val="0"/>
              <w:spacing w:before="0" w:after="0"/>
              <w:jc w:val="left"/>
              <w:rPr>
                <w:rFonts w:ascii="Times New Roman" w:hAnsi="Times New Roman"/>
                <w:sz w:val="20"/>
              </w:rPr>
            </w:pPr>
            <w:r>
              <w:rPr>
                <w:rFonts w:ascii="Times New Roman" w:hAnsi="Times New Roman"/>
                <w:sz w:val="20"/>
              </w:rPr>
              <w:t>P.O. Box 300</w:t>
            </w:r>
          </w:p>
          <w:p>
            <w:pPr>
              <w:pStyle w:val="TableContents"/>
              <w:bidi w:val="0"/>
              <w:spacing w:before="0" w:after="0"/>
              <w:jc w:val="left"/>
              <w:rPr>
                <w:rFonts w:ascii="Times New Roman" w:hAnsi="Times New Roman"/>
                <w:sz w:val="20"/>
              </w:rPr>
            </w:pPr>
            <w:r>
              <w:rPr>
                <w:rFonts w:ascii="Times New Roman" w:hAnsi="Times New Roman"/>
                <w:sz w:val="20"/>
              </w:rPr>
              <w:t>Detroit, MI 48265-3000</w:t>
            </w:r>
          </w:p>
          <w:p>
            <w:pPr>
              <w:pStyle w:val="TableContents"/>
              <w:bidi w:val="0"/>
              <w:spacing w:before="0" w:after="0"/>
              <w:jc w:val="left"/>
              <w:rPr>
                <w:rFonts w:ascii="Times New Roman" w:hAnsi="Times New Roman"/>
                <w:sz w:val="20"/>
              </w:rPr>
            </w:pPr>
            <w:r>
              <w:rPr>
                <w:rFonts w:ascii="Times New Roman" w:hAnsi="Times New Roman"/>
                <w:sz w:val="20"/>
              </w:rPr>
              <w:t>Attention: Assistant Corporate Secretary &amp; Lead Counsel  Corporate Finance</w:t>
            </w:r>
          </w:p>
          <w:p>
            <w:pPr>
              <w:pStyle w:val="TableContents"/>
              <w:bidi w:val="0"/>
              <w:spacing w:before="0" w:after="20"/>
              <w:jc w:val="left"/>
              <w:rPr>
                <w:rFonts w:ascii="Times New Roman" w:hAnsi="Times New Roman"/>
                <w:sz w:val="20"/>
              </w:rPr>
            </w:pPr>
            <w:r>
              <w:rPr>
                <w:rFonts w:ascii="Times New Roman" w:hAnsi="Times New Roman"/>
                <w:sz w:val="20"/>
              </w:rPr>
              <w:t>Email: John.S.Kim@gm.com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063"/>
        <w:gridCol w:w="122"/>
        <w:gridCol w:w="7020"/>
      </w:tblGrid>
      <w:tr>
        <w:trPr/>
        <w:tc>
          <w:tcPr>
            <w:tcW w:w="306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02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063" w:type="dxa"/>
            <w:tcBorders/>
            <w:vAlign w:val="center"/>
          </w:tcPr>
          <w:p>
            <w:pPr>
              <w:pStyle w:val="TableContents"/>
              <w:bidi w:val="0"/>
              <w:spacing w:before="0" w:after="283"/>
              <w:jc w:val="left"/>
              <w:rPr>
                <w:sz w:val="4"/>
                <w:szCs w:val="4"/>
              </w:rPr>
            </w:pPr>
            <w:r>
              <w:rPr>
                <w:sz w:val="4"/>
                <w:szCs w:val="4"/>
              </w:rPr>
            </w:r>
          </w:p>
        </w:tc>
        <w:tc>
          <w:tcPr>
            <w:tcW w:w="7142" w:type="dxa"/>
            <w:gridSpan w:val="2"/>
            <w:tcBorders/>
            <w:vAlign w:val="center"/>
          </w:tcPr>
          <w:p>
            <w:pPr>
              <w:pStyle w:val="TableContents"/>
              <w:bidi w:val="0"/>
              <w:spacing w:before="0" w:after="283"/>
              <w:jc w:val="left"/>
              <w:rPr>
                <w:sz w:val="4"/>
                <w:szCs w:val="4"/>
              </w:rPr>
            </w:pPr>
            <w:r>
              <w:rPr>
                <w:sz w:val="4"/>
                <w:szCs w:val="4"/>
              </w:rPr>
            </w:r>
          </w:p>
        </w:tc>
      </w:tr>
      <w:tr>
        <w:trPr/>
        <w:tc>
          <w:tcPr>
            <w:tcW w:w="3063" w:type="dxa"/>
            <w:tcBorders/>
          </w:tcPr>
          <w:p>
            <w:pPr>
              <w:pStyle w:val="TableContents"/>
              <w:bidi w:val="0"/>
              <w:spacing w:before="0" w:after="283"/>
              <w:jc w:val="left"/>
              <w:rPr/>
            </w:pPr>
            <w:r>
              <w:rPr/>
              <w:t>Administrative Agent for all notices:</w:t>
            </w:r>
          </w:p>
        </w:tc>
        <w:tc>
          <w:tcPr>
            <w:tcW w:w="122" w:type="dxa"/>
            <w:tcBorders/>
            <w:vAlign w:val="bottom"/>
          </w:tcPr>
          <w:p>
            <w:pPr>
              <w:pStyle w:val="TableContents"/>
              <w:bidi w:val="0"/>
              <w:spacing w:before="0" w:after="283"/>
              <w:jc w:val="left"/>
              <w:rPr/>
            </w:pPr>
            <w:r>
              <w:rPr/>
              <w:t>  </w:t>
            </w:r>
          </w:p>
        </w:tc>
        <w:tc>
          <w:tcPr>
            <w:tcW w:w="7020" w:type="dxa"/>
            <w:tcBorders/>
          </w:tcPr>
          <w:p>
            <w:pPr>
              <w:pStyle w:val="TableContents"/>
              <w:bidi w:val="0"/>
              <w:spacing w:before="0" w:after="0"/>
              <w:jc w:val="left"/>
              <w:rPr>
                <w:rFonts w:ascii="Times New Roman" w:hAnsi="Times New Roman"/>
                <w:sz w:val="20"/>
              </w:rPr>
            </w:pPr>
            <w:r>
              <w:rPr>
                <w:rFonts w:ascii="Times New Roman" w:hAnsi="Times New Roman"/>
                <w:sz w:val="20"/>
              </w:rPr>
              <w:t>(i)If to the Administrative Agent from the Borrower, to JPMorgan Chase Bank, N.A., at the address separately provided to the Borrower.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(ii)If to the Administrative Agent from the Lenders, to JPMorgan Chase Bank, N.A., 8181 Communications Pkwy, Bldg B, Floor 6, Plano, TX, 75024, United States, </w:t>
            </w:r>
            <w:r>
              <w:rPr>
                <w:rFonts w:ascii="Times New Roman" w:hAnsi="Times New Roman"/>
                <w:sz w:val="20"/>
                <w:u w:val="single"/>
              </w:rPr>
              <w:t>marlon.mathews@jpmchase.com</w:t>
            </w:r>
            <w:r>
              <w:rPr>
                <w:rFonts w:ascii="Times New Roman" w:hAnsi="Times New Roman"/>
                <w:sz w:val="20"/>
              </w:rPr>
              <w:t>, 469-462-1337, Attention: Marlon Mathews, United States.</w:t>
            </w:r>
          </w:p>
        </w:tc>
      </w:tr>
      <w:tr>
        <w:trPr>
          <w:trHeight w:val="120" w:hRule="atLeast"/>
        </w:trPr>
        <w:tc>
          <w:tcPr>
            <w:tcW w:w="3063" w:type="dxa"/>
            <w:tcBorders/>
            <w:vAlign w:val="center"/>
          </w:tcPr>
          <w:p>
            <w:pPr>
              <w:pStyle w:val="TableContents"/>
              <w:bidi w:val="0"/>
              <w:spacing w:before="0" w:after="283"/>
              <w:jc w:val="left"/>
              <w:rPr>
                <w:sz w:val="4"/>
                <w:szCs w:val="4"/>
              </w:rPr>
            </w:pPr>
            <w:r>
              <w:rPr>
                <w:sz w:val="4"/>
                <w:szCs w:val="4"/>
              </w:rPr>
            </w:r>
          </w:p>
        </w:tc>
        <w:tc>
          <w:tcPr>
            <w:tcW w:w="7142" w:type="dxa"/>
            <w:gridSpan w:val="2"/>
            <w:tcBorders/>
            <w:vAlign w:val="center"/>
          </w:tcPr>
          <w:p>
            <w:pPr>
              <w:pStyle w:val="TableContents"/>
              <w:bidi w:val="0"/>
              <w:spacing w:before="0" w:after="283"/>
              <w:jc w:val="left"/>
              <w:rPr>
                <w:sz w:val="4"/>
                <w:szCs w:val="4"/>
              </w:rPr>
            </w:pPr>
            <w:r>
              <w:rPr>
                <w:sz w:val="4"/>
                <w:szCs w:val="4"/>
              </w:rPr>
            </w:r>
          </w:p>
        </w:tc>
      </w:tr>
      <w:tr>
        <w:trPr/>
        <w:tc>
          <w:tcPr>
            <w:tcW w:w="3063" w:type="dxa"/>
            <w:tcBorders/>
          </w:tcPr>
          <w:p>
            <w:pPr>
              <w:pStyle w:val="TableContents"/>
              <w:bidi w:val="0"/>
              <w:spacing w:before="0" w:after="283"/>
              <w:jc w:val="left"/>
              <w:rPr/>
            </w:pPr>
            <w:r>
              <w:rPr/>
              <w:t>Any other Lender</w:t>
            </w:r>
          </w:p>
        </w:tc>
        <w:tc>
          <w:tcPr>
            <w:tcW w:w="122" w:type="dxa"/>
            <w:tcBorders/>
            <w:vAlign w:val="bottom"/>
          </w:tcPr>
          <w:p>
            <w:pPr>
              <w:pStyle w:val="TableContents"/>
              <w:bidi w:val="0"/>
              <w:spacing w:before="0" w:after="283"/>
              <w:jc w:val="left"/>
              <w:rPr/>
            </w:pPr>
            <w:r>
              <w:rPr/>
              <w:t>  </w:t>
            </w:r>
          </w:p>
        </w:tc>
        <w:tc>
          <w:tcPr>
            <w:tcW w:w="7020" w:type="dxa"/>
            <w:tcBorders/>
          </w:tcPr>
          <w:p>
            <w:pPr>
              <w:pStyle w:val="TableContents"/>
              <w:bidi w:val="0"/>
              <w:spacing w:before="0" w:after="283"/>
              <w:jc w:val="left"/>
              <w:rPr/>
            </w:pPr>
            <w:r>
              <w:rPr/>
              <w:t>To such Lender at its address (or telecopy number) set forth in its Administrative Questionnaire</w:t>
            </w:r>
          </w:p>
        </w:tc>
      </w:tr>
    </w:tbl>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any notice, request or demand to or upon the Administrative Agent or the Lenders pursuant to Section 2.2, 2.11, 2.12 or 2.14 shall not be effective until received. </w:t>
      </w:r>
    </w:p>
    <w:p>
      <w:pPr>
        <w:pStyle w:val="TextBody"/>
        <w:bidi w:val="0"/>
        <w:spacing w:before="240" w:after="0"/>
        <w:jc w:val="left"/>
        <w:rPr>
          <w:rFonts w:ascii="Times New Roman" w:hAnsi="Times New Roman"/>
          <w:sz w:val="20"/>
        </w:rPr>
      </w:pPr>
      <w:r>
        <w:rPr>
          <w:rFonts w:ascii="Times New Roman" w:hAnsi="Times New Roman"/>
          <w:sz w:val="20"/>
        </w:rPr>
        <w:t>(b) Each of the parties hereto agrees that the Administrative Agent may, but shall not be obligated to, make any notices or other Communications available to the Lenders by posting such Communications on IntraLinks or a substantially similar electronic platform chosen by the Administrative Agent to be its electronic transmission system (the </w:t>
      </w:r>
      <w:r>
        <w:rPr>
          <w:rFonts w:ascii="Times New Roman" w:hAnsi="Times New Roman"/>
          <w:sz w:val="20"/>
          <w:u w:val="single"/>
        </w:rPr>
        <w:t>Approved Electronic Platform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Although the Approved Electronic Platform and its primary web portal are secured with generally-applicable security procedures and policies implemented or modified by the Administrative Agent from time to time (including, as of the Closing Date, a dual firewall and a user ID/password authorization system) and the Approved Electronic Platform is secured through a single user-per-deal authorization method whereby each user may access the Approved Electronic Platform only on a deal-by-deal basis, each of the parties hereto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parties hereto hereby approves distribution of the Communications through the Approved Electronic Platform and understands and assumes the risks of such distribution. </w:t>
      </w:r>
    </w:p>
    <w:p>
      <w:pPr>
        <w:pStyle w:val="TextBody"/>
        <w:bidi w:val="0"/>
        <w:spacing w:before="240" w:after="0"/>
        <w:jc w:val="left"/>
        <w:rPr>
          <w:rFonts w:ascii="Times New Roman" w:hAnsi="Times New Roman"/>
          <w:sz w:val="20"/>
        </w:rPr>
      </w:pPr>
      <w:r>
        <w:rPr>
          <w:rFonts w:ascii="Times New Roman" w:hAnsi="Times New Roman"/>
          <w:sz w:val="20"/>
        </w:rPr>
        <w:t xml:space="preserve">(d) THE APPROVED ELECTRONIC PLATFORM AND THE COMMUNICATIONS ARE PROVIDED AS IS AND AS AVAILABLE. NONE OF THE ADMINISTRATIVE AGENT OR ANY AFFILIATE THEREOF WARRANTS THE ACCURACY, ADEQUACY OR COMPLETENESS OF THE COMMUNICATIONS OR THE APPROVED 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 FROM VIRUSES OR OTHER CODE DEFECTS, IS MADE BY THE ADMINISTRATIVE AGENT IN CONNECTION WITH THE COMMUNICATIONS OR THE APPROVED ELECTRONIC PLATFORM. </w:t>
      </w:r>
    </w:p>
    <w:p>
      <w:pPr>
        <w:pStyle w:val="TextBody"/>
        <w:bidi w:val="0"/>
        <w:spacing w:before="240" w:after="0"/>
        <w:jc w:val="left"/>
        <w:rPr>
          <w:rFonts w:ascii="Times New Roman" w:hAnsi="Times New Roman"/>
          <w:sz w:val="20"/>
        </w:rPr>
      </w:pPr>
      <w:r>
        <w:rPr>
          <w:rFonts w:ascii="Times New Roman" w:hAnsi="Times New Roman"/>
          <w:sz w:val="20"/>
        </w:rPr>
        <w:t xml:space="preserve">(e) Each of the parties hereto agrees that the Administrative Agent may, but (except as may be required by applicable law) shall not be obligated to, store the Communications on the Approved Electronic Platform in accordance with the Administrative Agents generally-applicable document retention procedures and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10.3 </w:t>
      </w:r>
      <w:r>
        <w:rPr>
          <w:rFonts w:ascii="Times New Roman" w:hAnsi="Times New Roman"/>
          <w:sz w:val="20"/>
          <w:u w:val="single"/>
        </w:rPr>
        <w:t>No Waiver; Cumulative Remedies</w:t>
      </w:r>
      <w:r>
        <w:rPr>
          <w:rFonts w:ascii="Times New Roman" w:hAnsi="Times New Roman"/>
          <w:sz w:val="20"/>
        </w:rPr>
        <w:t xml:space="preserve">.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are cumulative and not exclusive of any rights, remedies, powers and privileges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10.4 </w:t>
      </w:r>
      <w:r>
        <w:rPr>
          <w:rFonts w:ascii="Times New Roman" w:hAnsi="Times New Roman"/>
          <w:sz w:val="20"/>
          <w:u w:val="single"/>
        </w:rPr>
        <w:t>Survival of Representations and Warranties</w:t>
      </w:r>
      <w:r>
        <w:rPr>
          <w:rFonts w:ascii="Times New Roman" w:hAnsi="Times New Roman"/>
          <w:sz w:val="20"/>
        </w:rPr>
        <w:t xml:space="preserve">.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 </w:t>
      </w:r>
    </w:p>
    <w:p>
      <w:pPr>
        <w:pStyle w:val="TextBody"/>
        <w:bidi w:val="0"/>
        <w:spacing w:before="240" w:after="0"/>
        <w:jc w:val="left"/>
        <w:rPr>
          <w:rFonts w:ascii="Times New Roman" w:hAnsi="Times New Roman"/>
          <w:sz w:val="20"/>
        </w:rPr>
      </w:pPr>
      <w:r>
        <w:rPr>
          <w:rFonts w:ascii="Times New Roman" w:hAnsi="Times New Roman"/>
          <w:sz w:val="20"/>
        </w:rPr>
        <w:t xml:space="preserve">10.5 </w:t>
      </w:r>
      <w:r>
        <w:rPr>
          <w:rFonts w:ascii="Times New Roman" w:hAnsi="Times New Roman"/>
          <w:sz w:val="20"/>
          <w:u w:val="single"/>
        </w:rPr>
        <w:t>Payment of Expenses; Limitation of Liability; Indemnity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 of Expenses</w:t>
      </w:r>
      <w:r>
        <w:rPr>
          <w:rFonts w:ascii="Times New Roman" w:hAnsi="Times New Roman"/>
          <w:sz w:val="20"/>
        </w:rPr>
        <w:t xml:space="preserve">. The Company agrees (a) to pay or reimburse the Administrative Agent and the Arrangers for all their reasonable out-of-pocket costs and expenses incurred in connection with the development, preparation and execution of, and any amendment, supplement or modification to, this Agreement and the other Loan Documents and any other documents prepared in connection herewith or therewith, the syndication of the Facility, the consummation and administration of the transactions contemplated hereby and thereby and any amendment or waiver with respect thereto, including (i) the reasonable fees and out-of-pocket disbursements of Simpson Thacher &amp; Bartlett LLP, and one additional local counsel in each relevant jurisdiction for the Administrative Agent and, in the event of a conflict, one separate counsel (and one local counsel in each relevant jurisdiction) for all persons similarly situated as required to address such conflict, (ii) filing and recording fees and expenses and (iii) the charges of IntraLinks, (b) to pay or reimburse the Administrative Agent for all its reasonable out-of-pocket costs and expenses incurred in connection with the enforcement or preservation of any rights under this Agreement and the other Loan Documents, including the reasonable fees and out-of-pocket disbursements and other charges of one primary counsel to the Administrative Agent, one additional local counsel in each relevant jurisdiction which counsel shall act on behalf of all Lenders and the Administrative Agent and, in the event of a conflict, one separate counsel (and one local counsel in each relevant jurisdiction) for all persons similarly situated as required to address such conflict and (c) to pay, indemnify or reimburse each Lender and the Administrative Agent for, and hold each Lender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Limitation of Liability</w:t>
      </w:r>
      <w:r>
        <w:rPr>
          <w:rFonts w:ascii="Times New Roman" w:hAnsi="Times New Roman"/>
          <w:sz w:val="20"/>
        </w:rPr>
        <w:t xml:space="preserve">. To the extent permitted by applicable law, no party hereto shall assert, and each such party hereby waives, any Liability against any other party hereto, on any theory of liability, for any special, indirect, consequential or punitive damages (including any loss of profits, business or anticipated savings) arising out of, in connection with, or as a result of this Agreement or the use or the proposed use of proceeds thereof and the other Loan Documents; provided, that this Section 10.5(b) shall not limit the Loan Parties indemnification obligations set forth above to the extent the relevant, special, indirect, consequential or punitive damages are included in any third party claim in connection with which the relevant Indemnitee is entitled to indemnification hereunder.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Indemnity</w:t>
      </w:r>
      <w:r>
        <w:rPr>
          <w:rFonts w:ascii="Times New Roman" w:hAnsi="Times New Roman"/>
          <w:sz w:val="20"/>
        </w:rPr>
        <w:t>. The Company shall pay, indemnify or reimburse each Lender, the Administrative Agent, their respective affiliates, and their respective officers, directors, partners, employees, advisors, agents, controlling persons and trustees (each, an </w:t>
      </w:r>
      <w:r>
        <w:rPr>
          <w:rFonts w:ascii="Times New Roman" w:hAnsi="Times New Roman"/>
          <w:sz w:val="20"/>
          <w:u w:val="single"/>
        </w:rPr>
        <w:t>Indemnitee</w:t>
      </w:r>
      <w:r>
        <w:rPr>
          <w:rFonts w:ascii="Times New Roman" w:hAnsi="Times New Roman"/>
          <w:sz w:val="20"/>
        </w:rPr>
        <w:t xml:space="preserve">) for, and hold each Indemnitee harmless from and against any and all liabilities, obligations, losses, damages, penalties, 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judgments, suits, costs, expenses or disbursements of any kind or nature whatsoever (other than with respect to Taxes, which shall be governed exclusively by Section 2.21 or with respect to the costs, losses or expenses which are of the type covered by Section 2.20 or Section 2.22) in respect of the financing contemplated by this Agreement or the use or the proposed use of proceeds thereof, and the other Loan Documents (all the foregoing, collectively, the </w:t>
      </w:r>
      <w:r>
        <w:rPr>
          <w:rFonts w:ascii="Times New Roman" w:hAnsi="Times New Roman"/>
          <w:sz w:val="20"/>
          <w:u w:val="single"/>
        </w:rPr>
        <w:t>Indemnified Liabilities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Company shall have no obligation hereunder to any Indemnitee with respect to Indemnified Liabilities to the extent such Indemnified Liabilities resulted from (i) the gross negligence or willful misconduct of such Indemnitee as determined by a court of competent jurisdiction in a final and non-appealable judgment, (ii) a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 or (iii) any dispute solely among Indemnitees not arising out of any act or omission of the Company or any of its affiliates (other than disputes involving claims against any Indemnitee in its capacity as, or fulfilling its role as, the Administrative Agent or an Arranger or similar role in respect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(d) 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and any other Borrower. For purposes of the preceding sentence, it is understood and agreed that the Company may ask for reasonable supporting documentation to support any request to reimburse or pay out-of-pocket expenses, legal fees and disbursements, that the grace period to pay any such amounts shall 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 request by any party that may be entitled to expense reimbursement hereunder, on a confidential basis, a written statement setting forth those portions of its then prevailing policies and 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 by the Company in a written notice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(e) The agreements in this Section 10.5 shall survive the repayment of the Loans and all other amounts payable hereunder.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unless the same shall have resulted from the gross negligence or willful misconduct of, or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 </w:t>
      </w:r>
    </w:p>
    <w:p>
      <w:pPr>
        <w:pStyle w:val="TextBody"/>
        <w:bidi w:val="0"/>
        <w:spacing w:before="240" w:after="0"/>
        <w:jc w:val="left"/>
        <w:rPr>
          <w:rFonts w:ascii="Times New Roman" w:hAnsi="Times New Roman"/>
          <w:sz w:val="20"/>
        </w:rPr>
      </w:pPr>
      <w:r>
        <w:rPr>
          <w:rFonts w:ascii="Times New Roman" w:hAnsi="Times New Roman"/>
          <w:sz w:val="20"/>
        </w:rPr>
        <w:t xml:space="preserve">10.6 </w:t>
      </w:r>
      <w:r>
        <w:rPr>
          <w:rFonts w:ascii="Times New Roman" w:hAnsi="Times New Roman"/>
          <w:sz w:val="20"/>
          <w:u w:val="single"/>
        </w:rPr>
        <w:t>Successors and Assigns; Participations and Assignments.</w:t>
      </w:r>
      <w:r>
        <w:rPr>
          <w:rFonts w:ascii="Times New Roman" w:hAnsi="Times New Roman"/>
          <w:sz w:val="20"/>
        </w:rPr>
        <w:t xml:space="preserve"> (a) The provisions of this Agreement shall be binding upon and inure to the benefit of the parties hereto and their respective successors and assigns permitted hereby, except that (i) other than pursuant to Section 7.4, neither the Company nor any Subsidiary Borrower may assign or otherwise transfer any of its rights or obligations hereunder without the prior written consent of each Lender (and any attempted assignment or transfer by the Company or any Subsidiary Borrower without such consent shall be null and void) and (ii) no Lender may assign or otherwise transfer its rights or obligations hereunder except in accordance with this Section 10.6.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(i) Subject to the conditions set forth in paragraph (b)(ii) below and subject to advance notice to the Company, any Lender may assign to one or more assignees (other than the Company or any affiliate of the Company or any natural person) (each, an </w:t>
      </w:r>
      <w:r>
        <w:rPr>
          <w:rFonts w:ascii="Times New Roman" w:hAnsi="Times New Roman"/>
          <w:sz w:val="20"/>
          <w:u w:val="single"/>
        </w:rPr>
        <w:t>Assignee</w:t>
      </w:r>
      <w:r>
        <w:rPr>
          <w:rFonts w:ascii="Times New Roman" w:hAnsi="Times New Roman"/>
          <w:sz w:val="20"/>
        </w:rPr>
        <w:t xml:space="preserve">) all or a portion of its rights and obligations under this Agreement (including all or a portion of its Commitments and the Loans at the time owing to it) with the prior written consent (in each case, not to be unreasonably withheld or delayed) of: </w:t>
      </w:r>
    </w:p>
    <w:p>
      <w:pPr>
        <w:pStyle w:val="TextBody"/>
        <w:bidi w:val="0"/>
        <w:spacing w:before="120" w:after="0"/>
        <w:jc w:val="left"/>
        <w:rPr>
          <w:rFonts w:ascii="Times New Roman" w:hAnsi="Times New Roman"/>
          <w:sz w:val="20"/>
        </w:rPr>
      </w:pPr>
      <w:r>
        <w:rPr>
          <w:rFonts w:ascii="Times New Roman" w:hAnsi="Times New Roman"/>
          <w:sz w:val="20"/>
        </w:rPr>
        <w:t xml:space="preserve">(1) the Company (unless such assignment is to a Lender to which any two or more of the following ratings have been issued by the relevant rating agency: (a) in the case of S&amp;P, at least BBB; (b) in the case of Moodys, at least Baa2; and (c) in the case of Fitch, at least BBB); and </w:t>
      </w:r>
    </w:p>
    <w:p>
      <w:pPr>
        <w:pStyle w:val="TextBody"/>
        <w:bidi w:val="0"/>
        <w:spacing w:before="120" w:after="0"/>
        <w:jc w:val="left"/>
        <w:rPr>
          <w:rFonts w:ascii="Times New Roman" w:hAnsi="Times New Roman"/>
          <w:sz w:val="20"/>
        </w:rPr>
      </w:pPr>
      <w:r>
        <w:rPr>
          <w:rFonts w:ascii="Times New Roman" w:hAnsi="Times New Roman"/>
          <w:sz w:val="20"/>
        </w:rPr>
        <w:t xml:space="preserve">(2) the Administrative Agent;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(x) no consent provided for in clause (2) above shall be required for an assignment to a Lender or an affiliate thereof and (y) no consent of the Company provided for in clause (1) above shall be required if an Event of Default under Section 8(a) or (e)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(ii) Assignments shall be subject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 of the date the Assignment and Assumption with respect to such assignment is delivered to the Administrative Agent) shall not be less than $10 million, unless each of the Company and the Administrative Agent otherwise consent; </w:t>
      </w:r>
      <w:r>
        <w:rPr>
          <w:rFonts w:ascii="Times New Roman" w:hAnsi="Times New Roman"/>
          <w:sz w:val="20"/>
          <w:u w:val="single"/>
        </w:rPr>
        <w:t>provided</w:t>
      </w:r>
      <w:r>
        <w:rPr>
          <w:rFonts w:ascii="Times New Roman" w:hAnsi="Times New Roman"/>
          <w:sz w:val="20"/>
        </w:rPr>
        <w:t xml:space="preserve">, that (1) no such consent of the Company shall be required if an Event of Default under Section 8(a) or (e) has occurred and is continuing and (2) such amounts shall be aggregated in respect of each Lender and its affiliates or Approved Funds, if any; </w:t>
      </w:r>
    </w:p>
    <w:p>
      <w:pPr>
        <w:pStyle w:val="TextBody"/>
        <w:bidi w:val="0"/>
        <w:spacing w:before="120" w:after="0"/>
        <w:jc w:val="left"/>
        <w:rPr>
          <w:rFonts w:ascii="Times New Roman" w:hAnsi="Times New Roman"/>
          <w:sz w:val="20"/>
        </w:rPr>
      </w:pPr>
      <w:r>
        <w:rPr>
          <w:rFonts w:ascii="Times New Roman" w:hAnsi="Times New Roman"/>
          <w:sz w:val="20"/>
        </w:rPr>
        <w:t xml:space="preserve">(B) the parties to each assignment (or, in the case of an assignment made pursuant to the exercise of the Companys rights under Section 2.24,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2.24, by the assigning Lender, the Assignee, or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(C) the Assignee, if it shall not be a Lender, shall deliver to the Administrative Agent and the Company an administrative questionnaire.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2.20, 2.21, 2.22 and 10.5 with respect to facts and circumstances occurring prior to the effective date of such assignment).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 10.6. </w:t>
      </w:r>
    </w:p>
    <w:p>
      <w:pPr>
        <w:pStyle w:val="TextBody"/>
        <w:bidi w:val="0"/>
        <w:spacing w:before="120" w:after="0"/>
        <w:jc w:val="left"/>
        <w:rPr>
          <w:rFonts w:ascii="Times New Roman" w:hAnsi="Times New Roman"/>
          <w:sz w:val="20"/>
        </w:rPr>
      </w:pPr>
      <w:r>
        <w:rPr>
          <w:rFonts w:ascii="Times New Roman" w:hAnsi="Times New Roman"/>
          <w:sz w:val="20"/>
        </w:rPr>
        <w:t>(iv) The Administrative Agent, acting for this purpose as an agent of the Company, shall maintain at one of its offices a copy of each Assignment and Assumption delivered to it and a register for the recordation of the names and addresses of the Lenders, and the Commitments of, and principal amount of and interest on the Loans owing to, each Lender pursuant to the terms hereof from time to time (the </w:t>
      </w:r>
      <w:r>
        <w:rPr>
          <w:rFonts w:ascii="Times New Roman" w:hAnsi="Times New Roman"/>
          <w:sz w:val="20"/>
          <w:u w:val="single"/>
        </w:rPr>
        <w:t>Register</w:t>
      </w:r>
      <w:r>
        <w:rPr>
          <w:rFonts w:ascii="Times New Roman" w:hAnsi="Times New Roman"/>
          <w:sz w:val="20"/>
        </w:rPr>
        <w:t xml:space="preserve">). Subject to the last sentence of (b)(iii) above, the entries in the Register shall be conclusive in the absence of manifest error, and the Company,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Company or any Lender at any reasonable time and from time to time upon reasonable prior notice. The Administrative Agent shall provide a copy of the Register to the Company upon its request at any time and from time to time by electronic communication. </w:t>
      </w:r>
    </w:p>
    <w:p>
      <w:pPr>
        <w:pStyle w:val="TextBody"/>
        <w:bidi w:val="0"/>
        <w:spacing w:before="120" w:after="0"/>
        <w:jc w:val="left"/>
        <w:rPr>
          <w:rFonts w:ascii="Times New Roman" w:hAnsi="Times New Roman"/>
          <w:sz w:val="20"/>
        </w:rPr>
      </w:pPr>
      <w:r>
        <w:rPr>
          <w:rFonts w:ascii="Times New Roman" w:hAnsi="Times New Roman"/>
          <w:sz w:val="20"/>
        </w:rPr>
        <w:t xml:space="preserve">(v) Upon its receipt of a duly completed Assignment and Assumption executed by an assigning Lender (or, in the case of an assignment made pursuant to the exercise of the Companys rights under Section 2.24, the Administrative Agent, as agent for the assigning Lender) and an Assignee,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 Administrative Agent shall accept such Assignment and Assumption and record the information contained therein in the Register. No assignment shall be effective for purposes of this Agreement unless it has been recorded in the Register as provided in this paragraph. </w:t>
      </w:r>
    </w:p>
    <w:p>
      <w:pPr>
        <w:pStyle w:val="TextBody"/>
        <w:bidi w:val="0"/>
        <w:spacing w:before="240" w:after="0"/>
        <w:jc w:val="left"/>
        <w:rPr>
          <w:rFonts w:ascii="Times New Roman" w:hAnsi="Times New Roman"/>
          <w:sz w:val="20"/>
        </w:rPr>
      </w:pPr>
      <w:r>
        <w:rPr>
          <w:rFonts w:ascii="Times New Roman" w:hAnsi="Times New Roman"/>
          <w:sz w:val="20"/>
        </w:rPr>
        <w:t>(c) (i) Any Lender may, without the consent of the Company or the Administrative Agent, sell participations to one or more banks or other entities (a </w:t>
      </w:r>
      <w:r>
        <w:rPr>
          <w:rFonts w:ascii="Times New Roman" w:hAnsi="Times New Roman"/>
          <w:sz w:val="20"/>
          <w:u w:val="single"/>
        </w:rPr>
        <w:t>Participant</w:t>
      </w:r>
      <w:r>
        <w:rPr>
          <w:rFonts w:ascii="Times New Roman" w:hAnsi="Times New Roman"/>
          <w:sz w:val="20"/>
        </w:rPr>
        <w:t xml:space="preserve">) in all or a portion of such Lenders rights and obligations under this Agreement (including all or a portion of its Commitments and the Loans owing to it); </w:t>
      </w:r>
      <w:r>
        <w:rPr>
          <w:rFonts w:ascii="Times New Roman" w:hAnsi="Times New Roman"/>
          <w:sz w:val="20"/>
          <w:u w:val="single"/>
        </w:rPr>
        <w:t>provided</w:t>
      </w:r>
      <w:r>
        <w:rPr>
          <w:rFonts w:ascii="Times New Roman" w:hAnsi="Times New Roman"/>
          <w:sz w:val="20"/>
        </w:rPr>
        <w:t xml:space="preserve">, that (A) such Lenders obligations under this Agreement shall remain unchanged, (B) such Lender shall remain solely responsible to the other parties hereto for the performance of such obligations, (C) the Loan Parties, the Administrative Agent and the other Lenders shall continue to deal solely and directly with such Lender in connection with such Lenders rights and obligations under this Agreement and the other Loan Documents, (D) such Participant shall not be an Ineligible Participant, and (E) no later than January 31 of each year, such Lender shall provide the Company with a written description of each participation of Loans and/or Commitments by such Lender during the prior year (it being understood that any failure to provide notice shall not render the participation invalid). Any agreement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sz w:val="20"/>
          <w:u w:val="single"/>
        </w:rPr>
        <w:t>provided</w:t>
      </w:r>
      <w:r>
        <w:rPr>
          <w:rFonts w:ascii="Times New Roman" w:hAnsi="Times New Roman"/>
          <w:sz w:val="20"/>
        </w:rPr>
        <w:t xml:space="preserve">, that such agreement may provide that such Lender will not, without the consent of the Participant, agree to any amendment, modification or waiver that (1) requires the consent of each Lender directly and adversely affected thereby pursuant to clause (A) of the proviso to the second sentence of Section 10.1 (a) and (2) directly and adversely affects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Participant. Subject to paragraph (c)(ii) of this Section 10.6, the Company agrees that each Participant shall be entitled to the benefits of Sections 2.20, 2.21 and 2.22 to the same extent as if it were a Lender and had acquired its interest by assignment pursuant to paragraph (b) of this Section 10.6. Each Lender that sells a participation, acting solely for this purpose as a non-fiduciary agent of the Company, shall maintain a register on which it enters the name and address of each Participant and the principal amounts (and stated interest) of each Participants interest in the Loans or other obligations under this Agreement (the </w:t>
      </w:r>
      <w:r>
        <w:rPr>
          <w:rFonts w:ascii="Times New Roman" w:hAnsi="Times New Roman"/>
          <w:sz w:val="20"/>
          <w:u w:val="single"/>
        </w:rPr>
        <w:t>Participant Register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Lender shall have any obligation to disclose all or any portion of the Participant Register to any Person (including the identity of any Participant or any information relating to a Participants interest in any Loans or its other obligations under this Agreement) except to the extent that such disclosure is necessary to establish that such Loan or other obligation is in registered form under Section 5f.103-1(c) of the United States Treasury Regulations. The entries in the Participant Register shall be conclusive in the absence of manifest error, and such Lender, the Company and the Administrative Agent shall treat each person whose name is recorded in the Participant Register pursuant to the terms hereof as the owner of such participation for all purposes of this Agreement, notwithstanding notice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(ii) A Participant shall not be entitled to receive any greater payment under Section 2.20 or 2.21 than the applicable Lender would have been entitled to receive with respect to the participation sold to such Participant. A Participant shall not be entitled to receive any funds directly from the Company in respect of Sections 2.20, 2.21, 2.22 or 10.7 unless such Participant shall have provided to Administrative Agent, acting for this purpose as an agent of the Company, such information as is required to be recorded in the Register pursuant to paragraph (b)(iv) above as if such Participant were a Lender. Any Participant shall not be entitled to the benefits of Section 2.21 unless such Participant complies with Sections 2.21(c), 2.21(d) and 2.21(e) as though it were a Lender. </w:t>
      </w:r>
    </w:p>
    <w:p>
      <w:pPr>
        <w:pStyle w:val="TextBody"/>
        <w:bidi w:val="0"/>
        <w:spacing w:before="240" w:after="0"/>
        <w:jc w:val="left"/>
        <w:rPr>
          <w:rFonts w:ascii="Times New Roman" w:hAnsi="Times New Roman"/>
          <w:sz w:val="20"/>
        </w:rPr>
      </w:pPr>
      <w:r>
        <w:rPr>
          <w:rFonts w:ascii="Times New Roman" w:hAnsi="Times New Roman"/>
          <w:sz w:val="20"/>
        </w:rPr>
        <w:t xml:space="preserve">(d) Any Lender may, without the consent of the Company or the Administrative Agent at any time pledge or assign a security interest in all or any portion of its rights under this Agreement to secure obligations of such Lender, including any pledge or assignment to secure such Lenders obligations to a Federal Reserve Bank or any central bank having jurisdiction over such Lender, and this Section 10.6 shall not apply to any such pledge or assignment of a security interest; </w:t>
      </w:r>
      <w:r>
        <w:rPr>
          <w:rFonts w:ascii="Times New Roman" w:hAnsi="Times New Roman"/>
          <w:sz w:val="20"/>
          <w:u w:val="single"/>
        </w:rPr>
        <w:t>provided</w:t>
      </w:r>
      <w:r>
        <w:rPr>
          <w:rFonts w:ascii="Times New Roman" w:hAnsi="Times New Roman"/>
          <w:sz w:val="20"/>
        </w:rPr>
        <w:t xml:space="preserve">, that no such pledge or assignment of a security interest shall release a Lender from any of its obligations hereunder or substitute any such pledgee or Assignee for such Lender as a party hereto. </w:t>
      </w:r>
    </w:p>
    <w:p>
      <w:pPr>
        <w:pStyle w:val="TextBody"/>
        <w:bidi w:val="0"/>
        <w:spacing w:before="240" w:after="0"/>
        <w:jc w:val="left"/>
        <w:rPr>
          <w:rFonts w:ascii="Times New Roman" w:hAnsi="Times New Roman"/>
          <w:sz w:val="20"/>
        </w:rPr>
      </w:pPr>
      <w:r>
        <w:rPr>
          <w:rFonts w:ascii="Times New Roman" w:hAnsi="Times New Roman"/>
          <w:sz w:val="20"/>
        </w:rPr>
        <w:t xml:space="preserve">(e) In connection with any assignment pursuant hereto, the assigning Lender shall surrender the Note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 </w:t>
      </w:r>
    </w:p>
    <w:p>
      <w:pPr>
        <w:pStyle w:val="TextBody"/>
        <w:bidi w:val="0"/>
        <w:spacing w:before="240" w:after="0"/>
        <w:jc w:val="left"/>
        <w:rPr>
          <w:rFonts w:ascii="Times New Roman" w:hAnsi="Times New Roman"/>
          <w:sz w:val="20"/>
        </w:rPr>
      </w:pPr>
      <w:r>
        <w:rPr>
          <w:rFonts w:ascii="Times New Roman" w:hAnsi="Times New Roman"/>
          <w:sz w:val="20"/>
        </w:rPr>
        <w:t xml:space="preserve">10.7 </w:t>
      </w:r>
      <w:r>
        <w:rPr>
          <w:rFonts w:ascii="Times New Roman" w:hAnsi="Times New Roman"/>
          <w:sz w:val="20"/>
          <w:u w:val="single"/>
        </w:rPr>
        <w:t>Adjustments</w:t>
      </w:r>
      <w:r>
        <w:rPr>
          <w:rFonts w:ascii="Times New Roman" w:hAnsi="Times New Roman"/>
          <w:sz w:val="20"/>
        </w:rPr>
        <w:t>. If any Lender (a </w:t>
      </w:r>
      <w:r>
        <w:rPr>
          <w:rFonts w:ascii="Times New Roman" w:hAnsi="Times New Roman"/>
          <w:sz w:val="20"/>
          <w:u w:val="single"/>
        </w:rPr>
        <w:t>Benefitted Lender</w:t>
      </w:r>
      <w:r>
        <w:rPr>
          <w:rFonts w:ascii="Times New Roman" w:hAnsi="Times New Roman"/>
          <w:sz w:val="20"/>
        </w:rPr>
        <w:t xml:space="preserve">) shall, at any time after the Loans and all other amounts payable hereunder shall have become due 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8(e), or otherwise), in a greater proportion than any such payment to or collateral received by any other Lender, if any, in respect of the Obligations owing to such other Lender, such Benefitted Lender shall purchase for cash in Dollars from the other Lenders a participating interest in such portion of the Obligations owing to each such other Lender, or shall provide such other Lenders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benefits of any such collateral, as shall be necessary to cause such Benefitted Lender to share the excess payment or benefits of such collateral ratably with each of the Lenders;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all or any portion of such excess payment or benefits is thereafter recovered from such Benefitted Lender, such purchase shall be rescinded, and the purchase price and benefits returned, to the extent of such recovery, but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10.8 </w:t>
      </w:r>
      <w:r>
        <w:rPr>
          <w:rFonts w:ascii="Times New Roman" w:hAnsi="Times New Roman"/>
          <w:sz w:val="20"/>
          <w:u w:val="single"/>
        </w:rPr>
        <w:t xml:space="preserve">Counterparts; Electronic Execution.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 </w:t>
      </w:r>
    </w:p>
    <w:p>
      <w:pPr>
        <w:pStyle w:val="TextBody"/>
        <w:bidi w:val="0"/>
        <w:spacing w:before="240" w:after="0"/>
        <w:jc w:val="left"/>
        <w:rPr>
          <w:rFonts w:ascii="Times New Roman" w:hAnsi="Times New Roman"/>
          <w:sz w:val="20"/>
        </w:rPr>
      </w:pPr>
      <w:r>
        <w:rPr>
          <w:rFonts w:ascii="Times New Roman" w:hAnsi="Times New Roman"/>
          <w:sz w:val="20"/>
        </w:rPr>
        <w:t>(b) Delivery of an executed counterpart of a signature page of (x) this Agreement, (y) any other Loan Documents and/or (z) any document, amendment, approval, consent, information, notice (including, for the avoidance of doubt, any notice delivered pursuant to Section 10.2), certificate, request, statement, disclosure or authorization related to this Agreement, any other Loan Documents and/or the transactions contemplated hereby and/or thereby (each an </w:t>
      </w:r>
      <w:r>
        <w:rPr>
          <w:rFonts w:ascii="Times New Roman" w:hAnsi="Times New Roman"/>
          <w:sz w:val="20"/>
          <w:u w:val="single"/>
        </w:rPr>
        <w:t>Ancillary Document</w:t>
      </w:r>
      <w:r>
        <w:rPr>
          <w:rFonts w:ascii="Times New Roman" w:hAnsi="Times New Roman"/>
          <w:sz w:val="20"/>
        </w:rPr>
        <w:t>) that is an Electronic Signature transmitted by telecopy, emailed pdf. or any other electronic means that reproduces an image of an actual executed signature page shall be effective as delivery of a manually executed counterpart of this Agreement, such other Loan Documents or such Ancillary Document, as applicable. The words execution, signed, signature, delivery, and words of like import in or relating to this Agreement, any other Loan Documents and/or any Ancillary Document shall be deemed to include an electronic symbol or process attached to a contract or other record and adopted by a Person with the intent to sign, authenticate or accept such contract or record (each an </w:t>
      </w:r>
      <w:r>
        <w:rPr>
          <w:rFonts w:ascii="Times New Roman" w:hAnsi="Times New Roman"/>
          <w:sz w:val="20"/>
          <w:u w:val="single"/>
        </w:rPr>
        <w:t>Electronic Signature</w:t>
      </w:r>
      <w:r>
        <w:rPr>
          <w:rFonts w:ascii="Times New Roman" w:hAnsi="Times New Roman"/>
          <w:sz w:val="20"/>
        </w:rPr>
        <w:t xml:space="preserve">,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Without limiting the generality of the foregoing, (i) to the extent the Administrative Agent has agreed to accept any Electronic Signature, the Administrative Agent and each of the Lenders shall be entitled to rely on such Electronic Signature purportedly given by or on behalf of the Company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Loan Party hereby (i) agrees that, for all purposes, including without limitation, in connection with any workout, restructuring, enforcement of remedies, bankruptcy proceedings or litigation among the Administrative Agent, the Lenders, the Borrowers and the Loan Parties, Electronic Signatures transmitted by telecopy, emailed pdf. or any other electronic means that reproduces an image of an actual executed signature page and/or any electronic images of this Agreement, any other Loan Documents and/or any Ancillary Document shall have the same legal effect, validity and enforceability as any paper original, (ii) the Administrative Agent and each of the Lenders may, at its option, create one or more copies of this Agreement, any other Loan Documents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Documents and/or any Ancillary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based solely on the lack of paper original copies of this Agreement, such other Loan Document and/or such Ancillary Document, respectively, including with respect to any signature pages thereto and (iv) waives any claim against any Lender, the Administrative Agent, their respective affiliates, and their respective officers, directors, partners, employees, advisors, agents, controlling persons and trustees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any Borrower and/or any other Loan Party to use any available security measures in connection with the execution, delivery or transmission of any Electronic Signature. </w:t>
      </w:r>
    </w:p>
    <w:p>
      <w:pPr>
        <w:pStyle w:val="TextBody"/>
        <w:bidi w:val="0"/>
        <w:spacing w:before="240" w:after="0"/>
        <w:jc w:val="left"/>
        <w:rPr>
          <w:rFonts w:ascii="Times New Roman" w:hAnsi="Times New Roman"/>
          <w:sz w:val="20"/>
        </w:rPr>
      </w:pPr>
      <w:r>
        <w:rPr>
          <w:rFonts w:ascii="Times New Roman" w:hAnsi="Times New Roman"/>
          <w:sz w:val="20"/>
        </w:rPr>
        <w:t xml:space="preserve">10.9 </w:t>
      </w:r>
      <w:r>
        <w:rPr>
          <w:rFonts w:ascii="Times New Roman" w:hAnsi="Times New Roman"/>
          <w:sz w:val="20"/>
          <w:u w:val="single"/>
        </w:rPr>
        <w:t>Severability</w:t>
      </w:r>
      <w:r>
        <w:rPr>
          <w:rFonts w:ascii="Times New Roman" w:hAnsi="Times New Roman"/>
          <w:sz w:val="20"/>
        </w:rPr>
        <w:t xml:space="preserve">.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10.10 </w:t>
      </w:r>
      <w:r>
        <w:rPr>
          <w:rFonts w:ascii="Times New Roman" w:hAnsi="Times New Roman"/>
          <w:sz w:val="20"/>
          <w:u w:val="single"/>
        </w:rPr>
        <w:t>Integration</w:t>
      </w:r>
      <w:r>
        <w:rPr>
          <w:rFonts w:ascii="Times New Roman" w:hAnsi="Times New Roman"/>
          <w:sz w:val="20"/>
        </w:rPr>
        <w:t xml:space="preserve">. This Agreement and the other Loan Documents represent the entire agreement of the Borrowers,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10.11 </w:t>
      </w:r>
      <w:r>
        <w:rPr>
          <w:rFonts w:ascii="Times New Roman" w:hAnsi="Times New Roman"/>
          <w:sz w:val="20"/>
          <w:u w:val="single"/>
        </w:rPr>
        <w:t>GOVERNING LAW</w:t>
      </w:r>
      <w:r>
        <w:rPr>
          <w:rFonts w:ascii="Times New Roman" w:hAnsi="Times New Roman"/>
          <w:sz w:val="20"/>
        </w:rPr>
        <w:t xml:space="preserve">. THIS AGREEMENT AND THE RIGHTS AND OBLIGATIONS OF THE PARTIES UNDER THIS AGREEMENT SHALL BE GOVERNED BY, AND CONSTRUED AND INTERPRETED IN ACCORDANCE WITH, THE LAW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10.12 </w:t>
      </w:r>
      <w:r>
        <w:rPr>
          <w:rFonts w:ascii="Times New Roman" w:hAnsi="Times New Roman"/>
          <w:sz w:val="20"/>
          <w:u w:val="single"/>
        </w:rPr>
        <w:t>Submission to Jurisdiction; Waivers.</w:t>
      </w:r>
      <w:r>
        <w:rPr>
          <w:rFonts w:ascii="Times New Roman" w:hAnsi="Times New Roman"/>
          <w:sz w:val="20"/>
        </w:rPr>
        <w:t xml:space="preserve"> (a) Each of the Administrative Agent, the Lenders, the Company, each Subsidiary Borrower and each other Loan Party hereby irrevocably and unconditionally: </w:t>
      </w:r>
    </w:p>
    <w:p>
      <w:pPr>
        <w:pStyle w:val="TextBody"/>
        <w:bidi w:val="0"/>
        <w:spacing w:before="120" w:after="0"/>
        <w:jc w:val="left"/>
        <w:rPr>
          <w:rFonts w:ascii="Times New Roman" w:hAnsi="Times New Roman"/>
          <w:sz w:val="20"/>
        </w:rPr>
      </w:pPr>
      <w:r>
        <w:rPr>
          <w:rFonts w:ascii="Times New Roman" w:hAnsi="Times New Roman"/>
          <w:sz w:val="20"/>
        </w:rPr>
        <w:t xml:space="preserve">(i) 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for the Southern District of New York located in the Borough of Manhattan, and appellate courts from any thereof; </w:t>
      </w:r>
    </w:p>
    <w:p>
      <w:pPr>
        <w:pStyle w:val="TextBody"/>
        <w:bidi w:val="0"/>
        <w:spacing w:before="120" w:after="0"/>
        <w:jc w:val="left"/>
        <w:rPr>
          <w:rFonts w:ascii="Times New Roman" w:hAnsi="Times New Roman"/>
          <w:sz w:val="20"/>
        </w:rPr>
      </w:pPr>
      <w:r>
        <w:rPr>
          <w:rFonts w:ascii="Times New Roman" w:hAnsi="Times New Roman"/>
          <w:sz w:val="20"/>
        </w:rPr>
        <w:t xml:space="preserve">(ii)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 </w:t>
      </w:r>
    </w:p>
    <w:p>
      <w:pPr>
        <w:pStyle w:val="TextBody"/>
        <w:bidi w:val="0"/>
        <w:spacing w:before="120" w:after="0"/>
        <w:jc w:val="left"/>
        <w:rPr>
          <w:rFonts w:ascii="Times New Roman" w:hAnsi="Times New Roman"/>
          <w:sz w:val="20"/>
        </w:rPr>
      </w:pPr>
      <w:r>
        <w:rPr>
          <w:rFonts w:ascii="Times New Roman" w:hAnsi="Times New Roman"/>
          <w:sz w:val="20"/>
        </w:rPr>
        <w:t xml:space="preserve">(iii) waives, to the maximum extent not prohibited by law, any right it may have to claim or recover in any legal action or proceeding referred to in this Section 10.12 any special, exemplary, punitive or consequential damages.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that any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Subsidiary Borrower hereby irrevocably waives and agrees not to plead or claim such immunity in respect of its obligations under this Agreement or any other Loan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10.13 </w:t>
      </w:r>
      <w:r>
        <w:rPr>
          <w:rFonts w:ascii="Times New Roman" w:hAnsi="Times New Roman"/>
          <w:sz w:val="20"/>
          <w:u w:val="single"/>
        </w:rPr>
        <w:t>Judgment</w:t>
      </w:r>
      <w:r>
        <w:rPr>
          <w:rFonts w:ascii="Times New Roman" w:hAnsi="Times New Roman"/>
          <w:sz w:val="20"/>
        </w:rPr>
        <w:t>. The obligations of the Company or any Subsidiary Borrower in respect of this Agreement and the other Loan Documents due to any party hereto shall, notwithstanding any judgment in a currency (the </w:t>
      </w:r>
      <w:r>
        <w:rPr>
          <w:rFonts w:ascii="Times New Roman" w:hAnsi="Times New Roman"/>
          <w:sz w:val="20"/>
          <w:u w:val="single"/>
        </w:rPr>
        <w:t>Judgment Currency</w:t>
      </w:r>
      <w:r>
        <w:rPr>
          <w:rFonts w:ascii="Times New Roman" w:hAnsi="Times New Roman"/>
          <w:sz w:val="20"/>
        </w:rPr>
        <w:t>) other than the currency in which the sum originally due to such party is denominated (the </w:t>
      </w:r>
      <w:r>
        <w:rPr>
          <w:rFonts w:ascii="Times New Roman" w:hAnsi="Times New Roman"/>
          <w:sz w:val="20"/>
          <w:u w:val="single"/>
        </w:rPr>
        <w:t>Original Currency</w:t>
      </w:r>
      <w:r>
        <w:rPr>
          <w:rFonts w:ascii="Times New Roman" w:hAnsi="Times New Roman"/>
          <w:sz w:val="20"/>
        </w:rPr>
        <w:t xml:space="preserve">), be discharged only to the extent that on the Business Day following receipt by such party of any sum adjudged to be so due in the Judgment Currency such party may in accordance with normal banking procedures purchase the Original Currency with the Judgment Currency; if the amount of the Original Currency so purchased is less than the sum originally due under 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 Section 10.13 shall survive the termination of this Agreement and payment of the Loans, interest and Facility Fees payable hereunder or under any other Loan Document. </w:t>
      </w:r>
    </w:p>
    <w:p>
      <w:pPr>
        <w:pStyle w:val="TextBody"/>
        <w:bidi w:val="0"/>
        <w:spacing w:before="240" w:after="0"/>
        <w:jc w:val="left"/>
        <w:rPr>
          <w:rFonts w:ascii="Times New Roman" w:hAnsi="Times New Roman"/>
          <w:sz w:val="20"/>
        </w:rPr>
      </w:pPr>
      <w:r>
        <w:rPr>
          <w:rFonts w:ascii="Times New Roman" w:hAnsi="Times New Roman"/>
          <w:sz w:val="20"/>
        </w:rPr>
        <w:t xml:space="preserve">10.14 </w:t>
      </w:r>
      <w:r>
        <w:rPr>
          <w:rFonts w:ascii="Times New Roman" w:hAnsi="Times New Roman"/>
          <w:sz w:val="20"/>
          <w:u w:val="single"/>
        </w:rPr>
        <w:t>Acknowledgments</w:t>
      </w:r>
      <w:r>
        <w:rPr>
          <w:rFonts w:ascii="Times New Roman" w:hAnsi="Times New Roman"/>
          <w:sz w:val="20"/>
        </w:rPr>
        <w:t xml:space="preserve">. Each of the Company and the Subsidiary Borrowers hereby acknowledges that: </w:t>
      </w:r>
    </w:p>
    <w:p>
      <w:pPr>
        <w:pStyle w:val="TextBody"/>
        <w:bidi w:val="0"/>
        <w:spacing w:before="240" w:after="0"/>
        <w:jc w:val="left"/>
        <w:rPr>
          <w:rFonts w:ascii="Times New Roman" w:hAnsi="Times New Roman"/>
          <w:sz w:val="20"/>
        </w:rPr>
      </w:pPr>
      <w:r>
        <w:rPr>
          <w:rFonts w:ascii="Times New Roman" w:hAnsi="Times New Roman"/>
          <w:sz w:val="20"/>
        </w:rPr>
        <w:t xml:space="preserve">(a) it has been advised by counsel in the negotiation, execution and delivery of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none of the Administrative Agent or any Lender has any fiduciary relationship with or duty to the Company or any Subsidiary arising out of or in connection with this Agreement or any of the other Loan Documents, and the relationship between Administrative Agent and the Lenders, on one hand, and the Company or any Subsidiary, on the other hand, in connection herewith or therewith is solely that of debtor and creditor; and </w:t>
      </w:r>
    </w:p>
    <w:p>
      <w:pPr>
        <w:pStyle w:val="TextBody"/>
        <w:bidi w:val="0"/>
        <w:spacing w:before="240" w:after="0"/>
        <w:jc w:val="left"/>
        <w:rPr>
          <w:rFonts w:ascii="Times New Roman" w:hAnsi="Times New Roman"/>
          <w:sz w:val="20"/>
        </w:rPr>
      </w:pPr>
      <w:r>
        <w:rPr>
          <w:rFonts w:ascii="Times New Roman" w:hAnsi="Times New Roman"/>
          <w:sz w:val="20"/>
        </w:rPr>
        <w:t xml:space="preserve">(c) no joint venture is created hereby or by the other Loan Documents or otherwise exists by virtue of the transactions contemplated hereby among the Lenders or among the Company or any Subsidiary and the Lenders. </w:t>
      </w:r>
    </w:p>
    <w:p>
      <w:pPr>
        <w:pStyle w:val="TextBody"/>
        <w:bidi w:val="0"/>
        <w:spacing w:before="240" w:after="0"/>
        <w:jc w:val="left"/>
        <w:rPr>
          <w:rFonts w:ascii="Times New Roman" w:hAnsi="Times New Roman"/>
          <w:sz w:val="20"/>
        </w:rPr>
      </w:pPr>
      <w:r>
        <w:rPr>
          <w:rFonts w:ascii="Times New Roman" w:hAnsi="Times New Roman"/>
          <w:sz w:val="20"/>
        </w:rPr>
        <w:t xml:space="preserve">10.15 </w:t>
      </w:r>
      <w:r>
        <w:rPr>
          <w:rFonts w:ascii="Times New Roman" w:hAnsi="Times New Roman"/>
          <w:sz w:val="20"/>
          <w:u w:val="single"/>
        </w:rPr>
        <w:t>Releases of Guarantees.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to the contrary contained herein or in any other Loan Document, the Administrative Agent is hereby irrevocably authorized by each Lender (without requirement of notice to or consent of any Lender except as expressly required in Section 10.1) to take, and the Administrative Agent hereby agrees to take promptly, any action requested by the Company having the effect of releasing, or evidencing the release of, any collateral or any obligations under the Guarantee (i) to the extent necessary to permit consummation of any transaction not prohibited by any Loan Document or that has been consented to in accordance with Section 10.1 or (ii) under the circumstances described in this Section 10.15. </w:t>
      </w:r>
    </w:p>
    <w:p>
      <w:pPr>
        <w:pStyle w:val="TextBody"/>
        <w:bidi w:val="0"/>
        <w:spacing w:before="240" w:after="0"/>
        <w:jc w:val="left"/>
        <w:rPr>
          <w:rFonts w:ascii="Times New Roman" w:hAnsi="Times New Roman"/>
          <w:sz w:val="20"/>
        </w:rPr>
      </w:pPr>
      <w:r>
        <w:rPr>
          <w:rFonts w:ascii="Times New Roman" w:hAnsi="Times New Roman"/>
          <w:sz w:val="20"/>
        </w:rPr>
        <w:t xml:space="preserve">(b) At such time as the Loans and interest and fees owing hereunder and under any other Loan Document shall have been paid in full and the Commitments have been terminated, all obligations (other than as expressly provided therein) of each Guarantor under the Guarantee shall terminate, all without delivery of any instrument or performance of any act by any person. </w:t>
      </w:r>
    </w:p>
    <w:p>
      <w:pPr>
        <w:pStyle w:val="TextBody"/>
        <w:bidi w:val="0"/>
        <w:spacing w:before="240" w:after="0"/>
        <w:jc w:val="left"/>
        <w:rPr>
          <w:rFonts w:ascii="Times New Roman" w:hAnsi="Times New Roman"/>
          <w:sz w:val="20"/>
        </w:rPr>
      </w:pPr>
      <w:r>
        <w:rPr>
          <w:rFonts w:ascii="Times New Roman" w:hAnsi="Times New Roman"/>
          <w:sz w:val="20"/>
        </w:rPr>
        <w:t xml:space="preserve">(c) Any guarantees of the Obligations from a Subsidiary Guarantor (including any obligations of such Subsidiary Guarantor under the Guarantee) will be automatically released if such Subsidiary Guarantor becomes an Excluded Subsidiary or for any other reason ceases to be a Subsidiary Guarantor pursuant to a transaction not otherwise prohibited by the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Any guarantees of the Obligations from a Subsidiary Guarantor (including any obligations of such Subsidiary Guarantor under the Guarantee) that is required to be a Guarantor solely because it has provided a guarantee of Material Indebtedness of the Company, will be automatically released upon such Subsidiary Guarantor ceasing to provide a guarantee of Material Indebtedness of the Company upon consummation of any transaction not otherwise prohibited by the Loan Documents, so long as, after giving pro forma effect to such release, no Default or Event of Default shall have occurred and be continuing hereunder (and the Administrative Agent may conclusively rely on a certificate to that effect provided to it by the Company upon its reasonable request without further inquiry). The Company shall promptly notify the Administrative Agent of any such occurrence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10.16 </w:t>
      </w:r>
      <w:r>
        <w:rPr>
          <w:rFonts w:ascii="Times New Roman" w:hAnsi="Times New Roman"/>
          <w:sz w:val="20"/>
          <w:u w:val="single"/>
        </w:rPr>
        <w:t>Confidentiality</w:t>
      </w:r>
      <w:r>
        <w:rPr>
          <w:rFonts w:ascii="Times New Roman" w:hAnsi="Times New Roman"/>
          <w:sz w:val="20"/>
        </w:rPr>
        <w:t>. Each of the Administrative Agent, each Lender and each Transferee (each a </w:t>
      </w:r>
      <w:r>
        <w:rPr>
          <w:rFonts w:ascii="Times New Roman" w:hAnsi="Times New Roman"/>
          <w:sz w:val="20"/>
          <w:u w:val="single"/>
        </w:rPr>
        <w:t>Receiving Party</w:t>
      </w:r>
      <w:r>
        <w:rPr>
          <w:rFonts w:ascii="Times New Roman" w:hAnsi="Times New Roman"/>
          <w:sz w:val="20"/>
        </w:rPr>
        <w:t xml:space="preserve">) agrees to keep confidential all non-public information provided to it by or on behalf of any Loan Party or any of its respective Subsidiaries, the Administrative Agent or any Lender pursuant to or in connection with any Loan Document; </w:t>
      </w:r>
      <w:r>
        <w:rPr>
          <w:rFonts w:ascii="Times New Roman" w:hAnsi="Times New Roman"/>
          <w:sz w:val="20"/>
          <w:u w:val="single"/>
        </w:rPr>
        <w:t>provided</w:t>
      </w:r>
      <w:r>
        <w:rPr>
          <w:rFonts w:ascii="Times New Roman" w:hAnsi="Times New Roman"/>
          <w:sz w:val="20"/>
        </w:rPr>
        <w:t>, that nothing herein shall prevent a Receiving Party from disclosing any such information (a) to the Administrative Agent, any other Lender or any affiliate thereof for purposes of the transactions contemplated by this Agreement (it being acknowledged and agreed that such information would be subject to the confidentiality provisions of the this Section 10.16), (b) subject to a written agreement to comply with the provisions of this Section 10.16 (or other provisions at least as restrictive as this Section 10.16), to any actual or prospective Transferee or any pledgee referred to in Section 10.6(c) or any direct or indirect contractual counterparty (or the professional advisors thereto) to any swap or derivative transaction or to any credit insurance or reinsurance provider or broker relating to the Company and its obligations, (c) to its employees, officers, directors, trustees, agents, attorneys, accountants and other professional advisors or those of any of its affiliates for performing the purposes of a Loan Document, in each case, who are subject to or bound by an agreement to comply with the provisions of this Section 10.16 (or other provisions at least as restrictive as this Section 10.16), (d) upon the request or demand of any Governmental Authority or regulatory agency (including self-regulated agencies), (e) in response to any order of any court or other Governmental Authority or as may otherwise be required pursuant to any Requirement of Law, after notice to the Company if reasonably feasible, (f) if requested or required to do so in connection with any litigation or similar proceeding, after notice to the Company if reasonably feasible, (g) that has been publicly disclosed (other than by such Receiving Party in breach of this Section 10.16), (h) 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or (j) with the consent of the Company. For the avoidance of doubt, nothing in this Section 10.16 shall prohibit any Person from voluntarily disclosing or providing any information within the scope of this confidentiality provision to any governmental, regulatory or self-regulatory organization (any such entity, a </w:t>
      </w:r>
      <w:r>
        <w:rPr>
          <w:rFonts w:ascii="Times New Roman" w:hAnsi="Times New Roman"/>
          <w:sz w:val="20"/>
          <w:u w:val="single"/>
        </w:rPr>
        <w:t>Regulatory Authority</w:t>
      </w:r>
      <w:r>
        <w:rPr>
          <w:rFonts w:ascii="Times New Roman" w:hAnsi="Times New Roman"/>
          <w:sz w:val="20"/>
        </w:rPr>
        <w:t xml:space="preserve">) to the extent that any such prohibition on disclosure set forth in this Section 10.16 shall be prohibited by the laws or regulations applicable to such Regulatory Authority. </w:t>
      </w:r>
    </w:p>
    <w:p>
      <w:pPr>
        <w:pStyle w:val="TextBody"/>
        <w:bidi w:val="0"/>
        <w:spacing w:before="240" w:after="0"/>
        <w:jc w:val="left"/>
        <w:rPr>
          <w:rFonts w:ascii="Times New Roman" w:hAnsi="Times New Roman"/>
          <w:sz w:val="20"/>
        </w:rPr>
      </w:pPr>
      <w:r>
        <w:rPr>
          <w:rFonts w:ascii="Times New Roman" w:hAnsi="Times New Roman"/>
          <w:sz w:val="20"/>
        </w:rPr>
        <w:t xml:space="preserve">10.17 </w:t>
      </w:r>
      <w:r>
        <w:rPr>
          <w:rFonts w:ascii="Times New Roman" w:hAnsi="Times New Roman"/>
          <w:sz w:val="20"/>
          <w:u w:val="single"/>
        </w:rPr>
        <w:t>WAIVERS OF JURY TRIAL</w:t>
      </w:r>
      <w:r>
        <w:rPr>
          <w:rFonts w:ascii="Times New Roman" w:hAnsi="Times New Roman"/>
          <w:sz w:val="20"/>
        </w:rPr>
        <w:t xml:space="preserve">. THE COMPANY, EACH SUBSIDIARY BORROWER, THE ADMINISTRATIVE AGENT AND THE LENDERS HEREBY IRREVOCABLY AND UNCONDITIONALLY WAIVE TRIAL BY JURY IN ANY LEGAL ACTION OR PROCEEDING RELATING TO THIS AGREEMENT OR ANY OTHER LOAN DOCUMENT AND FOR ANY COUNTERCLAIM THEREIN. </w:t>
      </w:r>
    </w:p>
    <w:p>
      <w:pPr>
        <w:pStyle w:val="TextBody"/>
        <w:bidi w:val="0"/>
        <w:spacing w:before="240" w:after="0"/>
        <w:jc w:val="left"/>
        <w:rPr>
          <w:rFonts w:ascii="Times New Roman" w:hAnsi="Times New Roman"/>
          <w:sz w:val="20"/>
        </w:rPr>
      </w:pPr>
      <w:r>
        <w:rPr>
          <w:rFonts w:ascii="Times New Roman" w:hAnsi="Times New Roman"/>
          <w:sz w:val="20"/>
        </w:rPr>
        <w:t xml:space="preserve">10.18 </w:t>
      </w:r>
      <w:r>
        <w:rPr>
          <w:rFonts w:ascii="Times New Roman" w:hAnsi="Times New Roman"/>
          <w:sz w:val="20"/>
          <w:u w:val="single"/>
        </w:rPr>
        <w:t>USA Patriot Act and the Beneficial Ownership Regulation</w:t>
      </w:r>
      <w:r>
        <w:rPr>
          <w:rFonts w:ascii="Times New Roman" w:hAnsi="Times New Roman"/>
          <w:sz w:val="20"/>
        </w:rPr>
        <w:t>. Each Lender hereby notifies the Company and each Subsidiary Borrower that pursuant to the requirements of the USA Patriot Act (Title III of Pub. L. 107-56 (signed into law October 26, 2001)) (the </w:t>
      </w:r>
      <w:r>
        <w:rPr>
          <w:rFonts w:ascii="Times New Roman" w:hAnsi="Times New Roman"/>
          <w:sz w:val="20"/>
          <w:u w:val="single"/>
        </w:rPr>
        <w:t>USA Patriot Act</w:t>
      </w:r>
      <w:r>
        <w:rPr>
          <w:rFonts w:ascii="Times New Roman" w:hAnsi="Times New Roman"/>
          <w:sz w:val="20"/>
        </w:rPr>
        <w:t xml:space="preserve">) and the Beneficial Ownership Regulation, it is required to obtain, verify and record information that identifies the Company and each Subsidiary Borrower, which information includes the name and address of the Company and each Subsidiary Borrower and other information that will allow such Lender to identify the Company and each Subsidiary Borrower in accordance with the USA Patriot Act and the Beneficial Ownership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10.19 </w:t>
      </w:r>
      <w:r>
        <w:rPr>
          <w:rFonts w:ascii="Times New Roman" w:hAnsi="Times New Roman"/>
          <w:sz w:val="20"/>
          <w:u w:val="single"/>
        </w:rPr>
        <w:t>No Novation</w:t>
      </w:r>
      <w:r>
        <w:rPr>
          <w:rFonts w:ascii="Times New Roman" w:hAnsi="Times New Roman"/>
          <w:sz w:val="20"/>
        </w:rPr>
        <w:t xml:space="preserve">. The terms and conditions of the Existing 364-Day Credit Agreement are amended as set forth in, and restated in their entirety and superseded by, this Agreement. Nothing in this Agreement shall be deemed to be a novation of any of the Obligations as defined in the Existing 364-Day Credit Agreement. Notwithstanding any provision of this Agreement or any other Loan Document or instrument executed in connection herewith, the execution and delivery of this Agreement and the incurrence of Obligations hereunder shall be in substitution for, but not in payment of, the Obligations owed by the Loan Parties under the Existing 364-Day Credit Agreement. From and after the Closing Date, each reference to the Agreement, Credit Agreement or other reference originally applicable to the Existing 364-Day Credit Agreement contained in any Loan Document shall be a reference to this Agreement, as amended, supplemented, restated or otherwise modified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10.20 </w:t>
      </w:r>
      <w:r>
        <w:rPr>
          <w:rFonts w:ascii="Times New Roman" w:hAnsi="Times New Roman"/>
          <w:sz w:val="20"/>
          <w:u w:val="single"/>
        </w:rPr>
        <w:t>Acknowledgement and Consent to Bail-In of Affected Financial Institutions</w:t>
      </w:r>
      <w:r>
        <w:rPr>
          <w:rFonts w:ascii="Times New Roman" w:hAnsi="Times New Roman"/>
          <w:sz w:val="20"/>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 </w:t>
      </w:r>
    </w:p>
    <w:p>
      <w:pPr>
        <w:pStyle w:val="TextBody"/>
        <w:bidi w:val="0"/>
        <w:spacing w:before="24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24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sz w:val="20"/>
        </w:rPr>
        <w:t xml:space="preserve">10.21 </w:t>
      </w:r>
      <w:r>
        <w:rPr>
          <w:rFonts w:ascii="Times New Roman" w:hAnsi="Times New Roman"/>
          <w:sz w:val="20"/>
          <w:u w:val="single"/>
        </w:rPr>
        <w:t>Acknowledgement Regarding Any Supported QFCs</w:t>
      </w:r>
      <w:r>
        <w:rPr>
          <w:rFonts w:ascii="Times New Roman" w:hAnsi="Times New Roman"/>
          <w:sz w:val="20"/>
        </w:rPr>
        <w:t>. To the extent that the Loan Documents provide support, through a guarantee or otherwise, for Swap Agreements or any other agreement or instrument that is a QFC (such support </w:t>
      </w:r>
      <w:r>
        <w:rPr>
          <w:rFonts w:ascii="Times New Roman" w:hAnsi="Times New Roman"/>
          <w:sz w:val="20"/>
          <w:u w:val="single"/>
        </w:rPr>
        <w:t>QFC Credit Support</w:t>
      </w:r>
      <w:r>
        <w:rPr>
          <w:rFonts w:ascii="Times New Roman" w:hAnsi="Times New Roman"/>
          <w:sz w:val="20"/>
        </w:rPr>
        <w:t> and each such QFC a </w:t>
      </w:r>
      <w:r>
        <w:rPr>
          <w:rFonts w:ascii="Times New Roman" w:hAnsi="Times New Roman"/>
          <w:sz w:val="20"/>
          <w:u w:val="single"/>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sz w:val="20"/>
          <w:u w:val="single"/>
        </w:rPr>
        <w:t>U.S. Special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the event a Covered Entity that is party to a Supported QFC (each, a </w:t>
      </w:r>
      <w:r>
        <w:rPr>
          <w:rFonts w:ascii="Times New Roman" w:hAnsi="Times New Roman"/>
          <w:sz w:val="20"/>
          <w:u w:val="single"/>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240" w:after="0"/>
        <w:jc w:val="left"/>
        <w:rPr>
          <w:rFonts w:ascii="Times New Roman" w:hAnsi="Times New Roman"/>
          <w:sz w:val="20"/>
        </w:rPr>
      </w:pPr>
      <w:r>
        <w:rPr>
          <w:rFonts w:ascii="Times New Roman" w:hAnsi="Times New Roman"/>
          <w:sz w:val="20"/>
        </w:rPr>
        <w:t xml:space="preserve">10.22 </w:t>
      </w:r>
      <w:r>
        <w:rPr>
          <w:rFonts w:ascii="Times New Roman" w:hAnsi="Times New Roman"/>
          <w:sz w:val="20"/>
          <w:u w:val="single"/>
        </w:rPr>
        <w:t>Interest Rate Limitations</w:t>
      </w:r>
      <w:r>
        <w:rPr>
          <w:rFonts w:ascii="Times New Roman" w:hAnsi="Times New Roman"/>
          <w:sz w:val="20"/>
        </w:rPr>
        <w:t xml:space="preserve"> Notwithstanding anything herein to the contrary, if at any time the interest rate applicable to any Loan or other Obligation owing under this Agreement, together with all fees, charges and other amounts that are treated as interest on such Loan or other Obligation under Applicable Law (collectively, charges), shall exceed the maximum lawful rate (the Maximum Rate) that may be contracted for, charged, taken, received or reserved by the Lender or other Person holding such Loan or other Obligation in accordance with Applicable Law, the rate of interest payable in respect of such Loan or other Obligation hereunder, together with all charges payable in respect thereof, shall be limited to the Maximum Rate. To the extent lawful, the interest and charges that would have been paid in respect of such Loan or other Obligation but were not paid as a result of the operation of this Section shall be cumulated and the interest and charges payable to such Lender or other Person in respect of other Loans or Obligations or periods shall be increased (but not above the amount collectible at the Maximum Rate therefor) until such cumulated amount, together with interest thereon at the Federal Funds Effective Rate for each day to the date of repayment, shall have been received by such Lender or other Person. Any amount collected by such Lender or other Person that exceeds the maximum amount collectible at the Maximum Rate shall be applied to the reduction of the principal balance of such Loan or other Obligation or refunded to the applicable Borrower so that at no time shall the interest and charges paid or payable in respect of such Loan or other Obligation exceed the maximum amount collectible at the Maximum Rate.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 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and delivered by their proper and duly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3"/>
        <w:gridCol w:w="60"/>
        <w:gridCol w:w="3649"/>
      </w:tblGrid>
      <w:tr>
        <w:trPr/>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GENERAL MOTORS COMPANY</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9" w:type="dxa"/>
            <w:tcBorders>
              <w:bottom w:val="single" w:sz="2" w:space="0" w:color="000000"/>
            </w:tcBorders>
            <w:tcMar>
              <w:bottom w:w="28" w:type="dxa"/>
            </w:tcMar>
          </w:tcPr>
          <w:p>
            <w:pPr>
              <w:pStyle w:val="TableContents"/>
              <w:bidi w:val="0"/>
              <w:spacing w:before="0" w:after="283"/>
              <w:jc w:val="left"/>
              <w:rPr/>
            </w:pPr>
            <w:r>
              <w:rPr/>
              <w:t>/s/ Loek Beckers</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Loek Beckers</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Vice President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GENERAL MOTORS FINANCIAL COMPANY, INC.</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9" w:type="dxa"/>
            <w:tcBorders>
              <w:bottom w:val="single" w:sz="2" w:space="0" w:color="000000"/>
            </w:tcBorders>
            <w:tcMar>
              <w:bottom w:w="28" w:type="dxa"/>
            </w:tcMar>
          </w:tcPr>
          <w:p>
            <w:pPr>
              <w:pStyle w:val="TableContents"/>
              <w:bidi w:val="0"/>
              <w:spacing w:before="0" w:after="283"/>
              <w:jc w:val="left"/>
              <w:rPr/>
            </w:pPr>
            <w:r>
              <w:rPr/>
              <w:t>/s/ Richard A. Gokenbach, Jr.</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Richard A. Gokenbach, Jr.</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Executive Vice President and Treasurer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JPMORGAN CHASE BANK, N.A., as Administrative Agent and as Lender</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2" w:type="dxa"/>
            <w:tcBorders>
              <w:bottom w:val="single" w:sz="2" w:space="0" w:color="000000"/>
            </w:tcBorders>
            <w:tcMar>
              <w:bottom w:w="28" w:type="dxa"/>
            </w:tcMar>
          </w:tcPr>
          <w:p>
            <w:pPr>
              <w:pStyle w:val="TableContents"/>
              <w:bidi w:val="0"/>
              <w:spacing w:before="0" w:after="283"/>
              <w:jc w:val="left"/>
              <w:rPr/>
            </w:pPr>
            <w:r>
              <w:rPr/>
              <w:t>/s/ Marlon Mathews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Marlon Mathews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Executive Director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CITIBANK, N.A., as Syndication Agent and as Lender</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Susan M. Olsen</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Name: Susan M. Olsen</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BANK OF AMERICA, N.A., as Lender and Co-Syndication Agent</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Brian Lukehart</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Brian Lukehart</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Managing Director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6"/>
        <w:gridCol w:w="60"/>
        <w:gridCol w:w="3336"/>
      </w:tblGrid>
      <w:tr>
        <w:trPr/>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BANCO BILBAO VIZCAYA ARGENTARIA, S.A. NEW YORK BRANCH, as a Lender</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6" w:type="dxa"/>
            <w:tcBorders>
              <w:bottom w:val="single" w:sz="2" w:space="0" w:color="000000"/>
            </w:tcBorders>
            <w:tcMar>
              <w:bottom w:w="28" w:type="dxa"/>
            </w:tcMar>
          </w:tcPr>
          <w:p>
            <w:pPr>
              <w:pStyle w:val="TableContents"/>
              <w:bidi w:val="0"/>
              <w:spacing w:before="0" w:after="283"/>
              <w:jc w:val="left"/>
              <w:rPr/>
            </w:pPr>
            <w:r>
              <w:rPr/>
              <w:t>/s/ Brian Crowley</w:t>
            </w:r>
          </w:p>
        </w:tc>
      </w:tr>
      <w:tr>
        <w:trPr/>
        <w:tc>
          <w:tcPr>
            <w:tcW w:w="68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Brian Crowley</w:t>
            </w:r>
          </w:p>
        </w:tc>
      </w:tr>
      <w:tr>
        <w:trPr/>
        <w:tc>
          <w:tcPr>
            <w:tcW w:w="68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Managing Director</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6" w:type="dxa"/>
            <w:tcBorders>
              <w:bottom w:val="single" w:sz="2" w:space="0" w:color="000000"/>
            </w:tcBorders>
            <w:tcMar>
              <w:bottom w:w="28" w:type="dxa"/>
            </w:tcMar>
          </w:tcPr>
          <w:p>
            <w:pPr>
              <w:pStyle w:val="TableContents"/>
              <w:bidi w:val="0"/>
              <w:spacing w:before="0" w:after="283"/>
              <w:jc w:val="left"/>
              <w:rPr/>
            </w:pPr>
            <w:r>
              <w:rPr/>
              <w:t>/s/ Armen Semizian</w:t>
            </w:r>
          </w:p>
        </w:tc>
      </w:tr>
      <w:tr>
        <w:trPr/>
        <w:tc>
          <w:tcPr>
            <w:tcW w:w="68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Armen Semizian</w:t>
            </w:r>
          </w:p>
        </w:tc>
      </w:tr>
      <w:tr>
        <w:trPr/>
        <w:tc>
          <w:tcPr>
            <w:tcW w:w="68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Managing Director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BANCO SANTANDER, S.A., NEW YORK BRANCH, as Lender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/s/ Andres Barbosa</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Andres Barbosa</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Managing Director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/s/ Arturo Prieto</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Arturo Prieto</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Managing Director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6"/>
        <w:gridCol w:w="60"/>
        <w:gridCol w:w="3356"/>
      </w:tblGrid>
      <w:tr>
        <w:trPr/>
        <w:tc>
          <w:tcPr>
            <w:tcW w:w="6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BARCLAYS BANK PLC, as Lender</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6" w:type="dxa"/>
            <w:tcBorders>
              <w:bottom w:val="single" w:sz="2" w:space="0" w:color="000000"/>
            </w:tcBorders>
            <w:tcMar>
              <w:bottom w:w="28" w:type="dxa"/>
            </w:tcMar>
          </w:tcPr>
          <w:p>
            <w:pPr>
              <w:pStyle w:val="TableContents"/>
              <w:bidi w:val="0"/>
              <w:spacing w:before="0" w:after="283"/>
              <w:jc w:val="left"/>
              <w:rPr/>
            </w:pPr>
            <w:r>
              <w:rPr/>
              <w:t>/s/ Sydney Dennis</w:t>
            </w:r>
          </w:p>
        </w:tc>
      </w:tr>
      <w:tr>
        <w:trPr/>
        <w:tc>
          <w:tcPr>
            <w:tcW w:w="6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Sydney Dennis</w:t>
            </w:r>
          </w:p>
        </w:tc>
      </w:tr>
      <w:tr>
        <w:trPr/>
        <w:tc>
          <w:tcPr>
            <w:tcW w:w="6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Director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6"/>
        <w:gridCol w:w="60"/>
        <w:gridCol w:w="3356"/>
      </w:tblGrid>
      <w:tr>
        <w:trPr/>
        <w:tc>
          <w:tcPr>
            <w:tcW w:w="6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BNP Paribas, as Lender</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6" w:type="dxa"/>
            <w:tcBorders>
              <w:bottom w:val="single" w:sz="2" w:space="0" w:color="000000"/>
            </w:tcBorders>
            <w:tcMar>
              <w:bottom w:w="28" w:type="dxa"/>
            </w:tcMar>
          </w:tcPr>
          <w:p>
            <w:pPr>
              <w:pStyle w:val="TableContents"/>
              <w:bidi w:val="0"/>
              <w:spacing w:before="0" w:after="283"/>
              <w:jc w:val="left"/>
              <w:rPr/>
            </w:pPr>
            <w:r>
              <w:rPr/>
              <w:t>/s/ Christopher Sked</w:t>
            </w:r>
          </w:p>
        </w:tc>
      </w:tr>
      <w:tr>
        <w:trPr/>
        <w:tc>
          <w:tcPr>
            <w:tcW w:w="6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Christopher Sked</w:t>
            </w:r>
          </w:p>
        </w:tc>
      </w:tr>
      <w:tr>
        <w:trPr/>
        <w:tc>
          <w:tcPr>
            <w:tcW w:w="6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Managing Director</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6" w:type="dxa"/>
            <w:tcBorders>
              <w:bottom w:val="single" w:sz="2" w:space="0" w:color="000000"/>
            </w:tcBorders>
            <w:tcMar>
              <w:bottom w:w="28" w:type="dxa"/>
            </w:tcMar>
          </w:tcPr>
          <w:p>
            <w:pPr>
              <w:pStyle w:val="TableContents"/>
              <w:bidi w:val="0"/>
              <w:spacing w:before="0" w:after="283"/>
              <w:jc w:val="left"/>
              <w:rPr/>
            </w:pPr>
            <w:r>
              <w:rPr/>
              <w:t>/s/ Nicolas Doche</w:t>
            </w:r>
          </w:p>
        </w:tc>
      </w:tr>
      <w:tr>
        <w:trPr/>
        <w:tc>
          <w:tcPr>
            <w:tcW w:w="6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Nicolas Doche</w:t>
            </w:r>
          </w:p>
        </w:tc>
      </w:tr>
      <w:tr>
        <w:trPr/>
        <w:tc>
          <w:tcPr>
            <w:tcW w:w="6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Vice President</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44"/>
        <w:gridCol w:w="60"/>
        <w:gridCol w:w="3378"/>
      </w:tblGrid>
      <w:tr>
        <w:trPr/>
        <w:tc>
          <w:tcPr>
            <w:tcW w:w="64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Canadian Imperial Bank of Commerce, New York Branch, as Lender</w:t>
            </w:r>
          </w:p>
        </w:tc>
      </w:tr>
      <w:tr>
        <w:trPr>
          <w:trHeight w:val="240" w:hRule="atLeast"/>
        </w:trPr>
        <w:tc>
          <w:tcPr>
            <w:tcW w:w="644" w:type="dxa"/>
            <w:tcBorders/>
            <w:vAlign w:val="center"/>
          </w:tcPr>
          <w:p>
            <w:pPr>
              <w:pStyle w:val="TableContents"/>
              <w:bidi w:val="0"/>
              <w:spacing w:before="0" w:after="283"/>
              <w:jc w:val="left"/>
              <w:rPr>
                <w:sz w:val="4"/>
                <w:szCs w:val="4"/>
              </w:rPr>
            </w:pPr>
            <w:r>
              <w:rPr>
                <w:sz w:val="4"/>
                <w:szCs w:val="4"/>
              </w:rPr>
            </w:r>
          </w:p>
        </w:tc>
        <w:tc>
          <w:tcPr>
            <w:tcW w:w="3438" w:type="dxa"/>
            <w:gridSpan w:val="2"/>
            <w:tcBorders/>
            <w:vAlign w:val="center"/>
          </w:tcPr>
          <w:p>
            <w:pPr>
              <w:pStyle w:val="TableContents"/>
              <w:bidi w:val="0"/>
              <w:spacing w:before="0" w:after="283"/>
              <w:jc w:val="left"/>
              <w:rPr>
                <w:sz w:val="4"/>
                <w:szCs w:val="4"/>
              </w:rPr>
            </w:pPr>
            <w:r>
              <w:rPr>
                <w:sz w:val="4"/>
                <w:szCs w:val="4"/>
              </w:rPr>
            </w:r>
          </w:p>
        </w:tc>
      </w:tr>
      <w:tr>
        <w:trPr/>
        <w:tc>
          <w:tcPr>
            <w:tcW w:w="64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8" w:type="dxa"/>
            <w:tcBorders>
              <w:bottom w:val="single" w:sz="2" w:space="0" w:color="000000"/>
            </w:tcBorders>
            <w:tcMar>
              <w:bottom w:w="28" w:type="dxa"/>
            </w:tcMar>
          </w:tcPr>
          <w:p>
            <w:pPr>
              <w:pStyle w:val="TableContents"/>
              <w:bidi w:val="0"/>
              <w:spacing w:before="0" w:after="283"/>
              <w:jc w:val="left"/>
              <w:rPr/>
            </w:pPr>
            <w:r>
              <w:rPr/>
              <w:t>/s/ Farhad Merali</w:t>
            </w:r>
          </w:p>
        </w:tc>
      </w:tr>
      <w:tr>
        <w:trPr/>
        <w:tc>
          <w:tcPr>
            <w:tcW w:w="64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8" w:type="dxa"/>
            <w:tcBorders/>
          </w:tcPr>
          <w:p>
            <w:pPr>
              <w:pStyle w:val="TableContents"/>
              <w:bidi w:val="0"/>
              <w:spacing w:before="0" w:after="283"/>
              <w:jc w:val="left"/>
              <w:rPr/>
            </w:pPr>
            <w:r>
              <w:rPr/>
              <w:t>Farhad Merali</w:t>
            </w:r>
          </w:p>
        </w:tc>
      </w:tr>
      <w:tr>
        <w:trPr/>
        <w:tc>
          <w:tcPr>
            <w:tcW w:w="64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8" w:type="dxa"/>
            <w:tcBorders/>
          </w:tcPr>
          <w:p>
            <w:pPr>
              <w:pStyle w:val="TableContents"/>
              <w:bidi w:val="0"/>
              <w:spacing w:before="0" w:after="283"/>
              <w:jc w:val="left"/>
              <w:rPr/>
            </w:pPr>
            <w:r>
              <w:rPr/>
              <w:t>Managing Director &amp; Authorized Signatory</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2"/>
        <w:gridCol w:w="60"/>
        <w:gridCol w:w="3330"/>
      </w:tblGrid>
      <w:tr>
        <w:trPr/>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CREDIT AGRICOLE CORPORATE AND INVESTMENT BANK, as Lender</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0" w:type="dxa"/>
            <w:tcBorders>
              <w:bottom w:val="single" w:sz="2" w:space="0" w:color="000000"/>
            </w:tcBorders>
            <w:tcMar>
              <w:bottom w:w="28" w:type="dxa"/>
            </w:tcMar>
          </w:tcPr>
          <w:p>
            <w:pPr>
              <w:pStyle w:val="TableContents"/>
              <w:bidi w:val="0"/>
              <w:spacing w:before="0" w:after="283"/>
              <w:jc w:val="left"/>
              <w:rPr/>
            </w:pPr>
            <w:r>
              <w:rPr/>
              <w:t>/s/ Jill Wong</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Jill Wong</w:t>
            </w:r>
          </w:p>
        </w:tc>
      </w:tr>
      <w:tr>
        <w:trPr/>
        <w:tc>
          <w:tcPr>
            <w:tcW w:w="6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Director</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0" w:type="dxa"/>
            <w:tcBorders>
              <w:bottom w:val="single" w:sz="2" w:space="0" w:color="000000"/>
            </w:tcBorders>
            <w:tcMar>
              <w:bottom w:w="28" w:type="dxa"/>
            </w:tcMar>
          </w:tcPr>
          <w:p>
            <w:pPr>
              <w:pStyle w:val="TableContents"/>
              <w:bidi w:val="0"/>
              <w:spacing w:before="0" w:after="283"/>
              <w:jc w:val="left"/>
              <w:rPr/>
            </w:pPr>
            <w:r>
              <w:rPr/>
              <w:t>/s/ Gordon Yip</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Gordon Yip</w:t>
            </w:r>
          </w:p>
        </w:tc>
      </w:tr>
      <w:tr>
        <w:trPr/>
        <w:tc>
          <w:tcPr>
            <w:tcW w:w="6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Director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3"/>
        <w:gridCol w:w="61"/>
        <w:gridCol w:w="3618"/>
      </w:tblGrid>
      <w:tr>
        <w:trPr/>
        <w:tc>
          <w:tcPr>
            <w:tcW w:w="40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DEUTSCHE BANK AG NEW YORK BRANCH, as Lender</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8" w:type="dxa"/>
            <w:tcBorders>
              <w:bottom w:val="single" w:sz="2" w:space="0" w:color="000000"/>
            </w:tcBorders>
            <w:tcMar>
              <w:bottom w:w="28" w:type="dxa"/>
            </w:tcMar>
          </w:tcPr>
          <w:p>
            <w:pPr>
              <w:pStyle w:val="TableContents"/>
              <w:bidi w:val="0"/>
              <w:spacing w:before="0" w:after="283"/>
              <w:jc w:val="left"/>
              <w:rPr/>
            </w:pPr>
            <w:r>
              <w:rPr/>
              <w:t>/s/ Marko Lukin</w:t>
            </w:r>
          </w:p>
        </w:tc>
      </w:tr>
      <w:tr>
        <w:trPr/>
        <w:tc>
          <w:tcPr>
            <w:tcW w:w="4082" w:type="dxa"/>
            <w:gridSpan w:val="3"/>
            <w:tcBorders/>
          </w:tcPr>
          <w:p>
            <w:pPr>
              <w:pStyle w:val="TableContents"/>
              <w:bidi w:val="0"/>
              <w:spacing w:before="0" w:after="283"/>
              <w:jc w:val="left"/>
              <w:rPr/>
            </w:pPr>
            <w:r>
              <w:rPr/>
              <w:t>Name: Marko Lukin</w:t>
            </w:r>
          </w:p>
        </w:tc>
      </w:tr>
      <w:tr>
        <w:trPr/>
        <w:tc>
          <w:tcPr>
            <w:tcW w:w="4082" w:type="dxa"/>
            <w:gridSpan w:val="3"/>
            <w:tcBorders/>
          </w:tcPr>
          <w:p>
            <w:pPr>
              <w:pStyle w:val="TableContents"/>
              <w:bidi w:val="0"/>
              <w:spacing w:before="0" w:after="283"/>
              <w:jc w:val="left"/>
              <w:rPr/>
            </w:pPr>
            <w:r>
              <w:rPr/>
              <w:t>Title: Vice President</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Email: marko.lukin@db.com</w:t>
            </w:r>
          </w:p>
          <w:p>
            <w:pPr>
              <w:pStyle w:val="TableContents"/>
              <w:bidi w:val="0"/>
              <w:spacing w:before="0" w:after="20"/>
              <w:jc w:val="left"/>
              <w:rPr>
                <w:rFonts w:ascii="Times New Roman" w:hAnsi="Times New Roman"/>
                <w:sz w:val="20"/>
              </w:rPr>
            </w:pPr>
            <w:r>
              <w:rPr>
                <w:rFonts w:ascii="Times New Roman" w:hAnsi="Times New Roman"/>
                <w:sz w:val="20"/>
              </w:rPr>
              <w:t>Phone: + 1 (212) 250-7283</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8" w:type="dxa"/>
            <w:tcBorders>
              <w:bottom w:val="single" w:sz="2" w:space="0" w:color="000000"/>
            </w:tcBorders>
            <w:tcMar>
              <w:bottom w:w="28" w:type="dxa"/>
            </w:tcMar>
          </w:tcPr>
          <w:p>
            <w:pPr>
              <w:pStyle w:val="TableContents"/>
              <w:bidi w:val="0"/>
              <w:spacing w:before="0" w:after="283"/>
              <w:jc w:val="left"/>
              <w:rPr/>
            </w:pPr>
            <w:r>
              <w:rPr/>
              <w:t>/s/ Ming K. Chu</w:t>
            </w:r>
          </w:p>
        </w:tc>
      </w:tr>
      <w:tr>
        <w:trPr/>
        <w:tc>
          <w:tcPr>
            <w:tcW w:w="4082" w:type="dxa"/>
            <w:gridSpan w:val="3"/>
            <w:tcBorders/>
          </w:tcPr>
          <w:p>
            <w:pPr>
              <w:pStyle w:val="TableContents"/>
              <w:bidi w:val="0"/>
              <w:spacing w:before="0" w:after="283"/>
              <w:jc w:val="left"/>
              <w:rPr/>
            </w:pPr>
            <w:r>
              <w:rPr/>
              <w:t>Name: Ming K. Chu</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Director</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Email: ming.k.chu@db.com</w:t>
            </w:r>
          </w:p>
          <w:p>
            <w:pPr>
              <w:pStyle w:val="TableContents"/>
              <w:bidi w:val="0"/>
              <w:spacing w:before="0" w:after="20"/>
              <w:jc w:val="left"/>
              <w:rPr>
                <w:rFonts w:ascii="Times New Roman" w:hAnsi="Times New Roman"/>
                <w:sz w:val="20"/>
              </w:rPr>
            </w:pPr>
            <w:r>
              <w:rPr>
                <w:rFonts w:ascii="Times New Roman" w:hAnsi="Times New Roman"/>
                <w:sz w:val="20"/>
              </w:rPr>
              <w:t>Phone: + 1 (212) 250-5451</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Goldman Sachs Bank USA, as Lender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Jonathan Dworkin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Jonathan Dworkin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Intesa Sanpaolo S.p.A., New York Branch, as Lender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/s/ Jordan Schweon</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Jordan Schweon</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Managing Director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/s/ Jennifer Feldman Facciola</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Jennifer Feldman Facciola</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Business Director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7"/>
        <w:gridCol w:w="60"/>
        <w:gridCol w:w="3355"/>
      </w:tblGrid>
      <w:tr>
        <w:trPr/>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Lloyds Bank Corporate Markets plc, as Lender</w:t>
            </w:r>
          </w:p>
        </w:tc>
      </w:tr>
      <w:tr>
        <w:trPr>
          <w:trHeight w:val="240" w:hRule="atLeast"/>
        </w:trPr>
        <w:tc>
          <w:tcPr>
            <w:tcW w:w="667" w:type="dxa"/>
            <w:tcBorders/>
            <w:vAlign w:val="center"/>
          </w:tcPr>
          <w:p>
            <w:pPr>
              <w:pStyle w:val="TableContents"/>
              <w:bidi w:val="0"/>
              <w:spacing w:before="0" w:after="283"/>
              <w:jc w:val="left"/>
              <w:rPr>
                <w:sz w:val="4"/>
                <w:szCs w:val="4"/>
              </w:rPr>
            </w:pPr>
            <w:r>
              <w:rPr>
                <w:sz w:val="4"/>
                <w:szCs w:val="4"/>
              </w:rPr>
            </w:r>
          </w:p>
        </w:tc>
        <w:tc>
          <w:tcPr>
            <w:tcW w:w="3415" w:type="dxa"/>
            <w:gridSpan w:val="2"/>
            <w:tcBorders/>
            <w:vAlign w:val="center"/>
          </w:tcPr>
          <w:p>
            <w:pPr>
              <w:pStyle w:val="TableContents"/>
              <w:bidi w:val="0"/>
              <w:spacing w:before="0" w:after="283"/>
              <w:jc w:val="left"/>
              <w:rPr>
                <w:sz w:val="4"/>
                <w:szCs w:val="4"/>
              </w:rPr>
            </w:pPr>
            <w:r>
              <w:rPr>
                <w:sz w:val="4"/>
                <w:szCs w:val="4"/>
              </w:rPr>
            </w:r>
          </w:p>
        </w:tc>
      </w:tr>
      <w:tr>
        <w:trPr/>
        <w:tc>
          <w:tcPr>
            <w:tcW w:w="66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5" w:type="dxa"/>
            <w:tcBorders>
              <w:bottom w:val="single" w:sz="2" w:space="0" w:color="000000"/>
            </w:tcBorders>
            <w:tcMar>
              <w:bottom w:w="28" w:type="dxa"/>
            </w:tcMar>
          </w:tcPr>
          <w:p>
            <w:pPr>
              <w:pStyle w:val="TableContents"/>
              <w:bidi w:val="0"/>
              <w:spacing w:before="0" w:after="283"/>
              <w:jc w:val="left"/>
              <w:rPr/>
            </w:pPr>
            <w:r>
              <w:rPr/>
              <w:t>/s/ Catherine Lim</w:t>
            </w:r>
          </w:p>
        </w:tc>
      </w:tr>
      <w:tr>
        <w:trPr/>
        <w:tc>
          <w:tcPr>
            <w:tcW w:w="66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Catherine Lim</w:t>
            </w:r>
          </w:p>
        </w:tc>
      </w:tr>
      <w:tr>
        <w:trPr/>
        <w:tc>
          <w:tcPr>
            <w:tcW w:w="66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Assistant Vice President</w:t>
            </w:r>
          </w:p>
        </w:tc>
      </w:tr>
      <w:tr>
        <w:trPr>
          <w:trHeight w:val="240" w:hRule="atLeast"/>
        </w:trPr>
        <w:tc>
          <w:tcPr>
            <w:tcW w:w="667" w:type="dxa"/>
            <w:tcBorders/>
            <w:vAlign w:val="center"/>
          </w:tcPr>
          <w:p>
            <w:pPr>
              <w:pStyle w:val="TableContents"/>
              <w:bidi w:val="0"/>
              <w:spacing w:before="0" w:after="283"/>
              <w:jc w:val="left"/>
              <w:rPr>
                <w:sz w:val="4"/>
                <w:szCs w:val="4"/>
              </w:rPr>
            </w:pPr>
            <w:r>
              <w:rPr>
                <w:sz w:val="4"/>
                <w:szCs w:val="4"/>
              </w:rPr>
            </w:r>
          </w:p>
        </w:tc>
        <w:tc>
          <w:tcPr>
            <w:tcW w:w="3415" w:type="dxa"/>
            <w:gridSpan w:val="2"/>
            <w:tcBorders/>
            <w:vAlign w:val="center"/>
          </w:tcPr>
          <w:p>
            <w:pPr>
              <w:pStyle w:val="TableContents"/>
              <w:bidi w:val="0"/>
              <w:spacing w:before="0" w:after="283"/>
              <w:jc w:val="left"/>
              <w:rPr>
                <w:sz w:val="4"/>
                <w:szCs w:val="4"/>
              </w:rPr>
            </w:pPr>
            <w:r>
              <w:rPr>
                <w:sz w:val="4"/>
                <w:szCs w:val="4"/>
              </w:rPr>
            </w:r>
          </w:p>
        </w:tc>
      </w:tr>
      <w:tr>
        <w:trPr/>
        <w:tc>
          <w:tcPr>
            <w:tcW w:w="66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5" w:type="dxa"/>
            <w:tcBorders>
              <w:bottom w:val="single" w:sz="2" w:space="0" w:color="000000"/>
            </w:tcBorders>
            <w:tcMar>
              <w:bottom w:w="28" w:type="dxa"/>
            </w:tcMar>
          </w:tcPr>
          <w:p>
            <w:pPr>
              <w:pStyle w:val="TableContents"/>
              <w:bidi w:val="0"/>
              <w:spacing w:before="0" w:after="283"/>
              <w:jc w:val="left"/>
              <w:rPr/>
            </w:pPr>
            <w:r>
              <w:rPr/>
              <w:t>/s/ Kamala Basdeo</w:t>
            </w:r>
          </w:p>
        </w:tc>
      </w:tr>
      <w:tr>
        <w:trPr/>
        <w:tc>
          <w:tcPr>
            <w:tcW w:w="66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Kamala Basdeo</w:t>
            </w:r>
          </w:p>
        </w:tc>
      </w:tr>
      <w:tr>
        <w:trPr/>
        <w:tc>
          <w:tcPr>
            <w:tcW w:w="66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Vice President</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MIZUHO BANK, LTD., as Lender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/s/ Donna DeMagistris</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Donna DeMagistris</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Executive Director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MORGAN STANLEY SENIOR FUNDING, INC., as Lender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Michael King</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Michael King</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Royal Bank of Canada, as Lender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Mark Tarnecki</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Mark Tarnecki</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4"/>
        <w:gridCol w:w="60"/>
        <w:gridCol w:w="3358"/>
      </w:tblGrid>
      <w:tr>
        <w:trPr/>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SOCIETE GENERALE, as Lender</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8" w:type="dxa"/>
            <w:tcBorders>
              <w:bottom w:val="single" w:sz="2" w:space="0" w:color="000000"/>
            </w:tcBorders>
            <w:tcMar>
              <w:bottom w:w="28" w:type="dxa"/>
            </w:tcMar>
          </w:tcPr>
          <w:p>
            <w:pPr>
              <w:pStyle w:val="TableContents"/>
              <w:bidi w:val="0"/>
              <w:spacing w:before="0" w:after="283"/>
              <w:jc w:val="left"/>
              <w:rPr/>
            </w:pPr>
            <w:r>
              <w:rPr/>
              <w:t>/s/ Kimberly Metzger</w:t>
            </w:r>
          </w:p>
        </w:tc>
      </w:tr>
      <w:tr>
        <w:trPr/>
        <w:tc>
          <w:tcPr>
            <w:tcW w:w="6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Kimberly Metzger</w:t>
            </w:r>
          </w:p>
        </w:tc>
      </w:tr>
      <w:tr>
        <w:trPr/>
        <w:tc>
          <w:tcPr>
            <w:tcW w:w="6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Director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Sumitomo Mitsui Banking Corporation, as Lender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Minxiao Tian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Minxiao Tian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Director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1"/>
        <w:gridCol w:w="60"/>
        <w:gridCol w:w="3361"/>
      </w:tblGrid>
      <w:tr>
        <w:trPr/>
        <w:tc>
          <w:tcPr>
            <w:tcW w:w="6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Nova Scotia, as Lender</w:t>
            </w:r>
          </w:p>
        </w:tc>
      </w:tr>
      <w:tr>
        <w:trPr>
          <w:trHeight w:val="240" w:hRule="atLeast"/>
        </w:trPr>
        <w:tc>
          <w:tcPr>
            <w:tcW w:w="661"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r>
      <w:tr>
        <w:trPr/>
        <w:tc>
          <w:tcPr>
            <w:tcW w:w="66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61" w:type="dxa"/>
            <w:tcBorders>
              <w:bottom w:val="single" w:sz="2" w:space="0" w:color="000000"/>
            </w:tcBorders>
            <w:tcMar>
              <w:bottom w:w="28" w:type="dxa"/>
            </w:tcMar>
          </w:tcPr>
          <w:p>
            <w:pPr>
              <w:pStyle w:val="TableContents"/>
              <w:bidi w:val="0"/>
              <w:spacing w:before="0" w:after="283"/>
              <w:jc w:val="left"/>
              <w:rPr/>
            </w:pPr>
            <w:r>
              <w:rPr/>
              <w:t>/s/ Troy Washington</w:t>
            </w:r>
          </w:p>
        </w:tc>
      </w:tr>
      <w:tr>
        <w:trPr/>
        <w:tc>
          <w:tcPr>
            <w:tcW w:w="66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1" w:type="dxa"/>
            <w:tcBorders/>
          </w:tcPr>
          <w:p>
            <w:pPr>
              <w:pStyle w:val="TableContents"/>
              <w:bidi w:val="0"/>
              <w:spacing w:before="0" w:after="283"/>
              <w:jc w:val="left"/>
              <w:rPr/>
            </w:pPr>
            <w:r>
              <w:rPr/>
              <w:t>Troy Washington</w:t>
            </w:r>
          </w:p>
        </w:tc>
      </w:tr>
      <w:tr>
        <w:trPr/>
        <w:tc>
          <w:tcPr>
            <w:tcW w:w="66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1" w:type="dxa"/>
            <w:tcBorders/>
          </w:tcPr>
          <w:p>
            <w:pPr>
              <w:pStyle w:val="TableContents"/>
              <w:bidi w:val="0"/>
              <w:spacing w:before="0" w:after="283"/>
              <w:jc w:val="left"/>
              <w:rPr/>
            </w:pPr>
            <w:r>
              <w:rPr/>
              <w:t>Director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0"/>
        <w:gridCol w:w="60"/>
        <w:gridCol w:w="3332"/>
      </w:tblGrid>
      <w:tr>
        <w:trPr/>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Toronto-Dominion Bank, New York Branch, as Lender</w:t>
            </w:r>
          </w:p>
        </w:tc>
      </w:tr>
      <w:tr>
        <w:trPr>
          <w:trHeight w:val="240" w:hRule="atLeast"/>
        </w:trPr>
        <w:tc>
          <w:tcPr>
            <w:tcW w:w="690" w:type="dxa"/>
            <w:tcBorders/>
            <w:vAlign w:val="center"/>
          </w:tcPr>
          <w:p>
            <w:pPr>
              <w:pStyle w:val="TableContents"/>
              <w:bidi w:val="0"/>
              <w:spacing w:before="0" w:after="283"/>
              <w:jc w:val="left"/>
              <w:rPr>
                <w:sz w:val="4"/>
                <w:szCs w:val="4"/>
              </w:rPr>
            </w:pPr>
            <w:r>
              <w:rPr>
                <w:sz w:val="4"/>
                <w:szCs w:val="4"/>
              </w:rPr>
            </w:r>
          </w:p>
        </w:tc>
        <w:tc>
          <w:tcPr>
            <w:tcW w:w="3392" w:type="dxa"/>
            <w:gridSpan w:val="2"/>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2" w:type="dxa"/>
            <w:tcBorders>
              <w:bottom w:val="single" w:sz="2" w:space="0" w:color="000000"/>
            </w:tcBorders>
            <w:tcMar>
              <w:bottom w:w="28" w:type="dxa"/>
            </w:tcMar>
          </w:tcPr>
          <w:p>
            <w:pPr>
              <w:pStyle w:val="TableContents"/>
              <w:bidi w:val="0"/>
              <w:spacing w:before="0" w:after="283"/>
              <w:jc w:val="left"/>
              <w:rPr/>
            </w:pPr>
            <w:r>
              <w:rPr/>
              <w:t>/s/ David Perlman</w:t>
            </w:r>
          </w:p>
        </w:tc>
      </w:tr>
      <w:tr>
        <w:trPr/>
        <w:tc>
          <w:tcPr>
            <w:tcW w:w="6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David Perlman</w:t>
            </w:r>
          </w:p>
        </w:tc>
      </w:tr>
      <w:tr>
        <w:trPr/>
        <w:tc>
          <w:tcPr>
            <w:tcW w:w="6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Authorized Signatory</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Bank of Montreal, as Lender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Julia Zhu</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Julia Zhu</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DBS BANK LTD., as Lender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Kate Khoo</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Kate Khoo</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6"/>
        <w:gridCol w:w="60"/>
        <w:gridCol w:w="3356"/>
      </w:tblGrid>
      <w:tr>
        <w:trPr/>
        <w:tc>
          <w:tcPr>
            <w:tcW w:w="6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MUFG Bank, Ltd., as Lender</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6" w:type="dxa"/>
            <w:tcBorders>
              <w:bottom w:val="single" w:sz="2" w:space="0" w:color="000000"/>
            </w:tcBorders>
            <w:tcMar>
              <w:bottom w:w="28" w:type="dxa"/>
            </w:tcMar>
          </w:tcPr>
          <w:p>
            <w:pPr>
              <w:pStyle w:val="TableContents"/>
              <w:bidi w:val="0"/>
              <w:spacing w:before="0" w:after="283"/>
              <w:jc w:val="left"/>
              <w:rPr/>
            </w:pPr>
            <w:r>
              <w:rPr/>
              <w:t>/s/ Jorge Georgalos</w:t>
            </w:r>
          </w:p>
        </w:tc>
      </w:tr>
      <w:tr>
        <w:trPr/>
        <w:tc>
          <w:tcPr>
            <w:tcW w:w="6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Jorge Georgalos</w:t>
            </w:r>
          </w:p>
        </w:tc>
      </w:tr>
      <w:tr>
        <w:trPr/>
        <w:tc>
          <w:tcPr>
            <w:tcW w:w="6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Director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8"/>
        <w:gridCol w:w="60"/>
        <w:gridCol w:w="3354"/>
      </w:tblGrid>
      <w:tr>
        <w:trPr/>
        <w:tc>
          <w:tcPr>
            <w:tcW w:w="6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UniCredit Bank GmbH, New York Branch, as Lender</w:t>
            </w:r>
          </w:p>
        </w:tc>
      </w:tr>
      <w:tr>
        <w:trPr>
          <w:trHeight w:val="240" w:hRule="atLeast"/>
        </w:trPr>
        <w:tc>
          <w:tcPr>
            <w:tcW w:w="668" w:type="dxa"/>
            <w:tcBorders/>
            <w:vAlign w:val="center"/>
          </w:tcPr>
          <w:p>
            <w:pPr>
              <w:pStyle w:val="TableContents"/>
              <w:bidi w:val="0"/>
              <w:spacing w:before="0" w:after="283"/>
              <w:jc w:val="left"/>
              <w:rPr>
                <w:sz w:val="4"/>
                <w:szCs w:val="4"/>
              </w:rPr>
            </w:pPr>
            <w:r>
              <w:rPr>
                <w:sz w:val="4"/>
                <w:szCs w:val="4"/>
              </w:rPr>
            </w:r>
          </w:p>
        </w:tc>
        <w:tc>
          <w:tcPr>
            <w:tcW w:w="3414" w:type="dxa"/>
            <w:gridSpan w:val="2"/>
            <w:tcBorders/>
            <w:vAlign w:val="center"/>
          </w:tcPr>
          <w:p>
            <w:pPr>
              <w:pStyle w:val="TableContents"/>
              <w:bidi w:val="0"/>
              <w:spacing w:before="0" w:after="283"/>
              <w:jc w:val="left"/>
              <w:rPr>
                <w:sz w:val="4"/>
                <w:szCs w:val="4"/>
              </w:rPr>
            </w:pPr>
            <w:r>
              <w:rPr>
                <w:sz w:val="4"/>
                <w:szCs w:val="4"/>
              </w:rPr>
            </w:r>
          </w:p>
        </w:tc>
      </w:tr>
      <w:tr>
        <w:trPr/>
        <w:tc>
          <w:tcPr>
            <w:tcW w:w="66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4" w:type="dxa"/>
            <w:tcBorders>
              <w:bottom w:val="single" w:sz="2" w:space="0" w:color="000000"/>
            </w:tcBorders>
            <w:tcMar>
              <w:bottom w:w="28" w:type="dxa"/>
            </w:tcMar>
          </w:tcPr>
          <w:p>
            <w:pPr>
              <w:pStyle w:val="TableContents"/>
              <w:bidi w:val="0"/>
              <w:spacing w:before="0" w:after="283"/>
              <w:jc w:val="left"/>
              <w:rPr/>
            </w:pPr>
            <w:r>
              <w:rPr/>
              <w:t>/s/ Edward D. Herko</w:t>
            </w:r>
          </w:p>
        </w:tc>
      </w:tr>
      <w:tr>
        <w:trPr/>
        <w:tc>
          <w:tcPr>
            <w:tcW w:w="66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Edward D. Herko</w:t>
            </w:r>
          </w:p>
        </w:tc>
      </w:tr>
      <w:tr>
        <w:trPr/>
        <w:tc>
          <w:tcPr>
            <w:tcW w:w="66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Director</w:t>
            </w:r>
          </w:p>
        </w:tc>
      </w:tr>
      <w:tr>
        <w:trPr>
          <w:trHeight w:val="240" w:hRule="atLeast"/>
        </w:trPr>
        <w:tc>
          <w:tcPr>
            <w:tcW w:w="668" w:type="dxa"/>
            <w:tcBorders/>
            <w:vAlign w:val="center"/>
          </w:tcPr>
          <w:p>
            <w:pPr>
              <w:pStyle w:val="TableContents"/>
              <w:bidi w:val="0"/>
              <w:spacing w:before="0" w:after="283"/>
              <w:jc w:val="left"/>
              <w:rPr>
                <w:sz w:val="4"/>
                <w:szCs w:val="4"/>
              </w:rPr>
            </w:pPr>
            <w:r>
              <w:rPr>
                <w:sz w:val="4"/>
                <w:szCs w:val="4"/>
              </w:rPr>
            </w:r>
          </w:p>
        </w:tc>
        <w:tc>
          <w:tcPr>
            <w:tcW w:w="3414" w:type="dxa"/>
            <w:gridSpan w:val="2"/>
            <w:tcBorders/>
            <w:vAlign w:val="center"/>
          </w:tcPr>
          <w:p>
            <w:pPr>
              <w:pStyle w:val="TableContents"/>
              <w:bidi w:val="0"/>
              <w:spacing w:before="0" w:after="283"/>
              <w:jc w:val="left"/>
              <w:rPr>
                <w:sz w:val="4"/>
                <w:szCs w:val="4"/>
              </w:rPr>
            </w:pPr>
            <w:r>
              <w:rPr>
                <w:sz w:val="4"/>
                <w:szCs w:val="4"/>
              </w:rPr>
            </w:r>
          </w:p>
        </w:tc>
      </w:tr>
      <w:tr>
        <w:trPr/>
        <w:tc>
          <w:tcPr>
            <w:tcW w:w="66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4" w:type="dxa"/>
            <w:tcBorders>
              <w:bottom w:val="single" w:sz="2" w:space="0" w:color="000000"/>
            </w:tcBorders>
            <w:tcMar>
              <w:bottom w:w="28" w:type="dxa"/>
            </w:tcMar>
          </w:tcPr>
          <w:p>
            <w:pPr>
              <w:pStyle w:val="TableContents"/>
              <w:bidi w:val="0"/>
              <w:spacing w:before="0" w:after="283"/>
              <w:jc w:val="left"/>
              <w:rPr/>
            </w:pPr>
            <w:r>
              <w:rPr/>
              <w:t>/s/ Peter Daugavietis</w:t>
            </w:r>
          </w:p>
        </w:tc>
      </w:tr>
      <w:tr>
        <w:trPr/>
        <w:tc>
          <w:tcPr>
            <w:tcW w:w="66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Peter Daugavietis</w:t>
            </w:r>
          </w:p>
        </w:tc>
      </w:tr>
      <w:tr>
        <w:trPr/>
        <w:tc>
          <w:tcPr>
            <w:tcW w:w="66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Director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4"/>
        <w:gridCol w:w="60"/>
        <w:gridCol w:w="3328"/>
      </w:tblGrid>
      <w:tr>
        <w:trPr/>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NATIONAL ASSOCIATION, as Lender</w:t>
            </w:r>
          </w:p>
        </w:tc>
      </w:tr>
      <w:tr>
        <w:trPr>
          <w:trHeight w:val="24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8" w:type="dxa"/>
            <w:tcBorders>
              <w:bottom w:val="single" w:sz="2" w:space="0" w:color="000000"/>
            </w:tcBorders>
            <w:tcMar>
              <w:bottom w:w="28" w:type="dxa"/>
            </w:tcMar>
          </w:tcPr>
          <w:p>
            <w:pPr>
              <w:pStyle w:val="TableContents"/>
              <w:bidi w:val="0"/>
              <w:spacing w:before="0" w:after="283"/>
              <w:jc w:val="left"/>
              <w:rPr/>
            </w:pPr>
            <w:r>
              <w:rPr/>
              <w:t>/s/ Jeffrey S. Johnson</w:t>
            </w:r>
          </w:p>
        </w:tc>
      </w:tr>
      <w:tr>
        <w:trPr/>
        <w:tc>
          <w:tcPr>
            <w:tcW w:w="69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Jeffrey S. Johnson</w:t>
            </w:r>
          </w:p>
        </w:tc>
      </w:tr>
      <w:tr>
        <w:trPr/>
        <w:tc>
          <w:tcPr>
            <w:tcW w:w="69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Senior Vice President</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Commerzbank AG, New York Branch, as Lender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/s/ Mathew Ward</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Mathew Ward</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Managing Director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/s/ Robert Sullivan</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Robert Sullivan</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Vice President</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 Fargo Bank, National Association, as Lender</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Jonathan D. Beck</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Jonathan D. Beck</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Executive Director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6"/>
        <w:gridCol w:w="60"/>
        <w:gridCol w:w="3356"/>
      </w:tblGrid>
      <w:tr>
        <w:trPr/>
        <w:tc>
          <w:tcPr>
            <w:tcW w:w="6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INDUSTRIAL AND COMMERCIAL BANK OF CHINA LIMITED, NEW YORK BRANCH, as Lender</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6" w:type="dxa"/>
            <w:tcBorders>
              <w:bottom w:val="single" w:sz="2" w:space="0" w:color="000000"/>
            </w:tcBorders>
            <w:tcMar>
              <w:bottom w:w="28" w:type="dxa"/>
            </w:tcMar>
          </w:tcPr>
          <w:p>
            <w:pPr>
              <w:pStyle w:val="TableContents"/>
              <w:bidi w:val="0"/>
              <w:spacing w:before="0" w:after="283"/>
              <w:jc w:val="left"/>
              <w:rPr/>
            </w:pPr>
            <w:r>
              <w:rPr/>
              <w:t>/s/ Christopher M Samms</w:t>
            </w:r>
          </w:p>
        </w:tc>
      </w:tr>
      <w:tr>
        <w:trPr/>
        <w:tc>
          <w:tcPr>
            <w:tcW w:w="6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Christopher M Samms</w:t>
            </w:r>
          </w:p>
        </w:tc>
      </w:tr>
      <w:tr>
        <w:trPr/>
        <w:tc>
          <w:tcPr>
            <w:tcW w:w="6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Director</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6" w:type="dxa"/>
            <w:tcBorders>
              <w:bottom w:val="single" w:sz="2" w:space="0" w:color="000000"/>
            </w:tcBorders>
            <w:tcMar>
              <w:bottom w:w="28" w:type="dxa"/>
            </w:tcMar>
          </w:tcPr>
          <w:p>
            <w:pPr>
              <w:pStyle w:val="TableContents"/>
              <w:bidi w:val="0"/>
              <w:spacing w:before="0" w:after="283"/>
              <w:jc w:val="left"/>
              <w:rPr/>
            </w:pPr>
            <w:r>
              <w:rPr/>
              <w:t>/s/ Yuanyuan Peng</w:t>
            </w:r>
          </w:p>
        </w:tc>
      </w:tr>
      <w:tr>
        <w:trPr/>
        <w:tc>
          <w:tcPr>
            <w:tcW w:w="6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Yuanyuan Peng</w:t>
            </w:r>
          </w:p>
        </w:tc>
      </w:tr>
      <w:tr>
        <w:trPr/>
        <w:tc>
          <w:tcPr>
            <w:tcW w:w="6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Executive Director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0"/>
        <w:gridCol w:w="61"/>
        <w:gridCol w:w="3351"/>
      </w:tblGrid>
      <w:tr>
        <w:trPr/>
        <w:tc>
          <w:tcPr>
            <w:tcW w:w="67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ING Bank N.V., Dublin Branch, as Lender</w:t>
            </w:r>
          </w:p>
        </w:tc>
      </w:tr>
      <w:tr>
        <w:trPr>
          <w:trHeight w:val="240" w:hRule="atLeast"/>
        </w:trPr>
        <w:tc>
          <w:tcPr>
            <w:tcW w:w="670" w:type="dxa"/>
            <w:tcBorders/>
            <w:vAlign w:val="center"/>
          </w:tcPr>
          <w:p>
            <w:pPr>
              <w:pStyle w:val="TableContents"/>
              <w:bidi w:val="0"/>
              <w:spacing w:before="0" w:after="283"/>
              <w:jc w:val="left"/>
              <w:rPr>
                <w:sz w:val="4"/>
                <w:szCs w:val="4"/>
              </w:rPr>
            </w:pPr>
            <w:r>
              <w:rPr>
                <w:sz w:val="4"/>
                <w:szCs w:val="4"/>
              </w:rPr>
            </w:r>
          </w:p>
        </w:tc>
        <w:tc>
          <w:tcPr>
            <w:tcW w:w="3412" w:type="dxa"/>
            <w:gridSpan w:val="2"/>
            <w:tcBorders/>
            <w:vAlign w:val="center"/>
          </w:tcPr>
          <w:p>
            <w:pPr>
              <w:pStyle w:val="TableContents"/>
              <w:bidi w:val="0"/>
              <w:spacing w:before="0" w:after="283"/>
              <w:jc w:val="left"/>
              <w:rPr>
                <w:sz w:val="4"/>
                <w:szCs w:val="4"/>
              </w:rPr>
            </w:pPr>
            <w:r>
              <w:rPr>
                <w:sz w:val="4"/>
                <w:szCs w:val="4"/>
              </w:rPr>
            </w:r>
          </w:p>
        </w:tc>
      </w:tr>
      <w:tr>
        <w:trPr/>
        <w:tc>
          <w:tcPr>
            <w:tcW w:w="670"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Robert ODonoghue</w:t>
            </w:r>
          </w:p>
        </w:tc>
      </w:tr>
      <w:tr>
        <w:trPr/>
        <w:tc>
          <w:tcPr>
            <w:tcW w:w="670"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Robert ODonoghue</w:t>
            </w:r>
          </w:p>
        </w:tc>
      </w:tr>
      <w:tr>
        <w:trPr/>
        <w:tc>
          <w:tcPr>
            <w:tcW w:w="670"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Managing Director</w:t>
            </w:r>
          </w:p>
        </w:tc>
      </w:tr>
      <w:tr>
        <w:trPr>
          <w:trHeight w:val="240" w:hRule="atLeast"/>
        </w:trPr>
        <w:tc>
          <w:tcPr>
            <w:tcW w:w="670" w:type="dxa"/>
            <w:tcBorders/>
            <w:vAlign w:val="center"/>
          </w:tcPr>
          <w:p>
            <w:pPr>
              <w:pStyle w:val="TableContents"/>
              <w:bidi w:val="0"/>
              <w:spacing w:before="0" w:after="283"/>
              <w:jc w:val="left"/>
              <w:rPr>
                <w:sz w:val="4"/>
                <w:szCs w:val="4"/>
              </w:rPr>
            </w:pPr>
            <w:r>
              <w:rPr>
                <w:sz w:val="4"/>
                <w:szCs w:val="4"/>
              </w:rPr>
            </w:r>
          </w:p>
        </w:tc>
        <w:tc>
          <w:tcPr>
            <w:tcW w:w="3412" w:type="dxa"/>
            <w:gridSpan w:val="2"/>
            <w:tcBorders/>
            <w:vAlign w:val="center"/>
          </w:tcPr>
          <w:p>
            <w:pPr>
              <w:pStyle w:val="TableContents"/>
              <w:bidi w:val="0"/>
              <w:spacing w:before="0" w:after="283"/>
              <w:jc w:val="left"/>
              <w:rPr>
                <w:sz w:val="4"/>
                <w:szCs w:val="4"/>
              </w:rPr>
            </w:pPr>
            <w:r>
              <w:rPr>
                <w:sz w:val="4"/>
                <w:szCs w:val="4"/>
              </w:rPr>
            </w:r>
          </w:p>
        </w:tc>
      </w:tr>
      <w:tr>
        <w:trPr/>
        <w:tc>
          <w:tcPr>
            <w:tcW w:w="670"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Sean Hassett</w:t>
            </w:r>
          </w:p>
        </w:tc>
      </w:tr>
      <w:tr>
        <w:trPr/>
        <w:tc>
          <w:tcPr>
            <w:tcW w:w="670"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Sean Hassett</w:t>
            </w:r>
          </w:p>
        </w:tc>
      </w:tr>
      <w:tr>
        <w:trPr/>
        <w:tc>
          <w:tcPr>
            <w:tcW w:w="670"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Director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 as Lender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Tak Cheng</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Tak Cheng</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Senior Vice President</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Revolving Credit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1.1A </w:t>
      </w:r>
    </w:p>
    <w:p>
      <w:pPr>
        <w:pStyle w:val="TextBody"/>
        <w:bidi w:val="0"/>
        <w:spacing w:before="0" w:after="0"/>
        <w:jc w:val="right"/>
        <w:rPr>
          <w:rFonts w:ascii="Times New Roman" w:hAnsi="Times New Roman"/>
          <w:sz w:val="20"/>
        </w:rPr>
      </w:pP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Credit Agreement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COMMITMENTS/DTTP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43"/>
        <w:gridCol w:w="225"/>
        <w:gridCol w:w="1400"/>
        <w:gridCol w:w="177"/>
        <w:gridCol w:w="3402"/>
        <w:gridCol w:w="225"/>
        <w:gridCol w:w="1233"/>
      </w:tblGrid>
      <w:tr>
        <w:trPr/>
        <w:tc>
          <w:tcPr>
            <w:tcW w:w="3543"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3402"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r>
      <w:tr>
        <w:trPr/>
        <w:tc>
          <w:tcPr>
            <w:tcW w:w="3543" w:type="dxa"/>
            <w:tcBorders/>
            <w:vAlign w:val="bottom"/>
          </w:tcPr>
          <w:p>
            <w:pPr>
              <w:pStyle w:val="TableContents"/>
              <w:bidi w:val="0"/>
              <w:spacing w:before="0" w:after="283"/>
              <w:jc w:val="left"/>
              <w:rPr>
                <w:b/>
              </w:rPr>
            </w:pPr>
            <w:r>
              <w:rPr>
                <w:b/>
              </w:rPr>
              <w:t>Lender</w:t>
            </w:r>
          </w:p>
        </w:tc>
        <w:tc>
          <w:tcPr>
            <w:tcW w:w="225"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center"/>
              <w:rPr>
                <w:b/>
              </w:rPr>
            </w:pPr>
            <w:r>
              <w:rPr>
                <w:b/>
              </w:rPr>
              <w:t>Commitment</w:t>
            </w:r>
          </w:p>
        </w:tc>
        <w:tc>
          <w:tcPr>
            <w:tcW w:w="177" w:type="dxa"/>
            <w:tcBorders/>
            <w:vAlign w:val="bottom"/>
          </w:tcPr>
          <w:p>
            <w:pPr>
              <w:pStyle w:val="TableContents"/>
              <w:bidi w:val="0"/>
              <w:spacing w:before="0" w:after="283"/>
              <w:jc w:val="left"/>
              <w:rPr/>
            </w:pPr>
            <w:r>
              <w:rPr/>
              <w:t> </w:t>
            </w:r>
          </w:p>
        </w:tc>
        <w:tc>
          <w:tcPr>
            <w:tcW w:w="3402"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Scheme Reference</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225"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center"/>
              <w:rPr>
                <w:b/>
              </w:rPr>
            </w:pPr>
            <w:r>
              <w:rPr>
                <w:b/>
              </w:rPr>
              <w:t>Jurisdiction</w:t>
              <w:br/>
              <w:t>of Tax</w:t>
              <w:br/>
              <w:t>Residence</w:t>
            </w:r>
          </w:p>
        </w:tc>
      </w:tr>
      <w:tr>
        <w:trPr/>
        <w:tc>
          <w:tcPr>
            <w:tcW w:w="35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JPMorgan Chase Bank, N.A.</w:t>
            </w:r>
          </w:p>
        </w:tc>
        <w:tc>
          <w:tcPr>
            <w:tcW w:w="225"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center"/>
              <w:rPr>
                <w:sz w:val="20"/>
              </w:rPr>
            </w:pPr>
            <w:r>
              <w:rPr>
                <w:sz w:val="20"/>
              </w:rPr>
              <w:t>$[***]</w:t>
            </w:r>
          </w:p>
        </w:tc>
        <w:tc>
          <w:tcPr>
            <w:tcW w:w="177" w:type="dxa"/>
            <w:tcBorders/>
            <w:shd w:fill="CCEEFF" w:val="clear"/>
            <w:vAlign w:val="bottom"/>
          </w:tcPr>
          <w:p>
            <w:pPr>
              <w:pStyle w:val="TableContents"/>
              <w:bidi w:val="0"/>
              <w:spacing w:before="0" w:after="283"/>
              <w:jc w:val="left"/>
              <w:rPr/>
            </w:pPr>
            <w:r>
              <w:rPr/>
              <w:t> </w:t>
            </w:r>
          </w:p>
        </w:tc>
        <w:tc>
          <w:tcPr>
            <w:tcW w:w="3402" w:type="dxa"/>
            <w:tcBorders/>
            <w:shd w:fill="CCEEFF" w:val="clear"/>
            <w:vAlign w:val="bottom"/>
          </w:tcPr>
          <w:p>
            <w:pPr>
              <w:pStyle w:val="TableContents"/>
              <w:bidi w:val="0"/>
              <w:spacing w:before="0" w:after="283"/>
              <w:jc w:val="center"/>
              <w:rPr/>
            </w:pPr>
            <w:r>
              <w:rPr/>
              <w:t>13/M/0268710/DTTP</w:t>
            </w:r>
          </w:p>
        </w:tc>
        <w:tc>
          <w:tcPr>
            <w:tcW w:w="225"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center"/>
              <w:rPr/>
            </w:pPr>
            <w:r>
              <w:rPr/>
              <w:t>U.S.A.</w:t>
            </w:r>
          </w:p>
        </w:tc>
      </w:tr>
      <w:tr>
        <w:trPr/>
        <w:tc>
          <w:tcPr>
            <w:tcW w:w="35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Citibank, N.A.</w:t>
            </w:r>
          </w:p>
        </w:tc>
        <w:tc>
          <w:tcPr>
            <w:tcW w:w="225"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center"/>
              <w:rPr>
                <w:sz w:val="20"/>
              </w:rPr>
            </w:pPr>
            <w:r>
              <w:rPr>
                <w:sz w:val="20"/>
              </w:rPr>
              <w:t>$[***]</w:t>
            </w:r>
          </w:p>
        </w:tc>
        <w:tc>
          <w:tcPr>
            <w:tcW w:w="177" w:type="dxa"/>
            <w:tcBorders/>
            <w:vAlign w:val="bottom"/>
          </w:tcPr>
          <w:p>
            <w:pPr>
              <w:pStyle w:val="TableContents"/>
              <w:bidi w:val="0"/>
              <w:spacing w:before="0" w:after="283"/>
              <w:jc w:val="left"/>
              <w:rPr/>
            </w:pPr>
            <w:r>
              <w:rPr/>
              <w:t> </w:t>
            </w:r>
          </w:p>
        </w:tc>
        <w:tc>
          <w:tcPr>
            <w:tcW w:w="3402" w:type="dxa"/>
            <w:tcBorders/>
            <w:vAlign w:val="bottom"/>
          </w:tcPr>
          <w:p>
            <w:pPr>
              <w:pStyle w:val="TableContents"/>
              <w:bidi w:val="0"/>
              <w:spacing w:before="0" w:after="283"/>
              <w:jc w:val="center"/>
              <w:rPr/>
            </w:pPr>
            <w:r>
              <w:rPr/>
              <w:t>13/C/62301/DTTP</w:t>
            </w:r>
          </w:p>
        </w:tc>
        <w:tc>
          <w:tcPr>
            <w:tcW w:w="225"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center"/>
              <w:rPr/>
            </w:pPr>
            <w:r>
              <w:rPr/>
              <w:t>U.S.A.</w:t>
            </w:r>
          </w:p>
        </w:tc>
      </w:tr>
      <w:tr>
        <w:trPr/>
        <w:tc>
          <w:tcPr>
            <w:tcW w:w="35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Banco Bilbao Vizcaya Argentaria, S.A. New York Branch</w:t>
            </w:r>
          </w:p>
        </w:tc>
        <w:tc>
          <w:tcPr>
            <w:tcW w:w="225"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center"/>
              <w:rPr>
                <w:sz w:val="20"/>
              </w:rPr>
            </w:pPr>
            <w:r>
              <w:rPr>
                <w:sz w:val="20"/>
              </w:rPr>
              <w:t>$[***]</w:t>
            </w:r>
          </w:p>
        </w:tc>
        <w:tc>
          <w:tcPr>
            <w:tcW w:w="177" w:type="dxa"/>
            <w:tcBorders/>
            <w:shd w:fill="CCEEFF" w:val="clear"/>
            <w:vAlign w:val="bottom"/>
          </w:tcPr>
          <w:p>
            <w:pPr>
              <w:pStyle w:val="TableContents"/>
              <w:bidi w:val="0"/>
              <w:spacing w:before="0" w:after="283"/>
              <w:jc w:val="left"/>
              <w:rPr/>
            </w:pPr>
            <w:r>
              <w:rPr/>
              <w:t> </w:t>
            </w:r>
          </w:p>
        </w:tc>
        <w:tc>
          <w:tcPr>
            <w:tcW w:w="3402" w:type="dxa"/>
            <w:tcBorders/>
            <w:shd w:fill="CCEEFF" w:val="clear"/>
            <w:vAlign w:val="bottom"/>
          </w:tcPr>
          <w:p>
            <w:pPr>
              <w:pStyle w:val="TableContents"/>
              <w:bidi w:val="0"/>
              <w:spacing w:before="0" w:after="283"/>
              <w:jc w:val="center"/>
              <w:rPr/>
            </w:pPr>
            <w:r>
              <w:rPr/>
              <w:t>9/B/75354/DTTP</w:t>
            </w:r>
          </w:p>
        </w:tc>
        <w:tc>
          <w:tcPr>
            <w:tcW w:w="225"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center"/>
              <w:rPr/>
            </w:pPr>
            <w:r>
              <w:rPr/>
              <w:t>Spain</w:t>
            </w:r>
          </w:p>
        </w:tc>
      </w:tr>
      <w:tr>
        <w:trPr/>
        <w:tc>
          <w:tcPr>
            <w:tcW w:w="35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Banco Santander, S.A., New York Branch</w:t>
            </w:r>
          </w:p>
        </w:tc>
        <w:tc>
          <w:tcPr>
            <w:tcW w:w="225"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center"/>
              <w:rPr>
                <w:sz w:val="20"/>
              </w:rPr>
            </w:pPr>
            <w:r>
              <w:rPr>
                <w:sz w:val="20"/>
              </w:rPr>
              <w:t>$[***]</w:t>
            </w:r>
          </w:p>
        </w:tc>
        <w:tc>
          <w:tcPr>
            <w:tcW w:w="177" w:type="dxa"/>
            <w:tcBorders/>
            <w:vAlign w:val="bottom"/>
          </w:tcPr>
          <w:p>
            <w:pPr>
              <w:pStyle w:val="TableContents"/>
              <w:bidi w:val="0"/>
              <w:spacing w:before="0" w:after="283"/>
              <w:jc w:val="left"/>
              <w:rPr/>
            </w:pPr>
            <w:r>
              <w:rPr/>
              <w:t> </w:t>
            </w:r>
          </w:p>
        </w:tc>
        <w:tc>
          <w:tcPr>
            <w:tcW w:w="3402" w:type="dxa"/>
            <w:tcBorders/>
            <w:vAlign w:val="bottom"/>
          </w:tcPr>
          <w:p>
            <w:pPr>
              <w:pStyle w:val="TableContents"/>
              <w:bidi w:val="0"/>
              <w:spacing w:before="0" w:after="283"/>
              <w:jc w:val="center"/>
              <w:rPr/>
            </w:pPr>
            <w:r>
              <w:rPr/>
              <w:t>013/S/357603/DTTP</w:t>
            </w:r>
          </w:p>
        </w:tc>
        <w:tc>
          <w:tcPr>
            <w:tcW w:w="225"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center"/>
              <w:rPr/>
            </w:pPr>
            <w:r>
              <w:rPr/>
              <w:t>U.S.A.</w:t>
            </w:r>
          </w:p>
        </w:tc>
      </w:tr>
      <w:tr>
        <w:trPr/>
        <w:tc>
          <w:tcPr>
            <w:tcW w:w="35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Bank of America, N.A. </w:t>
            </w:r>
          </w:p>
        </w:tc>
        <w:tc>
          <w:tcPr>
            <w:tcW w:w="225"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center"/>
              <w:rPr>
                <w:sz w:val="20"/>
              </w:rPr>
            </w:pPr>
            <w:r>
              <w:rPr>
                <w:sz w:val="20"/>
              </w:rPr>
              <w:t>$[***]</w:t>
            </w:r>
          </w:p>
        </w:tc>
        <w:tc>
          <w:tcPr>
            <w:tcW w:w="177" w:type="dxa"/>
            <w:tcBorders/>
            <w:shd w:fill="CCEEFF" w:val="clear"/>
            <w:vAlign w:val="bottom"/>
          </w:tcPr>
          <w:p>
            <w:pPr>
              <w:pStyle w:val="TableContents"/>
              <w:bidi w:val="0"/>
              <w:spacing w:before="0" w:after="283"/>
              <w:jc w:val="left"/>
              <w:rPr/>
            </w:pPr>
            <w:r>
              <w:rPr/>
              <w:t> </w:t>
            </w:r>
          </w:p>
        </w:tc>
        <w:tc>
          <w:tcPr>
            <w:tcW w:w="3402" w:type="dxa"/>
            <w:tcBorders/>
            <w:shd w:fill="CCEEFF" w:val="clear"/>
            <w:vAlign w:val="bottom"/>
          </w:tcPr>
          <w:p>
            <w:pPr>
              <w:pStyle w:val="TableContents"/>
              <w:bidi w:val="0"/>
              <w:spacing w:before="0" w:after="283"/>
              <w:jc w:val="center"/>
              <w:rPr/>
            </w:pPr>
            <w:r>
              <w:rPr/>
              <w:t>13/B/7418/DTTP</w:t>
            </w:r>
          </w:p>
        </w:tc>
        <w:tc>
          <w:tcPr>
            <w:tcW w:w="225"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center"/>
              <w:rPr/>
            </w:pPr>
            <w:r>
              <w:rPr/>
              <w:t>U.S.A.</w:t>
            </w:r>
          </w:p>
        </w:tc>
      </w:tr>
      <w:tr>
        <w:trPr/>
        <w:tc>
          <w:tcPr>
            <w:tcW w:w="35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Barclays Bank PLC</w:t>
            </w:r>
          </w:p>
        </w:tc>
        <w:tc>
          <w:tcPr>
            <w:tcW w:w="225"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center"/>
              <w:rPr>
                <w:sz w:val="20"/>
              </w:rPr>
            </w:pPr>
            <w:r>
              <w:rPr>
                <w:sz w:val="20"/>
              </w:rPr>
              <w:t>$[***]</w:t>
            </w:r>
          </w:p>
        </w:tc>
        <w:tc>
          <w:tcPr>
            <w:tcW w:w="177" w:type="dxa"/>
            <w:tcBorders/>
            <w:vAlign w:val="bottom"/>
          </w:tcPr>
          <w:p>
            <w:pPr>
              <w:pStyle w:val="TableContents"/>
              <w:bidi w:val="0"/>
              <w:spacing w:before="0" w:after="283"/>
              <w:jc w:val="left"/>
              <w:rPr/>
            </w:pPr>
            <w:r>
              <w:rPr/>
              <w:t> </w:t>
            </w:r>
          </w:p>
        </w:tc>
        <w:tc>
          <w:tcPr>
            <w:tcW w:w="3402" w:type="dxa"/>
            <w:tcBorders/>
            <w:vAlign w:val="bottom"/>
          </w:tcPr>
          <w:p>
            <w:pPr>
              <w:pStyle w:val="TableContents"/>
              <w:bidi w:val="0"/>
              <w:spacing w:before="0" w:after="283"/>
              <w:jc w:val="center"/>
              <w:rPr/>
            </w:pPr>
            <w:r>
              <w:rPr/>
              <w:t>N/A</w:t>
            </w:r>
          </w:p>
        </w:tc>
        <w:tc>
          <w:tcPr>
            <w:tcW w:w="225"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center"/>
              <w:rPr/>
            </w:pPr>
            <w:r>
              <w:rPr/>
              <w:t>UK</w:t>
            </w:r>
          </w:p>
        </w:tc>
      </w:tr>
      <w:tr>
        <w:trPr/>
        <w:tc>
          <w:tcPr>
            <w:tcW w:w="35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BNP Paribas</w:t>
            </w:r>
          </w:p>
        </w:tc>
        <w:tc>
          <w:tcPr>
            <w:tcW w:w="225"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center"/>
              <w:rPr>
                <w:sz w:val="20"/>
              </w:rPr>
            </w:pPr>
            <w:r>
              <w:rPr>
                <w:sz w:val="20"/>
              </w:rPr>
              <w:t>$[***]</w:t>
            </w:r>
          </w:p>
        </w:tc>
        <w:tc>
          <w:tcPr>
            <w:tcW w:w="177" w:type="dxa"/>
            <w:tcBorders/>
            <w:shd w:fill="CCEEFF" w:val="clear"/>
            <w:vAlign w:val="bottom"/>
          </w:tcPr>
          <w:p>
            <w:pPr>
              <w:pStyle w:val="TableContents"/>
              <w:bidi w:val="0"/>
              <w:spacing w:before="0" w:after="283"/>
              <w:jc w:val="left"/>
              <w:rPr/>
            </w:pPr>
            <w:r>
              <w:rPr/>
              <w:t> </w:t>
            </w:r>
          </w:p>
        </w:tc>
        <w:tc>
          <w:tcPr>
            <w:tcW w:w="3402" w:type="dxa"/>
            <w:tcBorders/>
            <w:shd w:fill="CCEEFF" w:val="clear"/>
            <w:vAlign w:val="bottom"/>
          </w:tcPr>
          <w:p>
            <w:pPr>
              <w:pStyle w:val="TableContents"/>
              <w:bidi w:val="0"/>
              <w:spacing w:before="0" w:after="283"/>
              <w:jc w:val="center"/>
              <w:rPr/>
            </w:pPr>
            <w:r>
              <w:rPr/>
              <w:t>5/B/255139/DTTP</w:t>
            </w:r>
          </w:p>
        </w:tc>
        <w:tc>
          <w:tcPr>
            <w:tcW w:w="225"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center"/>
              <w:rPr/>
            </w:pPr>
            <w:r>
              <w:rPr/>
              <w:t>France</w:t>
            </w:r>
          </w:p>
        </w:tc>
      </w:tr>
      <w:tr>
        <w:trPr/>
        <w:tc>
          <w:tcPr>
            <w:tcW w:w="35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Canadian Imperial Bank of Commerce, New York Branch</w:t>
            </w:r>
          </w:p>
        </w:tc>
        <w:tc>
          <w:tcPr>
            <w:tcW w:w="225"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center"/>
              <w:rPr>
                <w:sz w:val="20"/>
              </w:rPr>
            </w:pPr>
            <w:r>
              <w:rPr>
                <w:sz w:val="20"/>
              </w:rPr>
              <w:t>$[***]</w:t>
            </w:r>
          </w:p>
        </w:tc>
        <w:tc>
          <w:tcPr>
            <w:tcW w:w="177" w:type="dxa"/>
            <w:tcBorders/>
            <w:vAlign w:val="bottom"/>
          </w:tcPr>
          <w:p>
            <w:pPr>
              <w:pStyle w:val="TableContents"/>
              <w:bidi w:val="0"/>
              <w:spacing w:before="0" w:after="283"/>
              <w:jc w:val="left"/>
              <w:rPr/>
            </w:pPr>
            <w:r>
              <w:rPr/>
              <w:t> </w:t>
            </w:r>
          </w:p>
        </w:tc>
        <w:tc>
          <w:tcPr>
            <w:tcW w:w="3402" w:type="dxa"/>
            <w:tcBorders/>
            <w:vAlign w:val="bottom"/>
          </w:tcPr>
          <w:p>
            <w:pPr>
              <w:pStyle w:val="TableContents"/>
              <w:bidi w:val="0"/>
              <w:spacing w:before="0" w:after="283"/>
              <w:jc w:val="center"/>
              <w:rPr/>
            </w:pPr>
            <w:r>
              <w:rPr/>
              <w:t>3/C/80001/DTTP</w:t>
            </w:r>
          </w:p>
        </w:tc>
        <w:tc>
          <w:tcPr>
            <w:tcW w:w="225"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center"/>
              <w:rPr/>
            </w:pPr>
            <w:r>
              <w:rPr/>
              <w:t>Canada</w:t>
            </w:r>
          </w:p>
        </w:tc>
      </w:tr>
      <w:tr>
        <w:trPr/>
        <w:tc>
          <w:tcPr>
            <w:tcW w:w="35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Credit Agricole Corporate and Investment Bank</w:t>
            </w:r>
          </w:p>
        </w:tc>
        <w:tc>
          <w:tcPr>
            <w:tcW w:w="225"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center"/>
              <w:rPr>
                <w:sz w:val="20"/>
              </w:rPr>
            </w:pPr>
            <w:r>
              <w:rPr>
                <w:sz w:val="20"/>
              </w:rPr>
              <w:t>$[***]</w:t>
            </w:r>
          </w:p>
        </w:tc>
        <w:tc>
          <w:tcPr>
            <w:tcW w:w="177" w:type="dxa"/>
            <w:tcBorders/>
            <w:shd w:fill="CCEEFF" w:val="clear"/>
            <w:vAlign w:val="bottom"/>
          </w:tcPr>
          <w:p>
            <w:pPr>
              <w:pStyle w:val="TableContents"/>
              <w:bidi w:val="0"/>
              <w:spacing w:before="0" w:after="283"/>
              <w:jc w:val="left"/>
              <w:rPr/>
            </w:pPr>
            <w:r>
              <w:rPr/>
              <w:t> </w:t>
            </w:r>
          </w:p>
        </w:tc>
        <w:tc>
          <w:tcPr>
            <w:tcW w:w="3402" w:type="dxa"/>
            <w:tcBorders/>
            <w:shd w:fill="CCEEFF" w:val="clear"/>
            <w:vAlign w:val="bottom"/>
          </w:tcPr>
          <w:p>
            <w:pPr>
              <w:pStyle w:val="TableContents"/>
              <w:bidi w:val="0"/>
              <w:spacing w:before="0" w:after="283"/>
              <w:jc w:val="center"/>
              <w:rPr/>
            </w:pPr>
            <w:r>
              <w:rPr/>
              <w:t>5/C/0222082/DTTP</w:t>
            </w:r>
          </w:p>
        </w:tc>
        <w:tc>
          <w:tcPr>
            <w:tcW w:w="225"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center"/>
              <w:rPr/>
            </w:pPr>
            <w:r>
              <w:rPr/>
              <w:t>France</w:t>
            </w:r>
          </w:p>
        </w:tc>
      </w:tr>
      <w:tr>
        <w:trPr/>
        <w:tc>
          <w:tcPr>
            <w:tcW w:w="35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Deutsche Bank AG New York Branch</w:t>
            </w:r>
          </w:p>
        </w:tc>
        <w:tc>
          <w:tcPr>
            <w:tcW w:w="225"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center"/>
              <w:rPr>
                <w:sz w:val="20"/>
              </w:rPr>
            </w:pPr>
            <w:r>
              <w:rPr>
                <w:sz w:val="20"/>
              </w:rPr>
              <w:t>$[***]</w:t>
            </w:r>
          </w:p>
        </w:tc>
        <w:tc>
          <w:tcPr>
            <w:tcW w:w="177" w:type="dxa"/>
            <w:tcBorders/>
            <w:vAlign w:val="bottom"/>
          </w:tcPr>
          <w:p>
            <w:pPr>
              <w:pStyle w:val="TableContents"/>
              <w:bidi w:val="0"/>
              <w:spacing w:before="0" w:after="283"/>
              <w:jc w:val="left"/>
              <w:rPr/>
            </w:pPr>
            <w:r>
              <w:rPr/>
              <w:t> </w:t>
            </w:r>
          </w:p>
        </w:tc>
        <w:tc>
          <w:tcPr>
            <w:tcW w:w="3402" w:type="dxa"/>
            <w:tcBorders/>
            <w:vAlign w:val="bottom"/>
          </w:tcPr>
          <w:p>
            <w:pPr>
              <w:pStyle w:val="TableContents"/>
              <w:bidi w:val="0"/>
              <w:spacing w:before="0" w:after="283"/>
              <w:jc w:val="center"/>
              <w:rPr/>
            </w:pPr>
            <w:r>
              <w:rPr/>
              <w:t>07/D/70006/DTTP</w:t>
            </w:r>
          </w:p>
        </w:tc>
        <w:tc>
          <w:tcPr>
            <w:tcW w:w="225"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center"/>
              <w:rPr/>
            </w:pPr>
            <w:r>
              <w:rPr/>
              <w:t>Germany</w:t>
            </w:r>
          </w:p>
        </w:tc>
      </w:tr>
      <w:tr>
        <w:trPr/>
        <w:tc>
          <w:tcPr>
            <w:tcW w:w="35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Goldman Sachs Bank USA</w:t>
            </w:r>
          </w:p>
        </w:tc>
        <w:tc>
          <w:tcPr>
            <w:tcW w:w="225"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center"/>
              <w:rPr>
                <w:sz w:val="20"/>
              </w:rPr>
            </w:pPr>
            <w:r>
              <w:rPr>
                <w:sz w:val="20"/>
              </w:rPr>
              <w:t>$[***]</w:t>
            </w:r>
          </w:p>
        </w:tc>
        <w:tc>
          <w:tcPr>
            <w:tcW w:w="177" w:type="dxa"/>
            <w:tcBorders/>
            <w:shd w:fill="CCEEFF" w:val="clear"/>
            <w:vAlign w:val="bottom"/>
          </w:tcPr>
          <w:p>
            <w:pPr>
              <w:pStyle w:val="TableContents"/>
              <w:bidi w:val="0"/>
              <w:spacing w:before="0" w:after="283"/>
              <w:jc w:val="left"/>
              <w:rPr/>
            </w:pPr>
            <w:r>
              <w:rPr/>
              <w:t> </w:t>
            </w:r>
          </w:p>
        </w:tc>
        <w:tc>
          <w:tcPr>
            <w:tcW w:w="3402" w:type="dxa"/>
            <w:tcBorders/>
            <w:shd w:fill="CCEEFF" w:val="clear"/>
            <w:vAlign w:val="bottom"/>
          </w:tcPr>
          <w:p>
            <w:pPr>
              <w:pStyle w:val="TableContents"/>
              <w:bidi w:val="0"/>
              <w:spacing w:before="0" w:after="283"/>
              <w:jc w:val="center"/>
              <w:rPr/>
            </w:pPr>
            <w:r>
              <w:rPr/>
              <w:t>13/G/0351779/DTTP</w:t>
            </w:r>
          </w:p>
        </w:tc>
        <w:tc>
          <w:tcPr>
            <w:tcW w:w="225"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center"/>
              <w:rPr/>
            </w:pPr>
            <w:r>
              <w:rPr/>
              <w:t>U.S.A.</w:t>
            </w:r>
          </w:p>
        </w:tc>
      </w:tr>
      <w:tr>
        <w:trPr/>
        <w:tc>
          <w:tcPr>
            <w:tcW w:w="35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Intesa Sanpaolo S.p.A. - New York Branch</w:t>
            </w:r>
          </w:p>
        </w:tc>
        <w:tc>
          <w:tcPr>
            <w:tcW w:w="225"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center"/>
              <w:rPr>
                <w:sz w:val="20"/>
              </w:rPr>
            </w:pPr>
            <w:r>
              <w:rPr>
                <w:sz w:val="20"/>
              </w:rPr>
              <w:t>$[***]</w:t>
            </w:r>
          </w:p>
        </w:tc>
        <w:tc>
          <w:tcPr>
            <w:tcW w:w="177" w:type="dxa"/>
            <w:tcBorders/>
            <w:vAlign w:val="bottom"/>
          </w:tcPr>
          <w:p>
            <w:pPr>
              <w:pStyle w:val="TableContents"/>
              <w:bidi w:val="0"/>
              <w:spacing w:before="0" w:after="283"/>
              <w:jc w:val="left"/>
              <w:rPr/>
            </w:pPr>
            <w:r>
              <w:rPr/>
              <w:t> </w:t>
            </w:r>
          </w:p>
        </w:tc>
        <w:tc>
          <w:tcPr>
            <w:tcW w:w="3402" w:type="dxa"/>
            <w:tcBorders/>
            <w:vAlign w:val="bottom"/>
          </w:tcPr>
          <w:p>
            <w:pPr>
              <w:pStyle w:val="TableContents"/>
              <w:bidi w:val="0"/>
              <w:spacing w:before="0" w:after="283"/>
              <w:jc w:val="center"/>
              <w:rPr/>
            </w:pPr>
            <w:r>
              <w:rPr/>
              <w:t>N/A</w:t>
            </w:r>
          </w:p>
        </w:tc>
        <w:tc>
          <w:tcPr>
            <w:tcW w:w="225"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center"/>
              <w:rPr/>
            </w:pPr>
            <w:r>
              <w:rPr/>
              <w:t>UK</w:t>
            </w:r>
          </w:p>
        </w:tc>
      </w:tr>
      <w:tr>
        <w:trPr/>
        <w:tc>
          <w:tcPr>
            <w:tcW w:w="35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Lloyds Bank Corporate Markets plc</w:t>
            </w:r>
          </w:p>
        </w:tc>
        <w:tc>
          <w:tcPr>
            <w:tcW w:w="225"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center"/>
              <w:rPr>
                <w:sz w:val="20"/>
              </w:rPr>
            </w:pPr>
            <w:r>
              <w:rPr>
                <w:sz w:val="20"/>
              </w:rPr>
              <w:t>$[***]</w:t>
            </w:r>
          </w:p>
        </w:tc>
        <w:tc>
          <w:tcPr>
            <w:tcW w:w="177" w:type="dxa"/>
            <w:tcBorders/>
            <w:shd w:fill="CCEEFF" w:val="clear"/>
            <w:vAlign w:val="bottom"/>
          </w:tcPr>
          <w:p>
            <w:pPr>
              <w:pStyle w:val="TableContents"/>
              <w:bidi w:val="0"/>
              <w:spacing w:before="0" w:after="283"/>
              <w:jc w:val="left"/>
              <w:rPr/>
            </w:pPr>
            <w:r>
              <w:rPr/>
              <w:t> </w:t>
            </w:r>
          </w:p>
        </w:tc>
        <w:tc>
          <w:tcPr>
            <w:tcW w:w="3402" w:type="dxa"/>
            <w:tcBorders/>
            <w:shd w:fill="CCEEFF" w:val="clear"/>
            <w:vAlign w:val="bottom"/>
          </w:tcPr>
          <w:p>
            <w:pPr>
              <w:pStyle w:val="TableContents"/>
              <w:bidi w:val="0"/>
              <w:spacing w:before="0" w:after="283"/>
              <w:jc w:val="center"/>
              <w:rPr/>
            </w:pPr>
            <w:r>
              <w:rPr/>
              <w:t>N/A</w:t>
            </w:r>
          </w:p>
        </w:tc>
        <w:tc>
          <w:tcPr>
            <w:tcW w:w="225"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center"/>
              <w:rPr/>
            </w:pPr>
            <w:r>
              <w:rPr/>
              <w:t>UK</w:t>
            </w:r>
          </w:p>
        </w:tc>
      </w:tr>
    </w:tbl>
    <w:p>
      <w:pPr>
        <w:pStyle w:val="TextBody"/>
        <w:bidi w:val="0"/>
        <w:spacing w:before="240" w:after="0"/>
        <w:jc w:val="left"/>
        <w:rPr>
          <w:rFonts w:ascii="Times New Roman" w:hAnsi="Times New Roman"/>
          <w:sz w:val="20"/>
        </w:rPr>
      </w:pPr>
      <w:r>
        <w:rPr>
          <w:rFonts w:ascii="Times New Roman" w:hAnsi="Times New Roman"/>
          <w:sz w:val="20"/>
        </w:rPr>
        <w:t xml:space="preserve">Credit Agreement Schedule 1.1A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786"/>
        <w:gridCol w:w="214"/>
        <w:gridCol w:w="1398"/>
        <w:gridCol w:w="165"/>
        <w:gridCol w:w="3193"/>
        <w:gridCol w:w="214"/>
        <w:gridCol w:w="1235"/>
      </w:tblGrid>
      <w:tr>
        <w:trPr/>
        <w:tc>
          <w:tcPr>
            <w:tcW w:w="3786"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3193"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3786" w:type="dxa"/>
            <w:tcBorders/>
            <w:vAlign w:val="bottom"/>
          </w:tcPr>
          <w:p>
            <w:pPr>
              <w:pStyle w:val="TableContents"/>
              <w:bidi w:val="0"/>
              <w:spacing w:before="0" w:after="283"/>
              <w:jc w:val="left"/>
              <w:rPr>
                <w:b/>
              </w:rPr>
            </w:pPr>
            <w:r>
              <w:rPr>
                <w:b/>
              </w:rPr>
              <w:t>Lender</w:t>
            </w:r>
          </w:p>
        </w:tc>
        <w:tc>
          <w:tcPr>
            <w:tcW w:w="214"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center"/>
              <w:rPr>
                <w:b/>
              </w:rPr>
            </w:pPr>
            <w:r>
              <w:rPr>
                <w:b/>
              </w:rPr>
              <w:t>Commitment</w:t>
            </w:r>
          </w:p>
        </w:tc>
        <w:tc>
          <w:tcPr>
            <w:tcW w:w="165"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Scheme Reference</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214"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center"/>
              <w:rPr>
                <w:b/>
              </w:rPr>
            </w:pPr>
            <w:r>
              <w:rPr>
                <w:b/>
              </w:rPr>
              <w:t>Jurisdiction</w:t>
              <w:br/>
              <w:t>of Tax</w:t>
              <w:br/>
              <w:t>Residence</w:t>
            </w:r>
          </w:p>
        </w:tc>
      </w:tr>
      <w:tr>
        <w:trPr/>
        <w:tc>
          <w:tcPr>
            <w:tcW w:w="378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Mizuho Bank, Ltd.</w:t>
            </w:r>
          </w:p>
        </w:tc>
        <w:tc>
          <w:tcPr>
            <w:tcW w:w="214"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center"/>
              <w:rPr>
                <w:sz w:val="20"/>
              </w:rPr>
            </w:pPr>
            <w:r>
              <w:rPr>
                <w:sz w:val="20"/>
              </w:rPr>
              <w:t>$[***]</w:t>
            </w:r>
          </w:p>
        </w:tc>
        <w:tc>
          <w:tcPr>
            <w:tcW w:w="165" w:type="dxa"/>
            <w:tcBorders/>
            <w:shd w:fill="CCEEFF" w:val="clear"/>
            <w:vAlign w:val="bottom"/>
          </w:tcPr>
          <w:p>
            <w:pPr>
              <w:pStyle w:val="TableContents"/>
              <w:bidi w:val="0"/>
              <w:spacing w:before="0" w:after="283"/>
              <w:jc w:val="left"/>
              <w:rPr/>
            </w:pPr>
            <w:r>
              <w:rPr/>
              <w:t> </w:t>
            </w:r>
          </w:p>
        </w:tc>
        <w:tc>
          <w:tcPr>
            <w:tcW w:w="3193" w:type="dxa"/>
            <w:tcBorders/>
            <w:shd w:fill="CCEEFF" w:val="clear"/>
            <w:vAlign w:val="bottom"/>
          </w:tcPr>
          <w:p>
            <w:pPr>
              <w:pStyle w:val="TableContents"/>
              <w:bidi w:val="0"/>
              <w:spacing w:before="0" w:after="283"/>
              <w:jc w:val="center"/>
              <w:rPr/>
            </w:pPr>
            <w:r>
              <w:rPr/>
              <w:t>43/M/274822/DTTP</w:t>
            </w:r>
          </w:p>
        </w:tc>
        <w:tc>
          <w:tcPr>
            <w:tcW w:w="214"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center"/>
              <w:rPr/>
            </w:pPr>
            <w:r>
              <w:rPr/>
              <w:t>Japan</w:t>
            </w:r>
          </w:p>
        </w:tc>
      </w:tr>
      <w:tr>
        <w:trPr/>
        <w:tc>
          <w:tcPr>
            <w:tcW w:w="37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Morgan Stanley Senior Funding, Inc.</w:t>
            </w:r>
          </w:p>
        </w:tc>
        <w:tc>
          <w:tcPr>
            <w:tcW w:w="214"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center"/>
              <w:rPr>
                <w:sz w:val="20"/>
              </w:rPr>
            </w:pPr>
            <w:r>
              <w:rPr>
                <w:sz w:val="20"/>
              </w:rPr>
              <w:t>$[***]</w:t>
            </w:r>
          </w:p>
        </w:tc>
        <w:tc>
          <w:tcPr>
            <w:tcW w:w="165"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13/M/227953/DTTP</w:t>
            </w:r>
          </w:p>
        </w:tc>
        <w:tc>
          <w:tcPr>
            <w:tcW w:w="214"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center"/>
              <w:rPr/>
            </w:pPr>
            <w:r>
              <w:rPr/>
              <w:t>U.S.A.</w:t>
            </w:r>
          </w:p>
        </w:tc>
      </w:tr>
      <w:tr>
        <w:trPr/>
        <w:tc>
          <w:tcPr>
            <w:tcW w:w="378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Royal Bank of Canada</w:t>
            </w:r>
          </w:p>
        </w:tc>
        <w:tc>
          <w:tcPr>
            <w:tcW w:w="214"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center"/>
              <w:rPr>
                <w:sz w:val="20"/>
              </w:rPr>
            </w:pPr>
            <w:r>
              <w:rPr>
                <w:sz w:val="20"/>
              </w:rPr>
              <w:t>$[***]</w:t>
            </w:r>
          </w:p>
        </w:tc>
        <w:tc>
          <w:tcPr>
            <w:tcW w:w="165" w:type="dxa"/>
            <w:tcBorders/>
            <w:shd w:fill="CCEEFF" w:val="clear"/>
            <w:vAlign w:val="bottom"/>
          </w:tcPr>
          <w:p>
            <w:pPr>
              <w:pStyle w:val="TableContents"/>
              <w:bidi w:val="0"/>
              <w:spacing w:before="0" w:after="283"/>
              <w:jc w:val="left"/>
              <w:rPr/>
            </w:pPr>
            <w:r>
              <w:rPr/>
              <w:t> </w:t>
            </w:r>
          </w:p>
        </w:tc>
        <w:tc>
          <w:tcPr>
            <w:tcW w:w="3193" w:type="dxa"/>
            <w:tcBorders/>
            <w:shd w:fill="CCEEFF" w:val="clear"/>
            <w:vAlign w:val="bottom"/>
          </w:tcPr>
          <w:p>
            <w:pPr>
              <w:pStyle w:val="TableContents"/>
              <w:bidi w:val="0"/>
              <w:spacing w:before="0" w:after="283"/>
              <w:jc w:val="center"/>
              <w:rPr/>
            </w:pPr>
            <w:r>
              <w:rPr/>
              <w:t>3/R/70780/DTTP</w:t>
            </w:r>
          </w:p>
        </w:tc>
        <w:tc>
          <w:tcPr>
            <w:tcW w:w="214"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center"/>
              <w:rPr/>
            </w:pPr>
            <w:r>
              <w:rPr/>
              <w:t>Canada</w:t>
            </w:r>
          </w:p>
        </w:tc>
      </w:tr>
      <w:tr>
        <w:trPr/>
        <w:tc>
          <w:tcPr>
            <w:tcW w:w="37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Societe Generale</w:t>
            </w:r>
          </w:p>
        </w:tc>
        <w:tc>
          <w:tcPr>
            <w:tcW w:w="214"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center"/>
              <w:rPr>
                <w:sz w:val="20"/>
              </w:rPr>
            </w:pPr>
            <w:r>
              <w:rPr>
                <w:sz w:val="20"/>
              </w:rPr>
              <w:t>$[***]</w:t>
            </w:r>
          </w:p>
        </w:tc>
        <w:tc>
          <w:tcPr>
            <w:tcW w:w="165"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5/S/70085/DTTP</w:t>
            </w:r>
          </w:p>
        </w:tc>
        <w:tc>
          <w:tcPr>
            <w:tcW w:w="214"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center"/>
              <w:rPr/>
            </w:pPr>
            <w:r>
              <w:rPr/>
              <w:t>France</w:t>
            </w:r>
          </w:p>
        </w:tc>
      </w:tr>
      <w:tr>
        <w:trPr/>
        <w:tc>
          <w:tcPr>
            <w:tcW w:w="378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Sumitomo Mitsui Banking Corporation</w:t>
            </w:r>
          </w:p>
        </w:tc>
        <w:tc>
          <w:tcPr>
            <w:tcW w:w="214"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center"/>
              <w:rPr>
                <w:sz w:val="20"/>
              </w:rPr>
            </w:pPr>
            <w:r>
              <w:rPr>
                <w:sz w:val="20"/>
              </w:rPr>
              <w:t>$[***]</w:t>
            </w:r>
          </w:p>
        </w:tc>
        <w:tc>
          <w:tcPr>
            <w:tcW w:w="165" w:type="dxa"/>
            <w:tcBorders/>
            <w:shd w:fill="CCEEFF" w:val="clear"/>
            <w:vAlign w:val="bottom"/>
          </w:tcPr>
          <w:p>
            <w:pPr>
              <w:pStyle w:val="TableContents"/>
              <w:bidi w:val="0"/>
              <w:spacing w:before="0" w:after="283"/>
              <w:jc w:val="left"/>
              <w:rPr/>
            </w:pPr>
            <w:r>
              <w:rPr/>
              <w:t> </w:t>
            </w:r>
          </w:p>
        </w:tc>
        <w:tc>
          <w:tcPr>
            <w:tcW w:w="3193" w:type="dxa"/>
            <w:tcBorders/>
            <w:shd w:fill="CCEEFF" w:val="clear"/>
            <w:vAlign w:val="bottom"/>
          </w:tcPr>
          <w:p>
            <w:pPr>
              <w:pStyle w:val="TableContents"/>
              <w:bidi w:val="0"/>
              <w:spacing w:before="0" w:after="283"/>
              <w:jc w:val="center"/>
              <w:rPr/>
            </w:pPr>
            <w:r>
              <w:rPr/>
              <w:t>43/S/274647/DTTP</w:t>
            </w:r>
          </w:p>
        </w:tc>
        <w:tc>
          <w:tcPr>
            <w:tcW w:w="214"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center"/>
              <w:rPr/>
            </w:pPr>
            <w:r>
              <w:rPr/>
              <w:t>Japan</w:t>
            </w:r>
          </w:p>
        </w:tc>
      </w:tr>
      <w:tr>
        <w:trPr/>
        <w:tc>
          <w:tcPr>
            <w:tcW w:w="37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Bank of Nova Scotia</w:t>
            </w:r>
          </w:p>
        </w:tc>
        <w:tc>
          <w:tcPr>
            <w:tcW w:w="214"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center"/>
              <w:rPr>
                <w:sz w:val="20"/>
              </w:rPr>
            </w:pPr>
            <w:r>
              <w:rPr>
                <w:sz w:val="20"/>
              </w:rPr>
              <w:t>$[***]</w:t>
            </w:r>
          </w:p>
        </w:tc>
        <w:tc>
          <w:tcPr>
            <w:tcW w:w="165"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003/T/0366714/DTTP</w:t>
            </w:r>
          </w:p>
        </w:tc>
        <w:tc>
          <w:tcPr>
            <w:tcW w:w="214"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center"/>
              <w:rPr/>
            </w:pPr>
            <w:r>
              <w:rPr/>
              <w:t>Canada</w:t>
            </w:r>
          </w:p>
        </w:tc>
      </w:tr>
      <w:tr>
        <w:trPr/>
        <w:tc>
          <w:tcPr>
            <w:tcW w:w="378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The Toronto-Dominion Bank, New York Branch</w:t>
            </w:r>
          </w:p>
        </w:tc>
        <w:tc>
          <w:tcPr>
            <w:tcW w:w="214"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center"/>
              <w:rPr>
                <w:sz w:val="20"/>
              </w:rPr>
            </w:pPr>
            <w:r>
              <w:rPr>
                <w:sz w:val="20"/>
              </w:rPr>
              <w:t>$[***]</w:t>
            </w:r>
          </w:p>
        </w:tc>
        <w:tc>
          <w:tcPr>
            <w:tcW w:w="165" w:type="dxa"/>
            <w:tcBorders/>
            <w:shd w:fill="CCEEFF" w:val="clear"/>
            <w:vAlign w:val="bottom"/>
          </w:tcPr>
          <w:p>
            <w:pPr>
              <w:pStyle w:val="TableContents"/>
              <w:bidi w:val="0"/>
              <w:spacing w:before="0" w:after="283"/>
              <w:jc w:val="left"/>
              <w:rPr/>
            </w:pPr>
            <w:r>
              <w:rPr/>
              <w:t> </w:t>
            </w:r>
          </w:p>
        </w:tc>
        <w:tc>
          <w:tcPr>
            <w:tcW w:w="3193" w:type="dxa"/>
            <w:tcBorders/>
            <w:shd w:fill="CCEEFF" w:val="clear"/>
            <w:vAlign w:val="bottom"/>
          </w:tcPr>
          <w:p>
            <w:pPr>
              <w:pStyle w:val="TableContents"/>
              <w:bidi w:val="0"/>
              <w:spacing w:before="0" w:after="283"/>
              <w:jc w:val="center"/>
              <w:rPr/>
            </w:pPr>
            <w:r>
              <w:rPr/>
              <w:t>3/T/80000/DTTP</w:t>
            </w:r>
          </w:p>
        </w:tc>
        <w:tc>
          <w:tcPr>
            <w:tcW w:w="214"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center"/>
              <w:rPr/>
            </w:pPr>
            <w:r>
              <w:rPr/>
              <w:t>Canada</w:t>
            </w:r>
          </w:p>
        </w:tc>
      </w:tr>
      <w:tr>
        <w:trPr/>
        <w:tc>
          <w:tcPr>
            <w:tcW w:w="37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Bank of Montreal</w:t>
            </w:r>
          </w:p>
        </w:tc>
        <w:tc>
          <w:tcPr>
            <w:tcW w:w="214"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center"/>
              <w:rPr>
                <w:sz w:val="20"/>
              </w:rPr>
            </w:pPr>
            <w:r>
              <w:rPr>
                <w:sz w:val="20"/>
              </w:rPr>
              <w:t>$[***]</w:t>
            </w:r>
          </w:p>
        </w:tc>
        <w:tc>
          <w:tcPr>
            <w:tcW w:w="165"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3/M/270436/DTTP</w:t>
            </w:r>
          </w:p>
        </w:tc>
        <w:tc>
          <w:tcPr>
            <w:tcW w:w="214"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center"/>
              <w:rPr/>
            </w:pPr>
            <w:r>
              <w:rPr/>
              <w:t>Canada</w:t>
            </w:r>
          </w:p>
        </w:tc>
      </w:tr>
      <w:tr>
        <w:trPr/>
        <w:tc>
          <w:tcPr>
            <w:tcW w:w="378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DBS Bank Ltd.</w:t>
            </w:r>
          </w:p>
        </w:tc>
        <w:tc>
          <w:tcPr>
            <w:tcW w:w="214"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center"/>
              <w:rPr>
                <w:sz w:val="20"/>
              </w:rPr>
            </w:pPr>
            <w:r>
              <w:rPr>
                <w:sz w:val="20"/>
              </w:rPr>
              <w:t>$[***]</w:t>
            </w:r>
          </w:p>
        </w:tc>
        <w:tc>
          <w:tcPr>
            <w:tcW w:w="165" w:type="dxa"/>
            <w:tcBorders/>
            <w:shd w:fill="CCEEFF" w:val="clear"/>
            <w:vAlign w:val="bottom"/>
          </w:tcPr>
          <w:p>
            <w:pPr>
              <w:pStyle w:val="TableContents"/>
              <w:bidi w:val="0"/>
              <w:spacing w:before="0" w:after="283"/>
              <w:jc w:val="left"/>
              <w:rPr/>
            </w:pPr>
            <w:r>
              <w:rPr/>
              <w:t> </w:t>
            </w:r>
          </w:p>
        </w:tc>
        <w:tc>
          <w:tcPr>
            <w:tcW w:w="3193" w:type="dxa"/>
            <w:tcBorders/>
            <w:shd w:fill="CCEEFF" w:val="clear"/>
            <w:vAlign w:val="bottom"/>
          </w:tcPr>
          <w:p>
            <w:pPr>
              <w:pStyle w:val="TableContents"/>
              <w:bidi w:val="0"/>
              <w:spacing w:before="0" w:after="283"/>
              <w:jc w:val="center"/>
              <w:rPr/>
            </w:pPr>
            <w:r>
              <w:rPr/>
              <w:t>67/D/363894/DTTP</w:t>
            </w:r>
          </w:p>
        </w:tc>
        <w:tc>
          <w:tcPr>
            <w:tcW w:w="214"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center"/>
              <w:rPr/>
            </w:pPr>
            <w:r>
              <w:rPr/>
              <w:t>Singapore</w:t>
            </w:r>
          </w:p>
        </w:tc>
      </w:tr>
      <w:tr>
        <w:trPr/>
        <w:tc>
          <w:tcPr>
            <w:tcW w:w="37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MUFG Bank, Ltd.</w:t>
            </w:r>
          </w:p>
        </w:tc>
        <w:tc>
          <w:tcPr>
            <w:tcW w:w="214"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center"/>
              <w:rPr>
                <w:sz w:val="20"/>
              </w:rPr>
            </w:pPr>
            <w:r>
              <w:rPr>
                <w:sz w:val="20"/>
              </w:rPr>
              <w:t>$[***]</w:t>
            </w:r>
          </w:p>
        </w:tc>
        <w:tc>
          <w:tcPr>
            <w:tcW w:w="165"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43/B/322072/DTTP</w:t>
            </w:r>
          </w:p>
        </w:tc>
        <w:tc>
          <w:tcPr>
            <w:tcW w:w="214"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center"/>
              <w:rPr/>
            </w:pPr>
            <w:r>
              <w:rPr/>
              <w:t>Japan</w:t>
            </w:r>
          </w:p>
        </w:tc>
      </w:tr>
      <w:tr>
        <w:trPr/>
        <w:tc>
          <w:tcPr>
            <w:tcW w:w="378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U.S. Bank National Association</w:t>
            </w:r>
          </w:p>
        </w:tc>
        <w:tc>
          <w:tcPr>
            <w:tcW w:w="214"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center"/>
              <w:rPr>
                <w:sz w:val="20"/>
              </w:rPr>
            </w:pPr>
            <w:r>
              <w:rPr>
                <w:sz w:val="20"/>
              </w:rPr>
              <w:t>$[***]</w:t>
            </w:r>
          </w:p>
        </w:tc>
        <w:tc>
          <w:tcPr>
            <w:tcW w:w="165" w:type="dxa"/>
            <w:tcBorders/>
            <w:shd w:fill="CCEEFF" w:val="clear"/>
            <w:vAlign w:val="bottom"/>
          </w:tcPr>
          <w:p>
            <w:pPr>
              <w:pStyle w:val="TableContents"/>
              <w:bidi w:val="0"/>
              <w:spacing w:before="0" w:after="283"/>
              <w:jc w:val="left"/>
              <w:rPr/>
            </w:pPr>
            <w:r>
              <w:rPr/>
              <w:t> </w:t>
            </w:r>
          </w:p>
        </w:tc>
        <w:tc>
          <w:tcPr>
            <w:tcW w:w="3193" w:type="dxa"/>
            <w:tcBorders/>
            <w:shd w:fill="CCEEFF" w:val="clear"/>
            <w:vAlign w:val="bottom"/>
          </w:tcPr>
          <w:p>
            <w:pPr>
              <w:pStyle w:val="TableContents"/>
              <w:bidi w:val="0"/>
              <w:spacing w:before="0" w:after="283"/>
              <w:jc w:val="center"/>
              <w:rPr/>
            </w:pPr>
            <w:r>
              <w:rPr/>
              <w:t>13/U/62184/DTTP</w:t>
            </w:r>
          </w:p>
        </w:tc>
        <w:tc>
          <w:tcPr>
            <w:tcW w:w="214"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center"/>
              <w:rPr/>
            </w:pPr>
            <w:r>
              <w:rPr/>
              <w:t>U.S.A.</w:t>
            </w:r>
          </w:p>
        </w:tc>
      </w:tr>
      <w:tr>
        <w:trPr/>
        <w:tc>
          <w:tcPr>
            <w:tcW w:w="37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UniCredit Bank AG, New York Branch</w:t>
            </w:r>
          </w:p>
        </w:tc>
        <w:tc>
          <w:tcPr>
            <w:tcW w:w="214"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center"/>
              <w:rPr>
                <w:sz w:val="20"/>
              </w:rPr>
            </w:pPr>
            <w:r>
              <w:rPr>
                <w:sz w:val="20"/>
              </w:rPr>
              <w:t>$[***]</w:t>
            </w:r>
          </w:p>
        </w:tc>
        <w:tc>
          <w:tcPr>
            <w:tcW w:w="165"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7/U/237605/DTTP</w:t>
            </w:r>
          </w:p>
        </w:tc>
        <w:tc>
          <w:tcPr>
            <w:tcW w:w="214"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center"/>
              <w:rPr/>
            </w:pPr>
            <w:r>
              <w:rPr/>
              <w:t>Germany</w:t>
            </w:r>
          </w:p>
        </w:tc>
      </w:tr>
      <w:tr>
        <w:trPr/>
        <w:tc>
          <w:tcPr>
            <w:tcW w:w="378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Commerzbank AG, New York Branch</w:t>
            </w:r>
          </w:p>
        </w:tc>
        <w:tc>
          <w:tcPr>
            <w:tcW w:w="214"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center"/>
              <w:rPr>
                <w:sz w:val="20"/>
              </w:rPr>
            </w:pPr>
            <w:r>
              <w:rPr>
                <w:sz w:val="20"/>
              </w:rPr>
              <w:t>$[***]</w:t>
            </w:r>
          </w:p>
        </w:tc>
        <w:tc>
          <w:tcPr>
            <w:tcW w:w="165" w:type="dxa"/>
            <w:tcBorders/>
            <w:shd w:fill="CCEEFF" w:val="clear"/>
            <w:vAlign w:val="bottom"/>
          </w:tcPr>
          <w:p>
            <w:pPr>
              <w:pStyle w:val="TableContents"/>
              <w:bidi w:val="0"/>
              <w:spacing w:before="0" w:after="283"/>
              <w:jc w:val="left"/>
              <w:rPr/>
            </w:pPr>
            <w:r>
              <w:rPr/>
              <w:t> </w:t>
            </w:r>
          </w:p>
        </w:tc>
        <w:tc>
          <w:tcPr>
            <w:tcW w:w="3193" w:type="dxa"/>
            <w:tcBorders/>
            <w:shd w:fill="CCEEFF" w:val="clear"/>
            <w:vAlign w:val="bottom"/>
          </w:tcPr>
          <w:p>
            <w:pPr>
              <w:pStyle w:val="TableContents"/>
              <w:bidi w:val="0"/>
              <w:spacing w:before="0" w:after="283"/>
              <w:jc w:val="center"/>
              <w:rPr/>
            </w:pPr>
            <w:r>
              <w:rPr/>
              <w:t>7/C/25382/DTTP</w:t>
            </w:r>
          </w:p>
        </w:tc>
        <w:tc>
          <w:tcPr>
            <w:tcW w:w="214"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center"/>
              <w:rPr/>
            </w:pPr>
            <w:r>
              <w:rPr/>
              <w:t>Germany</w:t>
            </w:r>
          </w:p>
        </w:tc>
      </w:tr>
      <w:tr>
        <w:trPr/>
        <w:tc>
          <w:tcPr>
            <w:tcW w:w="37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Wells Fargo Bank, N.A.</w:t>
            </w:r>
          </w:p>
        </w:tc>
        <w:tc>
          <w:tcPr>
            <w:tcW w:w="214"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center"/>
              <w:rPr>
                <w:sz w:val="20"/>
              </w:rPr>
            </w:pPr>
            <w:r>
              <w:rPr>
                <w:sz w:val="20"/>
              </w:rPr>
              <w:t>$[***]</w:t>
            </w:r>
          </w:p>
        </w:tc>
        <w:tc>
          <w:tcPr>
            <w:tcW w:w="165"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13/W/61173/DTTP</w:t>
            </w:r>
          </w:p>
        </w:tc>
        <w:tc>
          <w:tcPr>
            <w:tcW w:w="214"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center"/>
              <w:rPr/>
            </w:pPr>
            <w:r>
              <w:rPr/>
              <w:t>U.S.A.</w:t>
            </w:r>
          </w:p>
        </w:tc>
      </w:tr>
      <w:tr>
        <w:trPr/>
        <w:tc>
          <w:tcPr>
            <w:tcW w:w="378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Industrial and Commercial Bank of China Limited, New York Branch</w:t>
            </w:r>
          </w:p>
        </w:tc>
        <w:tc>
          <w:tcPr>
            <w:tcW w:w="214"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center"/>
              <w:rPr>
                <w:sz w:val="20"/>
              </w:rPr>
            </w:pPr>
            <w:r>
              <w:rPr>
                <w:sz w:val="20"/>
              </w:rPr>
              <w:t>$[***]</w:t>
            </w:r>
          </w:p>
        </w:tc>
        <w:tc>
          <w:tcPr>
            <w:tcW w:w="165" w:type="dxa"/>
            <w:tcBorders/>
            <w:shd w:fill="CCEEFF" w:val="clear"/>
            <w:vAlign w:val="bottom"/>
          </w:tcPr>
          <w:p>
            <w:pPr>
              <w:pStyle w:val="TableContents"/>
              <w:bidi w:val="0"/>
              <w:spacing w:before="0" w:after="283"/>
              <w:jc w:val="left"/>
              <w:rPr/>
            </w:pPr>
            <w:r>
              <w:rPr/>
              <w:t> </w:t>
            </w:r>
          </w:p>
        </w:tc>
        <w:tc>
          <w:tcPr>
            <w:tcW w:w="3193" w:type="dxa"/>
            <w:tcBorders/>
            <w:shd w:fill="CCEEFF" w:val="clear"/>
            <w:vAlign w:val="bottom"/>
          </w:tcPr>
          <w:p>
            <w:pPr>
              <w:pStyle w:val="TableContents"/>
              <w:bidi w:val="0"/>
              <w:spacing w:before="0" w:after="283"/>
              <w:jc w:val="center"/>
              <w:rPr/>
            </w:pPr>
            <w:r>
              <w:rPr/>
              <w:t>23/I/358686/DTTP</w:t>
            </w:r>
          </w:p>
        </w:tc>
        <w:tc>
          <w:tcPr>
            <w:tcW w:w="214"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center"/>
              <w:rPr/>
            </w:pPr>
            <w:r>
              <w:rPr/>
              <w:t>China</w:t>
            </w:r>
          </w:p>
        </w:tc>
      </w:tr>
      <w:tr>
        <w:trPr/>
        <w:tc>
          <w:tcPr>
            <w:tcW w:w="3786" w:type="dxa"/>
            <w:tcBorders/>
          </w:tcPr>
          <w:p>
            <w:pPr>
              <w:pStyle w:val="TableContents"/>
              <w:bidi w:val="0"/>
              <w:spacing w:before="0" w:after="0"/>
              <w:jc w:val="left"/>
              <w:rPr>
                <w:rFonts w:ascii="Times New Roman" w:hAnsi="Times New Roman"/>
                <w:sz w:val="20"/>
              </w:rPr>
            </w:pPr>
            <w:r>
              <w:rPr>
                <w:rFonts w:ascii="Times New Roman" w:hAnsi="Times New Roman"/>
                <w:sz w:val="20"/>
              </w:rPr>
              <w:t>ING Bank N.V., Dublin Branch</w:t>
            </w:r>
          </w:p>
        </w:tc>
        <w:tc>
          <w:tcPr>
            <w:tcW w:w="214"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center"/>
              <w:rPr>
                <w:sz w:val="20"/>
              </w:rPr>
            </w:pPr>
            <w:r>
              <w:rPr>
                <w:sz w:val="20"/>
              </w:rPr>
              <w:t>$[***]</w:t>
            </w:r>
          </w:p>
        </w:tc>
        <w:tc>
          <w:tcPr>
            <w:tcW w:w="165"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12-I-371270-DTTP (with respect to ING Ireland DAC as applicable lending office)</w:t>
            </w:r>
          </w:p>
        </w:tc>
        <w:tc>
          <w:tcPr>
            <w:tcW w:w="214"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center"/>
              <w:rPr/>
            </w:pPr>
            <w:r>
              <w:rPr/>
              <w:t>Ireland</w:t>
            </w:r>
          </w:p>
        </w:tc>
      </w:tr>
      <w:tr>
        <w:trPr/>
        <w:tc>
          <w:tcPr>
            <w:tcW w:w="378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The Bank of New York Mellon</w:t>
            </w:r>
          </w:p>
        </w:tc>
        <w:tc>
          <w:tcPr>
            <w:tcW w:w="214"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center"/>
              <w:rPr>
                <w:sz w:val="20"/>
              </w:rPr>
            </w:pPr>
            <w:r>
              <w:rPr>
                <w:sz w:val="20"/>
              </w:rPr>
              <w:t>$[***]</w:t>
            </w:r>
          </w:p>
        </w:tc>
        <w:tc>
          <w:tcPr>
            <w:tcW w:w="165" w:type="dxa"/>
            <w:tcBorders/>
            <w:shd w:fill="CCEEFF" w:val="clear"/>
            <w:vAlign w:val="bottom"/>
          </w:tcPr>
          <w:p>
            <w:pPr>
              <w:pStyle w:val="TableContents"/>
              <w:bidi w:val="0"/>
              <w:spacing w:before="0" w:after="283"/>
              <w:jc w:val="left"/>
              <w:rPr/>
            </w:pPr>
            <w:r>
              <w:rPr/>
              <w:t> </w:t>
            </w:r>
          </w:p>
        </w:tc>
        <w:tc>
          <w:tcPr>
            <w:tcW w:w="3193" w:type="dxa"/>
            <w:tcBorders/>
            <w:shd w:fill="CCEEFF" w:val="clear"/>
            <w:vAlign w:val="bottom"/>
          </w:tcPr>
          <w:p>
            <w:pPr>
              <w:pStyle w:val="TableContents"/>
              <w:bidi w:val="0"/>
              <w:spacing w:before="0" w:after="283"/>
              <w:jc w:val="center"/>
              <w:rPr/>
            </w:pPr>
            <w:r>
              <w:rPr/>
              <w:t>13/B/357401/DTTP</w:t>
            </w:r>
          </w:p>
        </w:tc>
        <w:tc>
          <w:tcPr>
            <w:tcW w:w="214"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center"/>
              <w:rPr/>
            </w:pPr>
            <w:r>
              <w:rPr/>
              <w:t>U.S.A.</w:t>
            </w:r>
          </w:p>
        </w:tc>
      </w:tr>
      <w:tr>
        <w:trPr/>
        <w:tc>
          <w:tcPr>
            <w:tcW w:w="3786"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398" w:type="dxa"/>
            <w:tcBorders/>
            <w:vAlign w:val="bottom"/>
          </w:tcPr>
          <w:p>
            <w:pPr>
              <w:pStyle w:val="TableContents"/>
              <w:pBdr>
                <w:top w:val="single" w:sz="2" w:space="1" w:color="000000"/>
              </w:pBdr>
              <w:bidi w:val="0"/>
              <w:spacing w:before="0" w:after="0"/>
              <w:jc w:val="left"/>
              <w:rPr/>
            </w:pPr>
            <w:r>
              <w:rPr/>
              <w:t> </w:t>
            </w:r>
          </w:p>
        </w:tc>
        <w:tc>
          <w:tcPr>
            <w:tcW w:w="165"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left"/>
              <w:rPr>
                <w:sz w:val="4"/>
                <w:szCs w:val="4"/>
              </w:rPr>
            </w:pPr>
            <w:r>
              <w:rPr>
                <w:sz w:val="4"/>
                <w:szCs w:val="4"/>
              </w:rPr>
            </w:r>
          </w:p>
        </w:tc>
      </w:tr>
      <w:tr>
        <w:trPr/>
        <w:tc>
          <w:tcPr>
            <w:tcW w:w="378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14"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center"/>
              <w:rPr>
                <w:sz w:val="20"/>
              </w:rPr>
            </w:pPr>
            <w:r>
              <w:rPr>
                <w:b/>
                <w:sz w:val="20"/>
              </w:rPr>
              <w:t>$</w:t>
            </w:r>
            <w:r>
              <w:rPr>
                <w:sz w:val="20"/>
              </w:rPr>
              <w:t>[***]</w:t>
            </w:r>
          </w:p>
        </w:tc>
        <w:tc>
          <w:tcPr>
            <w:tcW w:w="165"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SCHEDULE 1.1B </w:t>
      </w:r>
    </w:p>
    <w:p>
      <w:pPr>
        <w:pStyle w:val="TextBody"/>
        <w:bidi w:val="0"/>
        <w:spacing w:before="0" w:after="0"/>
        <w:jc w:val="right"/>
        <w:rPr>
          <w:rFonts w:ascii="Times New Roman" w:hAnsi="Times New Roman"/>
          <w:sz w:val="20"/>
        </w:rPr>
      </w:pP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Credit Agreement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INITIAL EXCLUDED SUBSIDIARIES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20"/>
        <w:gridCol w:w="907"/>
        <w:gridCol w:w="2878"/>
      </w:tblGrid>
      <w:tr>
        <w:trPr/>
        <w:tc>
          <w:tcPr>
            <w:tcW w:w="6420" w:type="dxa"/>
            <w:tcBorders/>
            <w:vAlign w:val="center"/>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r>
      <w:tr>
        <w:trPr/>
        <w:tc>
          <w:tcPr>
            <w:tcW w:w="64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Entity</w:t>
            </w:r>
          </w:p>
        </w:tc>
        <w:tc>
          <w:tcPr>
            <w:tcW w:w="907" w:type="dxa"/>
            <w:tcBorders/>
            <w:vAlign w:val="bottom"/>
          </w:tcPr>
          <w:p>
            <w:pPr>
              <w:pStyle w:val="TableContents"/>
              <w:bidi w:val="0"/>
              <w:spacing w:before="0" w:after="283"/>
              <w:jc w:val="left"/>
              <w:rPr/>
            </w:pPr>
            <w:r>
              <w:rPr/>
              <w:t>  </w:t>
            </w:r>
          </w:p>
        </w:tc>
        <w:tc>
          <w:tcPr>
            <w:tcW w:w="2878" w:type="dxa"/>
            <w:tcBorders>
              <w:bottom w:val="single" w:sz="8" w:space="0" w:color="000000"/>
            </w:tcBorders>
            <w:tcMar>
              <w:bottom w:w="28" w:type="dxa"/>
            </w:tcMar>
            <w:vAlign w:val="bottom"/>
          </w:tcPr>
          <w:p>
            <w:pPr>
              <w:pStyle w:val="TableContents"/>
              <w:bidi w:val="0"/>
              <w:spacing w:before="0" w:after="283"/>
              <w:jc w:val="center"/>
              <w:rPr>
                <w:b/>
              </w:rPr>
            </w:pPr>
            <w:r>
              <w:rPr>
                <w:b/>
              </w:rPr>
              <w:t>Jurisdiction of Organization</w:t>
            </w:r>
          </w:p>
        </w:tc>
      </w:tr>
      <w:tr>
        <w:trPr/>
        <w:tc>
          <w:tcPr>
            <w:tcW w:w="6420" w:type="dxa"/>
            <w:tcBorders/>
          </w:tcPr>
          <w:p>
            <w:pPr>
              <w:pStyle w:val="TableContents"/>
              <w:bidi w:val="0"/>
              <w:spacing w:before="0" w:after="283"/>
              <w:jc w:val="left"/>
              <w:rPr/>
            </w:pPr>
            <w:r>
              <w:rPr/>
              <w:t>Cruise LLC</w:t>
            </w:r>
          </w:p>
        </w:tc>
        <w:tc>
          <w:tcPr>
            <w:tcW w:w="907" w:type="dxa"/>
            <w:tcBorders/>
            <w:vAlign w:val="bottom"/>
          </w:tcPr>
          <w:p>
            <w:pPr>
              <w:pStyle w:val="TableContents"/>
              <w:bidi w:val="0"/>
              <w:spacing w:before="0" w:after="283"/>
              <w:jc w:val="left"/>
              <w:rPr/>
            </w:pPr>
            <w:r>
              <w:rPr/>
              <w:t>  </w:t>
            </w:r>
          </w:p>
        </w:tc>
        <w:tc>
          <w:tcPr>
            <w:tcW w:w="2878" w:type="dxa"/>
            <w:tcBorders/>
          </w:tcPr>
          <w:p>
            <w:pPr>
              <w:pStyle w:val="TableContents"/>
              <w:bidi w:val="0"/>
              <w:spacing w:before="0" w:after="283"/>
              <w:jc w:val="center"/>
              <w:rPr/>
            </w:pPr>
            <w:r>
              <w:rPr/>
              <w:t>Delaware</w:t>
            </w:r>
          </w:p>
        </w:tc>
      </w:tr>
      <w:tr>
        <w:trPr/>
        <w:tc>
          <w:tcPr>
            <w:tcW w:w="6420" w:type="dxa"/>
            <w:tcBorders/>
          </w:tcPr>
          <w:p>
            <w:pPr>
              <w:pStyle w:val="TableContents"/>
              <w:bidi w:val="0"/>
              <w:spacing w:before="0" w:after="283"/>
              <w:jc w:val="left"/>
              <w:rPr/>
            </w:pPr>
            <w:r>
              <w:rPr/>
              <w:t>General Motors China LLC</w:t>
            </w:r>
          </w:p>
        </w:tc>
        <w:tc>
          <w:tcPr>
            <w:tcW w:w="907" w:type="dxa"/>
            <w:tcBorders/>
            <w:vAlign w:val="bottom"/>
          </w:tcPr>
          <w:p>
            <w:pPr>
              <w:pStyle w:val="TableContents"/>
              <w:bidi w:val="0"/>
              <w:spacing w:before="0" w:after="283"/>
              <w:jc w:val="left"/>
              <w:rPr/>
            </w:pPr>
            <w:r>
              <w:rPr/>
              <w:t>  </w:t>
            </w:r>
          </w:p>
        </w:tc>
        <w:tc>
          <w:tcPr>
            <w:tcW w:w="2878" w:type="dxa"/>
            <w:tcBorders/>
          </w:tcPr>
          <w:p>
            <w:pPr>
              <w:pStyle w:val="TableContents"/>
              <w:bidi w:val="0"/>
              <w:spacing w:before="0" w:after="283"/>
              <w:jc w:val="center"/>
              <w:rPr/>
            </w:pPr>
            <w:r>
              <w:rPr/>
              <w:t>Delaware</w:t>
            </w:r>
          </w:p>
        </w:tc>
      </w:tr>
      <w:tr>
        <w:trPr/>
        <w:tc>
          <w:tcPr>
            <w:tcW w:w="6420" w:type="dxa"/>
            <w:tcBorders/>
          </w:tcPr>
          <w:p>
            <w:pPr>
              <w:pStyle w:val="TableContents"/>
              <w:bidi w:val="0"/>
              <w:spacing w:before="0" w:after="283"/>
              <w:jc w:val="left"/>
              <w:rPr/>
            </w:pPr>
            <w:r>
              <w:rPr/>
              <w:t>General Motors Ventures LLC</w:t>
            </w:r>
          </w:p>
        </w:tc>
        <w:tc>
          <w:tcPr>
            <w:tcW w:w="907" w:type="dxa"/>
            <w:tcBorders/>
            <w:vAlign w:val="bottom"/>
          </w:tcPr>
          <w:p>
            <w:pPr>
              <w:pStyle w:val="TableContents"/>
              <w:bidi w:val="0"/>
              <w:spacing w:before="0" w:after="283"/>
              <w:jc w:val="left"/>
              <w:rPr/>
            </w:pPr>
            <w:r>
              <w:rPr/>
              <w:t>  </w:t>
            </w:r>
          </w:p>
        </w:tc>
        <w:tc>
          <w:tcPr>
            <w:tcW w:w="2878" w:type="dxa"/>
            <w:tcBorders/>
          </w:tcPr>
          <w:p>
            <w:pPr>
              <w:pStyle w:val="TableContents"/>
              <w:bidi w:val="0"/>
              <w:spacing w:before="0" w:after="283"/>
              <w:jc w:val="center"/>
              <w:rPr/>
            </w:pPr>
            <w:r>
              <w:rPr/>
              <w:t>Delaware</w:t>
            </w:r>
          </w:p>
        </w:tc>
      </w:tr>
      <w:tr>
        <w:trPr/>
        <w:tc>
          <w:tcPr>
            <w:tcW w:w="6420" w:type="dxa"/>
            <w:tcBorders/>
          </w:tcPr>
          <w:p>
            <w:pPr>
              <w:pStyle w:val="TableContents"/>
              <w:bidi w:val="0"/>
              <w:spacing w:before="0" w:after="283"/>
              <w:jc w:val="left"/>
              <w:rPr/>
            </w:pPr>
            <w:r>
              <w:rPr/>
              <w:t>Global Services Detroit LLC</w:t>
            </w:r>
          </w:p>
        </w:tc>
        <w:tc>
          <w:tcPr>
            <w:tcW w:w="907" w:type="dxa"/>
            <w:tcBorders/>
            <w:vAlign w:val="bottom"/>
          </w:tcPr>
          <w:p>
            <w:pPr>
              <w:pStyle w:val="TableContents"/>
              <w:bidi w:val="0"/>
              <w:spacing w:before="0" w:after="283"/>
              <w:jc w:val="left"/>
              <w:rPr/>
            </w:pPr>
            <w:r>
              <w:rPr/>
              <w:t>  </w:t>
            </w:r>
          </w:p>
        </w:tc>
        <w:tc>
          <w:tcPr>
            <w:tcW w:w="2878" w:type="dxa"/>
            <w:tcBorders/>
          </w:tcPr>
          <w:p>
            <w:pPr>
              <w:pStyle w:val="TableContents"/>
              <w:bidi w:val="0"/>
              <w:spacing w:before="0" w:after="283"/>
              <w:jc w:val="center"/>
              <w:rPr/>
            </w:pPr>
            <w:r>
              <w:rPr/>
              <w:t>Delaware</w:t>
            </w:r>
          </w:p>
        </w:tc>
      </w:tr>
      <w:tr>
        <w:trPr/>
        <w:tc>
          <w:tcPr>
            <w:tcW w:w="6420" w:type="dxa"/>
            <w:tcBorders/>
          </w:tcPr>
          <w:p>
            <w:pPr>
              <w:pStyle w:val="TableContents"/>
              <w:bidi w:val="0"/>
              <w:spacing w:before="0" w:after="283"/>
              <w:jc w:val="left"/>
              <w:rPr/>
            </w:pPr>
            <w:r>
              <w:rPr/>
              <w:t>GM Regional Holdings LLC</w:t>
            </w:r>
          </w:p>
        </w:tc>
        <w:tc>
          <w:tcPr>
            <w:tcW w:w="907" w:type="dxa"/>
            <w:tcBorders/>
            <w:vAlign w:val="bottom"/>
          </w:tcPr>
          <w:p>
            <w:pPr>
              <w:pStyle w:val="TableContents"/>
              <w:bidi w:val="0"/>
              <w:spacing w:before="0" w:after="283"/>
              <w:jc w:val="left"/>
              <w:rPr/>
            </w:pPr>
            <w:r>
              <w:rPr/>
              <w:t>  </w:t>
            </w:r>
          </w:p>
        </w:tc>
        <w:tc>
          <w:tcPr>
            <w:tcW w:w="2878" w:type="dxa"/>
            <w:tcBorders/>
          </w:tcPr>
          <w:p>
            <w:pPr>
              <w:pStyle w:val="TableContents"/>
              <w:bidi w:val="0"/>
              <w:spacing w:before="0" w:after="283"/>
              <w:jc w:val="center"/>
              <w:rPr/>
            </w:pPr>
            <w:r>
              <w:rPr/>
              <w:t>Delaware</w:t>
            </w:r>
          </w:p>
        </w:tc>
      </w:tr>
      <w:tr>
        <w:trPr/>
        <w:tc>
          <w:tcPr>
            <w:tcW w:w="6420" w:type="dxa"/>
            <w:tcBorders/>
          </w:tcPr>
          <w:p>
            <w:pPr>
              <w:pStyle w:val="TableContents"/>
              <w:bidi w:val="0"/>
              <w:spacing w:before="0" w:after="283"/>
              <w:jc w:val="left"/>
              <w:rPr/>
            </w:pPr>
            <w:r>
              <w:rPr/>
              <w:t>Maven Drive LLC</w:t>
            </w:r>
          </w:p>
        </w:tc>
        <w:tc>
          <w:tcPr>
            <w:tcW w:w="907" w:type="dxa"/>
            <w:tcBorders/>
            <w:vAlign w:val="bottom"/>
          </w:tcPr>
          <w:p>
            <w:pPr>
              <w:pStyle w:val="TableContents"/>
              <w:bidi w:val="0"/>
              <w:spacing w:before="0" w:after="283"/>
              <w:jc w:val="left"/>
              <w:rPr/>
            </w:pPr>
            <w:r>
              <w:rPr/>
              <w:t>  </w:t>
            </w:r>
          </w:p>
        </w:tc>
        <w:tc>
          <w:tcPr>
            <w:tcW w:w="2878" w:type="dxa"/>
            <w:tcBorders/>
          </w:tcPr>
          <w:p>
            <w:pPr>
              <w:pStyle w:val="TableContents"/>
              <w:bidi w:val="0"/>
              <w:spacing w:before="0" w:after="283"/>
              <w:jc w:val="center"/>
              <w:rPr/>
            </w:pPr>
            <w:r>
              <w:rPr/>
              <w:t>Delaware</w:t>
            </w:r>
          </w:p>
        </w:tc>
      </w:tr>
      <w:tr>
        <w:trPr/>
        <w:tc>
          <w:tcPr>
            <w:tcW w:w="6420" w:type="dxa"/>
            <w:tcBorders/>
          </w:tcPr>
          <w:p>
            <w:pPr>
              <w:pStyle w:val="TableContents"/>
              <w:bidi w:val="0"/>
              <w:spacing w:before="0" w:after="283"/>
              <w:jc w:val="left"/>
              <w:rPr/>
            </w:pPr>
            <w:r>
              <w:rPr/>
              <w:t>OnStar, LLC</w:t>
            </w:r>
          </w:p>
        </w:tc>
        <w:tc>
          <w:tcPr>
            <w:tcW w:w="907" w:type="dxa"/>
            <w:tcBorders/>
            <w:vAlign w:val="bottom"/>
          </w:tcPr>
          <w:p>
            <w:pPr>
              <w:pStyle w:val="TableContents"/>
              <w:bidi w:val="0"/>
              <w:spacing w:before="0" w:after="283"/>
              <w:jc w:val="left"/>
              <w:rPr/>
            </w:pPr>
            <w:r>
              <w:rPr/>
              <w:t>  </w:t>
            </w:r>
          </w:p>
        </w:tc>
        <w:tc>
          <w:tcPr>
            <w:tcW w:w="2878" w:type="dxa"/>
            <w:tcBorders/>
          </w:tcPr>
          <w:p>
            <w:pPr>
              <w:pStyle w:val="TableContents"/>
              <w:bidi w:val="0"/>
              <w:spacing w:before="0" w:after="283"/>
              <w:jc w:val="center"/>
              <w:rPr/>
            </w:pPr>
            <w:r>
              <w:rPr/>
              <w:t>Delaware</w:t>
            </w:r>
          </w:p>
        </w:tc>
      </w:tr>
      <w:tr>
        <w:trPr/>
        <w:tc>
          <w:tcPr>
            <w:tcW w:w="6420" w:type="dxa"/>
            <w:tcBorders/>
          </w:tcPr>
          <w:p>
            <w:pPr>
              <w:pStyle w:val="TableContents"/>
              <w:bidi w:val="0"/>
              <w:spacing w:before="0" w:after="283"/>
              <w:jc w:val="left"/>
              <w:rPr/>
            </w:pPr>
            <w:r>
              <w:rPr/>
              <w:t>GM Cruise Holdings LLC</w:t>
            </w:r>
          </w:p>
        </w:tc>
        <w:tc>
          <w:tcPr>
            <w:tcW w:w="907" w:type="dxa"/>
            <w:tcBorders/>
            <w:vAlign w:val="bottom"/>
          </w:tcPr>
          <w:p>
            <w:pPr>
              <w:pStyle w:val="TableContents"/>
              <w:bidi w:val="0"/>
              <w:spacing w:before="0" w:after="283"/>
              <w:jc w:val="left"/>
              <w:rPr/>
            </w:pPr>
            <w:r>
              <w:rPr/>
              <w:t>  </w:t>
            </w:r>
          </w:p>
        </w:tc>
        <w:tc>
          <w:tcPr>
            <w:tcW w:w="2878" w:type="dxa"/>
            <w:tcBorders/>
          </w:tcPr>
          <w:p>
            <w:pPr>
              <w:pStyle w:val="TableContents"/>
              <w:bidi w:val="0"/>
              <w:spacing w:before="0" w:after="283"/>
              <w:jc w:val="center"/>
              <w:rPr/>
            </w:pPr>
            <w:r>
              <w:rPr/>
              <w:t>Delaware</w:t>
            </w:r>
          </w:p>
        </w:tc>
      </w:tr>
      <w:tr>
        <w:trPr/>
        <w:tc>
          <w:tcPr>
            <w:tcW w:w="6420" w:type="dxa"/>
            <w:tcBorders/>
          </w:tcPr>
          <w:p>
            <w:pPr>
              <w:pStyle w:val="TableContents"/>
              <w:bidi w:val="0"/>
              <w:spacing w:before="0" w:after="283"/>
              <w:jc w:val="left"/>
              <w:rPr/>
            </w:pPr>
            <w:r>
              <w:rPr/>
              <w:t>OnStar Global Services Corporation</w:t>
            </w:r>
          </w:p>
        </w:tc>
        <w:tc>
          <w:tcPr>
            <w:tcW w:w="907" w:type="dxa"/>
            <w:tcBorders/>
            <w:vAlign w:val="bottom"/>
          </w:tcPr>
          <w:p>
            <w:pPr>
              <w:pStyle w:val="TableContents"/>
              <w:bidi w:val="0"/>
              <w:spacing w:before="0" w:after="283"/>
              <w:jc w:val="left"/>
              <w:rPr/>
            </w:pPr>
            <w:r>
              <w:rPr/>
              <w:t>  </w:t>
            </w:r>
          </w:p>
        </w:tc>
        <w:tc>
          <w:tcPr>
            <w:tcW w:w="2878" w:type="dxa"/>
            <w:tcBorders/>
          </w:tcPr>
          <w:p>
            <w:pPr>
              <w:pStyle w:val="TableContents"/>
              <w:bidi w:val="0"/>
              <w:spacing w:before="0" w:after="283"/>
              <w:jc w:val="center"/>
              <w:rPr/>
            </w:pPr>
            <w:r>
              <w:rPr/>
              <w:t>Delaware</w:t>
            </w:r>
          </w:p>
        </w:tc>
      </w:tr>
      <w:tr>
        <w:trPr/>
        <w:tc>
          <w:tcPr>
            <w:tcW w:w="6420" w:type="dxa"/>
            <w:tcBorders/>
          </w:tcPr>
          <w:p>
            <w:pPr>
              <w:pStyle w:val="TableContents"/>
              <w:bidi w:val="0"/>
              <w:spacing w:before="0" w:after="283"/>
              <w:jc w:val="left"/>
              <w:rPr/>
            </w:pPr>
            <w:r>
              <w:rPr/>
              <w:t>BrightDrop LLC</w:t>
            </w:r>
          </w:p>
        </w:tc>
        <w:tc>
          <w:tcPr>
            <w:tcW w:w="907" w:type="dxa"/>
            <w:tcBorders/>
            <w:vAlign w:val="bottom"/>
          </w:tcPr>
          <w:p>
            <w:pPr>
              <w:pStyle w:val="TableContents"/>
              <w:bidi w:val="0"/>
              <w:spacing w:before="0" w:after="283"/>
              <w:jc w:val="left"/>
              <w:rPr/>
            </w:pPr>
            <w:r>
              <w:rPr/>
              <w:t>  </w:t>
            </w:r>
          </w:p>
        </w:tc>
        <w:tc>
          <w:tcPr>
            <w:tcW w:w="2878" w:type="dxa"/>
            <w:tcBorders/>
          </w:tcPr>
          <w:p>
            <w:pPr>
              <w:pStyle w:val="TableContents"/>
              <w:bidi w:val="0"/>
              <w:spacing w:before="0" w:after="283"/>
              <w:jc w:val="center"/>
              <w:rPr/>
            </w:pPr>
            <w:r>
              <w:rPr/>
              <w:t>Delaware</w:t>
            </w:r>
          </w:p>
        </w:tc>
      </w:tr>
      <w:tr>
        <w:trPr/>
        <w:tc>
          <w:tcPr>
            <w:tcW w:w="6420" w:type="dxa"/>
            <w:tcBorders/>
          </w:tcPr>
          <w:p>
            <w:pPr>
              <w:pStyle w:val="TableContents"/>
              <w:bidi w:val="0"/>
              <w:spacing w:before="0" w:after="283"/>
              <w:jc w:val="left"/>
              <w:rPr/>
            </w:pPr>
            <w:r>
              <w:rPr/>
              <w:t>BrightDrop Solutions LLC</w:t>
            </w:r>
          </w:p>
        </w:tc>
        <w:tc>
          <w:tcPr>
            <w:tcW w:w="907" w:type="dxa"/>
            <w:tcBorders/>
            <w:vAlign w:val="bottom"/>
          </w:tcPr>
          <w:p>
            <w:pPr>
              <w:pStyle w:val="TableContents"/>
              <w:bidi w:val="0"/>
              <w:spacing w:before="0" w:after="283"/>
              <w:jc w:val="left"/>
              <w:rPr/>
            </w:pPr>
            <w:r>
              <w:rPr/>
              <w:t>  </w:t>
            </w:r>
          </w:p>
        </w:tc>
        <w:tc>
          <w:tcPr>
            <w:tcW w:w="2878" w:type="dxa"/>
            <w:tcBorders/>
          </w:tcPr>
          <w:p>
            <w:pPr>
              <w:pStyle w:val="TableContents"/>
              <w:bidi w:val="0"/>
              <w:spacing w:before="0" w:after="283"/>
              <w:jc w:val="center"/>
              <w:rPr/>
            </w:pPr>
            <w:r>
              <w:rPr/>
              <w:t>Delaware</w:t>
            </w:r>
          </w:p>
        </w:tc>
      </w:tr>
      <w:tr>
        <w:trPr/>
        <w:tc>
          <w:tcPr>
            <w:tcW w:w="6420" w:type="dxa"/>
            <w:tcBorders/>
          </w:tcPr>
          <w:p>
            <w:pPr>
              <w:pStyle w:val="TableContents"/>
              <w:bidi w:val="0"/>
              <w:spacing w:before="0" w:after="283"/>
              <w:jc w:val="left"/>
              <w:rPr/>
            </w:pPr>
            <w:r>
              <w:rPr/>
              <w:t>BrightDrop Vehicle Distribution LLC</w:t>
            </w:r>
          </w:p>
        </w:tc>
        <w:tc>
          <w:tcPr>
            <w:tcW w:w="907" w:type="dxa"/>
            <w:tcBorders/>
            <w:vAlign w:val="bottom"/>
          </w:tcPr>
          <w:p>
            <w:pPr>
              <w:pStyle w:val="TableContents"/>
              <w:bidi w:val="0"/>
              <w:spacing w:before="0" w:after="283"/>
              <w:jc w:val="left"/>
              <w:rPr/>
            </w:pPr>
            <w:r>
              <w:rPr/>
              <w:t>  </w:t>
            </w:r>
          </w:p>
        </w:tc>
        <w:tc>
          <w:tcPr>
            <w:tcW w:w="2878" w:type="dxa"/>
            <w:tcBorders/>
          </w:tcPr>
          <w:p>
            <w:pPr>
              <w:pStyle w:val="TableContents"/>
              <w:bidi w:val="0"/>
              <w:spacing w:before="0" w:after="283"/>
              <w:jc w:val="center"/>
              <w:rPr/>
            </w:pPr>
            <w:r>
              <w:rPr/>
              <w:t>Delaware</w:t>
            </w:r>
          </w:p>
        </w:tc>
      </w:tr>
      <w:tr>
        <w:trPr/>
        <w:tc>
          <w:tcPr>
            <w:tcW w:w="6420" w:type="dxa"/>
            <w:tcBorders/>
          </w:tcPr>
          <w:p>
            <w:pPr>
              <w:pStyle w:val="TableContents"/>
              <w:bidi w:val="0"/>
              <w:spacing w:before="0" w:after="283"/>
              <w:jc w:val="left"/>
              <w:rPr/>
            </w:pPr>
            <w:r>
              <w:rPr/>
              <w:t>Equip Insurance Holdings LLC</w:t>
            </w:r>
          </w:p>
        </w:tc>
        <w:tc>
          <w:tcPr>
            <w:tcW w:w="907" w:type="dxa"/>
            <w:tcBorders/>
            <w:vAlign w:val="bottom"/>
          </w:tcPr>
          <w:p>
            <w:pPr>
              <w:pStyle w:val="TableContents"/>
              <w:bidi w:val="0"/>
              <w:spacing w:before="0" w:after="283"/>
              <w:jc w:val="left"/>
              <w:rPr/>
            </w:pPr>
            <w:r>
              <w:rPr/>
              <w:t>  </w:t>
            </w:r>
          </w:p>
        </w:tc>
        <w:tc>
          <w:tcPr>
            <w:tcW w:w="2878" w:type="dxa"/>
            <w:tcBorders/>
          </w:tcPr>
          <w:p>
            <w:pPr>
              <w:pStyle w:val="TableContents"/>
              <w:bidi w:val="0"/>
              <w:spacing w:before="0" w:after="283"/>
              <w:jc w:val="center"/>
              <w:rPr/>
            </w:pPr>
            <w:r>
              <w:rPr/>
              <w:t>Delaware</w:t>
            </w:r>
          </w:p>
        </w:tc>
      </w:tr>
      <w:tr>
        <w:trPr/>
        <w:tc>
          <w:tcPr>
            <w:tcW w:w="6420" w:type="dxa"/>
            <w:tcBorders/>
          </w:tcPr>
          <w:p>
            <w:pPr>
              <w:pStyle w:val="TableContents"/>
              <w:bidi w:val="0"/>
              <w:spacing w:before="0" w:after="283"/>
              <w:jc w:val="left"/>
              <w:rPr/>
            </w:pPr>
            <w:r>
              <w:rPr/>
              <w:t>OnStar National Insurance Company</w:t>
            </w:r>
          </w:p>
        </w:tc>
        <w:tc>
          <w:tcPr>
            <w:tcW w:w="907" w:type="dxa"/>
            <w:tcBorders/>
            <w:vAlign w:val="bottom"/>
          </w:tcPr>
          <w:p>
            <w:pPr>
              <w:pStyle w:val="TableContents"/>
              <w:bidi w:val="0"/>
              <w:spacing w:before="0" w:after="283"/>
              <w:jc w:val="left"/>
              <w:rPr/>
            </w:pPr>
            <w:r>
              <w:rPr/>
              <w:t>  </w:t>
            </w:r>
          </w:p>
        </w:tc>
        <w:tc>
          <w:tcPr>
            <w:tcW w:w="2878" w:type="dxa"/>
            <w:tcBorders/>
          </w:tcPr>
          <w:p>
            <w:pPr>
              <w:pStyle w:val="TableContents"/>
              <w:bidi w:val="0"/>
              <w:spacing w:before="0" w:after="283"/>
              <w:jc w:val="center"/>
              <w:rPr/>
            </w:pPr>
            <w:r>
              <w:rPr/>
              <w:t>Illinois</w:t>
            </w:r>
          </w:p>
        </w:tc>
      </w:tr>
      <w:tr>
        <w:trPr/>
        <w:tc>
          <w:tcPr>
            <w:tcW w:w="6420" w:type="dxa"/>
            <w:tcBorders/>
          </w:tcPr>
          <w:p>
            <w:pPr>
              <w:pStyle w:val="TableContents"/>
              <w:bidi w:val="0"/>
              <w:spacing w:before="0" w:after="0"/>
              <w:jc w:val="left"/>
              <w:rPr>
                <w:rFonts w:ascii="Times New Roman" w:hAnsi="Times New Roman"/>
                <w:sz w:val="20"/>
              </w:rPr>
            </w:pPr>
            <w:r>
              <w:rPr>
                <w:rFonts w:ascii="Times New Roman" w:hAnsi="Times New Roman"/>
                <w:sz w:val="20"/>
              </w:rPr>
              <w:t>OnStar Insurance Services, Inc.</w:t>
            </w:r>
          </w:p>
          <w:p>
            <w:pPr>
              <w:pStyle w:val="TableContents"/>
              <w:bidi w:val="0"/>
              <w:spacing w:before="0" w:after="20"/>
              <w:jc w:val="left"/>
              <w:rPr>
                <w:rFonts w:ascii="Times New Roman" w:hAnsi="Times New Roman"/>
                <w:sz w:val="20"/>
              </w:rPr>
            </w:pPr>
            <w:r>
              <w:rPr>
                <w:rFonts w:ascii="Times New Roman" w:hAnsi="Times New Roman"/>
                <w:sz w:val="20"/>
              </w:rPr>
              <w:t>OnStar Property and Casualty Insurance Company</w:t>
            </w:r>
          </w:p>
        </w:tc>
        <w:tc>
          <w:tcPr>
            <w:tcW w:w="907" w:type="dxa"/>
            <w:tcBorders/>
            <w:vAlign w:val="bottom"/>
          </w:tcPr>
          <w:p>
            <w:pPr>
              <w:pStyle w:val="TableContents"/>
              <w:bidi w:val="0"/>
              <w:spacing w:before="0" w:after="283"/>
              <w:jc w:val="left"/>
              <w:rPr/>
            </w:pPr>
            <w:r>
              <w:rPr/>
              <w:t>  </w:t>
            </w:r>
          </w:p>
        </w:tc>
        <w:tc>
          <w:tcPr>
            <w:tcW w:w="2878" w:type="dxa"/>
            <w:tcBorders/>
          </w:tcPr>
          <w:p>
            <w:pPr>
              <w:pStyle w:val="TableContents"/>
              <w:bidi w:val="0"/>
              <w:jc w:val="center"/>
              <w:rPr/>
            </w:pPr>
            <w:r>
              <w:rPr/>
              <w:t>Arizona</w:t>
            </w:r>
          </w:p>
          <w:p>
            <w:pPr>
              <w:pStyle w:val="TableContents"/>
              <w:bidi w:val="0"/>
              <w:spacing w:before="0" w:after="20"/>
              <w:jc w:val="center"/>
              <w:rPr>
                <w:rFonts w:ascii="Times New Roman" w:hAnsi="Times New Roman"/>
                <w:sz w:val="20"/>
              </w:rPr>
            </w:pPr>
            <w:r>
              <w:rPr>
                <w:rFonts w:ascii="Times New Roman" w:hAnsi="Times New Roman"/>
                <w:sz w:val="20"/>
              </w:rPr>
              <w:t>Arizona</w:t>
            </w:r>
          </w:p>
        </w:tc>
      </w:tr>
      <w:tr>
        <w:trPr/>
        <w:tc>
          <w:tcPr>
            <w:tcW w:w="6420" w:type="dxa"/>
            <w:tcBorders/>
          </w:tcPr>
          <w:p>
            <w:pPr>
              <w:pStyle w:val="TableContents"/>
              <w:bidi w:val="0"/>
              <w:spacing w:before="0" w:after="283"/>
              <w:jc w:val="left"/>
              <w:rPr/>
            </w:pPr>
            <w:r>
              <w:rPr/>
              <w:t>OnStar Indemnity Company</w:t>
            </w:r>
          </w:p>
        </w:tc>
        <w:tc>
          <w:tcPr>
            <w:tcW w:w="907" w:type="dxa"/>
            <w:tcBorders/>
            <w:vAlign w:val="bottom"/>
          </w:tcPr>
          <w:p>
            <w:pPr>
              <w:pStyle w:val="TableContents"/>
              <w:bidi w:val="0"/>
              <w:spacing w:before="0" w:after="283"/>
              <w:jc w:val="left"/>
              <w:rPr/>
            </w:pPr>
            <w:r>
              <w:rPr/>
              <w:t>  </w:t>
            </w:r>
          </w:p>
        </w:tc>
        <w:tc>
          <w:tcPr>
            <w:tcW w:w="2878" w:type="dxa"/>
            <w:tcBorders/>
          </w:tcPr>
          <w:p>
            <w:pPr>
              <w:pStyle w:val="TableContents"/>
              <w:bidi w:val="0"/>
              <w:spacing w:before="0" w:after="283"/>
              <w:jc w:val="center"/>
              <w:rPr/>
            </w:pPr>
            <w:r>
              <w:rPr/>
              <w:t>Arizona</w:t>
            </w:r>
          </w:p>
        </w:tc>
      </w:tr>
      <w:tr>
        <w:trPr/>
        <w:tc>
          <w:tcPr>
            <w:tcW w:w="6420" w:type="dxa"/>
            <w:tcBorders/>
          </w:tcPr>
          <w:p>
            <w:pPr>
              <w:pStyle w:val="TableContents"/>
              <w:bidi w:val="0"/>
              <w:spacing w:before="0" w:after="283"/>
              <w:jc w:val="left"/>
              <w:rPr/>
            </w:pPr>
            <w:r>
              <w:rPr/>
              <w:t>Stellar Connected Claims Services, LLC</w:t>
            </w:r>
          </w:p>
        </w:tc>
        <w:tc>
          <w:tcPr>
            <w:tcW w:w="907" w:type="dxa"/>
            <w:tcBorders/>
            <w:vAlign w:val="bottom"/>
          </w:tcPr>
          <w:p>
            <w:pPr>
              <w:pStyle w:val="TableContents"/>
              <w:bidi w:val="0"/>
              <w:spacing w:before="0" w:after="283"/>
              <w:jc w:val="left"/>
              <w:rPr/>
            </w:pPr>
            <w:r>
              <w:rPr/>
              <w:t>  </w:t>
            </w:r>
          </w:p>
        </w:tc>
        <w:tc>
          <w:tcPr>
            <w:tcW w:w="2878" w:type="dxa"/>
            <w:tcBorders/>
          </w:tcPr>
          <w:p>
            <w:pPr>
              <w:pStyle w:val="TableContents"/>
              <w:bidi w:val="0"/>
              <w:spacing w:before="0" w:after="283"/>
              <w:jc w:val="center"/>
              <w:rPr/>
            </w:pPr>
            <w:r>
              <w:rPr/>
              <w:t>Arizona</w:t>
            </w:r>
          </w:p>
        </w:tc>
      </w:tr>
      <w:tr>
        <w:trPr/>
        <w:tc>
          <w:tcPr>
            <w:tcW w:w="6420" w:type="dxa"/>
            <w:tcBorders/>
          </w:tcPr>
          <w:p>
            <w:pPr>
              <w:pStyle w:val="TableContents"/>
              <w:bidi w:val="0"/>
              <w:spacing w:before="0" w:after="283"/>
              <w:jc w:val="left"/>
              <w:rPr/>
            </w:pPr>
            <w:r>
              <w:rPr/>
              <w:t>GM Protections, LLC</w:t>
            </w:r>
          </w:p>
        </w:tc>
        <w:tc>
          <w:tcPr>
            <w:tcW w:w="907" w:type="dxa"/>
            <w:tcBorders/>
            <w:vAlign w:val="bottom"/>
          </w:tcPr>
          <w:p>
            <w:pPr>
              <w:pStyle w:val="TableContents"/>
              <w:bidi w:val="0"/>
              <w:spacing w:before="0" w:after="283"/>
              <w:jc w:val="left"/>
              <w:rPr/>
            </w:pPr>
            <w:r>
              <w:rPr/>
              <w:t>  </w:t>
            </w:r>
          </w:p>
        </w:tc>
        <w:tc>
          <w:tcPr>
            <w:tcW w:w="2878" w:type="dxa"/>
            <w:tcBorders/>
          </w:tcPr>
          <w:p>
            <w:pPr>
              <w:pStyle w:val="TableContents"/>
              <w:bidi w:val="0"/>
              <w:spacing w:before="0" w:after="283"/>
              <w:jc w:val="center"/>
              <w:rPr/>
            </w:pPr>
            <w:r>
              <w:rPr/>
              <w:t>Arizona</w:t>
            </w:r>
          </w:p>
        </w:tc>
      </w:tr>
      <w:tr>
        <w:trPr/>
        <w:tc>
          <w:tcPr>
            <w:tcW w:w="6420" w:type="dxa"/>
            <w:tcBorders/>
          </w:tcPr>
          <w:p>
            <w:pPr>
              <w:pStyle w:val="TableContents"/>
              <w:bidi w:val="0"/>
              <w:spacing w:before="0" w:after="283"/>
              <w:jc w:val="left"/>
              <w:rPr/>
            </w:pPr>
            <w:r>
              <w:rPr/>
              <w:t>GM Financial Insurance Company</w:t>
            </w:r>
          </w:p>
        </w:tc>
        <w:tc>
          <w:tcPr>
            <w:tcW w:w="907" w:type="dxa"/>
            <w:tcBorders/>
            <w:vAlign w:val="bottom"/>
          </w:tcPr>
          <w:p>
            <w:pPr>
              <w:pStyle w:val="TableContents"/>
              <w:bidi w:val="0"/>
              <w:spacing w:before="0" w:after="283"/>
              <w:jc w:val="left"/>
              <w:rPr/>
            </w:pPr>
            <w:r>
              <w:rPr/>
              <w:t>  </w:t>
            </w:r>
          </w:p>
        </w:tc>
        <w:tc>
          <w:tcPr>
            <w:tcW w:w="2878" w:type="dxa"/>
            <w:tcBorders/>
          </w:tcPr>
          <w:p>
            <w:pPr>
              <w:pStyle w:val="TableContents"/>
              <w:bidi w:val="0"/>
              <w:spacing w:before="0" w:after="283"/>
              <w:jc w:val="center"/>
              <w:rPr/>
            </w:pPr>
            <w:r>
              <w:rPr/>
              <w:t>Arizona</w:t>
            </w:r>
          </w:p>
        </w:tc>
      </w:tr>
      <w:tr>
        <w:trPr/>
        <w:tc>
          <w:tcPr>
            <w:tcW w:w="6420" w:type="dxa"/>
            <w:tcBorders/>
          </w:tcPr>
          <w:p>
            <w:pPr>
              <w:pStyle w:val="TableContents"/>
              <w:bidi w:val="0"/>
              <w:spacing w:before="0" w:after="283"/>
              <w:jc w:val="left"/>
              <w:rPr/>
            </w:pPr>
            <w:r>
              <w:rPr/>
              <w:t>General Motors Energy LLC</w:t>
            </w:r>
          </w:p>
        </w:tc>
        <w:tc>
          <w:tcPr>
            <w:tcW w:w="907" w:type="dxa"/>
            <w:tcBorders/>
            <w:vAlign w:val="bottom"/>
          </w:tcPr>
          <w:p>
            <w:pPr>
              <w:pStyle w:val="TableContents"/>
              <w:bidi w:val="0"/>
              <w:spacing w:before="0" w:after="283"/>
              <w:jc w:val="left"/>
              <w:rPr/>
            </w:pPr>
            <w:r>
              <w:rPr/>
              <w:t>  </w:t>
            </w:r>
          </w:p>
        </w:tc>
        <w:tc>
          <w:tcPr>
            <w:tcW w:w="2878" w:type="dxa"/>
            <w:tcBorders/>
          </w:tcPr>
          <w:p>
            <w:pPr>
              <w:pStyle w:val="TableContents"/>
              <w:bidi w:val="0"/>
              <w:spacing w:before="0" w:after="283"/>
              <w:jc w:val="center"/>
              <w:rPr/>
            </w:pPr>
            <w:r>
              <w:rPr/>
              <w:t>Delaware</w:t>
            </w:r>
          </w:p>
        </w:tc>
      </w:tr>
    </w:tbl>
    <w:p>
      <w:pPr>
        <w:pStyle w:val="TextBody"/>
        <w:bidi w:val="0"/>
        <w:spacing w:before="240" w:after="0"/>
        <w:jc w:val="left"/>
        <w:rPr>
          <w:rFonts w:ascii="Times New Roman" w:hAnsi="Times New Roman"/>
          <w:sz w:val="20"/>
        </w:rPr>
      </w:pPr>
      <w:r>
        <w:rPr>
          <w:rFonts w:ascii="Times New Roman" w:hAnsi="Times New Roman"/>
          <w:sz w:val="20"/>
        </w:rPr>
        <w:t xml:space="preserve">Credit Agreement Schedule 1.1B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1.1C </w:t>
      </w:r>
    </w:p>
    <w:p>
      <w:pPr>
        <w:pStyle w:val="TextBody"/>
        <w:bidi w:val="0"/>
        <w:spacing w:before="0" w:after="0"/>
        <w:jc w:val="right"/>
        <w:rPr>
          <w:rFonts w:ascii="Times New Roman" w:hAnsi="Times New Roman"/>
          <w:sz w:val="20"/>
        </w:rPr>
      </w:pP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Credit Agreement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PRICING GRID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74"/>
        <w:gridCol w:w="317"/>
        <w:gridCol w:w="1733"/>
        <w:gridCol w:w="258"/>
        <w:gridCol w:w="1355"/>
        <w:gridCol w:w="258"/>
        <w:gridCol w:w="1733"/>
        <w:gridCol w:w="258"/>
        <w:gridCol w:w="1419"/>
      </w:tblGrid>
      <w:tr>
        <w:trPr/>
        <w:tc>
          <w:tcPr>
            <w:tcW w:w="2874"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2874"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S&amp;P / Moodys / Fitch</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Applicable Rating</w:t>
            </w:r>
          </w:p>
        </w:tc>
        <w:tc>
          <w:tcPr>
            <w:tcW w:w="317" w:type="dxa"/>
            <w:tcBorders/>
            <w:vAlign w:val="bottom"/>
          </w:tcPr>
          <w:p>
            <w:pPr>
              <w:pStyle w:val="TableContents"/>
              <w:bidi w:val="0"/>
              <w:spacing w:before="0" w:after="283"/>
              <w:jc w:val="left"/>
              <w:rPr/>
            </w:pPr>
            <w:r>
              <w:rPr/>
              <w:t>  </w:t>
            </w:r>
          </w:p>
        </w:tc>
        <w:tc>
          <w:tcPr>
            <w:tcW w:w="1733" w:type="dxa"/>
            <w:tcBorders>
              <w:bottom w:val="single" w:sz="8" w:space="0" w:color="000000"/>
            </w:tcBorders>
            <w:tcMar>
              <w:bottom w:w="28" w:type="dxa"/>
            </w:tcMar>
            <w:vAlign w:val="bottom"/>
          </w:tcPr>
          <w:p>
            <w:pPr>
              <w:pStyle w:val="TableContents"/>
              <w:bidi w:val="0"/>
              <w:spacing w:before="0" w:after="283"/>
              <w:jc w:val="center"/>
              <w:rPr>
                <w:b/>
              </w:rPr>
            </w:pPr>
            <w:r>
              <w:rPr>
                <w:b/>
              </w:rPr>
              <w:t>Facility Fee Rate</w:t>
            </w:r>
          </w:p>
        </w:tc>
        <w:tc>
          <w:tcPr>
            <w:tcW w:w="258" w:type="dxa"/>
            <w:tcBorders/>
            <w:vAlign w:val="bottom"/>
          </w:tcPr>
          <w:p>
            <w:pPr>
              <w:pStyle w:val="TableContents"/>
              <w:bidi w:val="0"/>
              <w:spacing w:before="0" w:after="283"/>
              <w:jc w:val="left"/>
              <w:rPr/>
            </w:pPr>
            <w:r>
              <w:rPr/>
              <w:t> </w:t>
            </w:r>
          </w:p>
        </w:tc>
        <w:tc>
          <w:tcPr>
            <w:tcW w:w="1355" w:type="dxa"/>
            <w:tcBorders>
              <w:bottom w:val="single" w:sz="8" w:space="0" w:color="000000"/>
            </w:tcBorders>
            <w:tcMar>
              <w:bottom w:w="28" w:type="dxa"/>
            </w:tcMar>
            <w:vAlign w:val="bottom"/>
          </w:tcPr>
          <w:p>
            <w:pPr>
              <w:pStyle w:val="TableContents"/>
              <w:bidi w:val="0"/>
              <w:spacing w:before="0" w:after="283"/>
              <w:jc w:val="center"/>
              <w:rPr>
                <w:b/>
              </w:rPr>
            </w:pPr>
            <w:r>
              <w:rPr>
                <w:b/>
              </w:rPr>
              <w:t>Applicable</w:t>
              <w:br/>
              <w:t>Margin for</w:t>
              <w:br/>
              <w:t>Daily Simple</w:t>
              <w:br/>
              <w:t>SOFR Loans</w:t>
              <w:br/>
              <w:t>and Term</w:t>
              <w:br/>
              <w:t>Benchmark</w:t>
              <w:br/>
              <w:t>Loans</w:t>
            </w:r>
          </w:p>
        </w:tc>
        <w:tc>
          <w:tcPr>
            <w:tcW w:w="258" w:type="dxa"/>
            <w:tcBorders/>
            <w:vAlign w:val="bottom"/>
          </w:tcPr>
          <w:p>
            <w:pPr>
              <w:pStyle w:val="TableContents"/>
              <w:bidi w:val="0"/>
              <w:spacing w:before="0" w:after="283"/>
              <w:jc w:val="left"/>
              <w:rPr/>
            </w:pPr>
            <w:r>
              <w:rPr/>
              <w:t> </w:t>
            </w:r>
          </w:p>
        </w:tc>
        <w:tc>
          <w:tcPr>
            <w:tcW w:w="1733" w:type="dxa"/>
            <w:tcBorders>
              <w:bottom w:val="single" w:sz="8" w:space="0" w:color="000000"/>
            </w:tcBorders>
            <w:tcMar>
              <w:bottom w:w="28" w:type="dxa"/>
            </w:tcMar>
            <w:vAlign w:val="bottom"/>
          </w:tcPr>
          <w:p>
            <w:pPr>
              <w:pStyle w:val="TableContents"/>
              <w:bidi w:val="0"/>
              <w:spacing w:before="0" w:after="283"/>
              <w:jc w:val="center"/>
              <w:rPr>
                <w:b/>
              </w:rPr>
            </w:pPr>
            <w:r>
              <w:rPr>
                <w:b/>
              </w:rPr>
              <w:t>Applicable</w:t>
              <w:br/>
              <w:t>Margin for ABR</w:t>
              <w:br/>
              <w:t>Loans</w:t>
            </w:r>
          </w:p>
        </w:tc>
        <w:tc>
          <w:tcPr>
            <w:tcW w:w="258" w:type="dxa"/>
            <w:tcBorders/>
            <w:vAlign w:val="bottom"/>
          </w:tcPr>
          <w:p>
            <w:pPr>
              <w:pStyle w:val="TableContents"/>
              <w:bidi w:val="0"/>
              <w:spacing w:before="0" w:after="283"/>
              <w:jc w:val="left"/>
              <w:rPr/>
            </w:pPr>
            <w:r>
              <w:rPr/>
              <w:t> </w:t>
            </w:r>
          </w:p>
        </w:tc>
        <w:tc>
          <w:tcPr>
            <w:tcW w:w="1419" w:type="dxa"/>
            <w:tcBorders>
              <w:bottom w:val="single" w:sz="8" w:space="0" w:color="000000"/>
            </w:tcBorders>
            <w:tcMar>
              <w:bottom w:w="28" w:type="dxa"/>
            </w:tcMar>
            <w:vAlign w:val="bottom"/>
          </w:tcPr>
          <w:p>
            <w:pPr>
              <w:pStyle w:val="TableContents"/>
              <w:bidi w:val="0"/>
              <w:spacing w:before="0" w:after="283"/>
              <w:jc w:val="center"/>
              <w:rPr>
                <w:b/>
              </w:rPr>
            </w:pPr>
            <w:r>
              <w:rPr>
                <w:b/>
              </w:rPr>
              <w:t>All-in Spread</w:t>
              <w:br/>
              <w:t>for Daily</w:t>
              <w:br/>
              <w:t>Simple SOFR</w:t>
              <w:br/>
              <w:t>Loans and</w:t>
              <w:br/>
              <w:t>Term</w:t>
              <w:br/>
              <w:t>Benchmark</w:t>
              <w:br/>
              <w:t>Loans</w:t>
            </w:r>
          </w:p>
        </w:tc>
      </w:tr>
      <w:tr>
        <w:trPr/>
        <w:tc>
          <w:tcPr>
            <w:tcW w:w="2874" w:type="dxa"/>
            <w:tcBorders/>
            <w:shd w:fill="CCEEFF" w:val="clear"/>
          </w:tcPr>
          <w:p>
            <w:pPr>
              <w:pStyle w:val="TableContents"/>
              <w:bidi w:val="0"/>
              <w:spacing w:before="0" w:after="0"/>
              <w:jc w:val="left"/>
              <w:rPr/>
            </w:pPr>
            <w:r>
              <w:rPr/>
              <w:t xml:space="preserve">≥ </w:t>
            </w:r>
            <w:r>
              <w:rPr>
                <w:rFonts w:ascii="Times New Roman" w:hAnsi="Times New Roman"/>
                <w:sz w:val="20"/>
              </w:rPr>
              <w:t>A/A2/A</w:t>
            </w:r>
          </w:p>
        </w:tc>
        <w:tc>
          <w:tcPr>
            <w:tcW w:w="317" w:type="dxa"/>
            <w:tcBorders/>
            <w:shd w:fill="CCEEFF" w:val="clear"/>
            <w:vAlign w:val="bottom"/>
          </w:tcPr>
          <w:p>
            <w:pPr>
              <w:pStyle w:val="TableContents"/>
              <w:bidi w:val="0"/>
              <w:spacing w:before="0" w:after="283"/>
              <w:jc w:val="left"/>
              <w:rPr/>
            </w:pPr>
            <w:r>
              <w:rPr/>
              <w:t>  </w:t>
            </w:r>
          </w:p>
        </w:tc>
        <w:tc>
          <w:tcPr>
            <w:tcW w:w="1733" w:type="dxa"/>
            <w:tcBorders/>
            <w:shd w:fill="CCEEFF" w:val="clear"/>
            <w:vAlign w:val="bottom"/>
          </w:tcPr>
          <w:p>
            <w:pPr>
              <w:pStyle w:val="TableContents"/>
              <w:bidi w:val="0"/>
              <w:spacing w:before="0" w:after="283"/>
              <w:jc w:val="center"/>
              <w:rPr/>
            </w:pPr>
            <w:r>
              <w:rPr/>
              <w:t>[***]</w:t>
            </w:r>
          </w:p>
        </w:tc>
        <w:tc>
          <w:tcPr>
            <w:tcW w:w="258"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center"/>
              <w:rPr/>
            </w:pPr>
            <w:r>
              <w:rPr/>
              <w:t>[***]</w:t>
            </w:r>
          </w:p>
        </w:tc>
        <w:tc>
          <w:tcPr>
            <w:tcW w:w="258" w:type="dxa"/>
            <w:tcBorders/>
            <w:shd w:fill="CCEEFF" w:val="clear"/>
            <w:vAlign w:val="bottom"/>
          </w:tcPr>
          <w:p>
            <w:pPr>
              <w:pStyle w:val="TableContents"/>
              <w:bidi w:val="0"/>
              <w:spacing w:before="0" w:after="283"/>
              <w:jc w:val="left"/>
              <w:rPr/>
            </w:pPr>
            <w:r>
              <w:rPr/>
              <w:t> </w:t>
            </w:r>
          </w:p>
        </w:tc>
        <w:tc>
          <w:tcPr>
            <w:tcW w:w="1733" w:type="dxa"/>
            <w:tcBorders/>
            <w:shd w:fill="CCEEFF" w:val="clear"/>
            <w:vAlign w:val="bottom"/>
          </w:tcPr>
          <w:p>
            <w:pPr>
              <w:pStyle w:val="TableContents"/>
              <w:bidi w:val="0"/>
              <w:spacing w:before="0" w:after="283"/>
              <w:jc w:val="center"/>
              <w:rPr/>
            </w:pPr>
            <w:r>
              <w:rPr/>
              <w:t>[***]</w:t>
            </w:r>
          </w:p>
        </w:tc>
        <w:tc>
          <w:tcPr>
            <w:tcW w:w="258"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center"/>
              <w:rPr/>
            </w:pPr>
            <w:r>
              <w:rPr/>
              <w:t>[***]</w:t>
            </w:r>
          </w:p>
        </w:tc>
      </w:tr>
      <w:tr>
        <w:trPr/>
        <w:tc>
          <w:tcPr>
            <w:tcW w:w="2874" w:type="dxa"/>
            <w:tcBorders/>
          </w:tcPr>
          <w:p>
            <w:pPr>
              <w:pStyle w:val="TableContents"/>
              <w:bidi w:val="0"/>
              <w:spacing w:before="0" w:after="0"/>
              <w:jc w:val="left"/>
              <w:rPr>
                <w:rFonts w:ascii="Times New Roman" w:hAnsi="Times New Roman"/>
                <w:sz w:val="20"/>
              </w:rPr>
            </w:pPr>
            <w:r>
              <w:rPr>
                <w:rFonts w:ascii="Times New Roman" w:hAnsi="Times New Roman"/>
                <w:sz w:val="20"/>
              </w:rPr>
              <w:t>A-/A3/A-</w:t>
            </w:r>
          </w:p>
        </w:tc>
        <w:tc>
          <w:tcPr>
            <w:tcW w:w="317" w:type="dxa"/>
            <w:tcBorders/>
            <w:vAlign w:val="bottom"/>
          </w:tcPr>
          <w:p>
            <w:pPr>
              <w:pStyle w:val="TableContents"/>
              <w:bidi w:val="0"/>
              <w:spacing w:before="0" w:after="283"/>
              <w:jc w:val="left"/>
              <w:rPr/>
            </w:pPr>
            <w:r>
              <w:rPr/>
              <w:t>  </w:t>
            </w:r>
          </w:p>
        </w:tc>
        <w:tc>
          <w:tcPr>
            <w:tcW w:w="1733" w:type="dxa"/>
            <w:tcBorders/>
            <w:vAlign w:val="bottom"/>
          </w:tcPr>
          <w:p>
            <w:pPr>
              <w:pStyle w:val="TableContents"/>
              <w:bidi w:val="0"/>
              <w:spacing w:before="0" w:after="283"/>
              <w:jc w:val="center"/>
              <w:rPr/>
            </w:pPr>
            <w:r>
              <w:rPr/>
              <w:t>[***]</w:t>
            </w:r>
          </w:p>
        </w:tc>
        <w:tc>
          <w:tcPr>
            <w:tcW w:w="258"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center"/>
              <w:rPr/>
            </w:pPr>
            <w:r>
              <w:rPr/>
              <w:t>[***]</w:t>
            </w:r>
          </w:p>
        </w:tc>
        <w:tc>
          <w:tcPr>
            <w:tcW w:w="258" w:type="dxa"/>
            <w:tcBorders/>
            <w:vAlign w:val="bottom"/>
          </w:tcPr>
          <w:p>
            <w:pPr>
              <w:pStyle w:val="TableContents"/>
              <w:bidi w:val="0"/>
              <w:spacing w:before="0" w:after="283"/>
              <w:jc w:val="left"/>
              <w:rPr/>
            </w:pPr>
            <w:r>
              <w:rPr/>
              <w:t> </w:t>
            </w:r>
          </w:p>
        </w:tc>
        <w:tc>
          <w:tcPr>
            <w:tcW w:w="1733" w:type="dxa"/>
            <w:tcBorders/>
            <w:vAlign w:val="bottom"/>
          </w:tcPr>
          <w:p>
            <w:pPr>
              <w:pStyle w:val="TableContents"/>
              <w:bidi w:val="0"/>
              <w:spacing w:before="0" w:after="283"/>
              <w:jc w:val="center"/>
              <w:rPr/>
            </w:pPr>
            <w:r>
              <w:rPr/>
              <w:t>[***]</w:t>
            </w:r>
          </w:p>
        </w:tc>
        <w:tc>
          <w:tcPr>
            <w:tcW w:w="258" w:type="dxa"/>
            <w:tcBorders/>
            <w:vAlign w:val="bottom"/>
          </w:tcPr>
          <w:p>
            <w:pPr>
              <w:pStyle w:val="TableContents"/>
              <w:bidi w:val="0"/>
              <w:spacing w:before="0" w:after="283"/>
              <w:jc w:val="left"/>
              <w:rPr/>
            </w:pPr>
            <w:r>
              <w:rPr/>
              <w:t> </w:t>
            </w:r>
          </w:p>
        </w:tc>
        <w:tc>
          <w:tcPr>
            <w:tcW w:w="1419" w:type="dxa"/>
            <w:tcBorders/>
            <w:vAlign w:val="bottom"/>
          </w:tcPr>
          <w:p>
            <w:pPr>
              <w:pStyle w:val="TableContents"/>
              <w:bidi w:val="0"/>
              <w:spacing w:before="0" w:after="283"/>
              <w:jc w:val="center"/>
              <w:rPr/>
            </w:pPr>
            <w:r>
              <w:rPr/>
              <w:t>[***]</w:t>
            </w:r>
          </w:p>
        </w:tc>
      </w:tr>
      <w:tr>
        <w:trPr/>
        <w:tc>
          <w:tcPr>
            <w:tcW w:w="2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BBB+ / Baa1 / BBB+</w:t>
            </w:r>
          </w:p>
        </w:tc>
        <w:tc>
          <w:tcPr>
            <w:tcW w:w="317" w:type="dxa"/>
            <w:tcBorders/>
            <w:shd w:fill="CCEEFF" w:val="clear"/>
            <w:vAlign w:val="bottom"/>
          </w:tcPr>
          <w:p>
            <w:pPr>
              <w:pStyle w:val="TableContents"/>
              <w:bidi w:val="0"/>
              <w:spacing w:before="0" w:after="283"/>
              <w:jc w:val="left"/>
              <w:rPr/>
            </w:pPr>
            <w:r>
              <w:rPr/>
              <w:t>  </w:t>
            </w:r>
          </w:p>
        </w:tc>
        <w:tc>
          <w:tcPr>
            <w:tcW w:w="1733" w:type="dxa"/>
            <w:tcBorders/>
            <w:shd w:fill="CCEEFF" w:val="clear"/>
            <w:vAlign w:val="bottom"/>
          </w:tcPr>
          <w:p>
            <w:pPr>
              <w:pStyle w:val="TableContents"/>
              <w:bidi w:val="0"/>
              <w:spacing w:before="0" w:after="283"/>
              <w:jc w:val="center"/>
              <w:rPr/>
            </w:pPr>
            <w:r>
              <w:rPr/>
              <w:t>[***]</w:t>
            </w:r>
          </w:p>
        </w:tc>
        <w:tc>
          <w:tcPr>
            <w:tcW w:w="258"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center"/>
              <w:rPr/>
            </w:pPr>
            <w:r>
              <w:rPr/>
              <w:t>[***]</w:t>
            </w:r>
          </w:p>
        </w:tc>
        <w:tc>
          <w:tcPr>
            <w:tcW w:w="258" w:type="dxa"/>
            <w:tcBorders/>
            <w:shd w:fill="CCEEFF" w:val="clear"/>
            <w:vAlign w:val="bottom"/>
          </w:tcPr>
          <w:p>
            <w:pPr>
              <w:pStyle w:val="TableContents"/>
              <w:bidi w:val="0"/>
              <w:spacing w:before="0" w:after="283"/>
              <w:jc w:val="left"/>
              <w:rPr/>
            </w:pPr>
            <w:r>
              <w:rPr/>
              <w:t> </w:t>
            </w:r>
          </w:p>
        </w:tc>
        <w:tc>
          <w:tcPr>
            <w:tcW w:w="1733" w:type="dxa"/>
            <w:tcBorders/>
            <w:shd w:fill="CCEEFF" w:val="clear"/>
            <w:vAlign w:val="bottom"/>
          </w:tcPr>
          <w:p>
            <w:pPr>
              <w:pStyle w:val="TableContents"/>
              <w:bidi w:val="0"/>
              <w:spacing w:before="0" w:after="283"/>
              <w:jc w:val="center"/>
              <w:rPr/>
            </w:pPr>
            <w:r>
              <w:rPr/>
              <w:t>[***]</w:t>
            </w:r>
          </w:p>
        </w:tc>
        <w:tc>
          <w:tcPr>
            <w:tcW w:w="258"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center"/>
              <w:rPr/>
            </w:pPr>
            <w:r>
              <w:rPr/>
              <w:t>[***]</w:t>
            </w:r>
          </w:p>
        </w:tc>
      </w:tr>
      <w:tr>
        <w:trPr/>
        <w:tc>
          <w:tcPr>
            <w:tcW w:w="2874" w:type="dxa"/>
            <w:tcBorders/>
          </w:tcPr>
          <w:p>
            <w:pPr>
              <w:pStyle w:val="TableContents"/>
              <w:bidi w:val="0"/>
              <w:spacing w:before="0" w:after="0"/>
              <w:jc w:val="left"/>
              <w:rPr>
                <w:rFonts w:ascii="Times New Roman" w:hAnsi="Times New Roman"/>
                <w:sz w:val="20"/>
              </w:rPr>
            </w:pPr>
            <w:r>
              <w:rPr>
                <w:rFonts w:ascii="Times New Roman" w:hAnsi="Times New Roman"/>
                <w:sz w:val="20"/>
              </w:rPr>
              <w:t>BBB / Baa2 / BBB</w:t>
            </w:r>
          </w:p>
        </w:tc>
        <w:tc>
          <w:tcPr>
            <w:tcW w:w="317" w:type="dxa"/>
            <w:tcBorders/>
            <w:vAlign w:val="bottom"/>
          </w:tcPr>
          <w:p>
            <w:pPr>
              <w:pStyle w:val="TableContents"/>
              <w:bidi w:val="0"/>
              <w:spacing w:before="0" w:after="283"/>
              <w:jc w:val="left"/>
              <w:rPr/>
            </w:pPr>
            <w:r>
              <w:rPr/>
              <w:t>  </w:t>
            </w:r>
          </w:p>
        </w:tc>
        <w:tc>
          <w:tcPr>
            <w:tcW w:w="1733" w:type="dxa"/>
            <w:tcBorders/>
            <w:vAlign w:val="bottom"/>
          </w:tcPr>
          <w:p>
            <w:pPr>
              <w:pStyle w:val="TableContents"/>
              <w:bidi w:val="0"/>
              <w:spacing w:before="0" w:after="283"/>
              <w:jc w:val="center"/>
              <w:rPr/>
            </w:pPr>
            <w:r>
              <w:rPr/>
              <w:t>[***]</w:t>
            </w:r>
          </w:p>
        </w:tc>
        <w:tc>
          <w:tcPr>
            <w:tcW w:w="258"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center"/>
              <w:rPr/>
            </w:pPr>
            <w:r>
              <w:rPr/>
              <w:t>[***]</w:t>
            </w:r>
          </w:p>
        </w:tc>
        <w:tc>
          <w:tcPr>
            <w:tcW w:w="258" w:type="dxa"/>
            <w:tcBorders/>
            <w:vAlign w:val="bottom"/>
          </w:tcPr>
          <w:p>
            <w:pPr>
              <w:pStyle w:val="TableContents"/>
              <w:bidi w:val="0"/>
              <w:spacing w:before="0" w:after="283"/>
              <w:jc w:val="left"/>
              <w:rPr/>
            </w:pPr>
            <w:r>
              <w:rPr/>
              <w:t> </w:t>
            </w:r>
          </w:p>
        </w:tc>
        <w:tc>
          <w:tcPr>
            <w:tcW w:w="1733" w:type="dxa"/>
            <w:tcBorders/>
            <w:vAlign w:val="bottom"/>
          </w:tcPr>
          <w:p>
            <w:pPr>
              <w:pStyle w:val="TableContents"/>
              <w:bidi w:val="0"/>
              <w:spacing w:before="0" w:after="283"/>
              <w:jc w:val="center"/>
              <w:rPr/>
            </w:pPr>
            <w:r>
              <w:rPr/>
              <w:t>[***]</w:t>
            </w:r>
          </w:p>
        </w:tc>
        <w:tc>
          <w:tcPr>
            <w:tcW w:w="258" w:type="dxa"/>
            <w:tcBorders/>
            <w:vAlign w:val="bottom"/>
          </w:tcPr>
          <w:p>
            <w:pPr>
              <w:pStyle w:val="TableContents"/>
              <w:bidi w:val="0"/>
              <w:spacing w:before="0" w:after="283"/>
              <w:jc w:val="left"/>
              <w:rPr/>
            </w:pPr>
            <w:r>
              <w:rPr/>
              <w:t> </w:t>
            </w:r>
          </w:p>
        </w:tc>
        <w:tc>
          <w:tcPr>
            <w:tcW w:w="1419" w:type="dxa"/>
            <w:tcBorders/>
            <w:vAlign w:val="bottom"/>
          </w:tcPr>
          <w:p>
            <w:pPr>
              <w:pStyle w:val="TableContents"/>
              <w:bidi w:val="0"/>
              <w:spacing w:before="0" w:after="283"/>
              <w:jc w:val="center"/>
              <w:rPr/>
            </w:pPr>
            <w:r>
              <w:rPr/>
              <w:t>[***]</w:t>
            </w:r>
          </w:p>
        </w:tc>
      </w:tr>
      <w:tr>
        <w:trPr/>
        <w:tc>
          <w:tcPr>
            <w:tcW w:w="2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BBB- / Baa3 / BBB-</w:t>
            </w:r>
          </w:p>
        </w:tc>
        <w:tc>
          <w:tcPr>
            <w:tcW w:w="317" w:type="dxa"/>
            <w:tcBorders/>
            <w:shd w:fill="CCEEFF" w:val="clear"/>
            <w:vAlign w:val="bottom"/>
          </w:tcPr>
          <w:p>
            <w:pPr>
              <w:pStyle w:val="TableContents"/>
              <w:bidi w:val="0"/>
              <w:spacing w:before="0" w:after="283"/>
              <w:jc w:val="left"/>
              <w:rPr/>
            </w:pPr>
            <w:r>
              <w:rPr/>
              <w:t>  </w:t>
            </w:r>
          </w:p>
        </w:tc>
        <w:tc>
          <w:tcPr>
            <w:tcW w:w="1733" w:type="dxa"/>
            <w:tcBorders/>
            <w:shd w:fill="CCEEFF" w:val="clear"/>
            <w:vAlign w:val="bottom"/>
          </w:tcPr>
          <w:p>
            <w:pPr>
              <w:pStyle w:val="TableContents"/>
              <w:bidi w:val="0"/>
              <w:spacing w:before="0" w:after="283"/>
              <w:jc w:val="center"/>
              <w:rPr/>
            </w:pPr>
            <w:r>
              <w:rPr/>
              <w:t>[***]</w:t>
            </w:r>
          </w:p>
        </w:tc>
        <w:tc>
          <w:tcPr>
            <w:tcW w:w="258"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center"/>
              <w:rPr/>
            </w:pPr>
            <w:r>
              <w:rPr/>
              <w:t>[***]</w:t>
            </w:r>
          </w:p>
        </w:tc>
        <w:tc>
          <w:tcPr>
            <w:tcW w:w="258" w:type="dxa"/>
            <w:tcBorders/>
            <w:shd w:fill="CCEEFF" w:val="clear"/>
            <w:vAlign w:val="bottom"/>
          </w:tcPr>
          <w:p>
            <w:pPr>
              <w:pStyle w:val="TableContents"/>
              <w:bidi w:val="0"/>
              <w:spacing w:before="0" w:after="283"/>
              <w:jc w:val="left"/>
              <w:rPr/>
            </w:pPr>
            <w:r>
              <w:rPr/>
              <w:t> </w:t>
            </w:r>
          </w:p>
        </w:tc>
        <w:tc>
          <w:tcPr>
            <w:tcW w:w="1733" w:type="dxa"/>
            <w:tcBorders/>
            <w:shd w:fill="CCEEFF" w:val="clear"/>
            <w:vAlign w:val="bottom"/>
          </w:tcPr>
          <w:p>
            <w:pPr>
              <w:pStyle w:val="TableContents"/>
              <w:bidi w:val="0"/>
              <w:spacing w:before="0" w:after="283"/>
              <w:jc w:val="center"/>
              <w:rPr/>
            </w:pPr>
            <w:r>
              <w:rPr/>
              <w:t>[***]</w:t>
            </w:r>
          </w:p>
        </w:tc>
        <w:tc>
          <w:tcPr>
            <w:tcW w:w="258"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center"/>
              <w:rPr/>
            </w:pPr>
            <w:r>
              <w:rPr/>
              <w:t>[***]</w:t>
            </w:r>
          </w:p>
        </w:tc>
      </w:tr>
      <w:tr>
        <w:trPr/>
        <w:tc>
          <w:tcPr>
            <w:tcW w:w="2874" w:type="dxa"/>
            <w:tcBorders/>
          </w:tcPr>
          <w:p>
            <w:pPr>
              <w:pStyle w:val="TableContents"/>
              <w:bidi w:val="0"/>
              <w:spacing w:before="0" w:after="0"/>
              <w:jc w:val="left"/>
              <w:rPr>
                <w:rFonts w:ascii="Times New Roman" w:hAnsi="Times New Roman"/>
                <w:sz w:val="20"/>
              </w:rPr>
            </w:pPr>
            <w:r>
              <w:rPr>
                <w:rFonts w:ascii="Times New Roman" w:hAnsi="Times New Roman"/>
                <w:sz w:val="20"/>
              </w:rPr>
              <w:t>BB+ / Ba1 / BB+</w:t>
            </w:r>
          </w:p>
        </w:tc>
        <w:tc>
          <w:tcPr>
            <w:tcW w:w="317" w:type="dxa"/>
            <w:tcBorders/>
            <w:vAlign w:val="bottom"/>
          </w:tcPr>
          <w:p>
            <w:pPr>
              <w:pStyle w:val="TableContents"/>
              <w:bidi w:val="0"/>
              <w:spacing w:before="0" w:after="283"/>
              <w:jc w:val="left"/>
              <w:rPr/>
            </w:pPr>
            <w:r>
              <w:rPr/>
              <w:t>  </w:t>
            </w:r>
          </w:p>
        </w:tc>
        <w:tc>
          <w:tcPr>
            <w:tcW w:w="1733" w:type="dxa"/>
            <w:tcBorders/>
            <w:vAlign w:val="bottom"/>
          </w:tcPr>
          <w:p>
            <w:pPr>
              <w:pStyle w:val="TableContents"/>
              <w:bidi w:val="0"/>
              <w:spacing w:before="0" w:after="283"/>
              <w:jc w:val="center"/>
              <w:rPr/>
            </w:pPr>
            <w:r>
              <w:rPr/>
              <w:t>[***]</w:t>
            </w:r>
          </w:p>
        </w:tc>
        <w:tc>
          <w:tcPr>
            <w:tcW w:w="258"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center"/>
              <w:rPr/>
            </w:pPr>
            <w:r>
              <w:rPr/>
              <w:t>[***]</w:t>
            </w:r>
          </w:p>
        </w:tc>
        <w:tc>
          <w:tcPr>
            <w:tcW w:w="258" w:type="dxa"/>
            <w:tcBorders/>
            <w:vAlign w:val="bottom"/>
          </w:tcPr>
          <w:p>
            <w:pPr>
              <w:pStyle w:val="TableContents"/>
              <w:bidi w:val="0"/>
              <w:spacing w:before="0" w:after="283"/>
              <w:jc w:val="left"/>
              <w:rPr/>
            </w:pPr>
            <w:r>
              <w:rPr/>
              <w:t> </w:t>
            </w:r>
          </w:p>
        </w:tc>
        <w:tc>
          <w:tcPr>
            <w:tcW w:w="1733" w:type="dxa"/>
            <w:tcBorders/>
            <w:vAlign w:val="bottom"/>
          </w:tcPr>
          <w:p>
            <w:pPr>
              <w:pStyle w:val="TableContents"/>
              <w:bidi w:val="0"/>
              <w:spacing w:before="0" w:after="283"/>
              <w:jc w:val="center"/>
              <w:rPr/>
            </w:pPr>
            <w:r>
              <w:rPr/>
              <w:t>[***]</w:t>
            </w:r>
          </w:p>
        </w:tc>
        <w:tc>
          <w:tcPr>
            <w:tcW w:w="258" w:type="dxa"/>
            <w:tcBorders/>
            <w:vAlign w:val="bottom"/>
          </w:tcPr>
          <w:p>
            <w:pPr>
              <w:pStyle w:val="TableContents"/>
              <w:bidi w:val="0"/>
              <w:spacing w:before="0" w:after="283"/>
              <w:jc w:val="left"/>
              <w:rPr/>
            </w:pPr>
            <w:r>
              <w:rPr/>
              <w:t> </w:t>
            </w:r>
          </w:p>
        </w:tc>
        <w:tc>
          <w:tcPr>
            <w:tcW w:w="1419" w:type="dxa"/>
            <w:tcBorders/>
            <w:vAlign w:val="bottom"/>
          </w:tcPr>
          <w:p>
            <w:pPr>
              <w:pStyle w:val="TableContents"/>
              <w:bidi w:val="0"/>
              <w:spacing w:before="0" w:after="283"/>
              <w:jc w:val="center"/>
              <w:rPr/>
            </w:pPr>
            <w:r>
              <w:rPr/>
              <w:t>[***]</w:t>
            </w:r>
          </w:p>
        </w:tc>
      </w:tr>
      <w:tr>
        <w:trPr/>
        <w:tc>
          <w:tcPr>
            <w:tcW w:w="2874" w:type="dxa"/>
            <w:tcBorders/>
            <w:shd w:fill="CCEEFF" w:val="clear"/>
          </w:tcPr>
          <w:p>
            <w:pPr>
              <w:pStyle w:val="TableContents"/>
              <w:bidi w:val="0"/>
              <w:spacing w:before="0" w:after="0"/>
              <w:jc w:val="left"/>
              <w:rPr/>
            </w:pPr>
            <w:r>
              <w:rPr/>
              <w:t xml:space="preserve">≤ </w:t>
            </w:r>
            <w:r>
              <w:rPr>
                <w:rFonts w:ascii="Times New Roman" w:hAnsi="Times New Roman"/>
                <w:sz w:val="20"/>
              </w:rPr>
              <w:t>BB / Ba2 / BB</w:t>
            </w:r>
          </w:p>
        </w:tc>
        <w:tc>
          <w:tcPr>
            <w:tcW w:w="317" w:type="dxa"/>
            <w:tcBorders/>
            <w:shd w:fill="CCEEFF" w:val="clear"/>
            <w:vAlign w:val="bottom"/>
          </w:tcPr>
          <w:p>
            <w:pPr>
              <w:pStyle w:val="TableContents"/>
              <w:bidi w:val="0"/>
              <w:spacing w:before="0" w:after="283"/>
              <w:jc w:val="left"/>
              <w:rPr/>
            </w:pPr>
            <w:r>
              <w:rPr/>
              <w:t>  </w:t>
            </w:r>
          </w:p>
        </w:tc>
        <w:tc>
          <w:tcPr>
            <w:tcW w:w="1733" w:type="dxa"/>
            <w:tcBorders/>
            <w:shd w:fill="CCEEFF" w:val="clear"/>
            <w:vAlign w:val="bottom"/>
          </w:tcPr>
          <w:p>
            <w:pPr>
              <w:pStyle w:val="TableContents"/>
              <w:bidi w:val="0"/>
              <w:spacing w:before="0" w:after="283"/>
              <w:jc w:val="center"/>
              <w:rPr/>
            </w:pPr>
            <w:r>
              <w:rPr/>
              <w:t>[***]</w:t>
            </w:r>
          </w:p>
        </w:tc>
        <w:tc>
          <w:tcPr>
            <w:tcW w:w="258"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center"/>
              <w:rPr/>
            </w:pPr>
            <w:r>
              <w:rPr/>
              <w:t>[***]</w:t>
            </w:r>
          </w:p>
        </w:tc>
        <w:tc>
          <w:tcPr>
            <w:tcW w:w="258" w:type="dxa"/>
            <w:tcBorders/>
            <w:shd w:fill="CCEEFF" w:val="clear"/>
            <w:vAlign w:val="bottom"/>
          </w:tcPr>
          <w:p>
            <w:pPr>
              <w:pStyle w:val="TableContents"/>
              <w:bidi w:val="0"/>
              <w:spacing w:before="0" w:after="283"/>
              <w:jc w:val="left"/>
              <w:rPr/>
            </w:pPr>
            <w:r>
              <w:rPr/>
              <w:t> </w:t>
            </w:r>
          </w:p>
        </w:tc>
        <w:tc>
          <w:tcPr>
            <w:tcW w:w="1733" w:type="dxa"/>
            <w:tcBorders/>
            <w:shd w:fill="CCEEFF" w:val="clear"/>
            <w:vAlign w:val="bottom"/>
          </w:tcPr>
          <w:p>
            <w:pPr>
              <w:pStyle w:val="TableContents"/>
              <w:bidi w:val="0"/>
              <w:spacing w:before="0" w:after="283"/>
              <w:jc w:val="center"/>
              <w:rPr/>
            </w:pPr>
            <w:r>
              <w:rPr/>
              <w:t>[***]</w:t>
            </w:r>
          </w:p>
        </w:tc>
        <w:tc>
          <w:tcPr>
            <w:tcW w:w="258"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center"/>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Changes in the Applicable Margin and Facility Fee Rate set forth in the pricing grid above shall become effective on the date on which S&amp;P, Moodys and/or Fitch changes the rating it has issued with respect to the applicable facility rating (as determined in the manner set forth in the last sentence of this paragraph) or, in the absence of a facility rating, the Companys senior unsecured debt rating. Each such change in the Applicable Margin or Facility Fee Rate, as applicable,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Schedule 1.1C to reflect such changed rating system or the unavailability of ratings from such rating agency and, pending the effectiveness of any such amendment, the Applicable Margin and the Facility Fee Rate shall be determined by reference to the rating on the Companys senior unsecured long-term debt rating or, if not available, then the rating most recently in effect prior to such change or cessation. [***] </w:t>
      </w:r>
    </w:p>
    <w:p>
      <w:pPr>
        <w:pStyle w:val="TextBody"/>
        <w:bidi w:val="0"/>
        <w:spacing w:before="240" w:after="0"/>
        <w:jc w:val="left"/>
        <w:rPr>
          <w:rFonts w:ascii="Times New Roman" w:hAnsi="Times New Roman"/>
          <w:sz w:val="20"/>
        </w:rPr>
      </w:pPr>
      <w:r>
        <w:rPr>
          <w:rFonts w:ascii="Times New Roman" w:hAnsi="Times New Roman"/>
          <w:sz w:val="20"/>
        </w:rPr>
        <w:t xml:space="preserve">Credit Agreement Schedule 1.1C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1.1 D </w:t>
      </w:r>
    </w:p>
    <w:p>
      <w:pPr>
        <w:pStyle w:val="TextBody"/>
        <w:bidi w:val="0"/>
        <w:spacing w:before="0" w:after="0"/>
        <w:jc w:val="right"/>
        <w:rPr>
          <w:rFonts w:ascii="Times New Roman" w:hAnsi="Times New Roman"/>
          <w:sz w:val="20"/>
        </w:rPr>
      </w:pP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Credit Agreement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EXISTING LIENS </w:t>
      </w:r>
    </w:p>
    <w:p>
      <w:pPr>
        <w:pStyle w:val="TextBody"/>
        <w:bidi w:val="0"/>
        <w:spacing w:before="240" w:after="0"/>
        <w:jc w:val="left"/>
        <w:rPr>
          <w:rFonts w:ascii="Times New Roman" w:hAnsi="Times New Roman"/>
          <w:sz w:val="20"/>
        </w:rPr>
      </w:pPr>
      <w:r>
        <w:rPr>
          <w:rFonts w:ascii="Times New Roman" w:hAnsi="Times New Roman"/>
          <w:sz w:val="20"/>
        </w:rPr>
        <w:t xml:space="preserve">Liens reflected in the lien search results, dated as of March 5, 2024 delivered to the Administrative Agent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Credit Agreement Schedule 1.1D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1.1 E </w:t>
      </w:r>
    </w:p>
    <w:p>
      <w:pPr>
        <w:pStyle w:val="TextBody"/>
        <w:bidi w:val="0"/>
        <w:spacing w:before="0" w:after="0"/>
        <w:jc w:val="right"/>
        <w:rPr>
          <w:rFonts w:ascii="Times New Roman" w:hAnsi="Times New Roman"/>
          <w:sz w:val="20"/>
        </w:rPr>
      </w:pP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Credit Agreement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EXCLUDED SUBSIDIARY BUSINESSES </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Credit Agreement Schedule 1.1E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4.6  </w:t>
      </w:r>
    </w:p>
    <w:p>
      <w:pPr>
        <w:pStyle w:val="TextBody"/>
        <w:bidi w:val="0"/>
        <w:spacing w:before="0" w:after="0"/>
        <w:jc w:val="right"/>
        <w:rPr>
          <w:rFonts w:ascii="Times New Roman" w:hAnsi="Times New Roman"/>
          <w:sz w:val="20"/>
        </w:rPr>
      </w:pP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Credit Agreement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LITIGATION </w:t>
      </w:r>
    </w:p>
    <w:p>
      <w:pPr>
        <w:pStyle w:val="TextBody"/>
        <w:bidi w:val="0"/>
        <w:spacing w:before="240" w:after="0"/>
        <w:jc w:val="left"/>
        <w:rPr>
          <w:rFonts w:ascii="Times New Roman" w:hAnsi="Times New Roman"/>
          <w:sz w:val="20"/>
        </w:rPr>
      </w:pPr>
      <w:r>
        <w:rPr>
          <w:rFonts w:ascii="Times New Roman" w:hAnsi="Times New Roman"/>
          <w:sz w:val="20"/>
        </w:rPr>
        <w:t xml:space="preserve">None. </w:t>
      </w:r>
    </w:p>
    <w:p>
      <w:pPr>
        <w:pStyle w:val="TextBody"/>
        <w:bidi w:val="0"/>
        <w:spacing w:before="240" w:after="0"/>
        <w:jc w:val="left"/>
        <w:rPr>
          <w:rFonts w:ascii="Times New Roman" w:hAnsi="Times New Roman"/>
          <w:sz w:val="20"/>
        </w:rPr>
      </w:pPr>
      <w:r>
        <w:rPr>
          <w:rFonts w:ascii="Times New Roman" w:hAnsi="Times New Roman"/>
          <w:sz w:val="20"/>
        </w:rPr>
        <w:t xml:space="preserve">Credit Agreement Schedule 4.6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to Credit Agreement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SIXTH AMENDED AND RESTATED GUARANTEE AGREEMENT </w:t>
      </w:r>
    </w:p>
    <w:p>
      <w:pPr>
        <w:pStyle w:val="TextBody"/>
        <w:bidi w:val="0"/>
        <w:spacing w:before="240" w:after="0"/>
        <w:jc w:val="center"/>
        <w:rPr>
          <w:rFonts w:ascii="Times New Roman" w:hAnsi="Times New Roman"/>
          <w:sz w:val="20"/>
        </w:rPr>
      </w:pPr>
      <w:r>
        <w:rPr>
          <w:rFonts w:ascii="Times New Roman" w:hAnsi="Times New Roman"/>
          <w:sz w:val="20"/>
        </w:rPr>
        <w:t xml:space="preserve">made by </w:t>
      </w:r>
    </w:p>
    <w:p>
      <w:pPr>
        <w:pStyle w:val="TextBody"/>
        <w:bidi w:val="0"/>
        <w:spacing w:before="240" w:after="0"/>
        <w:jc w:val="center"/>
        <w:rPr>
          <w:rFonts w:ascii="Times New Roman" w:hAnsi="Times New Roman"/>
          <w:sz w:val="20"/>
        </w:rPr>
      </w:pPr>
      <w:r>
        <w:rPr>
          <w:rFonts w:ascii="Times New Roman" w:hAnsi="Times New Roman"/>
          <w:sz w:val="20"/>
        </w:rPr>
        <w:t xml:space="preserve">GENERAL MOTORS COMPANY </w:t>
      </w:r>
    </w:p>
    <w:p>
      <w:pPr>
        <w:pStyle w:val="TextBody"/>
        <w:bidi w:val="0"/>
        <w:spacing w:before="240" w:after="0"/>
        <w:jc w:val="center"/>
        <w:rPr>
          <w:rFonts w:ascii="Times New Roman" w:hAnsi="Times New Roman"/>
          <w:sz w:val="20"/>
        </w:rPr>
      </w:pPr>
      <w:r>
        <w:rPr>
          <w:rFonts w:ascii="Times New Roman" w:hAnsi="Times New Roman"/>
          <w:sz w:val="20"/>
        </w:rPr>
        <w:t xml:space="preserve">AND CERTAIN OTHER PERSONS FROM TIME TO TIME PARTIES HERETO, </w:t>
      </w:r>
      <w:r>
        <w:rPr>
          <w:rFonts w:ascii="Times New Roman" w:hAnsi="Times New Roman"/>
          <w:i/>
          <w:sz w:val="20"/>
        </w:rPr>
        <w:t>as the Guarantors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in favor of </w:t>
      </w:r>
    </w:p>
    <w:p>
      <w:pPr>
        <w:pStyle w:val="TextBody"/>
        <w:bidi w:val="0"/>
        <w:spacing w:before="240" w:after="0"/>
        <w:jc w:val="center"/>
        <w:rPr>
          <w:rFonts w:ascii="Times New Roman" w:hAnsi="Times New Roman"/>
          <w:sz w:val="20"/>
        </w:rPr>
      </w:pPr>
      <w:r>
        <w:rPr>
          <w:rFonts w:ascii="Times New Roman" w:hAnsi="Times New Roman"/>
          <w:sz w:val="20"/>
        </w:rPr>
        <w:t xml:space="preserve">JPMORGAN CHASE BANK, N.A., </w:t>
      </w:r>
      <w:r>
        <w:rPr>
          <w:rFonts w:ascii="Times New Roman" w:hAnsi="Times New Roman"/>
          <w:i/>
          <w:sz w:val="20"/>
        </w:rPr>
        <w:t>as the Administrative Agent</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March 28, 2024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29"/>
        <w:gridCol w:w="88"/>
        <w:gridCol w:w="8198"/>
        <w:gridCol w:w="143"/>
        <w:gridCol w:w="90"/>
        <w:gridCol w:w="395"/>
        <w:gridCol w:w="62"/>
      </w:tblGrid>
      <w:tr>
        <w:trPr/>
        <w:tc>
          <w:tcPr>
            <w:tcW w:w="1229"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8198"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SECTION 1.</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pPr>
            <w:r>
              <w:rPr/>
              <w:t>DEFINED TERMS</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8286" w:type="dxa"/>
            <w:gridSpan w:val="2"/>
            <w:tcBorders/>
            <w:vAlign w:val="center"/>
          </w:tcPr>
          <w:p>
            <w:pPr>
              <w:pStyle w:val="TableContents"/>
              <w:bidi w:val="0"/>
              <w:spacing w:before="0" w:after="283"/>
              <w:jc w:val="left"/>
              <w:rPr>
                <w:sz w:val="4"/>
                <w:szCs w:val="4"/>
              </w:rPr>
            </w:pPr>
            <w:r>
              <w:rPr>
                <w:sz w:val="4"/>
                <w:szCs w:val="4"/>
              </w:rPr>
            </w:r>
          </w:p>
        </w:tc>
        <w:tc>
          <w:tcPr>
            <w:tcW w:w="690" w:type="dxa"/>
            <w:gridSpan w:val="4"/>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pPr>
            <w:r>
              <w:rPr/>
              <w:t>Definitions</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pPr>
            <w:r>
              <w:rPr/>
              <w:t>Other Definitional Provisions</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8286" w:type="dxa"/>
            <w:gridSpan w:val="2"/>
            <w:tcBorders/>
            <w:vAlign w:val="center"/>
          </w:tcPr>
          <w:p>
            <w:pPr>
              <w:pStyle w:val="TableContents"/>
              <w:bidi w:val="0"/>
              <w:spacing w:before="0" w:after="283"/>
              <w:jc w:val="left"/>
              <w:rPr>
                <w:sz w:val="4"/>
                <w:szCs w:val="4"/>
              </w:rPr>
            </w:pPr>
            <w:r>
              <w:rPr>
                <w:sz w:val="4"/>
                <w:szCs w:val="4"/>
              </w:rPr>
            </w:r>
          </w:p>
        </w:tc>
        <w:tc>
          <w:tcPr>
            <w:tcW w:w="690" w:type="dxa"/>
            <w:gridSpan w:val="4"/>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SECTION 2.</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pPr>
            <w:r>
              <w:rPr/>
              <w:t>Guarantee</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8286" w:type="dxa"/>
            <w:gridSpan w:val="2"/>
            <w:tcBorders/>
            <w:vAlign w:val="center"/>
          </w:tcPr>
          <w:p>
            <w:pPr>
              <w:pStyle w:val="TableContents"/>
              <w:bidi w:val="0"/>
              <w:spacing w:before="0" w:after="283"/>
              <w:jc w:val="left"/>
              <w:rPr>
                <w:sz w:val="4"/>
                <w:szCs w:val="4"/>
              </w:rPr>
            </w:pPr>
            <w:r>
              <w:rPr>
                <w:sz w:val="4"/>
                <w:szCs w:val="4"/>
              </w:rPr>
            </w:r>
          </w:p>
        </w:tc>
        <w:tc>
          <w:tcPr>
            <w:tcW w:w="690" w:type="dxa"/>
            <w:gridSpan w:val="4"/>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pPr>
            <w:r>
              <w:rPr/>
              <w:t>Guarantee</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pPr>
            <w:r>
              <w:rPr/>
              <w:t>Right of Contribution</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pPr>
            <w:r>
              <w:rPr/>
              <w:t>No Subrogation</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pPr>
            <w:r>
              <w:rPr/>
              <w:t>Amendments, etc. with respect to the Guaranteed Obligations</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pPr>
            <w:r>
              <w:rPr/>
              <w:t>Guarantee Absolute and Unconditional</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pPr>
            <w:r>
              <w:rPr/>
              <w:t>Reinstatement</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pPr>
            <w:r>
              <w:rPr/>
              <w:t>Payments</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8286" w:type="dxa"/>
            <w:gridSpan w:val="2"/>
            <w:tcBorders/>
            <w:vAlign w:val="center"/>
          </w:tcPr>
          <w:p>
            <w:pPr>
              <w:pStyle w:val="TableContents"/>
              <w:bidi w:val="0"/>
              <w:spacing w:before="0" w:after="283"/>
              <w:jc w:val="left"/>
              <w:rPr>
                <w:sz w:val="4"/>
                <w:szCs w:val="4"/>
              </w:rPr>
            </w:pPr>
            <w:r>
              <w:rPr>
                <w:sz w:val="4"/>
                <w:szCs w:val="4"/>
              </w:rPr>
            </w:r>
          </w:p>
        </w:tc>
        <w:tc>
          <w:tcPr>
            <w:tcW w:w="690" w:type="dxa"/>
            <w:gridSpan w:val="4"/>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SECTION 3.</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pPr>
            <w:r>
              <w:rPr/>
              <w:t>MISCELLANEOUS</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120" w:hRule="atLeast"/>
        </w:trPr>
        <w:tc>
          <w:tcPr>
            <w:tcW w:w="1229" w:type="dxa"/>
            <w:tcBorders/>
            <w:vAlign w:val="center"/>
          </w:tcPr>
          <w:p>
            <w:pPr>
              <w:pStyle w:val="TableContents"/>
              <w:bidi w:val="0"/>
              <w:spacing w:before="0" w:after="283"/>
              <w:jc w:val="left"/>
              <w:rPr>
                <w:sz w:val="4"/>
                <w:szCs w:val="4"/>
              </w:rPr>
            </w:pPr>
            <w:r>
              <w:rPr>
                <w:sz w:val="4"/>
                <w:szCs w:val="4"/>
              </w:rPr>
            </w:r>
          </w:p>
        </w:tc>
        <w:tc>
          <w:tcPr>
            <w:tcW w:w="8286" w:type="dxa"/>
            <w:gridSpan w:val="2"/>
            <w:tcBorders/>
            <w:vAlign w:val="center"/>
          </w:tcPr>
          <w:p>
            <w:pPr>
              <w:pStyle w:val="TableContents"/>
              <w:bidi w:val="0"/>
              <w:spacing w:before="0" w:after="283"/>
              <w:jc w:val="left"/>
              <w:rPr>
                <w:sz w:val="4"/>
                <w:szCs w:val="4"/>
              </w:rPr>
            </w:pPr>
            <w:r>
              <w:rPr>
                <w:sz w:val="4"/>
                <w:szCs w:val="4"/>
              </w:rPr>
            </w:r>
          </w:p>
        </w:tc>
        <w:tc>
          <w:tcPr>
            <w:tcW w:w="690" w:type="dxa"/>
            <w:gridSpan w:val="4"/>
            <w:tcBorders/>
            <w:vAlign w:val="center"/>
          </w:tcPr>
          <w:p>
            <w:pPr>
              <w:pStyle w:val="TableContents"/>
              <w:bidi w:val="0"/>
              <w:spacing w:before="0" w:after="283"/>
              <w:jc w:val="left"/>
              <w:rPr>
                <w:sz w:val="4"/>
                <w:szCs w:val="4"/>
              </w:rPr>
            </w:pPr>
            <w:r>
              <w:rPr>
                <w:sz w:val="4"/>
                <w:szCs w:val="4"/>
              </w:rPr>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pPr>
            <w:r>
              <w:rPr/>
              <w:t>Authority of Administrative Agent</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pPr>
            <w:r>
              <w:rPr/>
              <w:t>Amendments in Writing</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pPr>
            <w:r>
              <w:rPr/>
              <w:t>Notices</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pPr>
            <w:r>
              <w:rPr/>
              <w:t>No Waiver by Course of Conduct; Cumulative Remedies</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pPr>
            <w:r>
              <w:rPr/>
              <w:t>Enforcement Expenses; Indemnification</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pPr>
            <w:r>
              <w:rPr/>
              <w:t>Successors and Assigns</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3.7</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pPr>
            <w:r>
              <w:rPr/>
              <w:t>Counterparts; Electronic Signature</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3.8</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pPr>
            <w:r>
              <w:rPr/>
              <w:t>Severability</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3.9</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pPr>
            <w:r>
              <w:rPr/>
              <w:t>Section Headings</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3.10</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pPr>
            <w:r>
              <w:rPr/>
              <w:t>Integration</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3.11</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b/>
              </w:rPr>
            </w:pPr>
            <w:r>
              <w:rPr>
                <w:b/>
              </w:rPr>
              <w:t>GOVERNING LAW</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3.12</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pPr>
            <w:r>
              <w:rPr/>
              <w:t>Submission To Jurisdiction; Waivers</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3.13</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pPr>
            <w:r>
              <w:rPr/>
              <w:t>Judgment</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3.14</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pPr>
            <w:r>
              <w:rPr/>
              <w:t>Additional Guarantors</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3.15</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pPr>
            <w:r>
              <w:rPr/>
              <w:t>Releases</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1229" w:type="dxa"/>
            <w:tcBorders/>
          </w:tcPr>
          <w:p>
            <w:pPr>
              <w:pStyle w:val="TableContents"/>
              <w:bidi w:val="0"/>
              <w:spacing w:before="0" w:after="0"/>
              <w:jc w:val="left"/>
              <w:rPr>
                <w:rFonts w:ascii="Times New Roman" w:hAnsi="Times New Roman"/>
                <w:sz w:val="20"/>
              </w:rPr>
            </w:pPr>
            <w:r>
              <w:rPr>
                <w:rFonts w:ascii="Times New Roman" w:hAnsi="Times New Roman"/>
                <w:sz w:val="20"/>
              </w:rPr>
              <w:t>3.16</w:t>
            </w:r>
          </w:p>
        </w:tc>
        <w:tc>
          <w:tcPr>
            <w:tcW w:w="88" w:type="dxa"/>
            <w:tcBorders/>
            <w:vAlign w:val="bottom"/>
          </w:tcPr>
          <w:p>
            <w:pPr>
              <w:pStyle w:val="TableContents"/>
              <w:bidi w:val="0"/>
              <w:spacing w:before="0" w:after="283"/>
              <w:jc w:val="left"/>
              <w:rPr/>
            </w:pPr>
            <w:r>
              <w:rPr/>
              <w:t> </w:t>
            </w:r>
          </w:p>
        </w:tc>
        <w:tc>
          <w:tcPr>
            <w:tcW w:w="8198" w:type="dxa"/>
            <w:tcBorders/>
            <w:vAlign w:val="bottom"/>
          </w:tcPr>
          <w:p>
            <w:pPr>
              <w:pStyle w:val="TableContents"/>
              <w:bidi w:val="0"/>
              <w:spacing w:before="0" w:after="283"/>
              <w:jc w:val="left"/>
              <w:rPr>
                <w:b/>
              </w:rPr>
            </w:pPr>
            <w:r>
              <w:rPr>
                <w:b/>
              </w:rPr>
              <w:t>WAIVER OF JURY TRIAL</w:t>
            </w:r>
          </w:p>
        </w:tc>
        <w:tc>
          <w:tcPr>
            <w:tcW w:w="1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ANNEX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01"/>
        <w:gridCol w:w="122"/>
        <w:gridCol w:w="8082"/>
      </w:tblGrid>
      <w:tr>
        <w:trPr/>
        <w:tc>
          <w:tcPr>
            <w:tcW w:w="200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082" w:type="dxa"/>
            <w:tcBorders/>
            <w:vAlign w:val="center"/>
          </w:tcPr>
          <w:p>
            <w:pPr>
              <w:pStyle w:val="TableContents"/>
              <w:bidi w:val="0"/>
              <w:spacing w:before="0" w:after="283"/>
              <w:jc w:val="left"/>
              <w:rPr>
                <w:sz w:val="4"/>
                <w:szCs w:val="4"/>
              </w:rPr>
            </w:pPr>
            <w:r>
              <w:rPr>
                <w:sz w:val="4"/>
                <w:szCs w:val="4"/>
              </w:rPr>
            </w:r>
          </w:p>
        </w:tc>
      </w:tr>
      <w:tr>
        <w:trPr/>
        <w:tc>
          <w:tcPr>
            <w:tcW w:w="2001" w:type="dxa"/>
            <w:tcBorders/>
          </w:tcPr>
          <w:p>
            <w:pPr>
              <w:pStyle w:val="TableContents"/>
              <w:bidi w:val="0"/>
              <w:spacing w:before="0" w:after="283"/>
              <w:jc w:val="left"/>
              <w:rPr/>
            </w:pPr>
            <w:r>
              <w:rPr/>
              <w:t>Annex I</w:t>
            </w:r>
          </w:p>
        </w:tc>
        <w:tc>
          <w:tcPr>
            <w:tcW w:w="122" w:type="dxa"/>
            <w:tcBorders/>
            <w:vAlign w:val="bottom"/>
          </w:tcPr>
          <w:p>
            <w:pPr>
              <w:pStyle w:val="TableContents"/>
              <w:bidi w:val="0"/>
              <w:spacing w:before="0" w:after="283"/>
              <w:jc w:val="left"/>
              <w:rPr/>
            </w:pPr>
            <w:r>
              <w:rPr/>
              <w:t>  </w:t>
            </w:r>
          </w:p>
        </w:tc>
        <w:tc>
          <w:tcPr>
            <w:tcW w:w="8082" w:type="dxa"/>
            <w:tcBorders/>
          </w:tcPr>
          <w:p>
            <w:pPr>
              <w:pStyle w:val="TableContents"/>
              <w:bidi w:val="0"/>
              <w:spacing w:before="0" w:after="283"/>
              <w:jc w:val="left"/>
              <w:rPr/>
            </w:pPr>
            <w:r>
              <w:rPr/>
              <w:t>Form of Joinder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SIXTH AMENDED AND RESTATED GUARANTEE AGREEMENT, dated as of March 28, 2024 (this </w:t>
      </w:r>
      <w:r>
        <w:rPr>
          <w:rFonts w:ascii="Times New Roman" w:hAnsi="Times New Roman"/>
          <w:sz w:val="20"/>
          <w:u w:val="single"/>
        </w:rPr>
        <w:t>Agreement</w:t>
      </w:r>
      <w:r>
        <w:rPr>
          <w:rFonts w:ascii="Times New Roman" w:hAnsi="Times New Roman"/>
          <w:sz w:val="20"/>
        </w:rPr>
        <w:t>), made by GENERAL MOTORS COMPANY, a Delaware corporation (the </w:t>
      </w:r>
      <w:r>
        <w:rPr>
          <w:rFonts w:ascii="Times New Roman" w:hAnsi="Times New Roman"/>
          <w:sz w:val="20"/>
          <w:u w:val="single"/>
        </w:rPr>
        <w:t>Company</w:t>
      </w:r>
      <w:r>
        <w:rPr>
          <w:rFonts w:ascii="Times New Roman" w:hAnsi="Times New Roman"/>
          <w:sz w:val="20"/>
        </w:rPr>
        <w:t xml:space="preserve">), and each of the Subsidiary Guarantors (such term and certain other capitalized terms used herein being defined in </w:t>
      </w:r>
      <w:r>
        <w:rPr>
          <w:rFonts w:ascii="Times New Roman" w:hAnsi="Times New Roman"/>
          <w:sz w:val="20"/>
          <w:u w:val="single"/>
        </w:rPr>
        <w:t>Section 1.1</w:t>
      </w:r>
      <w:r>
        <w:rPr>
          <w:rFonts w:ascii="Times New Roman" w:hAnsi="Times New Roman"/>
          <w:sz w:val="20"/>
        </w:rPr>
        <w:t>) from time to time party hereto, and each of the Other Guarantors from time to time party hereto (together with the Company and the Subsidiary Guarantors, collectively, the </w:t>
      </w:r>
      <w:r>
        <w:rPr>
          <w:rFonts w:ascii="Times New Roman" w:hAnsi="Times New Roman"/>
          <w:sz w:val="20"/>
          <w:u w:val="single"/>
        </w:rPr>
        <w:t>Guarantors</w:t>
      </w:r>
      <w:r>
        <w:rPr>
          <w:rFonts w:ascii="Times New Roman" w:hAnsi="Times New Roman"/>
          <w:sz w:val="20"/>
        </w:rPr>
        <w:t>), in favor of JPMORGAN CHASE BANK, N.A., as administrative agent (in such capacity, the </w:t>
      </w:r>
      <w:r>
        <w:rPr>
          <w:rFonts w:ascii="Times New Roman" w:hAnsi="Times New Roman"/>
          <w:sz w:val="20"/>
          <w:u w:val="single"/>
        </w:rPr>
        <w:t>Administrative Agent</w:t>
      </w:r>
      <w:r>
        <w:rPr>
          <w:rFonts w:ascii="Times New Roman" w:hAnsi="Times New Roman"/>
          <w:sz w:val="20"/>
        </w:rPr>
        <w:t>) for the lenders (collectively, the </w:t>
      </w:r>
      <w:r>
        <w:rPr>
          <w:rFonts w:ascii="Times New Roman" w:hAnsi="Times New Roman"/>
          <w:sz w:val="20"/>
          <w:u w:val="single"/>
        </w:rPr>
        <w:t>Lenders</w:t>
      </w:r>
      <w:r>
        <w:rPr>
          <w:rFonts w:ascii="Times New Roman" w:hAnsi="Times New Roman"/>
          <w:sz w:val="20"/>
        </w:rPr>
        <w:t>) from time to time party to the Sixth Amended and Restated 364-Day Revolving Credit Agreement, dated as of the date hereof (as amended, restated, amended and restated, renewed, supplemented or otherwise modified from time to time, the </w:t>
      </w:r>
      <w:r>
        <w:rPr>
          <w:rFonts w:ascii="Times New Roman" w:hAnsi="Times New Roman"/>
          <w:sz w:val="20"/>
          <w:u w:val="single"/>
        </w:rPr>
        <w:t>Credit Agreement</w:t>
      </w:r>
      <w:r>
        <w:rPr>
          <w:rFonts w:ascii="Times New Roman" w:hAnsi="Times New Roman"/>
          <w:sz w:val="20"/>
        </w:rPr>
        <w:t>), among the Company, General Motors Financial Company, Inc., a Texas Corporation, the other Subsidiary Borrowers from time to time parties thereto, the Lenders, the Administrative Agent, Citibank, N.A., as syndication agent (in such capacity, the </w:t>
      </w:r>
      <w:r>
        <w:rPr>
          <w:rFonts w:ascii="Times New Roman" w:hAnsi="Times New Roman"/>
          <w:sz w:val="20"/>
          <w:u w:val="single"/>
        </w:rPr>
        <w:t>Syndication Agent</w:t>
      </w:r>
      <w:r>
        <w:rPr>
          <w:rFonts w:ascii="Times New Roman" w:hAnsi="Times New Roman"/>
          <w:sz w:val="20"/>
        </w:rPr>
        <w:t>), Bank of America, N.A., as co-syndication agent (in such capacity, the </w:t>
      </w:r>
      <w:r>
        <w:rPr>
          <w:rFonts w:ascii="Times New Roman" w:hAnsi="Times New Roman"/>
          <w:sz w:val="20"/>
          <w:u w:val="single"/>
        </w:rPr>
        <w:t>Co-Syndication Agent</w:t>
      </w:r>
      <w:r>
        <w:rPr>
          <w:rFonts w:ascii="Times New Roman" w:hAnsi="Times New Roman"/>
          <w:sz w:val="20"/>
        </w:rPr>
        <w:t xml:space="preserve">), and the other agents named therein. </w:t>
      </w:r>
    </w:p>
    <w:p>
      <w:pPr>
        <w:pStyle w:val="TextBody"/>
        <w:bidi w:val="0"/>
        <w:spacing w:before="240" w:after="0"/>
        <w:jc w:val="center"/>
        <w:rPr>
          <w:rFonts w:ascii="Times New Roman" w:hAnsi="Times New Roman"/>
          <w:sz w:val="20"/>
        </w:rPr>
      </w:pPr>
      <w:r>
        <w:rPr>
          <w:rFonts w:ascii="Times New Roman" w:hAnsi="Times New Roman"/>
          <w:sz w:val="20"/>
          <w:u w:val="single"/>
        </w:rPr>
        <w:t>W</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Credit Agreement, the Lenders have severally agreed to make extensions of credit to or for the account of the Company and the Subsidiary Borrowers upon the terms and subject to the conditions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the Company and the Subsidiary Borrowers is a member of an affiliated group of companies that includes each other Guarantor; </w:t>
      </w:r>
    </w:p>
    <w:p>
      <w:pPr>
        <w:pStyle w:val="TextBody"/>
        <w:bidi w:val="0"/>
        <w:spacing w:before="240" w:after="0"/>
        <w:jc w:val="left"/>
        <w:rPr>
          <w:rFonts w:ascii="Times New Roman" w:hAnsi="Times New Roman"/>
          <w:sz w:val="20"/>
        </w:rPr>
      </w:pPr>
      <w:r>
        <w:rPr>
          <w:rFonts w:ascii="Times New Roman" w:hAnsi="Times New Roman"/>
          <w:sz w:val="20"/>
        </w:rPr>
        <w:t xml:space="preserve">WHEREAS, each Guarantor will derive substantial direct and indirect benefit from the making of the extensions of credit made by the Lenders to or for the account of the Company or any Subsidiary Borrower, as applicable, under the Credit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it is a condition precedent to the obligation of the Lenders to make their respective extensions of credit to or for the account of the Company or any Subsidiary Borrower, as applicable, under the Credit Agreement that each Guarantor shall have executed and delivered this Agreement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to induce the Administrative Agent and the Lenders to enter into the Credit Agreement and to induce the Lenders to make their respective extensions of credit to or for the account of the Company or any Subsidiary Borrower, as applicable, under the Credit Agreement, each Guarantor hereby agrees with the Administrative Agent, for the benefit of the Guaranteed Parties, as follows: </w:t>
      </w:r>
    </w:p>
    <w:p>
      <w:pPr>
        <w:pStyle w:val="TextBody"/>
        <w:bidi w:val="0"/>
        <w:spacing w:before="240" w:after="0"/>
        <w:jc w:val="center"/>
        <w:rPr>
          <w:rFonts w:ascii="Times New Roman" w:hAnsi="Times New Roman"/>
          <w:sz w:val="20"/>
        </w:rPr>
      </w:pPr>
      <w:r>
        <w:rPr>
          <w:rFonts w:ascii="Times New Roman" w:hAnsi="Times New Roman"/>
          <w:sz w:val="20"/>
        </w:rPr>
        <w:t xml:space="preserve">SECTION 1. DEFINED TERMS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defined herein, terms defined in the Credit Agreement and used herein shall have the meanings assigned to such terms in the Credit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following terms shall have the following meanings: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Administrative Agent</w:t>
      </w:r>
      <w:r>
        <w:rPr>
          <w:rFonts w:ascii="Times New Roman" w:hAnsi="Times New Roman"/>
          <w:sz w:val="20"/>
        </w:rPr>
        <w:t xml:space="preserve"> has the meaning assigned to such term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Agreement</w:t>
      </w:r>
      <w:r>
        <w:rPr>
          <w:rFonts w:ascii="Times New Roman" w:hAnsi="Times New Roman"/>
          <w:sz w:val="20"/>
        </w:rPr>
        <w:t xml:space="preserve"> has the meaning assigned to such term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w:t>
      </w:r>
      <w:r>
        <w:rPr>
          <w:rFonts w:ascii="Times New Roman" w:hAnsi="Times New Roman"/>
          <w:sz w:val="20"/>
        </w:rPr>
        <w:t xml:space="preserve"> has the meaning assigned to such term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Credit Agreement</w:t>
      </w:r>
      <w:r>
        <w:rPr>
          <w:rFonts w:ascii="Times New Roman" w:hAnsi="Times New Roman"/>
          <w:sz w:val="20"/>
        </w:rPr>
        <w:t xml:space="preserve"> has the meaning assigned to such term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Guaranteed Obligations</w:t>
      </w:r>
      <w:r>
        <w:rPr>
          <w:rFonts w:ascii="Times New Roman" w:hAnsi="Times New Roman"/>
          <w:sz w:val="20"/>
        </w:rPr>
        <w:t xml:space="preserve"> means, collectively, the unpaid principal of and interest on the Loans and all other obligations and liabilities of the Company and the Subsidiary Borrowers (including interest on such other obligations or liabilities accruing at the then applicable rate provided in the Credit Agreement after the maturity of the Loans and interest accruing on the Loans and such other obligations and liabilities at the then applicable rate provided in the Credit Agreement after the filing of any petition in bankruptcy, or the commencement of any insolvency, reorganization or like proceeding, relating to the Company or any Subsidiary Borrower, whether or not a claim for post-filing or post-petition interest is allowed in such proceeding) to the Administrative Agent or any Lender thereunder, whether direct or indirect, absolute or contingent, due or to become due, or now existing or hereafter incurred, which may arise under, out of, or in connection with the Loan Documents to which the Company or any Subsidiary Borrower is a party, in each case whether on account of principal, interest, reimbursement obligations, fees, prepayment premiums, indemnities, costs, expenses or otherwise (including all reasonable fees and out-of-pocket disbursements of external counsel to the Administrative Agent or the Lenders that are required to be paid by the Company or any Subsidiary Borrower pursuant to the terms of any of the Loan Documents).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Guaranteed Parties</w:t>
      </w:r>
      <w:r>
        <w:rPr>
          <w:rFonts w:ascii="Times New Roman" w:hAnsi="Times New Roman"/>
          <w:sz w:val="20"/>
        </w:rPr>
        <w:t xml:space="preserve"> means, collectively, the Administrative Agent, the Lenders, and each other Person that holds a Guaranteed Obligation.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Guarantors</w:t>
      </w:r>
      <w:r>
        <w:rPr>
          <w:rFonts w:ascii="Times New Roman" w:hAnsi="Times New Roman"/>
          <w:sz w:val="20"/>
        </w:rPr>
        <w:t xml:space="preserve"> has the meaning assigned to such term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Joinder Agreement</w:t>
      </w:r>
      <w:r>
        <w:rPr>
          <w:rFonts w:ascii="Times New Roman" w:hAnsi="Times New Roman"/>
          <w:sz w:val="20"/>
        </w:rPr>
        <w:t xml:space="preserve"> has the meaning assigned to such term in </w:t>
      </w:r>
      <w:r>
        <w:rPr>
          <w:rFonts w:ascii="Times New Roman" w:hAnsi="Times New Roman"/>
          <w:sz w:val="20"/>
          <w:u w:val="single"/>
        </w:rPr>
        <w:t>Section 3.14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Lenders</w:t>
      </w:r>
      <w:r>
        <w:rPr>
          <w:rFonts w:ascii="Times New Roman" w:hAnsi="Times New Roman"/>
          <w:sz w:val="20"/>
        </w:rPr>
        <w:t xml:space="preserve"> has the meaning assigned to such term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Other Guarantors</w:t>
      </w:r>
      <w:r>
        <w:rPr>
          <w:rFonts w:ascii="Times New Roman" w:hAnsi="Times New Roman"/>
          <w:sz w:val="20"/>
        </w:rPr>
        <w:t xml:space="preserve"> means each Person, other than the Company, a Subsidiary Guarantor or the Administrative Agent, that becomes a party to this Agreement pursuant to a Joinder Agreement executed and delivered by such Person pursuant to </w:t>
      </w:r>
      <w:r>
        <w:rPr>
          <w:rFonts w:ascii="Times New Roman" w:hAnsi="Times New Roman"/>
          <w:sz w:val="20"/>
          <w:u w:val="single"/>
        </w:rPr>
        <w:t>Section 3.14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paid in full</w:t>
      </w:r>
      <w:r>
        <w:rPr>
          <w:rFonts w:ascii="Times New Roman" w:hAnsi="Times New Roman"/>
          <w:sz w:val="20"/>
        </w:rPr>
        <w:t> or </w:t>
      </w:r>
      <w:r>
        <w:rPr>
          <w:rFonts w:ascii="Times New Roman" w:hAnsi="Times New Roman"/>
          <w:sz w:val="20"/>
          <w:u w:val="single"/>
        </w:rPr>
        <w:t>payment in full</w:t>
      </w:r>
      <w:r>
        <w:rPr>
          <w:rFonts w:ascii="Times New Roman" w:hAnsi="Times New Roman"/>
          <w:sz w:val="20"/>
        </w:rPr>
        <w:t xml:space="preserve"> means with respect to the Guaranteed Obligations, the payment in full in cash of the principal of and accrued (but unpaid) interest (including post-petition interest) and premium, if any, on, all such Guaranteed Obligations after or concurrently with termination of all commitments thereunder and payment in full in cash of all fees payable with respect to a Guaranteed Obligation at or prior to the time such principal and interest are paid.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 Guarantor</w:t>
      </w:r>
      <w:r>
        <w:rPr>
          <w:rFonts w:ascii="Times New Roman" w:hAnsi="Times New Roman"/>
          <w:sz w:val="20"/>
        </w:rPr>
        <w:t xml:space="preserve"> means each Principal Domestic Subsidiary that became a party to this Agreement pursuant to Section 6.6(a) or 10.1(b) of the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Other Definitional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words hereof, herein, hereto and hereunder and words of similar import when used in this Agreement shall refer to this Agreement as a whole and not to any particular provision of this Agreement, and Section references are to this Agreement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(b) The meanings given to terms defined herein shall be equally applicable to both the singular and plural forms of such terms. </w:t>
      </w:r>
    </w:p>
    <w:p>
      <w:pPr>
        <w:pStyle w:val="TextBody"/>
        <w:bidi w:val="0"/>
        <w:spacing w:before="240" w:after="0"/>
        <w:jc w:val="left"/>
        <w:rPr>
          <w:rFonts w:ascii="Times New Roman" w:hAnsi="Times New Roman"/>
          <w:sz w:val="20"/>
        </w:rPr>
      </w:pPr>
      <w:r>
        <w:rPr>
          <w:rFonts w:ascii="Times New Roman" w:hAnsi="Times New Roman"/>
          <w:sz w:val="20"/>
        </w:rPr>
        <w:t xml:space="preserve">(c) References to agreements defined in </w:t>
      </w:r>
      <w:r>
        <w:rPr>
          <w:rFonts w:ascii="Times New Roman" w:hAnsi="Times New Roman"/>
          <w:sz w:val="20"/>
          <w:u w:val="single"/>
        </w:rPr>
        <w:t>Section 1.1(b)</w:t>
      </w:r>
      <w:r>
        <w:rPr>
          <w:rFonts w:ascii="Times New Roman" w:hAnsi="Times New Roman"/>
          <w:sz w:val="20"/>
        </w:rPr>
        <w:t xml:space="preserve"> shall, unless otherwise specified, be deemed to refer to such agreements as amended, supplemented, restated or otherwise modified from time to time, references to any Person shall include its successors and permitted assigns, and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w:t>
      </w:r>
    </w:p>
    <w:p>
      <w:pPr>
        <w:pStyle w:val="TextBody"/>
        <w:bidi w:val="0"/>
        <w:spacing w:before="240" w:after="0"/>
        <w:jc w:val="center"/>
        <w:rPr>
          <w:rFonts w:ascii="Times New Roman" w:hAnsi="Times New Roman"/>
          <w:sz w:val="20"/>
        </w:rPr>
      </w:pPr>
      <w:r>
        <w:rPr>
          <w:rFonts w:ascii="Times New Roman" w:hAnsi="Times New Roman"/>
          <w:sz w:val="20"/>
        </w:rPr>
        <w:t xml:space="preserve">SECTION 2. Guarantee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Guarantee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Guarantors hereby, jointly and severally, unconditionally and irrevocably, guarantees, as primary obligor and not merely as surety, to the Administrative Agent, for the ratable benefit of the Guaranteed Parties, the prompt and complete payment, and not collection, and performance by the Company and each Subsidiary Borrower, as applicable, when due (whether at the stated maturity, by acceleration or otherwise) and at all times thereafter, of all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(b) Anything herein or in any other Loan Document to the contrary notwithstanding, the maximum liability of each Guarantor hereunder shall in no event exceed the amount which can be guaranteed by such Guarantor under applicable federal and state laws relating to the insolvency of debtors (after giving effect to the right of contribution established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Each Guarantor agrees that the Guaranteed Obligations may at any time and from time to time exceed the amount of the liability of such Guarantor hereunder without impairing the guarantee contained in this </w:t>
      </w:r>
      <w:r>
        <w:rPr>
          <w:rFonts w:ascii="Times New Roman" w:hAnsi="Times New Roman"/>
          <w:sz w:val="20"/>
          <w:u w:val="single"/>
        </w:rPr>
        <w:t>Section 2</w:t>
      </w:r>
      <w:r>
        <w:rPr>
          <w:rFonts w:ascii="Times New Roman" w:hAnsi="Times New Roman"/>
          <w:sz w:val="20"/>
        </w:rPr>
        <w:t xml:space="preserve"> or affecting the rights and remedies of the Guaranteed Parties hereunder. </w:t>
      </w:r>
    </w:p>
    <w:p>
      <w:pPr>
        <w:pStyle w:val="TextBody"/>
        <w:bidi w:val="0"/>
        <w:spacing w:before="240" w:after="0"/>
        <w:jc w:val="left"/>
        <w:rPr>
          <w:rFonts w:ascii="Times New Roman" w:hAnsi="Times New Roman"/>
          <w:sz w:val="20"/>
        </w:rPr>
      </w:pPr>
      <w:r>
        <w:rPr>
          <w:rFonts w:ascii="Times New Roman" w:hAnsi="Times New Roman"/>
          <w:sz w:val="20"/>
        </w:rPr>
        <w:t xml:space="preserve">(d) The guarantee contained in this </w:t>
      </w:r>
      <w:r>
        <w:rPr>
          <w:rFonts w:ascii="Times New Roman" w:hAnsi="Times New Roman"/>
          <w:sz w:val="20"/>
          <w:u w:val="single"/>
        </w:rPr>
        <w:t>Section 2</w:t>
      </w:r>
      <w:r>
        <w:rPr>
          <w:rFonts w:ascii="Times New Roman" w:hAnsi="Times New Roman"/>
          <w:sz w:val="20"/>
        </w:rPr>
        <w:t xml:space="preserve"> shall remain in full force and effect until all the Guaranteed Obligations shall have been paid in full, notwithstanding that from time to time during the term of the Credit Agreement, the Company and/or one or more of the Subsidiary Borrowers may be free from any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(e) No payment made by the Company, any Subsidiary Borrower, any of the Guarantors, any other guarantor or any other Person or received or collected by any Guaranteed Party from the Company, any Subsidiary Borrower,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Guaranteed Obligations are paid in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Right of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Times New Roman" w:hAnsi="Times New Roman"/>
          <w:sz w:val="20"/>
          <w:u w:val="single"/>
        </w:rPr>
        <w:t>Section 2.3</w:t>
      </w:r>
      <w:r>
        <w:rPr>
          <w:rFonts w:ascii="Times New Roman" w:hAnsi="Times New Roman"/>
          <w:sz w:val="20"/>
        </w:rPr>
        <w:t xml:space="preserve">. The provisions of this </w:t>
      </w:r>
      <w:r>
        <w:rPr>
          <w:rFonts w:ascii="Times New Roman" w:hAnsi="Times New Roman"/>
          <w:sz w:val="20"/>
          <w:u w:val="single"/>
        </w:rPr>
        <w:t>Section 2.2</w:t>
      </w:r>
      <w:r>
        <w:rPr>
          <w:rFonts w:ascii="Times New Roman" w:hAnsi="Times New Roman"/>
          <w:sz w:val="20"/>
        </w:rPr>
        <w:t xml:space="preserve"> shall in no respect limit the obligations and liabilities of any Guarantor to any Guaranteed Party and each Guarantor shall remain liable to such Guaranteed Party for the full amount guaranteed by such Guarantor hereunder.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No Subrogation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payment made by any Guarantor hereunder or any set-off or application of funds of any Guarantor by any Guaranteed Party, no Guarantor shall be entitled to be subrogated to any of the rights of any Guaranteed Party against the Company, any of the Subsidiary Borrowers or any other Guarantor or any collateral security or guarantee or right of offset held by the Administrative Agent or any other Guaranteed Party for the payment of the Guaranteed Obligations, nor shall any Guarantor seek or be entitled to seek any contribution or reimbursement from the Company, any Subsidiary Borrower or any other Guarantor in respect of payments made by such Guarantor hereunder, until all amounts owing to the Guaranteed Parties by the Company and the Subsidiary Borrowers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Guaranteed Parties, and shall, forthwith upon receipt by such Guarantor, be turned over to the Administrative Agent in the form received by such Guarantor (duly indorsed by such Guarantor to the Administrative Agent, if required), to be applied against the Guaranteed Obligations, whether matured or unmatured, in such order as such Guarantor (or, if an Event of Default shall have occurred and be continuing, the Administrative Agent) may determine.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Amendments, etc. with respect to the Guaranteed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Other than as expressly contemplated by Section 3.15 hereof, each Guarantor shall remain obligated hereunder notwithstanding that, without any reservation of rights against any Guarantor and without notice to or further assent by any Guarantor, any demand for payment of any of the Guaranteed Obligations made by any Guaranteed Party may be rescinded by such Guaranteed Party and any of the Guaranteed Obligations continued, and the Guaranteed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any Guaranteed Party, and the Credit Agreement, the other Loan Documents and any other documents executed and delivered in connection therewith may be amended, modified, supplemented or terminated, in whole or in part, as the Administrative Agent (or the Required Lenders, all affected Lenders, or all Lenders, as the case may be) may deem advisable from time to time, and any collateral security, guarantee or right of offset at any time held by any Guaranteed Party for the payment of the Guaranteed Obligations may be sold, exchanged, waived, surrendered or released. No Guaranteed Party shall have any obligation to protect, secure, perfect or insure any Lien at any time held by it as security for the Guaranteed Obligations or for the guarantee contained in this Section 2 or any property subject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Guarantee Absolute and Unconditional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permitted by applicable law, each Guarantor waives any and all notice of the creation, renewal, extension or accrual of any of the Guaranteed Obligations and notice of or proof of reliance by any Guaranteed Party upon the guarantee contained herein or acceptance of the guarantee contained herein; the Guaranteed Obligations, and any of them, shall conclusively be deemed to have been created, contracted or incurred, or renewed, extended, amended or waived, in reliance upon the guarantee contained herein; and all dealings between the Company, any of the Subsidiary Borrowers and any of the Guarantors, on the one hand, and the Guaranteed Parties, on the other hand, likewise shall be conclusively presumed to have been had or consummated in reliance upon the guarantee contained herein. To the extent permitted by applicable law, each Guarantor waives diligence, presentment, protest, demand for payment and notice of default or nonpayment to or upon the Company, any of the Subsidiary Borrowers or any of the Guarantors with respect to the Guaranteed Obligations. Each Guarantor understands and agrees that the guarantee contained herein shall be construed as a continuing, absolute and unconditional guarantee of payment without regard to (a) the validity or enforceability of the Credit Agreement or any other Loan Document, any of the Guaranteed Obligations or any other collateral security therefor or guarantee or right of offset with respect thereto at any time or from time to time held by any Guaranteed Party, (b) any defense, set-off or counterclaim (other than a defense of payment or performance) which may at any time be available to or be asserted by the Company, any Subsidiary Borrower or any other Person against any Guaranteed Party, (c) any law or regulation of any jurisdiction or any other event affecting any term of the Guaranteed Obligations or (d) any other circumstance whatsoever (with or without notice to or knowledge of the Company, any Subsidiary Borrower or such Guarantor) which constitutes, or might be construed to constitute, an equitable or legal discharge or defense of a surety or guarantor or any other obligor on any obligation of the Company or any Subsidiary Borrower for any of the Guaranteed Obligations, or of such Guarantor under the guarantee contained herein, in bankruptcy or in any other instance. Notwithstanding anything herein to the contrary, (x) the Company understands and agrees that this Agreement shall remain in full force and effect as to the Companys obligations hereunder, notwithstanding the release of any Subsidiary Guarantor pursuant to Section 3.15(b), but subject to any release of such obligations hereunder to the extent provided in, and pursuant to the terms of, Section 3.15(a) and (y) each of the other Guarantors shall be released from its obligations hereunder to the extent provided in, and pursuant to the terms of, Section 3.15. When making any demand hereunder or otherwise pursuing its rights and remedies hereunder against any Guarantor, any Guaranteed Party may, but shall be under no obligation to, make a similar demand on or otherwise pursue such rights and remedies as it may have against the Company, any Subsidiary Borrower, any other Guarantor or any other Person or against any collateral security or guarantee for the Guaranteed Obligations or any right of offset with respect thereto, and any failure by any Guaranteed Party to make any such demand, to pursue such other rights or remedies or to collect any payments from the Company, any Subsidiary Borrower, any other Guarantor or any other Person or to realize upon any such collateral security or guarantee or to exercise any such right of offset, or any release of the Company, any Subsidiary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Reinstatement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guarantee contained herein shall continue to be effective, or be reinstated, as the case may be, if at any time payment, or any part thereof, of any of the Guaranteed Obligations is rescinded or must otherwise be restored or returned by any Guaranteed Party upon the insolvency, bankruptcy, dissolution, liquidation or reorganization of the Company, any Subsidiary Borrower or any Guarantor, or upon or as a result of the appointment of a receiver, intervenor or conservator of, or trustee or similar officer for, the Company, any Subsidiary Borrower or any Guarantor or any substantial part of its property, or otherwise, all as though such payments had not been made.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Guarantor hereby guarantees that payments hereunder will be paid to the Administrative Agent without set-off or counterclaim in Dollars at the Funding Office. All payments made hereunder shall be made in accordance with Sections 1.3 and 2.21 of the 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SECTION 3. MISCELLANEOUS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Authority of 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Guarantor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among the Guaranteed Parties, be governed by the Credit Agreement and by such other agreements with respect thereto as may exist from time to time among them, but, as between the Administrative Agent and the Guarantors the Administrative Agent shall be conclusively presumed to be acting as agent for the Lenders with full and valid authority so to act or refrain from acting, and no Guarantor shall be under any obligation, or entitlement, to make any inquiry respecting such authority. No Guaranteed Party other than the Administrative Agent may exercise any right or remedy hereunder, it being understood that all of such rights and remedies are vested in, and are exercisable solely by, the Administrative Agent for the benefit of the Guaranteed Parties.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Amendments in Writing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None of the terms or provisions of this Agreement may be waived, amended, supplemented or otherwise modified except in accordance with </w:t>
      </w:r>
      <w:r>
        <w:rPr>
          <w:rFonts w:ascii="Times New Roman" w:hAnsi="Times New Roman"/>
          <w:sz w:val="20"/>
          <w:u w:val="single"/>
        </w:rPr>
        <w:t>Section 10.1</w:t>
      </w:r>
      <w:r>
        <w:rPr>
          <w:rFonts w:ascii="Times New Roman" w:hAnsi="Times New Roman"/>
          <w:sz w:val="20"/>
        </w:rPr>
        <w:t xml:space="preserve"> of the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notices, requests and demands to or upon the Administrative Agent or any Guarantor hereunder shall be effected in the manner provided for in </w:t>
      </w:r>
      <w:r>
        <w:rPr>
          <w:rFonts w:ascii="Times New Roman" w:hAnsi="Times New Roman"/>
          <w:sz w:val="20"/>
          <w:u w:val="single"/>
        </w:rPr>
        <w:t>Section 10.2</w:t>
      </w:r>
      <w:r>
        <w:rPr>
          <w:rFonts w:ascii="Times New Roman" w:hAnsi="Times New Roman"/>
          <w:sz w:val="20"/>
        </w:rPr>
        <w:t xml:space="preserve"> of the Credit Agreement; provided, that any such notice, request or demand to or upon any Guarantor shall be addressed to the Company at the addresses provided in </w:t>
      </w:r>
      <w:r>
        <w:rPr>
          <w:rFonts w:ascii="Times New Roman" w:hAnsi="Times New Roman"/>
          <w:sz w:val="20"/>
          <w:u w:val="single"/>
        </w:rPr>
        <w:t>Section 10.2</w:t>
      </w:r>
      <w:r>
        <w:rPr>
          <w:rFonts w:ascii="Times New Roman" w:hAnsi="Times New Roman"/>
          <w:sz w:val="20"/>
        </w:rPr>
        <w:t xml:space="preserve"> of the Credit Agreement (or such other address as the Company may at any time or from time to time provide for purposes of the Credit Agreement and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No Waiver by Course of Conduct; Cumulative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Guaranteed Party shall by any act (except by a written instrument pursuant to </w:t>
      </w:r>
      <w:r>
        <w:rPr>
          <w:rFonts w:ascii="Times New Roman" w:hAnsi="Times New Roman"/>
          <w:sz w:val="20"/>
          <w:u w:val="single"/>
        </w:rPr>
        <w:t>Section 3.2</w:t>
      </w:r>
      <w:r>
        <w:rPr>
          <w:rFonts w:ascii="Times New Roman" w:hAnsi="Times New Roman"/>
          <w:sz w:val="20"/>
        </w:rPr>
        <w:t xml:space="preserve">), delay, indulgence, omission or otherwise be deemed to have waived any right or remedy hereunder or to have acquiesced in any Default or Event of Default. No failure to exercise, nor any delay in exercising, on the part of any Guaranteed Party, any right, power or privilege hereunder shall operate as a waiver thereof. No single or partial exercise of any right, power or privilege hereunder shall preclude any other or further exercise thereof or the exercise of any other right, power or privilege. A waiver by any Guaranteed Party of any right or remedy hereunder on any one occasion shall not be construed as a bar to any right or remedy which such Guaranteed Party would otherwise have on any future occasion. The rights and remedies herein provided are cumulative, may be exercised singly or concurrently and are not exclusive of any other rights or remedies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Enforcement Expenses;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intending to duplicate the obligations of the Guarantors under </w:t>
      </w:r>
      <w:r>
        <w:rPr>
          <w:rFonts w:ascii="Times New Roman" w:hAnsi="Times New Roman"/>
          <w:sz w:val="20"/>
          <w:u w:val="single"/>
        </w:rPr>
        <w:t>Section 2.1</w:t>
      </w:r>
      <w:r>
        <w:rPr>
          <w:rFonts w:ascii="Times New Roman" w:hAnsi="Times New Roman"/>
          <w:sz w:val="20"/>
        </w:rPr>
        <w:t xml:space="preserve">, if and to the extent that the Company is required to pay or reimburse the Guaranteed Parties (or any of them), for various costs and expenses contemplated by </w:t>
      </w:r>
      <w:r>
        <w:rPr>
          <w:rFonts w:ascii="Times New Roman" w:hAnsi="Times New Roman"/>
          <w:sz w:val="20"/>
          <w:u w:val="single"/>
        </w:rPr>
        <w:t>Section 10.5</w:t>
      </w:r>
      <w:r>
        <w:rPr>
          <w:rFonts w:ascii="Times New Roman" w:hAnsi="Times New Roman"/>
          <w:sz w:val="20"/>
        </w:rPr>
        <w:t xml:space="preserve"> of the Credit Agreement, or to indemnify the Indemnitees (or any of them) for the Indemnified Liabilities, in each case as and to the extent (and in the manner) contemplated by </w:t>
      </w:r>
      <w:r>
        <w:rPr>
          <w:rFonts w:ascii="Times New Roman" w:hAnsi="Times New Roman"/>
          <w:sz w:val="20"/>
          <w:u w:val="single"/>
        </w:rPr>
        <w:t>Section 10.5</w:t>
      </w:r>
      <w:r>
        <w:rPr>
          <w:rFonts w:ascii="Times New Roman" w:hAnsi="Times New Roman"/>
          <w:sz w:val="20"/>
        </w:rPr>
        <w:t xml:space="preserve"> of the Credit Agreement, each Guarantor, jointly and severally, hereby agrees to make such payments or reimbursements and to provide such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(b) The agreements of each Guarantor in this </w:t>
      </w:r>
      <w:r>
        <w:rPr>
          <w:rFonts w:ascii="Times New Roman" w:hAnsi="Times New Roman"/>
          <w:sz w:val="20"/>
          <w:u w:val="single"/>
        </w:rPr>
        <w:t>Section 3.5</w:t>
      </w:r>
      <w:r>
        <w:rPr>
          <w:rFonts w:ascii="Times New Roman" w:hAnsi="Times New Roman"/>
          <w:sz w:val="20"/>
        </w:rPr>
        <w:t xml:space="preserve"> shall survive repayment of the Guaranteed Obligations and all other amounts payable under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Successors and Assigns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be binding upon the parties hereto and their respective successors and assigns and shall inure to the benefit of the Guaranteed Parties and their permitted successors and assigns; provided, that no Guarantor may assign, transfer or delegate any of its rights or obligations under this Agreement other than (i) to the extent expressly permitted by the Credit Agreement or (ii) with the prior written consent of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Counterparts; Electronic Signature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The words execution, signed, signature, delivery, and words of like import in or relating to this Agreement and/or any document to be signed in connection with this Agreement shall be deemed to include an electronic symbol or process attached to a contract or other record and adopted by a Person with the intent to sign, authenticate or accept such contract or record (each an </w:t>
      </w:r>
      <w:r>
        <w:rPr>
          <w:rFonts w:ascii="Times New Roman" w:hAnsi="Times New Roman"/>
          <w:sz w:val="20"/>
          <w:u w:val="single"/>
        </w:rPr>
        <w:t>Electronic Signature</w:t>
      </w:r>
      <w:r>
        <w:rPr>
          <w:rFonts w:ascii="Times New Roman" w:hAnsi="Times New Roman"/>
          <w:sz w:val="20"/>
        </w:rPr>
        <w:t xml:space="preserve">, deliveries or the keeping of records in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The provisions of Section 10.8 of the Credit Agreement are hereby incorporated herein,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Severability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Section Headings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Section headings used in this Agreement are for convenience of reference only and are not to affect the construction hereof or be taken into consideration in the interpretation hereof.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Integration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and the other Loan Documents represent the entire agreement of the Guarantors and the Guaranteed Parties with respect to the subject matter hereof and thereof, and there are no promises, undertakings, representations or warranties by any Guarantor or any Guaranteed Party relative to subject matter hereof and thereof not expressly set forth or referred to herein or in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b/>
          <w:sz w:val="20"/>
          <w:u w:val="single"/>
        </w:rPr>
        <w:t>GOVERNING LAW</w:t>
      </w:r>
      <w:r>
        <w:rPr>
          <w:rFonts w:ascii="Times New Roman" w:hAnsi="Times New Roman"/>
          <w:b/>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THIS AGREEMENT AND THE RIGHTS AND OBLIGATIONS OF THE PARTIES UNDER THIS AGREEMENT SHALL BE GOVERNED BY, AND CONSTRUED AND INTERPRETED IN ACCORDANCE WITH, THE LAW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Submission To Jurisdiction; Waivers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Guarantor hereby irrevocably and unconditionally: </w:t>
      </w:r>
    </w:p>
    <w:p>
      <w:pPr>
        <w:pStyle w:val="TextBody"/>
        <w:bidi w:val="0"/>
        <w:spacing w:before="240" w:after="0"/>
        <w:jc w:val="left"/>
        <w:rPr>
          <w:rFonts w:ascii="Times New Roman" w:hAnsi="Times New Roman"/>
          <w:sz w:val="20"/>
        </w:rPr>
      </w:pPr>
      <w:r>
        <w:rPr>
          <w:rFonts w:ascii="Times New Roman" w:hAnsi="Times New Roman"/>
          <w:sz w:val="20"/>
        </w:rPr>
        <w:t xml:space="preserve">(a) 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of America for the Southern District of New York located in the Borough of Manhattan, and appellate courts from any thereof; </w:t>
      </w:r>
    </w:p>
    <w:p>
      <w:pPr>
        <w:pStyle w:val="TextBody"/>
        <w:bidi w:val="0"/>
        <w:spacing w:before="240" w:after="0"/>
        <w:jc w:val="left"/>
        <w:rPr>
          <w:rFonts w:ascii="Times New Roman" w:hAnsi="Times New Roman"/>
          <w:sz w:val="20"/>
        </w:rPr>
      </w:pPr>
      <w:r>
        <w:rPr>
          <w:rFonts w:ascii="Times New Roman" w:hAnsi="Times New Roman"/>
          <w:sz w:val="20"/>
        </w:rPr>
        <w:t xml:space="preserve">(b)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w:t>
      </w:r>
    </w:p>
    <w:p>
      <w:pPr>
        <w:pStyle w:val="TextBody"/>
        <w:bidi w:val="0"/>
        <w:spacing w:before="240" w:after="0"/>
        <w:jc w:val="left"/>
        <w:rPr>
          <w:rFonts w:ascii="Times New Roman" w:hAnsi="Times New Roman"/>
          <w:sz w:val="20"/>
        </w:rPr>
      </w:pPr>
      <w:r>
        <w:rPr>
          <w:rFonts w:ascii="Times New Roman" w:hAnsi="Times New Roman"/>
          <w:sz w:val="20"/>
        </w:rPr>
        <w:t xml:space="preserve">(c) agrees that service of process in any such action or proceeding may be effected by mailing a copy thereof by registered or certified mail (or any substantially similar form of mail), postage prepaid, to such Guarantor at its address referred to in </w:t>
      </w:r>
      <w:r>
        <w:rPr>
          <w:rFonts w:ascii="Times New Roman" w:hAnsi="Times New Roman"/>
          <w:sz w:val="20"/>
          <w:u w:val="single"/>
        </w:rPr>
        <w:t>Section 3.3</w:t>
      </w:r>
      <w:r>
        <w:rPr>
          <w:rFonts w:ascii="Times New Roman" w:hAnsi="Times New Roman"/>
          <w:sz w:val="20"/>
        </w:rPr>
        <w:t xml:space="preserve"> or at such other address of which the Administrative Agent shall have been notified pursuant thereto; </w:t>
      </w:r>
    </w:p>
    <w:p>
      <w:pPr>
        <w:pStyle w:val="TextBody"/>
        <w:bidi w:val="0"/>
        <w:spacing w:before="240" w:after="0"/>
        <w:jc w:val="left"/>
        <w:rPr>
          <w:rFonts w:ascii="Times New Roman" w:hAnsi="Times New Roman"/>
          <w:sz w:val="20"/>
        </w:rPr>
      </w:pPr>
      <w:r>
        <w:rPr>
          <w:rFonts w:ascii="Times New Roman" w:hAnsi="Times New Roman"/>
          <w:sz w:val="20"/>
        </w:rPr>
        <w:t xml:space="preserve">(d) in the case of each Guarantor other than the Company, hereby irrevocably designates the Company (and the Company hereby irrevocably accepts such designation) as its agent to receive service of process in any such action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(e) agrees that nothing herein shall affect the right to effect service of process in any other manner permitted by law or shall limit the right to sue in any other jurisdiction; and </w:t>
      </w:r>
    </w:p>
    <w:p>
      <w:pPr>
        <w:pStyle w:val="TextBody"/>
        <w:bidi w:val="0"/>
        <w:spacing w:before="240" w:after="0"/>
        <w:jc w:val="left"/>
        <w:rPr>
          <w:rFonts w:ascii="Times New Roman" w:hAnsi="Times New Roman"/>
          <w:sz w:val="20"/>
        </w:rPr>
      </w:pPr>
      <w:r>
        <w:rPr>
          <w:rFonts w:ascii="Times New Roman" w:hAnsi="Times New Roman"/>
          <w:sz w:val="20"/>
        </w:rPr>
        <w:t xml:space="preserve">(f) waives, to the maximum extent not prohibited by law, any right it may have to claim or recover in any legal action or proceeding referred to in this Section any special, exemplary, punitive or consequential damages.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Judgment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agree that Section 10.13 of the Credit Agreement shall apply to the obligations of the Guarantors hereunder,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Additional Guarantors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Subsidiary of the Company that is required to become a party to this Agreement pursuant to </w:t>
      </w:r>
      <w:r>
        <w:rPr>
          <w:rFonts w:ascii="Times New Roman" w:hAnsi="Times New Roman"/>
          <w:sz w:val="20"/>
          <w:u w:val="single"/>
        </w:rPr>
        <w:t>Section 6.6</w:t>
      </w:r>
      <w:r>
        <w:rPr>
          <w:rFonts w:ascii="Times New Roman" w:hAnsi="Times New Roman"/>
          <w:sz w:val="20"/>
        </w:rPr>
        <w:t xml:space="preserve"> of the Credit Agreement, and each other Person (whether or not a Subsidiary of the Company) that the Company desires to become a party to this Agreement pursuant to Section 10.1(b) of the Credit Agreement or otherwise, shall become a Guarantor for all purposes of this Agreement upon execution and delivery by such Subsidiary or other Person of a Joinder Agreement in the form of </w:t>
      </w:r>
      <w:r>
        <w:rPr>
          <w:rFonts w:ascii="Times New Roman" w:hAnsi="Times New Roman"/>
          <w:sz w:val="20"/>
          <w:u w:val="single"/>
        </w:rPr>
        <w:t>Annex I</w:t>
      </w:r>
      <w:r>
        <w:rPr>
          <w:rFonts w:ascii="Times New Roman" w:hAnsi="Times New Roman"/>
          <w:sz w:val="20"/>
        </w:rPr>
        <w:t xml:space="preserve"> hereto (a </w:t>
      </w:r>
      <w:r>
        <w:rPr>
          <w:rFonts w:ascii="Times New Roman" w:hAnsi="Times New Roman"/>
          <w:sz w:val="20"/>
          <w:u w:val="single"/>
        </w:rPr>
        <w:t>Joinder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Releases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the satisfaction of the conditions set forth in </w:t>
      </w:r>
      <w:r>
        <w:rPr>
          <w:rFonts w:ascii="Times New Roman" w:hAnsi="Times New Roman"/>
          <w:sz w:val="20"/>
          <w:u w:val="single"/>
        </w:rPr>
        <w:t>Section 10.15(b)</w:t>
      </w:r>
      <w:r>
        <w:rPr>
          <w:rFonts w:ascii="Times New Roman" w:hAnsi="Times New Roman"/>
          <w:sz w:val="20"/>
        </w:rPr>
        <w:t xml:space="preserve"> of the Credit Agreement, this Agreement and the obligations (other than those expressly stated to survive such termination) of each Guarantor hereunder shall terminate, all without delivery of any instrument or performance of any act by any party, in accordance with the terms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Upon the satisfaction of the conditions set forth in </w:t>
      </w:r>
      <w:r>
        <w:rPr>
          <w:rFonts w:ascii="Times New Roman" w:hAnsi="Times New Roman"/>
          <w:sz w:val="20"/>
          <w:u w:val="single"/>
        </w:rPr>
        <w:t>Section 10.15(c) or (d)</w:t>
      </w:r>
      <w:r>
        <w:rPr>
          <w:rFonts w:ascii="Times New Roman" w:hAnsi="Times New Roman"/>
          <w:sz w:val="20"/>
        </w:rPr>
        <w:t xml:space="preserve"> of the Credit Agreement, the obligations (other than those expressly stated to survive such termination) of the applicable Subsidiary Guarantor hereunder shall terminate, without delivery of any instrument or performance of any act by any party, in accordance with the terms thereof.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the Administrative Agent agrees, at the request and the expense of the Company, at any time and from time to time, to execute and deliver any instrument or other document and in such form as may be reasonably specified by the Company, in order to give effect to the release of any Guarantor pursuant to the foregoing provisions of this </w:t>
      </w:r>
      <w:r>
        <w:rPr>
          <w:rFonts w:ascii="Times New Roman" w:hAnsi="Times New Roman"/>
          <w:sz w:val="20"/>
          <w:u w:val="single"/>
        </w:rPr>
        <w:t>Section 3.15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3.16 </w:t>
      </w:r>
      <w:r>
        <w:rPr>
          <w:rFonts w:ascii="Times New Roman" w:hAnsi="Times New Roman"/>
          <w:b/>
          <w:sz w:val="20"/>
          <w:u w:val="single"/>
        </w:rPr>
        <w:t>WAIVER OF JURY TRIAL</w:t>
      </w:r>
      <w:r>
        <w:rPr>
          <w:rFonts w:ascii="Times New Roman" w:hAnsi="Times New Roman"/>
          <w:b/>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EACH GUARANTOR AND THE ADMINISTRATIVE AGENT HEREBY IRREVOCABLY AND UNCONDITIONALLY WAIVE TRIAL BY JURY IN ANY LEGAL ACTION OR PROCEEDING RELATING TO THIS AGREEMENT OR ANY OTHER LOAN DOCUMENT AND FOR ANY COUNTERCLAIM THEREIN.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this page intentionally left blank.]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undersigned has caused this Agreement to be duly executed and delivered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9"/>
        <w:gridCol w:w="60"/>
        <w:gridCol w:w="3713"/>
      </w:tblGrid>
      <w:tr>
        <w:trPr/>
        <w:tc>
          <w:tcPr>
            <w:tcW w:w="30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GENERAL MOTORS COMPANY, </w:t>
            </w:r>
            <w:r>
              <w:rPr>
                <w:i/>
              </w:rPr>
              <w:t>as the Company</w:t>
            </w:r>
          </w:p>
        </w:tc>
      </w:tr>
      <w:tr>
        <w:trPr>
          <w:trHeight w:val="240" w:hRule="atLeast"/>
        </w:trPr>
        <w:tc>
          <w:tcPr>
            <w:tcW w:w="309" w:type="dxa"/>
            <w:tcBorders/>
            <w:vAlign w:val="center"/>
          </w:tcPr>
          <w:p>
            <w:pPr>
              <w:pStyle w:val="TableContents"/>
              <w:bidi w:val="0"/>
              <w:spacing w:before="0" w:after="283"/>
              <w:jc w:val="left"/>
              <w:rPr>
                <w:sz w:val="4"/>
                <w:szCs w:val="4"/>
              </w:rPr>
            </w:pPr>
            <w:r>
              <w:rPr>
                <w:sz w:val="4"/>
                <w:szCs w:val="4"/>
              </w:rPr>
            </w:r>
          </w:p>
        </w:tc>
        <w:tc>
          <w:tcPr>
            <w:tcW w:w="3773" w:type="dxa"/>
            <w:gridSpan w:val="2"/>
            <w:tcBorders/>
            <w:vAlign w:val="center"/>
          </w:tcPr>
          <w:p>
            <w:pPr>
              <w:pStyle w:val="TableContents"/>
              <w:bidi w:val="0"/>
              <w:spacing w:before="0" w:after="283"/>
              <w:jc w:val="left"/>
              <w:rPr>
                <w:sz w:val="4"/>
                <w:szCs w:val="4"/>
              </w:rPr>
            </w:pPr>
            <w:r>
              <w:rPr>
                <w:sz w:val="4"/>
                <w:szCs w:val="4"/>
              </w:rPr>
            </w:r>
          </w:p>
        </w:tc>
      </w:tr>
      <w:tr>
        <w:trPr/>
        <w:tc>
          <w:tcPr>
            <w:tcW w:w="30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13" w:type="dxa"/>
            <w:tcBorders/>
          </w:tcPr>
          <w:p>
            <w:pPr>
              <w:pStyle w:val="TableContents"/>
              <w:pBdr>
                <w:bottom w:val="single" w:sz="2" w:space="1" w:color="000000"/>
              </w:pBdr>
              <w:bidi w:val="0"/>
              <w:spacing w:before="0" w:after="20"/>
              <w:jc w:val="left"/>
              <w:rPr/>
            </w:pPr>
            <w:r>
              <w:rPr/>
              <w:t>   </w:t>
            </w:r>
          </w:p>
        </w:tc>
      </w:tr>
      <w:tr>
        <w:trPr/>
        <w:tc>
          <w:tcPr>
            <w:tcW w:w="3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3" w:type="dxa"/>
            <w:tcBorders/>
          </w:tcPr>
          <w:p>
            <w:pPr>
              <w:pStyle w:val="TableContents"/>
              <w:bidi w:val="0"/>
              <w:spacing w:before="0" w:after="283"/>
              <w:jc w:val="left"/>
              <w:rPr/>
            </w:pPr>
            <w:r>
              <w:rPr/>
              <w:t>Name: ____________________________</w:t>
            </w:r>
          </w:p>
        </w:tc>
      </w:tr>
      <w:tr>
        <w:trPr/>
        <w:tc>
          <w:tcPr>
            <w:tcW w:w="3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3" w:type="dxa"/>
            <w:tcBorders/>
          </w:tcPr>
          <w:p>
            <w:pPr>
              <w:pStyle w:val="TableContents"/>
              <w:bidi w:val="0"/>
              <w:spacing w:before="0" w:after="283"/>
              <w:jc w:val="left"/>
              <w:rPr/>
            </w:pPr>
            <w:r>
              <w:rPr/>
              <w:t>Title: _____________________________</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Guarantee Agreement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960"/>
        <w:gridCol w:w="80"/>
        <w:gridCol w:w="3042"/>
      </w:tblGrid>
      <w:tr>
        <w:trPr/>
        <w:tc>
          <w:tcPr>
            <w:tcW w:w="960"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30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AND AGREED TO</w:t>
            </w:r>
          </w:p>
        </w:tc>
      </w:tr>
      <w:tr>
        <w:trPr/>
        <w:tc>
          <w:tcPr>
            <w:tcW w:w="4082" w:type="dxa"/>
            <w:gridSpan w:val="3"/>
            <w:tcBorders/>
          </w:tcPr>
          <w:p>
            <w:pPr>
              <w:pStyle w:val="TableContents"/>
              <w:bidi w:val="0"/>
              <w:spacing w:before="0" w:after="283"/>
              <w:jc w:val="left"/>
              <w:rPr/>
            </w:pPr>
            <w:r>
              <w:rPr/>
              <w:t>AS OF THE DATE SET FORTH ABOVE: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JPMORGAN CHASE BANK, N.A., </w:t>
            </w:r>
            <w:r>
              <w:rPr>
                <w:i/>
              </w:rPr>
              <w:t>as the Administrative Agent</w:t>
            </w:r>
          </w:p>
        </w:tc>
      </w:tr>
      <w:tr>
        <w:trPr>
          <w:trHeight w:val="240" w:hRule="atLeast"/>
        </w:trPr>
        <w:tc>
          <w:tcPr>
            <w:tcW w:w="960" w:type="dxa"/>
            <w:tcBorders/>
            <w:vAlign w:val="center"/>
          </w:tcPr>
          <w:p>
            <w:pPr>
              <w:pStyle w:val="TableContents"/>
              <w:bidi w:val="0"/>
              <w:spacing w:before="0" w:after="283"/>
              <w:jc w:val="left"/>
              <w:rPr>
                <w:sz w:val="4"/>
                <w:szCs w:val="4"/>
              </w:rPr>
            </w:pPr>
            <w:r>
              <w:rPr>
                <w:sz w:val="4"/>
                <w:szCs w:val="4"/>
              </w:rPr>
            </w:r>
          </w:p>
        </w:tc>
        <w:tc>
          <w:tcPr>
            <w:tcW w:w="3122" w:type="dxa"/>
            <w:gridSpan w:val="2"/>
            <w:tcBorders/>
            <w:vAlign w:val="center"/>
          </w:tcPr>
          <w:p>
            <w:pPr>
              <w:pStyle w:val="TableContents"/>
              <w:bidi w:val="0"/>
              <w:spacing w:before="0" w:after="283"/>
              <w:jc w:val="left"/>
              <w:rPr>
                <w:sz w:val="4"/>
                <w:szCs w:val="4"/>
              </w:rPr>
            </w:pPr>
            <w:r>
              <w:rPr>
                <w:sz w:val="4"/>
                <w:szCs w:val="4"/>
              </w:rPr>
            </w:r>
          </w:p>
        </w:tc>
      </w:tr>
      <w:tr>
        <w:trPr/>
        <w:tc>
          <w:tcPr>
            <w:tcW w:w="960" w:type="dxa"/>
            <w:tcBorders/>
          </w:tcPr>
          <w:p>
            <w:pPr>
              <w:pStyle w:val="TableContents"/>
              <w:bidi w:val="0"/>
              <w:spacing w:before="0" w:after="283"/>
              <w:jc w:val="left"/>
              <w:rPr/>
            </w:pPr>
            <w:r>
              <w:rPr/>
              <w:t>By:</w:t>
            </w:r>
          </w:p>
        </w:tc>
        <w:tc>
          <w:tcPr>
            <w:tcW w:w="80" w:type="dxa"/>
            <w:tcBorders/>
            <w:vAlign w:val="bottom"/>
          </w:tcPr>
          <w:p>
            <w:pPr>
              <w:pStyle w:val="TableContents"/>
              <w:bidi w:val="0"/>
              <w:spacing w:before="0" w:after="283"/>
              <w:jc w:val="left"/>
              <w:rPr/>
            </w:pPr>
            <w:r>
              <w:rPr/>
              <w:t> </w:t>
            </w:r>
          </w:p>
        </w:tc>
        <w:tc>
          <w:tcPr>
            <w:tcW w:w="3042" w:type="dxa"/>
            <w:tcBorders/>
          </w:tcPr>
          <w:p>
            <w:pPr>
              <w:pStyle w:val="TableContents"/>
              <w:pBdr>
                <w:bottom w:val="single" w:sz="2" w:space="1" w:color="000000"/>
              </w:pBdr>
              <w:bidi w:val="0"/>
              <w:spacing w:before="0" w:after="20"/>
              <w:jc w:val="left"/>
              <w:rPr/>
            </w:pPr>
            <w:r>
              <w:rPr/>
              <w:t>   </w:t>
            </w:r>
          </w:p>
        </w:tc>
      </w:tr>
      <w:tr>
        <w:trPr/>
        <w:tc>
          <w:tcPr>
            <w:tcW w:w="960" w:type="dxa"/>
            <w:tcBorders/>
          </w:tcPr>
          <w:p>
            <w:pPr>
              <w:pStyle w:val="TableContents"/>
              <w:bidi w:val="0"/>
              <w:spacing w:before="0" w:after="283"/>
              <w:jc w:val="left"/>
              <w:rPr/>
            </w:pPr>
            <w:r>
              <w:rPr/>
              <w:t>Name:</w:t>
            </w:r>
          </w:p>
        </w:tc>
        <w:tc>
          <w:tcPr>
            <w:tcW w:w="80" w:type="dxa"/>
            <w:tcBorders/>
            <w:vAlign w:val="bottom"/>
          </w:tcPr>
          <w:p>
            <w:pPr>
              <w:pStyle w:val="TableContents"/>
              <w:bidi w:val="0"/>
              <w:spacing w:before="0" w:after="283"/>
              <w:jc w:val="left"/>
              <w:rPr/>
            </w:pPr>
            <w:r>
              <w:rPr/>
              <w:t> </w:t>
            </w:r>
          </w:p>
        </w:tc>
        <w:tc>
          <w:tcPr>
            <w:tcW w:w="3042" w:type="dxa"/>
            <w:tcBorders/>
          </w:tcPr>
          <w:p>
            <w:pPr>
              <w:pStyle w:val="TableContents"/>
              <w:bidi w:val="0"/>
              <w:spacing w:before="0" w:after="283"/>
              <w:jc w:val="left"/>
              <w:rPr>
                <w:sz w:val="4"/>
                <w:szCs w:val="4"/>
              </w:rPr>
            </w:pPr>
            <w:r>
              <w:rPr>
                <w:sz w:val="4"/>
                <w:szCs w:val="4"/>
              </w:rPr>
            </w:r>
          </w:p>
        </w:tc>
      </w:tr>
      <w:tr>
        <w:trPr/>
        <w:tc>
          <w:tcPr>
            <w:tcW w:w="960" w:type="dxa"/>
            <w:tcBorders/>
          </w:tcPr>
          <w:p>
            <w:pPr>
              <w:pStyle w:val="TableContents"/>
              <w:bidi w:val="0"/>
              <w:spacing w:before="0" w:after="283"/>
              <w:jc w:val="left"/>
              <w:rPr/>
            </w:pPr>
            <w:r>
              <w:rPr/>
              <w:t>Title:</w:t>
            </w:r>
          </w:p>
        </w:tc>
        <w:tc>
          <w:tcPr>
            <w:tcW w:w="80" w:type="dxa"/>
            <w:tcBorders/>
            <w:vAlign w:val="bottom"/>
          </w:tcPr>
          <w:p>
            <w:pPr>
              <w:pStyle w:val="TableContents"/>
              <w:bidi w:val="0"/>
              <w:spacing w:before="0" w:after="283"/>
              <w:jc w:val="left"/>
              <w:rPr/>
            </w:pPr>
            <w:r>
              <w:rPr/>
              <w:t> </w:t>
            </w:r>
          </w:p>
        </w:tc>
        <w:tc>
          <w:tcPr>
            <w:tcW w:w="3042"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Signature Page to Sixth Amended and Restated 364-Day Guarantee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1    </w:t>
      </w:r>
    </w:p>
    <w:p>
      <w:pPr>
        <w:pStyle w:val="TextBody"/>
        <w:bidi w:val="0"/>
        <w:spacing w:before="0" w:after="0"/>
        <w:jc w:val="right"/>
        <w:rPr>
          <w:rFonts w:ascii="Times New Roman" w:hAnsi="Times New Roman"/>
          <w:sz w:val="20"/>
        </w:rPr>
      </w:pP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Guarantee Agreement </w:t>
      </w:r>
    </w:p>
    <w:p>
      <w:pPr>
        <w:pStyle w:val="TextBody"/>
        <w:bidi w:val="0"/>
        <w:spacing w:before="240" w:after="0"/>
        <w:jc w:val="left"/>
        <w:rPr>
          <w:rFonts w:ascii="Times New Roman" w:hAnsi="Times New Roman"/>
          <w:sz w:val="20"/>
        </w:rPr>
      </w:pPr>
      <w:r>
        <w:rPr>
          <w:rFonts w:ascii="Times New Roman" w:hAnsi="Times New Roman"/>
          <w:sz w:val="20"/>
        </w:rPr>
        <w:t>JOINDER AGREEMENT, dated as of ________________, 20__ (the </w:t>
      </w:r>
      <w:r>
        <w:rPr>
          <w:rFonts w:ascii="Times New Roman" w:hAnsi="Times New Roman"/>
          <w:sz w:val="20"/>
          <w:u w:val="single"/>
        </w:rPr>
        <w:t>Joinder Agreement</w:t>
      </w:r>
      <w:r>
        <w:rPr>
          <w:rFonts w:ascii="Times New Roman" w:hAnsi="Times New Roman"/>
          <w:sz w:val="20"/>
        </w:rPr>
        <w:t>), made by ______________________________ (the </w:t>
      </w:r>
      <w:r>
        <w:rPr>
          <w:rFonts w:ascii="Times New Roman" w:hAnsi="Times New Roman"/>
          <w:sz w:val="20"/>
          <w:u w:val="single"/>
        </w:rPr>
        <w:t>Additional Guarantor</w:t>
      </w:r>
      <w:r>
        <w:rPr>
          <w:rFonts w:ascii="Times New Roman" w:hAnsi="Times New Roman"/>
          <w:sz w:val="20"/>
        </w:rPr>
        <w:t>), in favor of JPMorgan Chase Bank, N.A., as administrative agent (in such capacity, the </w:t>
      </w:r>
      <w:r>
        <w:rPr>
          <w:rFonts w:ascii="Times New Roman" w:hAnsi="Times New Roman"/>
          <w:sz w:val="20"/>
          <w:u w:val="single"/>
        </w:rPr>
        <w:t>Administrative Agent</w:t>
      </w:r>
      <w:r>
        <w:rPr>
          <w:rFonts w:ascii="Times New Roman" w:hAnsi="Times New Roman"/>
          <w:sz w:val="20"/>
        </w:rPr>
        <w:t xml:space="preserve">) for the Lenders from time to time parties to the Credit Agreement referred to below. Unless otherwise defined herein, all capitalized terms not defined herein shall have the meanings ascribed to them in the Credit Agreement. </w:t>
      </w:r>
    </w:p>
    <w:p>
      <w:pPr>
        <w:pStyle w:val="TextBody"/>
        <w:bidi w:val="0"/>
        <w:spacing w:before="240" w:after="0"/>
        <w:jc w:val="center"/>
        <w:rPr>
          <w:rFonts w:ascii="Times New Roman" w:hAnsi="Times New Roman"/>
          <w:sz w:val="20"/>
        </w:rPr>
      </w:pPr>
      <w:r>
        <w:rPr>
          <w:rFonts w:ascii="Times New Roman" w:hAnsi="Times New Roman"/>
          <w:sz w:val="20"/>
          <w:u w:val="single"/>
        </w:rPr>
        <w:t>W</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sz w:val="20"/>
        </w:rPr>
        <w:t>WHEREAS, pursuant to the terms of the certain Sixth Amended and Restated 364-Day Revolving Credit Agreement, dated as of March 28, 2024 (as amended, restated, amended and restated, renewed, supplemented or otherwise modified from time to time, the </w:t>
      </w:r>
      <w:r>
        <w:rPr>
          <w:rFonts w:ascii="Times New Roman" w:hAnsi="Times New Roman"/>
          <w:sz w:val="20"/>
          <w:u w:val="single"/>
        </w:rPr>
        <w:t>Credit Agreement</w:t>
      </w:r>
      <w:r>
        <w:rPr>
          <w:rFonts w:ascii="Times New Roman" w:hAnsi="Times New Roman"/>
          <w:sz w:val="20"/>
        </w:rPr>
        <w:t>), among General Motors Company, a Delaware corporation (the </w:t>
      </w:r>
      <w:r>
        <w:rPr>
          <w:rFonts w:ascii="Times New Roman" w:hAnsi="Times New Roman"/>
          <w:sz w:val="20"/>
          <w:u w:val="single"/>
        </w:rPr>
        <w:t>Company</w:t>
      </w:r>
      <w:r>
        <w:rPr>
          <w:rFonts w:ascii="Times New Roman" w:hAnsi="Times New Roman"/>
          <w:sz w:val="20"/>
        </w:rPr>
        <w:t>), General Motors Financial Company, Inc., a Texas corporation (</w:t>
      </w:r>
      <w:r>
        <w:rPr>
          <w:rFonts w:ascii="Times New Roman" w:hAnsi="Times New Roman"/>
          <w:sz w:val="20"/>
          <w:u w:val="single"/>
        </w:rPr>
        <w:t>GMF</w:t>
      </w:r>
      <w:r>
        <w:rPr>
          <w:rFonts w:ascii="Times New Roman" w:hAnsi="Times New Roman"/>
          <w:sz w:val="20"/>
        </w:rPr>
        <w:t>), the other Subsidiary Borrowers from time to time parties thereto, the Lenders from time to time parties thereto, the Administrative Agent, Citibank, N.A., as syndication agent, Bank of America, N.A., as co-syndication agent, and the other agents named therein, the Company [has] [and certain of its Subsidiaries (collectively, the </w:t>
      </w:r>
      <w:r>
        <w:rPr>
          <w:rFonts w:ascii="Times New Roman" w:hAnsi="Times New Roman"/>
          <w:sz w:val="20"/>
          <w:u w:val="single"/>
        </w:rPr>
        <w:t>Subsidiary Guarantors</w:t>
      </w:r>
      <w:r>
        <w:rPr>
          <w:rFonts w:ascii="Times New Roman" w:hAnsi="Times New Roman"/>
          <w:sz w:val="20"/>
        </w:rPr>
        <w:t>; and, together with the Company and the other Persons party to the Guarantee Agreement (as defined below) as guarantors, collectively, the </w:t>
      </w:r>
      <w:r>
        <w:rPr>
          <w:rFonts w:ascii="Times New Roman" w:hAnsi="Times New Roman"/>
          <w:sz w:val="20"/>
          <w:u w:val="single"/>
        </w:rPr>
        <w:t>Guarantors</w:t>
      </w:r>
      <w:r>
        <w:rPr>
          <w:rFonts w:ascii="Times New Roman" w:hAnsi="Times New Roman"/>
          <w:sz w:val="20"/>
        </w:rPr>
        <w:t>) have] entered into the Sixth Amended and Restated Guarantee Agreement, dated as of March 28, 2024 (as amended, restated, amended and restated, renewed, supplemented or otherwise modified from time to time, the </w:t>
      </w:r>
      <w:r>
        <w:rPr>
          <w:rFonts w:ascii="Times New Roman" w:hAnsi="Times New Roman"/>
          <w:sz w:val="20"/>
          <w:u w:val="single"/>
        </w:rPr>
        <w:t>Guarantee Agreement</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Additional Guarantor desires to become a party to the Guarantee Agreement in accordance with </w:t>
      </w:r>
      <w:r>
        <w:rPr>
          <w:rFonts w:ascii="Times New Roman" w:hAnsi="Times New Roman"/>
          <w:sz w:val="20"/>
          <w:u w:val="single"/>
        </w:rPr>
        <w:t>Section 3.14</w:t>
      </w:r>
      <w:r>
        <w:rPr>
          <w:rFonts w:ascii="Times New Roman" w:hAnsi="Times New Roman"/>
          <w:sz w:val="20"/>
        </w:rPr>
        <w:t xml:space="preserve"> of the Guarantee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IT IS AGREED: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Guarantee Agreement</w:t>
      </w:r>
      <w:r>
        <w:rPr>
          <w:rFonts w:ascii="Times New Roman" w:hAnsi="Times New Roman"/>
          <w:sz w:val="20"/>
        </w:rPr>
        <w:t xml:space="preserve">. By executing and delivering this Joinder Agreement, the Additional Guarantor, as provided in </w:t>
      </w:r>
      <w:r>
        <w:rPr>
          <w:rFonts w:ascii="Times New Roman" w:hAnsi="Times New Roman"/>
          <w:sz w:val="20"/>
          <w:u w:val="single"/>
        </w:rPr>
        <w:t>Section 3.14</w:t>
      </w:r>
      <w:r>
        <w:rPr>
          <w:rFonts w:ascii="Times New Roman" w:hAnsi="Times New Roman"/>
          <w:sz w:val="20"/>
        </w:rPr>
        <w:t xml:space="preserve">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and has all rights of a Guarantor thereunder.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u w:val="single"/>
        </w:rPr>
        <w:t>Governing Law</w:t>
      </w:r>
      <w:r>
        <w:rPr>
          <w:rFonts w:ascii="Times New Roman" w:hAnsi="Times New Roman"/>
          <w:b/>
          <w:sz w:val="20"/>
        </w:rPr>
        <w:t>. THIS JOINDER AGREEMENT AND THE RIGHTS AND OBLIGATIONS OF THE PARTIES HEREUNDER SHALL BE GOVERNED BY, AND CONSTRUED AND INTERPRETED IN ACCORDANCE WITH, THE LAW OF THE STATE OF NEW YORK.</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caused this Joinder Agreement to be duly executed and delivered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81"/>
        <w:gridCol w:w="103"/>
        <w:gridCol w:w="3398"/>
      </w:tblGrid>
      <w:tr>
        <w:trPr/>
        <w:tc>
          <w:tcPr>
            <w:tcW w:w="58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[ADDITIONAL GUARANTOR]</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pBdr>
                <w:bottom w:val="single" w:sz="2" w:space="1" w:color="000000"/>
              </w:pBdr>
              <w:bidi w:val="0"/>
              <w:spacing w:before="0" w:after="20"/>
              <w:jc w:val="left"/>
              <w:rPr/>
            </w:pPr>
            <w:r>
              <w:rPr/>
              <w:t>   </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Name:</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960"/>
        <w:gridCol w:w="80"/>
        <w:gridCol w:w="3042"/>
      </w:tblGrid>
      <w:tr>
        <w:trPr/>
        <w:tc>
          <w:tcPr>
            <w:tcW w:w="960"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30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AND AGREED TO</w:t>
            </w:r>
          </w:p>
        </w:tc>
      </w:tr>
      <w:tr>
        <w:trPr/>
        <w:tc>
          <w:tcPr>
            <w:tcW w:w="4082" w:type="dxa"/>
            <w:gridSpan w:val="3"/>
            <w:tcBorders/>
          </w:tcPr>
          <w:p>
            <w:pPr>
              <w:pStyle w:val="TableContents"/>
              <w:bidi w:val="0"/>
              <w:spacing w:before="0" w:after="283"/>
              <w:jc w:val="left"/>
              <w:rPr/>
            </w:pPr>
            <w:r>
              <w:rPr/>
              <w:t>AS OF THE DATE SET FORTH ABOVE: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JPMORGAN CHASE BANK, N.A., </w:t>
            </w:r>
            <w:r>
              <w:rPr>
                <w:i/>
              </w:rPr>
              <w:t>as the Administrative Agent</w:t>
            </w:r>
          </w:p>
        </w:tc>
      </w:tr>
      <w:tr>
        <w:trPr>
          <w:trHeight w:val="240" w:hRule="atLeast"/>
        </w:trPr>
        <w:tc>
          <w:tcPr>
            <w:tcW w:w="960" w:type="dxa"/>
            <w:tcBorders/>
            <w:vAlign w:val="center"/>
          </w:tcPr>
          <w:p>
            <w:pPr>
              <w:pStyle w:val="TableContents"/>
              <w:bidi w:val="0"/>
              <w:spacing w:before="0" w:after="283"/>
              <w:jc w:val="left"/>
              <w:rPr>
                <w:sz w:val="4"/>
                <w:szCs w:val="4"/>
              </w:rPr>
            </w:pPr>
            <w:r>
              <w:rPr>
                <w:sz w:val="4"/>
                <w:szCs w:val="4"/>
              </w:rPr>
            </w:r>
          </w:p>
        </w:tc>
        <w:tc>
          <w:tcPr>
            <w:tcW w:w="3122" w:type="dxa"/>
            <w:gridSpan w:val="2"/>
            <w:tcBorders/>
            <w:vAlign w:val="center"/>
          </w:tcPr>
          <w:p>
            <w:pPr>
              <w:pStyle w:val="TableContents"/>
              <w:bidi w:val="0"/>
              <w:spacing w:before="0" w:after="283"/>
              <w:jc w:val="left"/>
              <w:rPr>
                <w:sz w:val="4"/>
                <w:szCs w:val="4"/>
              </w:rPr>
            </w:pPr>
            <w:r>
              <w:rPr>
                <w:sz w:val="4"/>
                <w:szCs w:val="4"/>
              </w:rPr>
            </w:r>
          </w:p>
        </w:tc>
      </w:tr>
      <w:tr>
        <w:trPr/>
        <w:tc>
          <w:tcPr>
            <w:tcW w:w="960" w:type="dxa"/>
            <w:tcBorders/>
          </w:tcPr>
          <w:p>
            <w:pPr>
              <w:pStyle w:val="TableContents"/>
              <w:bidi w:val="0"/>
              <w:spacing w:before="0" w:after="283"/>
              <w:jc w:val="left"/>
              <w:rPr/>
            </w:pPr>
            <w:r>
              <w:rPr/>
              <w:t>By:</w:t>
            </w:r>
          </w:p>
        </w:tc>
        <w:tc>
          <w:tcPr>
            <w:tcW w:w="80" w:type="dxa"/>
            <w:tcBorders/>
            <w:vAlign w:val="bottom"/>
          </w:tcPr>
          <w:p>
            <w:pPr>
              <w:pStyle w:val="TableContents"/>
              <w:bidi w:val="0"/>
              <w:spacing w:before="0" w:after="283"/>
              <w:jc w:val="left"/>
              <w:rPr/>
            </w:pPr>
            <w:r>
              <w:rPr/>
              <w:t> </w:t>
            </w:r>
          </w:p>
        </w:tc>
        <w:tc>
          <w:tcPr>
            <w:tcW w:w="3042" w:type="dxa"/>
            <w:tcBorders/>
          </w:tcPr>
          <w:p>
            <w:pPr>
              <w:pStyle w:val="TableContents"/>
              <w:pBdr>
                <w:bottom w:val="single" w:sz="2" w:space="1" w:color="000000"/>
              </w:pBdr>
              <w:bidi w:val="0"/>
              <w:spacing w:before="0" w:after="20"/>
              <w:jc w:val="left"/>
              <w:rPr/>
            </w:pPr>
            <w:r>
              <w:rPr/>
              <w:t>   </w:t>
            </w:r>
          </w:p>
        </w:tc>
      </w:tr>
      <w:tr>
        <w:trPr/>
        <w:tc>
          <w:tcPr>
            <w:tcW w:w="960" w:type="dxa"/>
            <w:tcBorders/>
          </w:tcPr>
          <w:p>
            <w:pPr>
              <w:pStyle w:val="TableContents"/>
              <w:bidi w:val="0"/>
              <w:spacing w:before="0" w:after="283"/>
              <w:jc w:val="left"/>
              <w:rPr/>
            </w:pPr>
            <w:r>
              <w:rPr/>
              <w:t>Name:</w:t>
            </w:r>
          </w:p>
        </w:tc>
        <w:tc>
          <w:tcPr>
            <w:tcW w:w="80" w:type="dxa"/>
            <w:tcBorders/>
            <w:vAlign w:val="bottom"/>
          </w:tcPr>
          <w:p>
            <w:pPr>
              <w:pStyle w:val="TableContents"/>
              <w:bidi w:val="0"/>
              <w:spacing w:before="0" w:after="283"/>
              <w:jc w:val="left"/>
              <w:rPr/>
            </w:pPr>
            <w:r>
              <w:rPr/>
              <w:t> </w:t>
            </w:r>
          </w:p>
        </w:tc>
        <w:tc>
          <w:tcPr>
            <w:tcW w:w="3042" w:type="dxa"/>
            <w:tcBorders/>
          </w:tcPr>
          <w:p>
            <w:pPr>
              <w:pStyle w:val="TableContents"/>
              <w:bidi w:val="0"/>
              <w:spacing w:before="0" w:after="283"/>
              <w:jc w:val="left"/>
              <w:rPr>
                <w:sz w:val="4"/>
                <w:szCs w:val="4"/>
              </w:rPr>
            </w:pPr>
            <w:r>
              <w:rPr>
                <w:sz w:val="4"/>
                <w:szCs w:val="4"/>
              </w:rPr>
            </w:r>
          </w:p>
        </w:tc>
      </w:tr>
      <w:tr>
        <w:trPr/>
        <w:tc>
          <w:tcPr>
            <w:tcW w:w="960" w:type="dxa"/>
            <w:tcBorders/>
          </w:tcPr>
          <w:p>
            <w:pPr>
              <w:pStyle w:val="TableContents"/>
              <w:bidi w:val="0"/>
              <w:spacing w:before="0" w:after="283"/>
              <w:jc w:val="left"/>
              <w:rPr/>
            </w:pPr>
            <w:r>
              <w:rPr/>
              <w:t>Title:</w:t>
            </w:r>
          </w:p>
        </w:tc>
        <w:tc>
          <w:tcPr>
            <w:tcW w:w="80" w:type="dxa"/>
            <w:tcBorders/>
            <w:vAlign w:val="bottom"/>
          </w:tcPr>
          <w:p>
            <w:pPr>
              <w:pStyle w:val="TableContents"/>
              <w:bidi w:val="0"/>
              <w:spacing w:before="0" w:after="283"/>
              <w:jc w:val="left"/>
              <w:rPr/>
            </w:pPr>
            <w:r>
              <w:rPr/>
              <w:t> </w:t>
            </w:r>
          </w:p>
        </w:tc>
        <w:tc>
          <w:tcPr>
            <w:tcW w:w="3042"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B   </w:t>
      </w:r>
    </w:p>
    <w:p>
      <w:pPr>
        <w:pStyle w:val="TextBody"/>
        <w:bidi w:val="0"/>
        <w:spacing w:before="0" w:after="0"/>
        <w:jc w:val="right"/>
        <w:rPr>
          <w:rFonts w:ascii="Times New Roman" w:hAnsi="Times New Roman"/>
          <w:b/>
          <w:sz w:val="20"/>
        </w:rPr>
      </w:pPr>
      <w:r>
        <w:rPr>
          <w:rFonts w:ascii="Times New Roman" w:hAnsi="Times New Roman"/>
          <w:b/>
          <w:sz w:val="20"/>
        </w:rPr>
        <w:t xml:space="preserve">to     </w:t>
      </w:r>
    </w:p>
    <w:p>
      <w:pPr>
        <w:pStyle w:val="TextBody"/>
        <w:bidi w:val="0"/>
        <w:spacing w:before="0" w:after="0"/>
        <w:jc w:val="right"/>
        <w:rPr>
          <w:rFonts w:ascii="Times New Roman" w:hAnsi="Times New Roman"/>
          <w:b/>
          <w:sz w:val="20"/>
        </w:rPr>
      </w:pPr>
      <w:r>
        <w:rPr>
          <w:rFonts w:ascii="Times New Roman" w:hAnsi="Times New Roman"/>
          <w:b/>
          <w:sz w:val="20"/>
        </w:rPr>
        <w:t xml:space="preserve">Credit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[Reserved]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C   </w:t>
      </w:r>
    </w:p>
    <w:p>
      <w:pPr>
        <w:pStyle w:val="TextBody"/>
        <w:bidi w:val="0"/>
        <w:spacing w:before="0" w:after="0"/>
        <w:jc w:val="right"/>
        <w:rPr>
          <w:rFonts w:ascii="Times New Roman" w:hAnsi="Times New Roman"/>
          <w:b/>
          <w:sz w:val="20"/>
        </w:rPr>
      </w:pPr>
      <w:r>
        <w:rPr>
          <w:rFonts w:ascii="Times New Roman" w:hAnsi="Times New Roman"/>
          <w:b/>
          <w:sz w:val="20"/>
        </w:rPr>
        <w:t xml:space="preserve">to     </w:t>
      </w:r>
    </w:p>
    <w:p>
      <w:pPr>
        <w:pStyle w:val="TextBody"/>
        <w:bidi w:val="0"/>
        <w:spacing w:before="0" w:after="0"/>
        <w:jc w:val="right"/>
        <w:rPr>
          <w:rFonts w:ascii="Times New Roman" w:hAnsi="Times New Roman"/>
          <w:b/>
          <w:sz w:val="20"/>
        </w:rPr>
      </w:pPr>
      <w:r>
        <w:rPr>
          <w:rFonts w:ascii="Times New Roman" w:hAnsi="Times New Roman"/>
          <w:b/>
          <w:sz w:val="20"/>
        </w:rPr>
        <w:t xml:space="preserve">Credit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[Reserved]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D   </w:t>
      </w:r>
    </w:p>
    <w:p>
      <w:pPr>
        <w:pStyle w:val="TextBody"/>
        <w:bidi w:val="0"/>
        <w:spacing w:before="0" w:after="0"/>
        <w:jc w:val="right"/>
        <w:rPr>
          <w:rFonts w:ascii="Times New Roman" w:hAnsi="Times New Roman"/>
          <w:b/>
          <w:sz w:val="20"/>
        </w:rPr>
      </w:pPr>
      <w:r>
        <w:rPr>
          <w:rFonts w:ascii="Times New Roman" w:hAnsi="Times New Roman"/>
          <w:b/>
          <w:sz w:val="20"/>
        </w:rPr>
        <w:t xml:space="preserve">to     </w:t>
      </w:r>
    </w:p>
    <w:p>
      <w:pPr>
        <w:pStyle w:val="TextBody"/>
        <w:bidi w:val="0"/>
        <w:spacing w:before="0" w:after="0"/>
        <w:jc w:val="right"/>
        <w:rPr>
          <w:rFonts w:ascii="Times New Roman" w:hAnsi="Times New Roman"/>
          <w:b/>
          <w:sz w:val="20"/>
        </w:rPr>
      </w:pPr>
      <w:r>
        <w:rPr>
          <w:rFonts w:ascii="Times New Roman" w:hAnsi="Times New Roman"/>
          <w:b/>
          <w:sz w:val="20"/>
        </w:rPr>
        <w:t xml:space="preserve">Credit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[Reserved]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E   </w:t>
      </w:r>
    </w:p>
    <w:p>
      <w:pPr>
        <w:pStyle w:val="TextBody"/>
        <w:bidi w:val="0"/>
        <w:spacing w:before="0" w:after="0"/>
        <w:jc w:val="right"/>
        <w:rPr>
          <w:rFonts w:ascii="Times New Roman" w:hAnsi="Times New Roman"/>
          <w:b/>
          <w:sz w:val="20"/>
        </w:rPr>
      </w:pPr>
      <w:r>
        <w:rPr>
          <w:rFonts w:ascii="Times New Roman" w:hAnsi="Times New Roman"/>
          <w:b/>
          <w:sz w:val="20"/>
        </w:rPr>
        <w:t xml:space="preserve">to     </w:t>
      </w:r>
    </w:p>
    <w:p>
      <w:pPr>
        <w:pStyle w:val="TextBody"/>
        <w:bidi w:val="0"/>
        <w:spacing w:before="0" w:after="0"/>
        <w:jc w:val="right"/>
        <w:rPr>
          <w:rFonts w:ascii="Times New Roman" w:hAnsi="Times New Roman"/>
          <w:b/>
          <w:sz w:val="20"/>
        </w:rPr>
      </w:pPr>
      <w:r>
        <w:rPr>
          <w:rFonts w:ascii="Times New Roman" w:hAnsi="Times New Roman"/>
          <w:b/>
          <w:sz w:val="20"/>
        </w:rPr>
        <w:t xml:space="preserve">Credit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INCREMENTAL LOAN ACTIVATION NOTICE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JPMorgan Chase Bank, N.A., as Administrative Agent </w:t>
            </w:r>
          </w:p>
        </w:tc>
      </w:tr>
    </w:tbl>
    <w:p>
      <w:pPr>
        <w:pStyle w:val="TextBody"/>
        <w:bidi w:val="0"/>
        <w:spacing w:before="0" w:after="0"/>
        <w:jc w:val="left"/>
        <w:rPr>
          <w:rFonts w:ascii="Times New Roman" w:hAnsi="Times New Roman"/>
          <w:sz w:val="20"/>
        </w:rPr>
      </w:pPr>
      <w:r>
        <w:rPr>
          <w:rFonts w:ascii="Times New Roman" w:hAnsi="Times New Roman"/>
          <w:sz w:val="20"/>
        </w:rPr>
        <w:t xml:space="preserve">under the Credit Agreement referred to below </w:t>
      </w:r>
    </w:p>
    <w:p>
      <w:pPr>
        <w:pStyle w:val="TextBody"/>
        <w:bidi w:val="0"/>
        <w:spacing w:before="240" w:after="0"/>
        <w:jc w:val="left"/>
        <w:rPr>
          <w:rFonts w:ascii="Times New Roman" w:hAnsi="Times New Roman"/>
          <w:sz w:val="20"/>
        </w:rPr>
      </w:pPr>
      <w:r>
        <w:rPr>
          <w:rFonts w:ascii="Times New Roman" w:hAnsi="Times New Roman"/>
          <w:sz w:val="20"/>
        </w:rPr>
        <w:t>Reference is made to that certain Sixth Amended and Restated 364-Day Revolving Credit Agreement, dated as of March 28, 2024, as amended, restated, amended and restated, renewed, supplemented or modified from time to time (the </w:t>
      </w:r>
      <w:r>
        <w:rPr>
          <w:rFonts w:ascii="Times New Roman" w:hAnsi="Times New Roman"/>
          <w:sz w:val="20"/>
          <w:u w:val="single"/>
        </w:rPr>
        <w:t>Credit Agreement</w:t>
      </w:r>
      <w:r>
        <w:rPr>
          <w:rFonts w:ascii="Times New Roman" w:hAnsi="Times New Roman"/>
          <w:sz w:val="20"/>
        </w:rPr>
        <w:t>), among General Motors Company, a Delaware corporation (the </w:t>
      </w:r>
      <w:r>
        <w:rPr>
          <w:rFonts w:ascii="Times New Roman" w:hAnsi="Times New Roman"/>
          <w:sz w:val="20"/>
          <w:u w:val="single"/>
        </w:rPr>
        <w:t>Company</w:t>
      </w:r>
      <w:r>
        <w:rPr>
          <w:rFonts w:ascii="Times New Roman" w:hAnsi="Times New Roman"/>
          <w:sz w:val="20"/>
        </w:rPr>
        <w:t>), General Motors Financial Company, Inc., a Texas corporation, the Subsidiary Borrowers from time to time party thereto, the several banks and other financial institutions or entities from time to time party thereto (the </w:t>
      </w:r>
      <w:r>
        <w:rPr>
          <w:rFonts w:ascii="Times New Roman" w:hAnsi="Times New Roman"/>
          <w:sz w:val="20"/>
          <w:u w:val="single"/>
        </w:rPr>
        <w:t>Lenders</w:t>
      </w:r>
      <w:r>
        <w:rPr>
          <w:rFonts w:ascii="Times New Roman" w:hAnsi="Times New Roman"/>
          <w:sz w:val="20"/>
        </w:rPr>
        <w:t xml:space="preserve">), JPMorgan Chase Bank, N.A., as administrative agent, Citibank, N.A., as syndication agent, Bank of America, N.A., as co-syndication agent, and the other agents party thereto. Unless otherwise defined herein, terms defined in the Credit Agreement and used herein shall have the meanings given to them in the Credit Agreement. </w:t>
      </w:r>
    </w:p>
    <w:p>
      <w:pPr>
        <w:pStyle w:val="TextBody"/>
        <w:bidi w:val="0"/>
        <w:spacing w:before="240" w:after="0"/>
        <w:jc w:val="left"/>
        <w:rPr>
          <w:rFonts w:ascii="Times New Roman" w:hAnsi="Times New Roman"/>
          <w:sz w:val="20"/>
        </w:rPr>
      </w:pPr>
      <w:r>
        <w:rPr>
          <w:rFonts w:ascii="Times New Roman" w:hAnsi="Times New Roman"/>
          <w:sz w:val="20"/>
        </w:rPr>
        <w:t>This notice is an Incremental Loan Activation Notice referred to in the Credit Agreement, and the Company and each of the lenders party hereto (each, an </w:t>
      </w:r>
      <w:r>
        <w:rPr>
          <w:rFonts w:ascii="Times New Roman" w:hAnsi="Times New Roman"/>
          <w:sz w:val="20"/>
          <w:u w:val="single"/>
        </w:rPr>
        <w:t>Incremental Lender</w:t>
      </w:r>
      <w:r>
        <w:rPr>
          <w:rFonts w:ascii="Times New Roman" w:hAnsi="Times New Roman"/>
          <w:sz w:val="20"/>
        </w:rPr>
        <w:t xml:space="preserve">) hereby notify you that: </w:t>
      </w:r>
    </w:p>
    <w:p>
      <w:pPr>
        <w:pStyle w:val="TextBody"/>
        <w:bidi w:val="0"/>
        <w:spacing w:before="240" w:after="0"/>
        <w:jc w:val="left"/>
        <w:rPr>
          <w:rFonts w:ascii="Times New Roman" w:hAnsi="Times New Roman"/>
          <w:sz w:val="20"/>
        </w:rPr>
      </w:pPr>
      <w:r>
        <w:rPr>
          <w:rFonts w:ascii="Times New Roman" w:hAnsi="Times New Roman"/>
          <w:sz w:val="20"/>
        </w:rPr>
        <w:t xml:space="preserve">1. Each Incremental Lender party hereto agrees to increase the amount of its existing Commitment in the amount set forth opposite such Incremental Lenders name on the signature pages hereof under the caption Incremental Commitment. </w:t>
      </w:r>
    </w:p>
    <w:p>
      <w:pPr>
        <w:pStyle w:val="TextBody"/>
        <w:bidi w:val="0"/>
        <w:spacing w:before="240" w:after="0"/>
        <w:jc w:val="left"/>
        <w:rPr>
          <w:rFonts w:ascii="Times New Roman" w:hAnsi="Times New Roman"/>
          <w:sz w:val="20"/>
        </w:rPr>
      </w:pPr>
      <w:r>
        <w:rPr>
          <w:rFonts w:ascii="Times New Roman" w:hAnsi="Times New Roman"/>
          <w:sz w:val="20"/>
        </w:rPr>
        <w:t xml:space="preserve">2. The Commitment Increase Date is 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3. The agreement of each Incremental Lender party hereto to make the Incremental Loans to be made by it is subject to the satisfaction, prior to or concurrently with the making of such extension of credit on the Commitment Increase Date, of the following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shall have received this notice, executed and delivered by the Company and each Incremental Lender party hereto. </w:t>
      </w:r>
    </w:p>
    <w:p>
      <w:pPr>
        <w:pStyle w:val="TextBody"/>
        <w:bidi w:val="0"/>
        <w:spacing w:before="120" w:after="0"/>
        <w:jc w:val="left"/>
        <w:rPr>
          <w:rFonts w:ascii="Times New Roman" w:hAnsi="Times New Roman"/>
          <w:sz w:val="20"/>
        </w:rPr>
      </w:pPr>
      <w:r>
        <w:rPr>
          <w:rFonts w:ascii="Times New Roman" w:hAnsi="Times New Roman"/>
          <w:sz w:val="20"/>
        </w:rPr>
        <w:t xml:space="preserve">(b) After giving effect to the Commitment Increase (including the incurrence of any Incremental Loans on the applicable Commitment Increase Date and use of proceeds thereof), (i) no Default or Event of Default shall be continuing and (ii) the sum of the Total Commitments in effect (including, for the avoidance of doubt, Incremental Commitments) shall not exceed $2 billion. </w:t>
      </w:r>
    </w:p>
    <w:p>
      <w:pPr>
        <w:pStyle w:val="TextBody"/>
        <w:bidi w:val="0"/>
        <w:spacing w:before="240" w:after="0"/>
        <w:jc w:val="left"/>
        <w:rPr>
          <w:rFonts w:ascii="Times New Roman" w:hAnsi="Times New Roman"/>
          <w:sz w:val="20"/>
        </w:rPr>
      </w:pPr>
      <w:r>
        <w:rPr>
          <w:rFonts w:ascii="Times New Roman" w:hAnsi="Times New Roman"/>
          <w:sz w:val="20"/>
        </w:rPr>
        <w:t xml:space="preserve">4.Upon execution and delivery hereof, each Incremental Lender shall have the rights and obligations of a Lender under the Credit Agreement and the other Loan Documents, and shall be bound by the provisions thereof.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61"/>
        <w:gridCol w:w="78"/>
        <w:gridCol w:w="3543"/>
      </w:tblGrid>
      <w:tr>
        <w:trPr/>
        <w:tc>
          <w:tcPr>
            <w:tcW w:w="461"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35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GENERAL MOTORS COMPANY</w:t>
            </w:r>
          </w:p>
        </w:tc>
      </w:tr>
      <w:tr>
        <w:trPr>
          <w:trHeight w:val="240" w:hRule="atLeast"/>
        </w:trPr>
        <w:tc>
          <w:tcPr>
            <w:tcW w:w="461" w:type="dxa"/>
            <w:tcBorders/>
            <w:vAlign w:val="center"/>
          </w:tcPr>
          <w:p>
            <w:pPr>
              <w:pStyle w:val="TableContents"/>
              <w:bidi w:val="0"/>
              <w:spacing w:before="0" w:after="283"/>
              <w:jc w:val="left"/>
              <w:rPr>
                <w:sz w:val="4"/>
                <w:szCs w:val="4"/>
              </w:rPr>
            </w:pPr>
            <w:r>
              <w:rPr>
                <w:sz w:val="4"/>
                <w:szCs w:val="4"/>
              </w:rPr>
            </w:r>
          </w:p>
        </w:tc>
        <w:tc>
          <w:tcPr>
            <w:tcW w:w="3621" w:type="dxa"/>
            <w:gridSpan w:val="2"/>
            <w:tcBorders/>
            <w:vAlign w:val="center"/>
          </w:tcPr>
          <w:p>
            <w:pPr>
              <w:pStyle w:val="TableContents"/>
              <w:bidi w:val="0"/>
              <w:spacing w:before="0" w:after="283"/>
              <w:jc w:val="left"/>
              <w:rPr>
                <w:sz w:val="4"/>
                <w:szCs w:val="4"/>
              </w:rPr>
            </w:pPr>
            <w:r>
              <w:rPr>
                <w:sz w:val="4"/>
                <w:szCs w:val="4"/>
              </w:rPr>
            </w:r>
          </w:p>
        </w:tc>
      </w:tr>
      <w:tr>
        <w:trPr/>
        <w:tc>
          <w:tcPr>
            <w:tcW w:w="461" w:type="dxa"/>
            <w:tcBorders/>
          </w:tcPr>
          <w:p>
            <w:pPr>
              <w:pStyle w:val="TableContents"/>
              <w:bidi w:val="0"/>
              <w:spacing w:before="0" w:after="283"/>
              <w:jc w:val="left"/>
              <w:rPr/>
            </w:pPr>
            <w:r>
              <w:rPr/>
              <w:t>By:</w:t>
            </w:r>
          </w:p>
        </w:tc>
        <w:tc>
          <w:tcPr>
            <w:tcW w:w="78" w:type="dxa"/>
            <w:tcBorders/>
            <w:vAlign w:val="bottom"/>
          </w:tcPr>
          <w:p>
            <w:pPr>
              <w:pStyle w:val="TableContents"/>
              <w:bidi w:val="0"/>
              <w:spacing w:before="0" w:after="283"/>
              <w:jc w:val="left"/>
              <w:rPr/>
            </w:pPr>
            <w:r>
              <w:rPr/>
              <w:t> </w:t>
            </w:r>
          </w:p>
        </w:tc>
        <w:tc>
          <w:tcPr>
            <w:tcW w:w="3543" w:type="dxa"/>
            <w:tcBorders/>
          </w:tcPr>
          <w:p>
            <w:pPr>
              <w:pStyle w:val="TableContents"/>
              <w:pBdr>
                <w:bottom w:val="single" w:sz="2" w:space="1" w:color="000000"/>
              </w:pBdr>
              <w:bidi w:val="0"/>
              <w:spacing w:before="0" w:after="20"/>
              <w:jc w:val="left"/>
              <w:rPr/>
            </w:pPr>
            <w:r>
              <w:rPr/>
              <w:t>   </w:t>
            </w:r>
          </w:p>
        </w:tc>
      </w:tr>
      <w:tr>
        <w:trPr/>
        <w:tc>
          <w:tcPr>
            <w:tcW w:w="461" w:type="dxa"/>
            <w:tcBorders/>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3543" w:type="dxa"/>
            <w:tcBorders/>
          </w:tcPr>
          <w:p>
            <w:pPr>
              <w:pStyle w:val="TableContents"/>
              <w:bidi w:val="0"/>
              <w:spacing w:before="0" w:after="283"/>
              <w:jc w:val="left"/>
              <w:rPr/>
            </w:pPr>
            <w:r>
              <w:rPr/>
              <w:t>Name:</w:t>
            </w:r>
          </w:p>
        </w:tc>
      </w:tr>
      <w:tr>
        <w:trPr/>
        <w:tc>
          <w:tcPr>
            <w:tcW w:w="461" w:type="dxa"/>
            <w:tcBorders/>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3543"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89"/>
        <w:gridCol w:w="118"/>
        <w:gridCol w:w="348"/>
        <w:gridCol w:w="118"/>
        <w:gridCol w:w="577"/>
        <w:gridCol w:w="147"/>
        <w:gridCol w:w="4408"/>
      </w:tblGrid>
      <w:tr>
        <w:trPr/>
        <w:tc>
          <w:tcPr>
            <w:tcW w:w="4489"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4408" w:type="dxa"/>
            <w:tcBorders/>
            <w:vAlign w:val="center"/>
          </w:tcPr>
          <w:p>
            <w:pPr>
              <w:pStyle w:val="TableContents"/>
              <w:bidi w:val="0"/>
              <w:spacing w:before="0" w:after="283"/>
              <w:jc w:val="left"/>
              <w:rPr>
                <w:sz w:val="4"/>
                <w:szCs w:val="4"/>
              </w:rPr>
            </w:pPr>
            <w:r>
              <w:rPr>
                <w:sz w:val="4"/>
                <w:szCs w:val="4"/>
              </w:rPr>
            </w:r>
          </w:p>
        </w:tc>
      </w:tr>
      <w:tr>
        <w:trPr/>
        <w:tc>
          <w:tcPr>
            <w:tcW w:w="4489" w:type="dxa"/>
            <w:tcBorders/>
          </w:tcPr>
          <w:p>
            <w:pPr>
              <w:pStyle w:val="TableContents"/>
              <w:bidi w:val="0"/>
              <w:spacing w:before="0" w:after="283"/>
              <w:jc w:val="left"/>
              <w:rPr/>
            </w:pPr>
            <w:r>
              <w:rPr/>
              <w:t>Incremental Loan Commitment</w:t>
            </w:r>
          </w:p>
        </w:tc>
        <w:tc>
          <w:tcPr>
            <w:tcW w:w="118" w:type="dxa"/>
            <w:tcBorders/>
            <w:vAlign w:val="bottom"/>
          </w:tcPr>
          <w:p>
            <w:pPr>
              <w:pStyle w:val="TableContents"/>
              <w:bidi w:val="0"/>
              <w:spacing w:before="0" w:after="283"/>
              <w:jc w:val="left"/>
              <w:rPr/>
            </w:pPr>
            <w:r>
              <w:rPr/>
              <w:t> </w:t>
            </w:r>
          </w:p>
        </w:tc>
        <w:tc>
          <w:tcPr>
            <w:tcW w:w="34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132" w:type="dxa"/>
            <w:gridSpan w:val="3"/>
            <w:tcBorders/>
          </w:tcPr>
          <w:p>
            <w:pPr>
              <w:pStyle w:val="TableContents"/>
              <w:bidi w:val="0"/>
              <w:spacing w:before="0" w:after="283"/>
              <w:jc w:val="left"/>
              <w:rPr/>
            </w:pPr>
            <w:r>
              <w:rPr/>
              <w:t>[NAME OF EACH INCREMENTAL LENDER]</w:t>
            </w:r>
          </w:p>
        </w:tc>
      </w:tr>
      <w:tr>
        <w:trPr/>
        <w:tc>
          <w:tcPr>
            <w:tcW w:w="4489" w:type="dxa"/>
            <w:tcBorders/>
          </w:tcPr>
          <w:p>
            <w:pPr>
              <w:pStyle w:val="TableContents"/>
              <w:bidi w:val="0"/>
              <w:spacing w:before="0" w:after="283"/>
              <w:jc w:val="left"/>
              <w:rPr/>
            </w:pPr>
            <w:r>
              <w:rPr/>
              <w:t>$</w:t>
            </w:r>
          </w:p>
        </w:tc>
        <w:tc>
          <w:tcPr>
            <w:tcW w:w="118" w:type="dxa"/>
            <w:tcBorders/>
            <w:vAlign w:val="bottom"/>
          </w:tcPr>
          <w:p>
            <w:pPr>
              <w:pStyle w:val="TableContents"/>
              <w:bidi w:val="0"/>
              <w:spacing w:before="0" w:after="283"/>
              <w:jc w:val="left"/>
              <w:rPr/>
            </w:pPr>
            <w:r>
              <w:rPr/>
              <w:t> </w:t>
            </w:r>
          </w:p>
        </w:tc>
        <w:tc>
          <w:tcPr>
            <w:tcW w:w="34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77" w:type="dxa"/>
            <w:tcBorders/>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sz w:val="4"/>
                <w:szCs w:val="4"/>
              </w:rPr>
            </w:pPr>
            <w:r>
              <w:rPr>
                <w:sz w:val="4"/>
                <w:szCs w:val="4"/>
              </w:rPr>
            </w:r>
          </w:p>
        </w:tc>
      </w:tr>
      <w:tr>
        <w:trPr/>
        <w:tc>
          <w:tcPr>
            <w:tcW w:w="448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4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77" w:type="dxa"/>
            <w:tcBorders/>
          </w:tcPr>
          <w:p>
            <w:pPr>
              <w:pStyle w:val="TableContents"/>
              <w:bidi w:val="0"/>
              <w:spacing w:before="0" w:after="283"/>
              <w:jc w:val="left"/>
              <w:rPr/>
            </w:pPr>
            <w:r>
              <w:rPr/>
              <w:t>By:</w:t>
            </w:r>
          </w:p>
        </w:tc>
        <w:tc>
          <w:tcPr>
            <w:tcW w:w="147" w:type="dxa"/>
            <w:tcBorders/>
            <w:vAlign w:val="bottom"/>
          </w:tcPr>
          <w:p>
            <w:pPr>
              <w:pStyle w:val="TableContents"/>
              <w:bidi w:val="0"/>
              <w:spacing w:before="0" w:after="283"/>
              <w:jc w:val="left"/>
              <w:rPr/>
            </w:pPr>
            <w:r>
              <w:rPr/>
              <w:t> </w:t>
            </w:r>
          </w:p>
        </w:tc>
        <w:tc>
          <w:tcPr>
            <w:tcW w:w="4408" w:type="dxa"/>
            <w:tcBorders/>
          </w:tcPr>
          <w:p>
            <w:pPr>
              <w:pStyle w:val="TableContents"/>
              <w:pBdr>
                <w:bottom w:val="single" w:sz="2" w:space="1" w:color="000000"/>
              </w:pBdr>
              <w:bidi w:val="0"/>
              <w:spacing w:before="0" w:after="20"/>
              <w:jc w:val="left"/>
              <w:rPr/>
            </w:pPr>
            <w:r>
              <w:rPr/>
              <w:t>   </w:t>
            </w:r>
          </w:p>
        </w:tc>
      </w:tr>
      <w:tr>
        <w:trPr/>
        <w:tc>
          <w:tcPr>
            <w:tcW w:w="448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4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77" w:type="dxa"/>
            <w:tcBorders/>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Name:</w:t>
            </w:r>
          </w:p>
        </w:tc>
      </w:tr>
      <w:tr>
        <w:trPr/>
        <w:tc>
          <w:tcPr>
            <w:tcW w:w="448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4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77" w:type="dxa"/>
            <w:tcBorders/>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4408"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76"/>
        <w:gridCol w:w="79"/>
        <w:gridCol w:w="3427"/>
      </w:tblGrid>
      <w:tr>
        <w:trPr/>
        <w:tc>
          <w:tcPr>
            <w:tcW w:w="576"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34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RECEIVED BY:</w:t>
            </w:r>
          </w:p>
        </w:tc>
      </w:tr>
      <w:tr>
        <w:trPr/>
        <w:tc>
          <w:tcPr>
            <w:tcW w:w="4082" w:type="dxa"/>
            <w:gridSpan w:val="3"/>
            <w:tcBorders/>
          </w:tcPr>
          <w:p>
            <w:pPr>
              <w:pStyle w:val="TableContents"/>
              <w:bidi w:val="0"/>
              <w:spacing w:before="0" w:after="283"/>
              <w:jc w:val="left"/>
              <w:rPr/>
            </w:pPr>
            <w:r>
              <w:rPr/>
              <w:t>JPMorgan Chase Bank, N.A.,</w:t>
            </w:r>
          </w:p>
        </w:tc>
      </w:tr>
      <w:tr>
        <w:trPr/>
        <w:tc>
          <w:tcPr>
            <w:tcW w:w="4082" w:type="dxa"/>
            <w:gridSpan w:val="3"/>
            <w:tcBorders/>
          </w:tcPr>
          <w:p>
            <w:pPr>
              <w:pStyle w:val="TableContents"/>
              <w:bidi w:val="0"/>
              <w:spacing w:before="0" w:after="283"/>
              <w:jc w:val="left"/>
              <w:rPr/>
            </w:pPr>
            <w:r>
              <w:rPr/>
              <w:t>as Administrative Agent</w:t>
            </w:r>
          </w:p>
        </w:tc>
      </w:tr>
      <w:tr>
        <w:trPr>
          <w:trHeight w:val="240" w:hRule="atLeast"/>
        </w:trPr>
        <w:tc>
          <w:tcPr>
            <w:tcW w:w="576" w:type="dxa"/>
            <w:tcBorders/>
            <w:vAlign w:val="center"/>
          </w:tcPr>
          <w:p>
            <w:pPr>
              <w:pStyle w:val="TableContents"/>
              <w:bidi w:val="0"/>
              <w:spacing w:before="0" w:after="283"/>
              <w:jc w:val="left"/>
              <w:rPr>
                <w:sz w:val="4"/>
                <w:szCs w:val="4"/>
              </w:rPr>
            </w:pPr>
            <w:r>
              <w:rPr>
                <w:sz w:val="4"/>
                <w:szCs w:val="4"/>
              </w:rPr>
            </w:r>
          </w:p>
        </w:tc>
        <w:tc>
          <w:tcPr>
            <w:tcW w:w="3506" w:type="dxa"/>
            <w:gridSpan w:val="2"/>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283"/>
              <w:jc w:val="left"/>
              <w:rPr/>
            </w:pPr>
            <w:r>
              <w:rPr/>
              <w:t>By:</w:t>
            </w:r>
          </w:p>
        </w:tc>
        <w:tc>
          <w:tcPr>
            <w:tcW w:w="79" w:type="dxa"/>
            <w:tcBorders/>
            <w:vAlign w:val="bottom"/>
          </w:tcPr>
          <w:p>
            <w:pPr>
              <w:pStyle w:val="TableContents"/>
              <w:bidi w:val="0"/>
              <w:spacing w:before="0" w:after="283"/>
              <w:jc w:val="left"/>
              <w:rPr/>
            </w:pPr>
            <w:r>
              <w:rPr/>
              <w:t> </w:t>
            </w:r>
          </w:p>
        </w:tc>
        <w:tc>
          <w:tcPr>
            <w:tcW w:w="3427" w:type="dxa"/>
            <w:tcBorders/>
          </w:tcPr>
          <w:p>
            <w:pPr>
              <w:pStyle w:val="TableContents"/>
              <w:pBdr>
                <w:bottom w:val="single" w:sz="2" w:space="1" w:color="000000"/>
              </w:pBdr>
              <w:bidi w:val="0"/>
              <w:spacing w:before="0" w:after="20"/>
              <w:jc w:val="left"/>
              <w:rPr/>
            </w:pPr>
            <w:r>
              <w:rPr/>
              <w:t>   </w:t>
            </w:r>
          </w:p>
        </w:tc>
      </w:tr>
      <w:tr>
        <w:trPr/>
        <w:tc>
          <w:tcPr>
            <w:tcW w:w="576" w:type="dxa"/>
            <w:tcBorders/>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3427" w:type="dxa"/>
            <w:tcBorders/>
          </w:tcPr>
          <w:p>
            <w:pPr>
              <w:pStyle w:val="TableContents"/>
              <w:bidi w:val="0"/>
              <w:spacing w:before="0" w:after="283"/>
              <w:jc w:val="left"/>
              <w:rPr/>
            </w:pPr>
            <w:r>
              <w:rPr/>
              <w:t>Name:</w:t>
            </w:r>
          </w:p>
        </w:tc>
      </w:tr>
      <w:tr>
        <w:trPr/>
        <w:tc>
          <w:tcPr>
            <w:tcW w:w="576" w:type="dxa"/>
            <w:tcBorders/>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pPr>
            <w:r>
              <w:rPr/>
              <w:t> </w:t>
            </w:r>
          </w:p>
        </w:tc>
        <w:tc>
          <w:tcPr>
            <w:tcW w:w="3427"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F   </w:t>
      </w:r>
    </w:p>
    <w:p>
      <w:pPr>
        <w:pStyle w:val="TextBody"/>
        <w:bidi w:val="0"/>
        <w:spacing w:before="0" w:after="0"/>
        <w:jc w:val="right"/>
        <w:rPr>
          <w:rFonts w:ascii="Times New Roman" w:hAnsi="Times New Roman"/>
          <w:b/>
          <w:sz w:val="20"/>
        </w:rPr>
      </w:pPr>
      <w:r>
        <w:rPr>
          <w:rFonts w:ascii="Times New Roman" w:hAnsi="Times New Roman"/>
          <w:b/>
          <w:sz w:val="20"/>
        </w:rPr>
        <w:t xml:space="preserve">to     </w:t>
      </w:r>
    </w:p>
    <w:p>
      <w:pPr>
        <w:pStyle w:val="TextBody"/>
        <w:bidi w:val="0"/>
        <w:spacing w:before="0" w:after="0"/>
        <w:jc w:val="right"/>
        <w:rPr>
          <w:rFonts w:ascii="Times New Roman" w:hAnsi="Times New Roman"/>
          <w:b/>
          <w:sz w:val="20"/>
        </w:rPr>
      </w:pPr>
      <w:r>
        <w:rPr>
          <w:rFonts w:ascii="Times New Roman" w:hAnsi="Times New Roman"/>
          <w:b/>
          <w:sz w:val="20"/>
        </w:rPr>
        <w:t xml:space="preserve">Credit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CLOSING CERTIFICATE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[NAME OF LOAN PARTY] </w:t>
      </w:r>
    </w:p>
    <w:p>
      <w:pPr>
        <w:pStyle w:val="TextBody"/>
        <w:bidi w:val="0"/>
        <w:spacing w:before="240" w:after="0"/>
        <w:jc w:val="right"/>
        <w:rPr>
          <w:rFonts w:ascii="Times New Roman" w:hAnsi="Times New Roman"/>
          <w:sz w:val="20"/>
        </w:rPr>
      </w:pPr>
      <w:r>
        <w:rPr>
          <w:rFonts w:ascii="Times New Roman" w:hAnsi="Times New Roman"/>
          <w:sz w:val="20"/>
        </w:rPr>
        <w:t xml:space="preserve">__________, 20__ </w:t>
      </w:r>
    </w:p>
    <w:p>
      <w:pPr>
        <w:pStyle w:val="TextBody"/>
        <w:bidi w:val="0"/>
        <w:spacing w:before="240" w:after="0"/>
        <w:jc w:val="left"/>
        <w:rPr>
          <w:rFonts w:ascii="Times New Roman" w:hAnsi="Times New Roman"/>
          <w:sz w:val="20"/>
        </w:rPr>
      </w:pPr>
      <w:r>
        <w:rPr>
          <w:rFonts w:ascii="Times New Roman" w:hAnsi="Times New Roman"/>
          <w:sz w:val="20"/>
        </w:rPr>
        <w:t>This Certificate is furnished pursuant to Section 5.1(c) of that certain Sixth Amended and Restated 364-Day Revolving Credit Agreement, dated as of March 28, 2024, as amended, restated, amended and restated, renewed, supplemented or modified from time to time (the </w:t>
      </w:r>
      <w:r>
        <w:rPr>
          <w:rFonts w:ascii="Times New Roman" w:hAnsi="Times New Roman"/>
          <w:sz w:val="20"/>
          <w:u w:val="single"/>
        </w:rPr>
        <w:t>Credit Agreement</w:t>
      </w:r>
      <w:r>
        <w:rPr>
          <w:rFonts w:ascii="Times New Roman" w:hAnsi="Times New Roman"/>
          <w:sz w:val="20"/>
        </w:rPr>
        <w:t>, among General Motors Company (together with its successors and permitted assigns, the </w:t>
      </w:r>
      <w:r>
        <w:rPr>
          <w:rFonts w:ascii="Times New Roman" w:hAnsi="Times New Roman"/>
          <w:sz w:val="20"/>
          <w:u w:val="single"/>
        </w:rPr>
        <w:t>Company</w:t>
      </w:r>
      <w:r>
        <w:rPr>
          <w:rFonts w:ascii="Times New Roman" w:hAnsi="Times New Roman"/>
          <w:sz w:val="20"/>
        </w:rPr>
        <w:t>), General Motors Financial Company, Inc., a Texas corporation, the Subsidiary Borrowers from time to time party thereto, the lenders from time to time party thereto, JPMorgan Chase Bank, N.A. as the Administrative Agent for the Lenders (the </w:t>
      </w:r>
      <w:r>
        <w:rPr>
          <w:rFonts w:ascii="Times New Roman" w:hAnsi="Times New Roman"/>
          <w:sz w:val="20"/>
          <w:u w:val="single"/>
        </w:rPr>
        <w:t>Administrative Agent</w:t>
      </w:r>
      <w:r>
        <w:rPr>
          <w:rFonts w:ascii="Times New Roman" w:hAnsi="Times New Roman"/>
          <w:sz w:val="20"/>
        </w:rPr>
        <w:t xml:space="preserve">), Citibank N.A. as syndication agent, Bank of America N.A. as co-syndication agent, and the other agents party thereto. Unless otherwise defined herein, capitalized terms used in this Certificate have the meanings assigned to such terms in the Credit Agreement. </w:t>
      </w:r>
    </w:p>
    <w:p>
      <w:pPr>
        <w:pStyle w:val="TextBody"/>
        <w:bidi w:val="0"/>
        <w:spacing w:before="240" w:after="0"/>
        <w:jc w:val="left"/>
        <w:rPr>
          <w:rFonts w:ascii="Times New Roman" w:hAnsi="Times New Roman"/>
          <w:sz w:val="20"/>
        </w:rPr>
      </w:pPr>
      <w:r>
        <w:rPr>
          <w:rFonts w:ascii="Times New Roman" w:hAnsi="Times New Roman"/>
          <w:sz w:val="20"/>
        </w:rPr>
        <w:t>I, the undersigned, [Assistant] Secretary of [the Company] [Name of Loan Party], a Delaware [corporation][limited liability company] (the </w:t>
      </w:r>
      <w:r>
        <w:rPr>
          <w:rFonts w:ascii="Times New Roman" w:hAnsi="Times New Roman"/>
          <w:sz w:val="20"/>
          <w:u w:val="single"/>
        </w:rPr>
        <w:t>Company</w:t>
      </w:r>
      <w:r>
        <w:rPr>
          <w:rFonts w:ascii="Times New Roman" w:hAnsi="Times New Roman"/>
          <w:sz w:val="20"/>
        </w:rPr>
        <w:t xml:space="preserve">)], do hereby certify, in the name and on behalf of the Company, and without assuming any personal liability, that: </w:t>
      </w:r>
    </w:p>
    <w:p>
      <w:pPr>
        <w:pStyle w:val="TextBody"/>
        <w:bidi w:val="0"/>
        <w:spacing w:before="240" w:after="0"/>
        <w:jc w:val="left"/>
        <w:rPr>
          <w:rFonts w:ascii="Times New Roman" w:hAnsi="Times New Roman"/>
          <w:sz w:val="20"/>
        </w:rPr>
      </w:pPr>
      <w:r>
        <w:rPr>
          <w:rFonts w:ascii="Times New Roman" w:hAnsi="Times New Roman"/>
          <w:sz w:val="20"/>
        </w:rPr>
        <w:t xml:space="preserve">1. Attached hereto as Annex I is a true and complete copy of the [Certificate of Incorporation][Certificate of Formation] of the Company as in effect of the date hereof. There have been no amendments to the [Certificate of Incorporation][Certificate of Formation] of the Company except for those attached in Annex I, if any, and no action has been taken by the Company, its [Board of Directors][Managers], or officers in contemplation of liquidation or dissolution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2. Attached hereto as Annex II is a true, correct and complete copy of the [by-laws][Limited Liability Company Agreement][Operating Agreement] of the Company as in effect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3. Attached hereto as Annex III is a true, correct and complete copy of resolutions duly adopted by the Board of [Directors] [Managers] of the Company [at a meeting thereof] [by written consent] as of the ___ day of ____________, 20__; such resolutions have not in any way been revoked, modified, amended, or rescinded, have been in full force and effect since their adoption to and including the date hereof, and are now in full force and effect, and are the only organizational proceedings of the Company now in force relating to or affecting the matters referred to therein, and the [Credit Agreement and the other] Loan Documents to which the Company is a party are in substantially the forms of those documents approved by the Board of [Directors] [Managers] of the Company [at such meeting].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The persons named in Annex IV attached hereto are now duly elected and duly qualified officers of the Company holding the offices set forth therein opposite their names and the signatures set forth therein opposite their names are their genuine signatures.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Witness my hand as of the first date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[Assistant]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I, the undersigned, [[Assistant] Secretary][Responsible Officer] of the Company, do hereby certify, in the name and on behalf of the Company, and without assuming any personal liability, that: </w:t>
      </w:r>
    </w:p>
    <w:p>
      <w:pPr>
        <w:pStyle w:val="TextBody"/>
        <w:bidi w:val="0"/>
        <w:spacing w:before="240" w:after="0"/>
        <w:jc w:val="left"/>
        <w:rPr>
          <w:rFonts w:ascii="Times New Roman" w:hAnsi="Times New Roman"/>
          <w:sz w:val="20"/>
        </w:rPr>
      </w:pPr>
      <w:r>
        <w:rPr>
          <w:rFonts w:ascii="Times New Roman" w:hAnsi="Times New Roman"/>
          <w:sz w:val="20"/>
        </w:rPr>
        <w:t xml:space="preserve">1. ___________________ is [a] [the] duly elected and qualified [Assistant] Secretary of the Company and the signature above is [his][her] genuine signature. </w:t>
      </w:r>
    </w:p>
    <w:p>
      <w:pPr>
        <w:pStyle w:val="TextBody"/>
        <w:bidi w:val="0"/>
        <w:spacing w:before="120" w:after="0"/>
        <w:jc w:val="left"/>
        <w:rPr>
          <w:rFonts w:ascii="Times New Roman" w:hAnsi="Times New Roman"/>
          <w:sz w:val="20"/>
        </w:rPr>
      </w:pPr>
      <w:r>
        <w:rPr>
          <w:rFonts w:ascii="Times New Roman" w:hAnsi="Times New Roman"/>
          <w:sz w:val="20"/>
        </w:rPr>
        <w:t xml:space="preserve">2. [The representations and warranties on the part of the Company contained in the Credit Agreement and the other Loan Documents are true and correct in all material respects on and as of the date hereof as though made on and as of the date hereof, except to the extent that any such representation and warranty expressly relates solely to an earlier date, in which case such representation and warranty was true and correct in all material respects on and as of such earlier date.]1 </w:t>
      </w:r>
    </w:p>
    <w:p>
      <w:pPr>
        <w:pStyle w:val="TextBody"/>
        <w:bidi w:val="0"/>
        <w:spacing w:before="120" w:after="0"/>
        <w:jc w:val="left"/>
        <w:rPr>
          <w:rFonts w:ascii="Times New Roman" w:hAnsi="Times New Roman"/>
          <w:sz w:val="20"/>
        </w:rPr>
      </w:pPr>
      <w:r>
        <w:rPr>
          <w:rFonts w:ascii="Times New Roman" w:hAnsi="Times New Roman"/>
          <w:sz w:val="20"/>
        </w:rPr>
        <w:t xml:space="preserve">3. [No Default or Event of Default has occurred and is continuing as of the date hereof.] 2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[[Assistant] Secretary][Responsible Officer of Company]</w:t>
            </w:r>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included in Certificate relating to General Motors Company only.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included in Certificate relating to General Motors Company only.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ANNEX I </w:t>
      </w:r>
    </w:p>
    <w:p>
      <w:pPr>
        <w:pStyle w:val="TextBody"/>
        <w:bidi w:val="0"/>
        <w:spacing w:before="0" w:after="0"/>
        <w:jc w:val="right"/>
        <w:rPr>
          <w:rFonts w:ascii="Times New Roman" w:hAnsi="Times New Roman"/>
          <w:sz w:val="20"/>
        </w:rPr>
      </w:pP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Certificate </w:t>
      </w:r>
    </w:p>
    <w:p>
      <w:pPr>
        <w:pStyle w:val="TextBody"/>
        <w:bidi w:val="0"/>
        <w:spacing w:before="240" w:after="0"/>
        <w:jc w:val="center"/>
        <w:rPr>
          <w:rFonts w:ascii="Times New Roman" w:hAnsi="Times New Roman"/>
          <w:sz w:val="20"/>
        </w:rPr>
      </w:pPr>
      <w:r>
        <w:rPr>
          <w:rFonts w:ascii="Times New Roman" w:hAnsi="Times New Roman"/>
          <w:sz w:val="20"/>
        </w:rPr>
        <w:t xml:space="preserve">[Copy of the Certificate of [Incorporation][Formation]] </w:t>
      </w:r>
    </w:p>
    <w:p>
      <w:pPr>
        <w:pStyle w:val="TextBody"/>
        <w:bidi w:val="0"/>
        <w:spacing w:before="0" w:after="0"/>
        <w:jc w:val="center"/>
        <w:rPr>
          <w:rFonts w:ascii="Times New Roman" w:hAnsi="Times New Roman"/>
          <w:sz w:val="20"/>
        </w:rPr>
      </w:pPr>
      <w:r>
        <w:rPr>
          <w:rFonts w:ascii="Times New Roman" w:hAnsi="Times New Roman"/>
          <w:sz w:val="20"/>
        </w:rPr>
        <w:t xml:space="preserve">of </w:t>
      </w:r>
    </w:p>
    <w:p>
      <w:pPr>
        <w:pStyle w:val="TextBody"/>
        <w:bidi w:val="0"/>
        <w:spacing w:before="0" w:after="0"/>
        <w:jc w:val="center"/>
        <w:rPr>
          <w:rFonts w:ascii="Times New Roman" w:hAnsi="Times New Roman"/>
          <w:sz w:val="20"/>
        </w:rPr>
      </w:pPr>
      <w:r>
        <w:rPr>
          <w:rFonts w:ascii="Times New Roman" w:hAnsi="Times New Roman"/>
          <w:sz w:val="20"/>
        </w:rPr>
        <w:t xml:space="preserve">[NAME OF LOAN PARTY]]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II </w:t>
      </w:r>
    </w:p>
    <w:p>
      <w:pPr>
        <w:pStyle w:val="TextBody"/>
        <w:bidi w:val="0"/>
        <w:spacing w:before="0" w:after="0"/>
        <w:jc w:val="right"/>
        <w:rPr>
          <w:rFonts w:ascii="Times New Roman" w:hAnsi="Times New Roman"/>
          <w:sz w:val="20"/>
        </w:rPr>
      </w:pP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Certificate </w:t>
      </w:r>
    </w:p>
    <w:p>
      <w:pPr>
        <w:pStyle w:val="TextBody"/>
        <w:bidi w:val="0"/>
        <w:spacing w:before="240" w:after="0"/>
        <w:jc w:val="center"/>
        <w:rPr>
          <w:rFonts w:ascii="Times New Roman" w:hAnsi="Times New Roman"/>
          <w:sz w:val="20"/>
        </w:rPr>
      </w:pPr>
      <w:r>
        <w:rPr>
          <w:rFonts w:ascii="Times New Roman" w:hAnsi="Times New Roman"/>
          <w:sz w:val="20"/>
        </w:rPr>
        <w:t xml:space="preserve">[Copy of the [by-laws] [Limited Liability Company Agreement][Operating Agreement] </w:t>
      </w:r>
    </w:p>
    <w:p>
      <w:pPr>
        <w:pStyle w:val="TextBody"/>
        <w:bidi w:val="0"/>
        <w:spacing w:before="0" w:after="0"/>
        <w:jc w:val="center"/>
        <w:rPr>
          <w:rFonts w:ascii="Times New Roman" w:hAnsi="Times New Roman"/>
          <w:sz w:val="20"/>
        </w:rPr>
      </w:pPr>
      <w:r>
        <w:rPr>
          <w:rFonts w:ascii="Times New Roman" w:hAnsi="Times New Roman"/>
          <w:sz w:val="20"/>
        </w:rPr>
        <w:t xml:space="preserve">of </w:t>
      </w:r>
    </w:p>
    <w:p>
      <w:pPr>
        <w:pStyle w:val="TextBody"/>
        <w:bidi w:val="0"/>
        <w:spacing w:before="0" w:after="0"/>
        <w:jc w:val="center"/>
        <w:rPr>
          <w:rFonts w:ascii="Times New Roman" w:hAnsi="Times New Roman"/>
          <w:sz w:val="20"/>
        </w:rPr>
      </w:pPr>
      <w:r>
        <w:rPr>
          <w:rFonts w:ascii="Times New Roman" w:hAnsi="Times New Roman"/>
          <w:sz w:val="20"/>
        </w:rPr>
        <w:t xml:space="preserve">[NAME OF LOAN PARTY]]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III </w:t>
      </w:r>
    </w:p>
    <w:p>
      <w:pPr>
        <w:pStyle w:val="TextBody"/>
        <w:bidi w:val="0"/>
        <w:spacing w:before="0" w:after="0"/>
        <w:jc w:val="right"/>
        <w:rPr>
          <w:rFonts w:ascii="Times New Roman" w:hAnsi="Times New Roman"/>
          <w:sz w:val="20"/>
        </w:rPr>
      </w:pP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 xml:space="preserve">Certificate </w:t>
      </w:r>
    </w:p>
    <w:p>
      <w:pPr>
        <w:pStyle w:val="TextBody"/>
        <w:bidi w:val="0"/>
        <w:spacing w:before="240" w:after="0"/>
        <w:jc w:val="center"/>
        <w:rPr>
          <w:rFonts w:ascii="Times New Roman" w:hAnsi="Times New Roman"/>
          <w:sz w:val="20"/>
        </w:rPr>
      </w:pPr>
      <w:r>
        <w:rPr>
          <w:rFonts w:ascii="Times New Roman" w:hAnsi="Times New Roman"/>
          <w:sz w:val="20"/>
        </w:rPr>
        <w:t xml:space="preserve">Resolutions of the Board of [Directors] [Managers] of [Name of Loan Party]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IV </w:t>
      </w:r>
    </w:p>
    <w:p>
      <w:pPr>
        <w:pStyle w:val="TextBody"/>
        <w:bidi w:val="0"/>
        <w:spacing w:before="0" w:after="0"/>
        <w:jc w:val="right"/>
        <w:rPr>
          <w:rFonts w:ascii="Times New Roman" w:hAnsi="Times New Roman"/>
          <w:sz w:val="20"/>
        </w:rPr>
      </w:pPr>
      <w:r>
        <w:rPr>
          <w:rFonts w:ascii="Times New Roman" w:hAnsi="Times New Roman"/>
          <w:sz w:val="20"/>
        </w:rPr>
        <w:t xml:space="preserve">to   </w:t>
      </w:r>
    </w:p>
    <w:p>
      <w:pPr>
        <w:pStyle w:val="TextBody"/>
        <w:bidi w:val="0"/>
        <w:spacing w:before="0" w:after="0"/>
        <w:jc w:val="right"/>
        <w:rPr>
          <w:rFonts w:ascii="Times New Roman" w:hAnsi="Times New Roman"/>
          <w:sz w:val="20"/>
        </w:rPr>
      </w:pPr>
      <w:r>
        <w:rPr>
          <w:rFonts w:ascii="Times New Roman" w:hAnsi="Times New Roman"/>
          <w:sz w:val="20"/>
        </w:rPr>
        <w:t>Certificate</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24"/>
        <w:gridCol w:w="120"/>
        <w:gridCol w:w="3195"/>
        <w:gridCol w:w="120"/>
        <w:gridCol w:w="3146"/>
      </w:tblGrid>
      <w:tr>
        <w:trPr/>
        <w:tc>
          <w:tcPr>
            <w:tcW w:w="362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46" w:type="dxa"/>
            <w:tcBorders/>
            <w:vAlign w:val="center"/>
          </w:tcPr>
          <w:p>
            <w:pPr>
              <w:pStyle w:val="TableContents"/>
              <w:bidi w:val="0"/>
              <w:spacing w:before="0" w:after="283"/>
              <w:jc w:val="left"/>
              <w:rPr>
                <w:sz w:val="4"/>
                <w:szCs w:val="4"/>
              </w:rPr>
            </w:pPr>
            <w:r>
              <w:rPr>
                <w:sz w:val="4"/>
                <w:szCs w:val="4"/>
              </w:rPr>
            </w:r>
          </w:p>
        </w:tc>
      </w:tr>
      <w:tr>
        <w:trPr/>
        <w:tc>
          <w:tcPr>
            <w:tcW w:w="362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Name of Officer</w:t>
            </w:r>
          </w:p>
        </w:tc>
        <w:tc>
          <w:tcPr>
            <w:tcW w:w="120" w:type="dxa"/>
            <w:tcBorders/>
            <w:vAlign w:val="bottom"/>
          </w:tcPr>
          <w:p>
            <w:pPr>
              <w:pStyle w:val="TableContents"/>
              <w:bidi w:val="0"/>
              <w:spacing w:before="0" w:after="283"/>
              <w:jc w:val="left"/>
              <w:rPr/>
            </w:pPr>
            <w:r>
              <w:rPr/>
              <w:t>  </w:t>
            </w:r>
          </w:p>
        </w:tc>
        <w:tc>
          <w:tcPr>
            <w:tcW w:w="31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Office</w:t>
            </w:r>
          </w:p>
        </w:tc>
        <w:tc>
          <w:tcPr>
            <w:tcW w:w="120" w:type="dxa"/>
            <w:tcBorders/>
            <w:vAlign w:val="bottom"/>
          </w:tcPr>
          <w:p>
            <w:pPr>
              <w:pStyle w:val="TableContents"/>
              <w:bidi w:val="0"/>
              <w:spacing w:before="0" w:after="283"/>
              <w:jc w:val="left"/>
              <w:rPr/>
            </w:pPr>
            <w:r>
              <w:rPr/>
              <w:t>  </w:t>
            </w:r>
          </w:p>
        </w:tc>
        <w:tc>
          <w:tcPr>
            <w:tcW w:w="314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Signature</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G  </w:t>
      </w:r>
    </w:p>
    <w:p>
      <w:pPr>
        <w:pStyle w:val="TextBody"/>
        <w:bidi w:val="0"/>
        <w:spacing w:before="0" w:after="0"/>
        <w:jc w:val="right"/>
        <w:rPr>
          <w:rFonts w:ascii="Times New Roman" w:hAnsi="Times New Roman"/>
          <w:b/>
          <w:sz w:val="20"/>
        </w:rPr>
      </w:pPr>
      <w:r>
        <w:rPr>
          <w:rFonts w:ascii="Times New Roman" w:hAnsi="Times New Roman"/>
          <w:b/>
          <w:sz w:val="20"/>
        </w:rPr>
        <w:t xml:space="preserve">to    </w:t>
      </w:r>
    </w:p>
    <w:p>
      <w:pPr>
        <w:pStyle w:val="TextBody"/>
        <w:bidi w:val="0"/>
        <w:spacing w:before="0" w:after="0"/>
        <w:jc w:val="right"/>
        <w:rPr>
          <w:rFonts w:ascii="Times New Roman" w:hAnsi="Times New Roman"/>
          <w:b/>
          <w:sz w:val="20"/>
        </w:rPr>
      </w:pPr>
      <w:r>
        <w:rPr>
          <w:rFonts w:ascii="Times New Roman" w:hAnsi="Times New Roman"/>
          <w:b/>
          <w:sz w:val="20"/>
        </w:rPr>
        <w:t xml:space="preserve">Credit Agreement </w:t>
      </w:r>
    </w:p>
    <w:p>
      <w:pPr>
        <w:pStyle w:val="TextBody"/>
        <w:bidi w:val="0"/>
        <w:spacing w:before="240" w:after="0"/>
        <w:jc w:val="center"/>
        <w:rPr>
          <w:rFonts w:ascii="Times New Roman" w:hAnsi="Times New Roman"/>
          <w:sz w:val="20"/>
        </w:rPr>
      </w:pPr>
      <w:r>
        <w:rPr>
          <w:rFonts w:ascii="Times New Roman" w:hAnsi="Times New Roman"/>
          <w:b/>
          <w:sz w:val="20"/>
        </w:rPr>
        <w:t>FORM OF ASSIGNMENT AND</w:t>
      </w:r>
      <w:r>
        <w:rPr>
          <w:rFonts w:ascii="Times New Roman" w:hAnsi="Times New Roman"/>
          <w:sz w:val="20"/>
        </w:rPr>
        <w:t xml:space="preserve"> </w:t>
      </w:r>
      <w:r>
        <w:rPr>
          <w:rFonts w:ascii="Times New Roman" w:hAnsi="Times New Roman"/>
          <w:b/>
          <w:sz w:val="20"/>
        </w:rPr>
        <w:t xml:space="preserve">ASSUMPTION </w:t>
      </w:r>
    </w:p>
    <w:p>
      <w:pPr>
        <w:pStyle w:val="TextBody"/>
        <w:bidi w:val="0"/>
        <w:spacing w:before="240" w:after="0"/>
        <w:jc w:val="left"/>
        <w:rPr>
          <w:rFonts w:ascii="Times New Roman" w:hAnsi="Times New Roman"/>
          <w:sz w:val="20"/>
        </w:rPr>
      </w:pPr>
      <w:r>
        <w:rPr>
          <w:rFonts w:ascii="Times New Roman" w:hAnsi="Times New Roman"/>
          <w:sz w:val="20"/>
        </w:rPr>
        <w:t>This Assignment and Assumption (the </w:t>
      </w:r>
      <w:r>
        <w:rPr>
          <w:rFonts w:ascii="Times New Roman" w:hAnsi="Times New Roman"/>
          <w:b/>
          <w:sz w:val="20"/>
        </w:rPr>
        <w:t>Assignment and Assumption</w:t>
      </w:r>
      <w:r>
        <w:rPr>
          <w:rFonts w:ascii="Times New Roman" w:hAnsi="Times New Roman"/>
          <w:sz w:val="20"/>
        </w:rPr>
        <w:t>) is dated as of the Effective Date set forth below and is entered into by and between [</w:t>
      </w:r>
      <w:r>
        <w:rPr>
          <w:rFonts w:ascii="Times New Roman" w:hAnsi="Times New Roman"/>
          <w:i/>
          <w:sz w:val="20"/>
        </w:rPr>
        <w:t>Insert name of Assignor</w:t>
      </w:r>
      <w:r>
        <w:rPr>
          <w:rFonts w:ascii="Times New Roman" w:hAnsi="Times New Roman"/>
          <w:sz w:val="20"/>
        </w:rPr>
        <w:t>] (the </w:t>
      </w:r>
      <w:r>
        <w:rPr>
          <w:rFonts w:ascii="Times New Roman" w:hAnsi="Times New Roman"/>
          <w:b/>
          <w:sz w:val="20"/>
        </w:rPr>
        <w:t>Assignor</w:t>
      </w:r>
      <w:r>
        <w:rPr>
          <w:rFonts w:ascii="Times New Roman" w:hAnsi="Times New Roman"/>
          <w:sz w:val="20"/>
        </w:rPr>
        <w:t>) and [</w:t>
      </w:r>
      <w:r>
        <w:rPr>
          <w:rFonts w:ascii="Times New Roman" w:hAnsi="Times New Roman"/>
          <w:i/>
          <w:sz w:val="20"/>
        </w:rPr>
        <w:t>Insert name of Assignee</w:t>
      </w:r>
      <w:r>
        <w:rPr>
          <w:rFonts w:ascii="Times New Roman" w:hAnsi="Times New Roman"/>
          <w:sz w:val="20"/>
        </w:rPr>
        <w:t>] (the </w:t>
      </w:r>
      <w:r>
        <w:rPr>
          <w:rFonts w:ascii="Times New Roman" w:hAnsi="Times New Roman"/>
          <w:b/>
          <w:sz w:val="20"/>
        </w:rPr>
        <w:t>Assignee</w:t>
      </w:r>
      <w:r>
        <w:rPr>
          <w:rFonts w:ascii="Times New Roman" w:hAnsi="Times New Roman"/>
          <w:sz w:val="20"/>
        </w:rPr>
        <w:t>). Capitalized terms used but not defined herein shall have the meanings given to them in the Credit Agreement identified below (as amended, supplemented or otherwise modified from time to time, the </w:t>
      </w:r>
      <w:r>
        <w:rPr>
          <w:rFonts w:ascii="Times New Roman" w:hAnsi="Times New Roman"/>
          <w:b/>
          <w:sz w:val="20"/>
        </w:rPr>
        <w:t>Credit Agreement</w:t>
      </w:r>
      <w:r>
        <w:rPr>
          <w:rFonts w:ascii="Times New Roman" w:hAnsi="Times New Roman"/>
          <w:sz w:val="20"/>
        </w:rPr>
        <w:t xml:space="preserve">), receipt of a copy of which is hereby acknowledged by the Assignee. The Standard Terms and Conditions set forth in Annex 1 attached hereto are hereby agreed to and incorporated herein by reference and made a part of this Assignment and Assumption as if set forth herein in full. </w:t>
      </w:r>
    </w:p>
    <w:p>
      <w:pPr>
        <w:pStyle w:val="TextBody"/>
        <w:bidi w:val="0"/>
        <w:spacing w:before="240" w:after="0"/>
        <w:jc w:val="left"/>
        <w:rPr>
          <w:rFonts w:ascii="Times New Roman" w:hAnsi="Times New Roman"/>
          <w:sz w:val="20"/>
        </w:rPr>
      </w:pPr>
      <w:r>
        <w:rPr>
          <w:rFonts w:ascii="Times New Roman" w:hAnsi="Times New Roman"/>
          <w:sz w:val="20"/>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hAnsi="Times New Roman"/>
          <w:b/>
          <w:sz w:val="20"/>
        </w:rPr>
        <w:t>Assigned Interest</w:t>
      </w:r>
      <w:r>
        <w:rPr>
          <w:rFonts w:ascii="Times New Roman" w:hAnsi="Times New Roman"/>
          <w:sz w:val="20"/>
        </w:rPr>
        <w:t xml:space="preserve">). Such sale and assignment is without recourse to the Assignor and, except as expressly provided in this Assignment and Assumption, without representation or warranty by the Assignor.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0"/>
        <w:gridCol w:w="123"/>
        <w:gridCol w:w="1483"/>
        <w:gridCol w:w="123"/>
        <w:gridCol w:w="8156"/>
      </w:tblGrid>
      <w:tr>
        <w:trPr/>
        <w:tc>
          <w:tcPr>
            <w:tcW w:w="32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156" w:type="dxa"/>
            <w:tcBorders/>
            <w:vAlign w:val="center"/>
          </w:tcPr>
          <w:p>
            <w:pPr>
              <w:pStyle w:val="TableContents"/>
              <w:bidi w:val="0"/>
              <w:spacing w:before="0" w:after="283"/>
              <w:jc w:val="left"/>
              <w:rPr>
                <w:sz w:val="4"/>
                <w:szCs w:val="4"/>
              </w:rPr>
            </w:pPr>
            <w:r>
              <w:rPr>
                <w:sz w:val="4"/>
                <w:szCs w:val="4"/>
              </w:rPr>
            </w:r>
          </w:p>
        </w:tc>
      </w:tr>
      <w:tr>
        <w:trPr/>
        <w:tc>
          <w:tcPr>
            <w:tcW w:w="320" w:type="dxa"/>
            <w:tcBorders/>
          </w:tcPr>
          <w:p>
            <w:pPr>
              <w:pStyle w:val="TableContents"/>
              <w:bidi w:val="0"/>
              <w:spacing w:before="0" w:after="283"/>
              <w:jc w:val="left"/>
              <w:rPr/>
            </w:pPr>
            <w:r>
              <w:rPr/>
              <w:t>1.</w:t>
            </w:r>
          </w:p>
        </w:tc>
        <w:tc>
          <w:tcPr>
            <w:tcW w:w="123" w:type="dxa"/>
            <w:tcBorders/>
            <w:vAlign w:val="bottom"/>
          </w:tcPr>
          <w:p>
            <w:pPr>
              <w:pStyle w:val="TableContents"/>
              <w:bidi w:val="0"/>
              <w:spacing w:before="0" w:after="283"/>
              <w:jc w:val="left"/>
              <w:rPr/>
            </w:pPr>
            <w:r>
              <w:rPr/>
              <w:t>  </w:t>
            </w:r>
          </w:p>
        </w:tc>
        <w:tc>
          <w:tcPr>
            <w:tcW w:w="1483" w:type="dxa"/>
            <w:tcBorders/>
          </w:tcPr>
          <w:p>
            <w:pPr>
              <w:pStyle w:val="TableContents"/>
              <w:bidi w:val="0"/>
              <w:spacing w:before="0" w:after="283"/>
              <w:jc w:val="left"/>
              <w:rPr/>
            </w:pPr>
            <w:r>
              <w:rPr/>
              <w:t>Assignor:</w:t>
            </w:r>
          </w:p>
        </w:tc>
        <w:tc>
          <w:tcPr>
            <w:tcW w:w="123" w:type="dxa"/>
            <w:tcBorders/>
            <w:vAlign w:val="bottom"/>
          </w:tcPr>
          <w:p>
            <w:pPr>
              <w:pStyle w:val="TableContents"/>
              <w:bidi w:val="0"/>
              <w:spacing w:before="0" w:after="283"/>
              <w:jc w:val="left"/>
              <w:rPr/>
            </w:pPr>
            <w:r>
              <w:rPr/>
              <w:t>  </w:t>
            </w:r>
          </w:p>
        </w:tc>
        <w:tc>
          <w:tcPr>
            <w:tcW w:w="8156" w:type="dxa"/>
            <w:tcBorders/>
          </w:tcPr>
          <w:p>
            <w:pPr>
              <w:pStyle w:val="TableContents"/>
              <w:bidi w:val="0"/>
              <w:spacing w:before="0" w:after="283"/>
              <w:jc w:val="left"/>
              <w:rPr>
                <w:u w:val="single"/>
              </w:rPr>
            </w:pPr>
            <w:r>
              <w:rPr>
                <w:u w:val="single"/>
              </w:rPr>
              <w:t>                   </w:t>
            </w:r>
          </w:p>
        </w:tc>
      </w:tr>
      <w:tr>
        <w:trPr>
          <w:trHeight w:val="120" w:hRule="atLeast"/>
        </w:trPr>
        <w:tc>
          <w:tcPr>
            <w:tcW w:w="320" w:type="dxa"/>
            <w:tcBorders/>
            <w:vAlign w:val="center"/>
          </w:tcPr>
          <w:p>
            <w:pPr>
              <w:pStyle w:val="TableContents"/>
              <w:bidi w:val="0"/>
              <w:spacing w:before="0" w:after="283"/>
              <w:jc w:val="left"/>
              <w:rPr>
                <w:sz w:val="4"/>
                <w:szCs w:val="4"/>
              </w:rPr>
            </w:pPr>
            <w:r>
              <w:rPr>
                <w:sz w:val="4"/>
                <w:szCs w:val="4"/>
              </w:rPr>
            </w:r>
          </w:p>
        </w:tc>
        <w:tc>
          <w:tcPr>
            <w:tcW w:w="1606" w:type="dxa"/>
            <w:gridSpan w:val="2"/>
            <w:tcBorders/>
            <w:vAlign w:val="center"/>
          </w:tcPr>
          <w:p>
            <w:pPr>
              <w:pStyle w:val="TableContents"/>
              <w:bidi w:val="0"/>
              <w:spacing w:before="0" w:after="283"/>
              <w:jc w:val="left"/>
              <w:rPr>
                <w:sz w:val="4"/>
                <w:szCs w:val="4"/>
              </w:rPr>
            </w:pPr>
            <w:r>
              <w:rPr>
                <w:sz w:val="4"/>
                <w:szCs w:val="4"/>
              </w:rPr>
            </w:r>
          </w:p>
        </w:tc>
        <w:tc>
          <w:tcPr>
            <w:tcW w:w="8279" w:type="dxa"/>
            <w:gridSpan w:val="2"/>
            <w:tcBorders/>
            <w:vAlign w:val="center"/>
          </w:tcPr>
          <w:p>
            <w:pPr>
              <w:pStyle w:val="TableContents"/>
              <w:bidi w:val="0"/>
              <w:spacing w:before="0" w:after="283"/>
              <w:jc w:val="left"/>
              <w:rPr>
                <w:sz w:val="4"/>
                <w:szCs w:val="4"/>
              </w:rPr>
            </w:pPr>
            <w:r>
              <w:rPr>
                <w:sz w:val="4"/>
                <w:szCs w:val="4"/>
              </w:rPr>
            </w:r>
          </w:p>
        </w:tc>
      </w:tr>
      <w:tr>
        <w:trPr/>
        <w:tc>
          <w:tcPr>
            <w:tcW w:w="320" w:type="dxa"/>
            <w:tcBorders/>
          </w:tcPr>
          <w:p>
            <w:pPr>
              <w:pStyle w:val="TableContents"/>
              <w:bidi w:val="0"/>
              <w:spacing w:before="0" w:after="283"/>
              <w:jc w:val="left"/>
              <w:rPr/>
            </w:pPr>
            <w:r>
              <w:rPr/>
              <w:t>2.</w:t>
            </w:r>
          </w:p>
        </w:tc>
        <w:tc>
          <w:tcPr>
            <w:tcW w:w="123" w:type="dxa"/>
            <w:tcBorders/>
            <w:vAlign w:val="bottom"/>
          </w:tcPr>
          <w:p>
            <w:pPr>
              <w:pStyle w:val="TableContents"/>
              <w:bidi w:val="0"/>
              <w:spacing w:before="0" w:after="283"/>
              <w:jc w:val="left"/>
              <w:rPr/>
            </w:pPr>
            <w:r>
              <w:rPr/>
              <w:t>  </w:t>
            </w:r>
          </w:p>
        </w:tc>
        <w:tc>
          <w:tcPr>
            <w:tcW w:w="1483" w:type="dxa"/>
            <w:tcBorders/>
          </w:tcPr>
          <w:p>
            <w:pPr>
              <w:pStyle w:val="TableContents"/>
              <w:bidi w:val="0"/>
              <w:spacing w:before="0" w:after="283"/>
              <w:jc w:val="left"/>
              <w:rPr/>
            </w:pPr>
            <w:r>
              <w:rPr/>
              <w:t>Assignee:</w:t>
            </w:r>
          </w:p>
        </w:tc>
        <w:tc>
          <w:tcPr>
            <w:tcW w:w="123" w:type="dxa"/>
            <w:tcBorders/>
            <w:vAlign w:val="bottom"/>
          </w:tcPr>
          <w:p>
            <w:pPr>
              <w:pStyle w:val="TableContents"/>
              <w:bidi w:val="0"/>
              <w:spacing w:before="0" w:after="283"/>
              <w:jc w:val="left"/>
              <w:rPr/>
            </w:pPr>
            <w:r>
              <w:rPr/>
              <w:t>  </w:t>
            </w:r>
          </w:p>
        </w:tc>
        <w:tc>
          <w:tcPr>
            <w:tcW w:w="8156" w:type="dxa"/>
            <w:tcBorders/>
          </w:tcPr>
          <w:p>
            <w:pPr>
              <w:pStyle w:val="TableContents"/>
              <w:bidi w:val="0"/>
              <w:spacing w:before="0" w:after="283"/>
              <w:jc w:val="left"/>
              <w:rPr>
                <w:u w:val="single"/>
              </w:rPr>
            </w:pPr>
            <w:r>
              <w:rPr>
                <w:u w:val="single"/>
              </w:rPr>
              <w:t>                   </w:t>
            </w:r>
          </w:p>
        </w:tc>
      </w:tr>
      <w:tr>
        <w:trPr/>
        <w:tc>
          <w:tcPr>
            <w:tcW w:w="32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8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156" w:type="dxa"/>
            <w:tcBorders/>
          </w:tcPr>
          <w:p>
            <w:pPr>
              <w:pStyle w:val="TableContents"/>
              <w:bidi w:val="0"/>
              <w:spacing w:before="0" w:after="283"/>
              <w:jc w:val="left"/>
              <w:rPr/>
            </w:pPr>
            <w:r>
              <w:rPr/>
              <w:t xml:space="preserve">[and is an Affiliate/Approved Fund of [ </w:t>
            </w:r>
            <w:r>
              <w:rPr>
                <w:i/>
              </w:rPr>
              <w:t>identify Lender</w:t>
            </w:r>
            <w:r>
              <w:rPr/>
              <w:t>]1 ]</w:t>
            </w:r>
          </w:p>
        </w:tc>
      </w:tr>
      <w:tr>
        <w:trPr>
          <w:trHeight w:val="120" w:hRule="atLeast"/>
        </w:trPr>
        <w:tc>
          <w:tcPr>
            <w:tcW w:w="320" w:type="dxa"/>
            <w:tcBorders/>
            <w:vAlign w:val="center"/>
          </w:tcPr>
          <w:p>
            <w:pPr>
              <w:pStyle w:val="TableContents"/>
              <w:bidi w:val="0"/>
              <w:spacing w:before="0" w:after="283"/>
              <w:jc w:val="left"/>
              <w:rPr>
                <w:sz w:val="4"/>
                <w:szCs w:val="4"/>
              </w:rPr>
            </w:pPr>
            <w:r>
              <w:rPr>
                <w:sz w:val="4"/>
                <w:szCs w:val="4"/>
              </w:rPr>
            </w:r>
          </w:p>
        </w:tc>
        <w:tc>
          <w:tcPr>
            <w:tcW w:w="1606" w:type="dxa"/>
            <w:gridSpan w:val="2"/>
            <w:tcBorders/>
            <w:vAlign w:val="center"/>
          </w:tcPr>
          <w:p>
            <w:pPr>
              <w:pStyle w:val="TableContents"/>
              <w:bidi w:val="0"/>
              <w:spacing w:before="0" w:after="283"/>
              <w:jc w:val="left"/>
              <w:rPr>
                <w:sz w:val="4"/>
                <w:szCs w:val="4"/>
              </w:rPr>
            </w:pPr>
            <w:r>
              <w:rPr>
                <w:sz w:val="4"/>
                <w:szCs w:val="4"/>
              </w:rPr>
            </w:r>
          </w:p>
        </w:tc>
        <w:tc>
          <w:tcPr>
            <w:tcW w:w="8279" w:type="dxa"/>
            <w:gridSpan w:val="2"/>
            <w:tcBorders/>
            <w:vAlign w:val="center"/>
          </w:tcPr>
          <w:p>
            <w:pPr>
              <w:pStyle w:val="TableContents"/>
              <w:bidi w:val="0"/>
              <w:spacing w:before="0" w:after="283"/>
              <w:jc w:val="left"/>
              <w:rPr>
                <w:sz w:val="4"/>
                <w:szCs w:val="4"/>
              </w:rPr>
            </w:pPr>
            <w:r>
              <w:rPr>
                <w:sz w:val="4"/>
                <w:szCs w:val="4"/>
              </w:rPr>
            </w:r>
          </w:p>
        </w:tc>
      </w:tr>
      <w:tr>
        <w:trPr/>
        <w:tc>
          <w:tcPr>
            <w:tcW w:w="320" w:type="dxa"/>
            <w:tcBorders/>
          </w:tcPr>
          <w:p>
            <w:pPr>
              <w:pStyle w:val="TableContents"/>
              <w:bidi w:val="0"/>
              <w:spacing w:before="0" w:after="283"/>
              <w:jc w:val="left"/>
              <w:rPr/>
            </w:pPr>
            <w:r>
              <w:rPr/>
              <w:t>3.</w:t>
            </w:r>
          </w:p>
        </w:tc>
        <w:tc>
          <w:tcPr>
            <w:tcW w:w="123" w:type="dxa"/>
            <w:tcBorders/>
            <w:vAlign w:val="bottom"/>
          </w:tcPr>
          <w:p>
            <w:pPr>
              <w:pStyle w:val="TableContents"/>
              <w:bidi w:val="0"/>
              <w:spacing w:before="0" w:after="283"/>
              <w:jc w:val="left"/>
              <w:rPr/>
            </w:pPr>
            <w:r>
              <w:rPr/>
              <w:t>  </w:t>
            </w:r>
          </w:p>
        </w:tc>
        <w:tc>
          <w:tcPr>
            <w:tcW w:w="1483" w:type="dxa"/>
            <w:tcBorders/>
          </w:tcPr>
          <w:p>
            <w:pPr>
              <w:pStyle w:val="TableContents"/>
              <w:bidi w:val="0"/>
              <w:spacing w:before="0" w:after="283"/>
              <w:jc w:val="left"/>
              <w:rPr/>
            </w:pPr>
            <w:r>
              <w:rPr/>
              <w:t>Borrower(s):</w:t>
            </w:r>
          </w:p>
        </w:tc>
        <w:tc>
          <w:tcPr>
            <w:tcW w:w="123" w:type="dxa"/>
            <w:tcBorders/>
            <w:vAlign w:val="bottom"/>
          </w:tcPr>
          <w:p>
            <w:pPr>
              <w:pStyle w:val="TableContents"/>
              <w:bidi w:val="0"/>
              <w:spacing w:before="0" w:after="283"/>
              <w:jc w:val="left"/>
              <w:rPr/>
            </w:pPr>
            <w:r>
              <w:rPr/>
              <w:t>  </w:t>
            </w:r>
          </w:p>
        </w:tc>
        <w:tc>
          <w:tcPr>
            <w:tcW w:w="8156" w:type="dxa"/>
            <w:tcBorders/>
          </w:tcPr>
          <w:p>
            <w:pPr>
              <w:pStyle w:val="TableContents"/>
              <w:bidi w:val="0"/>
              <w:spacing w:before="0" w:after="283"/>
              <w:jc w:val="left"/>
              <w:rPr>
                <w:u w:val="single"/>
              </w:rPr>
            </w:pPr>
            <w:r>
              <w:rPr>
                <w:u w:val="single"/>
              </w:rPr>
              <w:t>                   </w:t>
            </w:r>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Select as applicable.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14"/>
        <w:gridCol w:w="121"/>
        <w:gridCol w:w="1839"/>
        <w:gridCol w:w="121"/>
        <w:gridCol w:w="7810"/>
      </w:tblGrid>
      <w:tr>
        <w:trPr/>
        <w:tc>
          <w:tcPr>
            <w:tcW w:w="31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810" w:type="dxa"/>
            <w:tcBorders/>
            <w:vAlign w:val="center"/>
          </w:tcPr>
          <w:p>
            <w:pPr>
              <w:pStyle w:val="TableContents"/>
              <w:bidi w:val="0"/>
              <w:spacing w:before="0" w:after="283"/>
              <w:jc w:val="left"/>
              <w:rPr>
                <w:sz w:val="4"/>
                <w:szCs w:val="4"/>
              </w:rPr>
            </w:pPr>
            <w:r>
              <w:rPr>
                <w:sz w:val="4"/>
                <w:szCs w:val="4"/>
              </w:rPr>
            </w:r>
          </w:p>
        </w:tc>
      </w:tr>
      <w:tr>
        <w:trPr/>
        <w:tc>
          <w:tcPr>
            <w:tcW w:w="314" w:type="dxa"/>
            <w:tcBorders/>
          </w:tcPr>
          <w:p>
            <w:pPr>
              <w:pStyle w:val="TableContents"/>
              <w:bidi w:val="0"/>
              <w:spacing w:before="0" w:after="283"/>
              <w:jc w:val="left"/>
              <w:rPr/>
            </w:pPr>
            <w:r>
              <w:rPr/>
              <w:t>4.</w:t>
            </w:r>
          </w:p>
        </w:tc>
        <w:tc>
          <w:tcPr>
            <w:tcW w:w="121" w:type="dxa"/>
            <w:tcBorders/>
            <w:vAlign w:val="bottom"/>
          </w:tcPr>
          <w:p>
            <w:pPr>
              <w:pStyle w:val="TableContents"/>
              <w:bidi w:val="0"/>
              <w:spacing w:before="0" w:after="283"/>
              <w:jc w:val="left"/>
              <w:rPr/>
            </w:pPr>
            <w:r>
              <w:rPr/>
              <w:t>  </w:t>
            </w:r>
          </w:p>
        </w:tc>
        <w:tc>
          <w:tcPr>
            <w:tcW w:w="1839" w:type="dxa"/>
            <w:tcBorders/>
          </w:tcPr>
          <w:p>
            <w:pPr>
              <w:pStyle w:val="TableContents"/>
              <w:bidi w:val="0"/>
              <w:spacing w:before="0" w:after="283"/>
              <w:jc w:val="left"/>
              <w:rPr/>
            </w:pPr>
            <w:r>
              <w:rPr/>
              <w:t>Administrative Agent:</w:t>
            </w:r>
          </w:p>
        </w:tc>
        <w:tc>
          <w:tcPr>
            <w:tcW w:w="121" w:type="dxa"/>
            <w:tcBorders/>
            <w:vAlign w:val="bottom"/>
          </w:tcPr>
          <w:p>
            <w:pPr>
              <w:pStyle w:val="TableContents"/>
              <w:bidi w:val="0"/>
              <w:spacing w:before="0" w:after="283"/>
              <w:jc w:val="left"/>
              <w:rPr/>
            </w:pPr>
            <w:r>
              <w:rPr/>
              <w:t>  </w:t>
            </w:r>
          </w:p>
        </w:tc>
        <w:tc>
          <w:tcPr>
            <w:tcW w:w="7810" w:type="dxa"/>
            <w:tcBorders/>
          </w:tcPr>
          <w:p>
            <w:pPr>
              <w:pStyle w:val="TableContents"/>
              <w:bidi w:val="0"/>
              <w:spacing w:before="0" w:after="283"/>
              <w:jc w:val="left"/>
              <w:rPr/>
            </w:pPr>
            <w:r>
              <w:rPr/>
              <w:t>JPMorgan Chase Bank, N.A., as the administrative agent under the Credit Agreement</w:t>
            </w:r>
          </w:p>
        </w:tc>
      </w:tr>
      <w:tr>
        <w:trPr>
          <w:trHeight w:val="120" w:hRule="atLeast"/>
        </w:trPr>
        <w:tc>
          <w:tcPr>
            <w:tcW w:w="314" w:type="dxa"/>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c>
          <w:tcPr>
            <w:tcW w:w="7931" w:type="dxa"/>
            <w:gridSpan w:val="2"/>
            <w:tcBorders/>
            <w:vAlign w:val="center"/>
          </w:tcPr>
          <w:p>
            <w:pPr>
              <w:pStyle w:val="TableContents"/>
              <w:bidi w:val="0"/>
              <w:spacing w:before="0" w:after="283"/>
              <w:jc w:val="left"/>
              <w:rPr>
                <w:sz w:val="4"/>
                <w:szCs w:val="4"/>
              </w:rPr>
            </w:pPr>
            <w:r>
              <w:rPr>
                <w:sz w:val="4"/>
                <w:szCs w:val="4"/>
              </w:rPr>
            </w:r>
          </w:p>
        </w:tc>
      </w:tr>
      <w:tr>
        <w:trPr/>
        <w:tc>
          <w:tcPr>
            <w:tcW w:w="314" w:type="dxa"/>
            <w:tcBorders/>
          </w:tcPr>
          <w:p>
            <w:pPr>
              <w:pStyle w:val="TableContents"/>
              <w:bidi w:val="0"/>
              <w:spacing w:before="0" w:after="283"/>
              <w:jc w:val="left"/>
              <w:rPr/>
            </w:pPr>
            <w:r>
              <w:rPr/>
              <w:t>5.</w:t>
            </w:r>
          </w:p>
        </w:tc>
        <w:tc>
          <w:tcPr>
            <w:tcW w:w="121" w:type="dxa"/>
            <w:tcBorders/>
            <w:vAlign w:val="bottom"/>
          </w:tcPr>
          <w:p>
            <w:pPr>
              <w:pStyle w:val="TableContents"/>
              <w:bidi w:val="0"/>
              <w:spacing w:before="0" w:after="283"/>
              <w:jc w:val="left"/>
              <w:rPr/>
            </w:pPr>
            <w:r>
              <w:rPr/>
              <w:t>  </w:t>
            </w:r>
          </w:p>
        </w:tc>
        <w:tc>
          <w:tcPr>
            <w:tcW w:w="1839" w:type="dxa"/>
            <w:tcBorders/>
          </w:tcPr>
          <w:p>
            <w:pPr>
              <w:pStyle w:val="TableContents"/>
              <w:bidi w:val="0"/>
              <w:spacing w:before="0" w:after="283"/>
              <w:jc w:val="left"/>
              <w:rPr/>
            </w:pPr>
            <w:r>
              <w:rPr/>
              <w:t>Credit Agreement:</w:t>
            </w:r>
          </w:p>
        </w:tc>
        <w:tc>
          <w:tcPr>
            <w:tcW w:w="121" w:type="dxa"/>
            <w:tcBorders/>
            <w:vAlign w:val="bottom"/>
          </w:tcPr>
          <w:p>
            <w:pPr>
              <w:pStyle w:val="TableContents"/>
              <w:bidi w:val="0"/>
              <w:spacing w:before="0" w:after="283"/>
              <w:jc w:val="left"/>
              <w:rPr/>
            </w:pPr>
            <w:r>
              <w:rPr/>
              <w:t>  </w:t>
            </w:r>
          </w:p>
        </w:tc>
        <w:tc>
          <w:tcPr>
            <w:tcW w:w="7810" w:type="dxa"/>
            <w:tcBorders/>
          </w:tcPr>
          <w:p>
            <w:pPr>
              <w:pStyle w:val="TableContents"/>
              <w:bidi w:val="0"/>
              <w:spacing w:before="0" w:after="283"/>
              <w:jc w:val="left"/>
              <w:rPr/>
            </w:pPr>
            <w:r>
              <w:rPr/>
              <w:t>The Sixth Amended and Restated 364-Day Revolving Credit Agreement, dated as of March 28, 2024 (as amended, restated, amended and restated, renewed, supplemented or modified from time to time, the </w:t>
            </w:r>
            <w:r>
              <w:rPr>
                <w:u w:val="single"/>
              </w:rPr>
              <w:t>Credit Agreement</w:t>
            </w:r>
            <w:r>
              <w:rPr/>
              <w:t>), among General Motors Company, a Delaware corporation (together with its successors and permitted assigns, the </w:t>
            </w:r>
            <w:r>
              <w:rPr>
                <w:u w:val="single"/>
              </w:rPr>
              <w:t>Company</w:t>
            </w:r>
            <w:r>
              <w:rPr/>
              <w:t>), General Motors Financial Company, Inc., a Texas corporation, the Subsidiary Borrowers from time to time party thereto, the lenders from time to time party thereto, JPMorgan Chase Bank, N.A. for the Lenders, as administrative agent, Citibank, N.A., as syndication agent, Bank of America, N.A., as co-syndication agent, and the other agents party thereto. Unless otherwise defined herein, terms used herein have the meanings assigned to such terms in the Credit Agreement.</w:t>
            </w:r>
          </w:p>
        </w:tc>
      </w:tr>
      <w:tr>
        <w:trPr>
          <w:trHeight w:val="120" w:hRule="atLeast"/>
        </w:trPr>
        <w:tc>
          <w:tcPr>
            <w:tcW w:w="314" w:type="dxa"/>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c>
          <w:tcPr>
            <w:tcW w:w="7931" w:type="dxa"/>
            <w:gridSpan w:val="2"/>
            <w:tcBorders/>
            <w:vAlign w:val="center"/>
          </w:tcPr>
          <w:p>
            <w:pPr>
              <w:pStyle w:val="TableContents"/>
              <w:bidi w:val="0"/>
              <w:spacing w:before="0" w:after="283"/>
              <w:jc w:val="left"/>
              <w:rPr>
                <w:sz w:val="4"/>
                <w:szCs w:val="4"/>
              </w:rPr>
            </w:pPr>
            <w:r>
              <w:rPr>
                <w:sz w:val="4"/>
                <w:szCs w:val="4"/>
              </w:rPr>
            </w:r>
          </w:p>
        </w:tc>
      </w:tr>
      <w:tr>
        <w:trPr/>
        <w:tc>
          <w:tcPr>
            <w:tcW w:w="314" w:type="dxa"/>
            <w:tcBorders/>
          </w:tcPr>
          <w:p>
            <w:pPr>
              <w:pStyle w:val="TableContents"/>
              <w:bidi w:val="0"/>
              <w:spacing w:before="0" w:after="283"/>
              <w:jc w:val="left"/>
              <w:rPr/>
            </w:pPr>
            <w:r>
              <w:rPr/>
              <w:t>6.</w:t>
            </w:r>
          </w:p>
        </w:tc>
        <w:tc>
          <w:tcPr>
            <w:tcW w:w="121" w:type="dxa"/>
            <w:tcBorders/>
            <w:vAlign w:val="bottom"/>
          </w:tcPr>
          <w:p>
            <w:pPr>
              <w:pStyle w:val="TableContents"/>
              <w:bidi w:val="0"/>
              <w:spacing w:before="0" w:after="283"/>
              <w:jc w:val="left"/>
              <w:rPr/>
            </w:pPr>
            <w:r>
              <w:rPr/>
              <w:t>  </w:t>
            </w:r>
          </w:p>
        </w:tc>
        <w:tc>
          <w:tcPr>
            <w:tcW w:w="1839" w:type="dxa"/>
            <w:tcBorders/>
          </w:tcPr>
          <w:p>
            <w:pPr>
              <w:pStyle w:val="TableContents"/>
              <w:bidi w:val="0"/>
              <w:spacing w:before="0" w:after="283"/>
              <w:jc w:val="left"/>
              <w:rPr/>
            </w:pPr>
            <w:r>
              <w:rPr/>
              <w:t>Assigned Interest:</w:t>
            </w:r>
          </w:p>
        </w:tc>
        <w:tc>
          <w:tcPr>
            <w:tcW w:w="121" w:type="dxa"/>
            <w:tcBorders/>
            <w:vAlign w:val="bottom"/>
          </w:tcPr>
          <w:p>
            <w:pPr>
              <w:pStyle w:val="TableContents"/>
              <w:bidi w:val="0"/>
              <w:spacing w:before="0" w:after="283"/>
              <w:jc w:val="left"/>
              <w:rPr/>
            </w:pPr>
            <w:r>
              <w:rPr/>
              <w:t>  </w:t>
            </w:r>
          </w:p>
        </w:tc>
        <w:tc>
          <w:tcPr>
            <w:tcW w:w="781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55"/>
        <w:gridCol w:w="2468"/>
        <w:gridCol w:w="941"/>
        <w:gridCol w:w="393"/>
        <w:gridCol w:w="60"/>
        <w:gridCol w:w="2468"/>
        <w:gridCol w:w="492"/>
        <w:gridCol w:w="1763"/>
        <w:gridCol w:w="65"/>
      </w:tblGrid>
      <w:tr>
        <w:trPr/>
        <w:tc>
          <w:tcPr>
            <w:tcW w:w="1555" w:type="dxa"/>
            <w:tcBorders/>
            <w:vAlign w:val="center"/>
          </w:tcPr>
          <w:p>
            <w:pPr>
              <w:pStyle w:val="TableContents"/>
              <w:bidi w:val="0"/>
              <w:spacing w:before="0" w:after="283"/>
              <w:jc w:val="left"/>
              <w:rPr>
                <w:sz w:val="4"/>
                <w:szCs w:val="4"/>
              </w:rPr>
            </w:pPr>
            <w:r>
              <w:rPr>
                <w:sz w:val="4"/>
                <w:szCs w:val="4"/>
              </w:rPr>
            </w:r>
          </w:p>
        </w:tc>
        <w:tc>
          <w:tcPr>
            <w:tcW w:w="2468" w:type="dxa"/>
            <w:tcBorders/>
            <w:vAlign w:val="bottom"/>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68" w:type="dxa"/>
            <w:tcBorders/>
            <w:vAlign w:val="bottom"/>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55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Aggregate Amount of</w:t>
              <w:br/>
              <w:t>Commitment/Loans</w:t>
              <w:br/>
              <w:t>for all Lenders</w:t>
            </w:r>
          </w:p>
        </w:tc>
        <w:tc>
          <w:tcPr>
            <w:tcW w:w="2468" w:type="dxa"/>
            <w:tcBorders/>
            <w:vAlign w:val="bottom"/>
          </w:tcPr>
          <w:p>
            <w:pPr>
              <w:pStyle w:val="TableContents"/>
              <w:bidi w:val="0"/>
              <w:spacing w:before="0" w:after="283"/>
              <w:jc w:val="left"/>
              <w:rPr/>
            </w:pPr>
            <w:r>
              <w:rPr/>
              <w:t> </w:t>
            </w:r>
          </w:p>
        </w:tc>
        <w:tc>
          <w:tcPr>
            <w:tcW w:w="1334" w:type="dxa"/>
            <w:gridSpan w:val="2"/>
            <w:tcBorders>
              <w:bottom w:val="single" w:sz="8" w:space="0" w:color="000000"/>
            </w:tcBorders>
            <w:tcMar>
              <w:bottom w:w="28" w:type="dxa"/>
            </w:tcMar>
            <w:vAlign w:val="bottom"/>
          </w:tcPr>
          <w:p>
            <w:pPr>
              <w:pStyle w:val="TableContents"/>
              <w:bidi w:val="0"/>
              <w:spacing w:before="0" w:after="283"/>
              <w:jc w:val="center"/>
              <w:rPr/>
            </w:pPr>
            <w:r>
              <w:rPr/>
              <w:t>Amount of</w:t>
              <w:br/>
              <w:t>Commitment/Loans</w:t>
              <w:br/>
              <w:t>Assigned</w:t>
            </w:r>
          </w:p>
        </w:tc>
        <w:tc>
          <w:tcPr>
            <w:tcW w:w="60" w:type="dxa"/>
            <w:tcBorders/>
            <w:vAlign w:val="bottom"/>
          </w:tcPr>
          <w:p>
            <w:pPr>
              <w:pStyle w:val="TableContents"/>
              <w:bidi w:val="0"/>
              <w:spacing w:before="0" w:after="283"/>
              <w:jc w:val="left"/>
              <w:rPr/>
            </w:pPr>
            <w:r>
              <w:rPr/>
              <w:t> </w:t>
            </w:r>
          </w:p>
        </w:tc>
        <w:tc>
          <w:tcPr>
            <w:tcW w:w="2468" w:type="dxa"/>
            <w:tcBorders/>
            <w:vAlign w:val="bottom"/>
          </w:tcPr>
          <w:p>
            <w:pPr>
              <w:pStyle w:val="TableContents"/>
              <w:bidi w:val="0"/>
              <w:spacing w:before="0" w:after="283"/>
              <w:jc w:val="left"/>
              <w:rPr/>
            </w:pPr>
            <w:r>
              <w:rPr/>
              <w:t> </w:t>
            </w:r>
          </w:p>
        </w:tc>
        <w:tc>
          <w:tcPr>
            <w:tcW w:w="2255" w:type="dxa"/>
            <w:gridSpan w:val="2"/>
            <w:tcBorders>
              <w:bottom w:val="single" w:sz="8" w:space="0" w:color="000000"/>
            </w:tcBorders>
            <w:tcMar>
              <w:bottom w:w="28" w:type="dxa"/>
            </w:tcMar>
            <w:vAlign w:val="bottom"/>
          </w:tcPr>
          <w:p>
            <w:pPr>
              <w:pStyle w:val="TableContents"/>
              <w:bidi w:val="0"/>
              <w:spacing w:before="0" w:after="283"/>
              <w:jc w:val="center"/>
              <w:rPr/>
            </w:pPr>
            <w:r>
              <w:rPr/>
              <w:t>Percentage Assigned of</w:t>
              <w:br/>
              <w:t>Commitment/Loans2</w:t>
            </w:r>
          </w:p>
        </w:tc>
        <w:tc>
          <w:tcPr>
            <w:tcW w:w="65" w:type="dxa"/>
            <w:tcBorders/>
            <w:vAlign w:val="bottom"/>
          </w:tcPr>
          <w:p>
            <w:pPr>
              <w:pStyle w:val="TableContents"/>
              <w:bidi w:val="0"/>
              <w:spacing w:before="0" w:after="283"/>
              <w:jc w:val="left"/>
              <w:rPr/>
            </w:pPr>
            <w:r>
              <w:rPr/>
              <w:t> </w:t>
            </w:r>
          </w:p>
        </w:tc>
      </w:tr>
      <w:tr>
        <w:trPr/>
        <w:tc>
          <w:tcPr>
            <w:tcW w:w="1555" w:type="dxa"/>
            <w:tcBorders/>
            <w:shd w:fill="CCEEFF" w:val="clear"/>
          </w:tcPr>
          <w:p>
            <w:pPr>
              <w:pStyle w:val="TableContents"/>
              <w:bidi w:val="0"/>
              <w:spacing w:before="0" w:after="283"/>
              <w:jc w:val="left"/>
              <w:rPr/>
            </w:pPr>
            <w:r>
              <w:rPr/>
              <w:t>$</w:t>
            </w:r>
          </w:p>
        </w:tc>
        <w:tc>
          <w:tcPr>
            <w:tcW w:w="2468"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left"/>
              <w:rPr/>
            </w:pPr>
            <w:r>
              <w:rPr/>
              <w:t>$</w:t>
            </w:r>
          </w:p>
        </w:tc>
        <w:tc>
          <w:tcPr>
            <w:tcW w:w="3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68"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c>
          <w:tcPr>
            <w:tcW w:w="1763"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c>
          <w:tcPr>
            <w:tcW w:w="1555" w:type="dxa"/>
            <w:tcBorders/>
          </w:tcPr>
          <w:p>
            <w:pPr>
              <w:pStyle w:val="TableContents"/>
              <w:bidi w:val="0"/>
              <w:spacing w:before="0" w:after="283"/>
              <w:jc w:val="left"/>
              <w:rPr/>
            </w:pPr>
            <w:r>
              <w:rPr/>
              <w:t>$</w:t>
            </w:r>
          </w:p>
        </w:tc>
        <w:tc>
          <w:tcPr>
            <w:tcW w:w="2468"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left"/>
              <w:rPr/>
            </w:pPr>
            <w:r>
              <w:rPr/>
              <w:t>$</w:t>
            </w:r>
          </w:p>
        </w:tc>
        <w:tc>
          <w:tcPr>
            <w:tcW w:w="3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68"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1763"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t> </w:t>
            </w:r>
          </w:p>
        </w:tc>
      </w:tr>
      <w:tr>
        <w:trPr/>
        <w:tc>
          <w:tcPr>
            <w:tcW w:w="1555" w:type="dxa"/>
            <w:tcBorders/>
            <w:shd w:fill="CCEEFF" w:val="clear"/>
          </w:tcPr>
          <w:p>
            <w:pPr>
              <w:pStyle w:val="TableContents"/>
              <w:bidi w:val="0"/>
              <w:spacing w:before="0" w:after="283"/>
              <w:jc w:val="left"/>
              <w:rPr/>
            </w:pPr>
            <w:r>
              <w:rPr/>
              <w:t>$</w:t>
            </w:r>
          </w:p>
        </w:tc>
        <w:tc>
          <w:tcPr>
            <w:tcW w:w="2468"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left"/>
              <w:rPr/>
            </w:pPr>
            <w:r>
              <w:rPr/>
              <w:t>$</w:t>
            </w:r>
          </w:p>
        </w:tc>
        <w:tc>
          <w:tcPr>
            <w:tcW w:w="3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68"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c>
          <w:tcPr>
            <w:tcW w:w="1763"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Effective Date: _____________ ___, 20___ [TO BE INSERTED BY ADMINISTRATIVE AGENT AND WHICH SHALL BE THE EFFECTIVE DATE OF RECORDATION OF TRANSFER IN THE REGISTER THEREFOR.] </w:t>
      </w:r>
    </w:p>
    <w:p>
      <w:pPr>
        <w:pStyle w:val="TextBody"/>
        <w:bidi w:val="0"/>
        <w:spacing w:before="240" w:after="0"/>
        <w:jc w:val="left"/>
        <w:rPr>
          <w:rFonts w:ascii="Times New Roman" w:hAnsi="Times New Roman"/>
          <w:sz w:val="20"/>
        </w:rPr>
      </w:pPr>
      <w:r>
        <w:rPr>
          <w:rFonts w:ascii="Times New Roman" w:hAnsi="Times New Roman"/>
          <w:sz w:val="20"/>
        </w:rPr>
        <w:t xml:space="preserve">The Assignee agrees to deliver to the Administrative Agent a completed administrative questionnaire in which the Assignee designates one or more contacts to whom all syndicate-level information (which may contain material non-public information about the Company, the Loan Parties and their Related Parties or their respective securities) will be made available and who may receive such information in accordance with the Assignees compliance procedures and applicable laws, including Federal and state securities laws.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 forth, to at least 9 decimals, as a percentage of the Commitment/Loans of all Lenders thereunder.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terms set forth in this Assignment and Assumption are hereby agreed to: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5"/>
        <w:gridCol w:w="61"/>
        <w:gridCol w:w="3616"/>
      </w:tblGrid>
      <w:tr>
        <w:trPr/>
        <w:tc>
          <w:tcPr>
            <w:tcW w:w="40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ASSIGNOR</w:t>
            </w:r>
          </w:p>
          <w:p>
            <w:pPr>
              <w:pStyle w:val="TableContents"/>
              <w:bidi w:val="0"/>
              <w:spacing w:before="0" w:after="20"/>
              <w:jc w:val="left"/>
              <w:rPr>
                <w:rFonts w:ascii="Times New Roman" w:hAnsi="Times New Roman"/>
                <w:sz w:val="20"/>
              </w:rPr>
            </w:pPr>
            <w:r>
              <w:rPr>
                <w:rFonts w:ascii="Times New Roman" w:hAnsi="Times New Roman"/>
                <w:sz w:val="20"/>
              </w:rPr>
              <w:t>[NAME OF ASSIGNOR]</w:t>
            </w:r>
          </w:p>
        </w:tc>
      </w:tr>
      <w:tr>
        <w:trPr>
          <w:trHeight w:val="240" w:hRule="atLeast"/>
        </w:trPr>
        <w:tc>
          <w:tcPr>
            <w:tcW w:w="405" w:type="dxa"/>
            <w:tcBorders/>
            <w:vAlign w:val="center"/>
          </w:tcPr>
          <w:p>
            <w:pPr>
              <w:pStyle w:val="TableContents"/>
              <w:bidi w:val="0"/>
              <w:spacing w:before="0" w:after="283"/>
              <w:jc w:val="left"/>
              <w:rPr>
                <w:sz w:val="4"/>
                <w:szCs w:val="4"/>
              </w:rPr>
            </w:pPr>
            <w:r>
              <w:rPr>
                <w:sz w:val="4"/>
                <w:szCs w:val="4"/>
              </w:rPr>
            </w:r>
          </w:p>
        </w:tc>
        <w:tc>
          <w:tcPr>
            <w:tcW w:w="3677" w:type="dxa"/>
            <w:gridSpan w:val="2"/>
            <w:tcBorders/>
            <w:vAlign w:val="center"/>
          </w:tcPr>
          <w:p>
            <w:pPr>
              <w:pStyle w:val="TableContents"/>
              <w:bidi w:val="0"/>
              <w:spacing w:before="0" w:after="283"/>
              <w:jc w:val="left"/>
              <w:rPr>
                <w:sz w:val="4"/>
                <w:szCs w:val="4"/>
              </w:rPr>
            </w:pPr>
            <w:r>
              <w:rPr>
                <w:sz w:val="4"/>
                <w:szCs w:val="4"/>
              </w:rPr>
            </w:r>
          </w:p>
        </w:tc>
      </w:tr>
      <w:tr>
        <w:trPr/>
        <w:tc>
          <w:tcPr>
            <w:tcW w:w="405"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6" w:type="dxa"/>
            <w:tcBorders/>
          </w:tcPr>
          <w:p>
            <w:pPr>
              <w:pStyle w:val="TableContents"/>
              <w:pBdr>
                <w:bottom w:val="single" w:sz="2" w:space="1" w:color="000000"/>
              </w:pBdr>
              <w:bidi w:val="0"/>
              <w:spacing w:before="0" w:after="20"/>
              <w:jc w:val="left"/>
              <w:rPr/>
            </w:pPr>
            <w:r>
              <w:rPr/>
              <w:t> </w:t>
            </w:r>
          </w:p>
        </w:tc>
      </w:tr>
      <w:tr>
        <w:trPr/>
        <w:tc>
          <w:tcPr>
            <w:tcW w:w="405"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6" w:type="dxa"/>
            <w:tcBorders/>
          </w:tcPr>
          <w:p>
            <w:pPr>
              <w:pStyle w:val="TableContents"/>
              <w:bidi w:val="0"/>
              <w:spacing w:before="0" w:after="283"/>
              <w:jc w:val="left"/>
              <w:rPr/>
            </w:pPr>
            <w:r>
              <w:rPr/>
              <w:t>Name:</w:t>
            </w:r>
          </w:p>
        </w:tc>
      </w:tr>
      <w:tr>
        <w:trPr/>
        <w:tc>
          <w:tcPr>
            <w:tcW w:w="405"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6"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ASSIGNEE</w:t>
            </w:r>
          </w:p>
          <w:p>
            <w:pPr>
              <w:pStyle w:val="TableContents"/>
              <w:bidi w:val="0"/>
              <w:spacing w:before="0" w:after="20"/>
              <w:jc w:val="left"/>
              <w:rPr>
                <w:rFonts w:ascii="Times New Roman" w:hAnsi="Times New Roman"/>
                <w:sz w:val="20"/>
              </w:rPr>
            </w:pPr>
            <w:r>
              <w:rPr>
                <w:rFonts w:ascii="Times New Roman" w:hAnsi="Times New Roman"/>
                <w:sz w:val="20"/>
              </w:rPr>
              <w:t>[NAME OF ASSIGNEE]</w:t>
            </w:r>
          </w:p>
        </w:tc>
      </w:tr>
      <w:tr>
        <w:trPr>
          <w:trHeight w:val="240" w:hRule="atLeast"/>
        </w:trPr>
        <w:tc>
          <w:tcPr>
            <w:tcW w:w="405" w:type="dxa"/>
            <w:tcBorders/>
            <w:vAlign w:val="center"/>
          </w:tcPr>
          <w:p>
            <w:pPr>
              <w:pStyle w:val="TableContents"/>
              <w:bidi w:val="0"/>
              <w:spacing w:before="0" w:after="283"/>
              <w:jc w:val="left"/>
              <w:rPr>
                <w:sz w:val="4"/>
                <w:szCs w:val="4"/>
              </w:rPr>
            </w:pPr>
            <w:r>
              <w:rPr>
                <w:sz w:val="4"/>
                <w:szCs w:val="4"/>
              </w:rPr>
            </w:r>
          </w:p>
        </w:tc>
        <w:tc>
          <w:tcPr>
            <w:tcW w:w="3677" w:type="dxa"/>
            <w:gridSpan w:val="2"/>
            <w:tcBorders/>
            <w:vAlign w:val="center"/>
          </w:tcPr>
          <w:p>
            <w:pPr>
              <w:pStyle w:val="TableContents"/>
              <w:bidi w:val="0"/>
              <w:spacing w:before="0" w:after="283"/>
              <w:jc w:val="left"/>
              <w:rPr>
                <w:sz w:val="4"/>
                <w:szCs w:val="4"/>
              </w:rPr>
            </w:pPr>
            <w:r>
              <w:rPr>
                <w:sz w:val="4"/>
                <w:szCs w:val="4"/>
              </w:rPr>
            </w:r>
          </w:p>
        </w:tc>
      </w:tr>
      <w:tr>
        <w:trPr/>
        <w:tc>
          <w:tcPr>
            <w:tcW w:w="405"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6" w:type="dxa"/>
            <w:tcBorders/>
          </w:tcPr>
          <w:p>
            <w:pPr>
              <w:pStyle w:val="TableContents"/>
              <w:pBdr>
                <w:bottom w:val="single" w:sz="2" w:space="1" w:color="000000"/>
              </w:pBdr>
              <w:bidi w:val="0"/>
              <w:spacing w:before="0" w:after="20"/>
              <w:jc w:val="left"/>
              <w:rPr/>
            </w:pPr>
            <w:r>
              <w:rPr/>
              <w:t> </w:t>
            </w:r>
          </w:p>
        </w:tc>
      </w:tr>
      <w:tr>
        <w:trPr/>
        <w:tc>
          <w:tcPr>
            <w:tcW w:w="405"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6" w:type="dxa"/>
            <w:tcBorders/>
          </w:tcPr>
          <w:p>
            <w:pPr>
              <w:pStyle w:val="TableContents"/>
              <w:bidi w:val="0"/>
              <w:spacing w:before="0" w:after="283"/>
              <w:jc w:val="left"/>
              <w:rPr/>
            </w:pPr>
            <w:r>
              <w:rPr/>
              <w:t>Name:</w:t>
            </w:r>
          </w:p>
        </w:tc>
      </w:tr>
      <w:tr>
        <w:trPr/>
        <w:tc>
          <w:tcPr>
            <w:tcW w:w="405"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6"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97"/>
        <w:gridCol w:w="85"/>
        <w:gridCol w:w="3500"/>
      </w:tblGrid>
      <w:tr>
        <w:trPr/>
        <w:tc>
          <w:tcPr>
            <w:tcW w:w="497"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35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Consented to and Accepted:</w:t>
            </w:r>
          </w:p>
          <w:p>
            <w:pPr>
              <w:pStyle w:val="TableContents"/>
              <w:bidi w:val="0"/>
              <w:spacing w:before="0" w:after="20"/>
              <w:jc w:val="left"/>
              <w:rPr>
                <w:rFonts w:ascii="Times New Roman" w:hAnsi="Times New Roman"/>
                <w:sz w:val="20"/>
              </w:rPr>
            </w:pPr>
            <w:r>
              <w:rPr>
                <w:rFonts w:ascii="Times New Roman" w:hAnsi="Times New Roman"/>
                <w:sz w:val="20"/>
              </w:rPr>
              <w:t>[JPMORGAN CHASE BANK, N.A., as Administrative Agent</w:t>
            </w:r>
          </w:p>
        </w:tc>
      </w:tr>
      <w:tr>
        <w:trPr>
          <w:trHeight w:val="240" w:hRule="atLeast"/>
        </w:trPr>
        <w:tc>
          <w:tcPr>
            <w:tcW w:w="497" w:type="dxa"/>
            <w:tcBorders/>
            <w:vAlign w:val="center"/>
          </w:tcPr>
          <w:p>
            <w:pPr>
              <w:pStyle w:val="TableContents"/>
              <w:bidi w:val="0"/>
              <w:spacing w:before="0" w:after="283"/>
              <w:jc w:val="left"/>
              <w:rPr>
                <w:sz w:val="4"/>
                <w:szCs w:val="4"/>
              </w:rPr>
            </w:pPr>
            <w:r>
              <w:rPr>
                <w:sz w:val="4"/>
                <w:szCs w:val="4"/>
              </w:rPr>
            </w:r>
          </w:p>
        </w:tc>
        <w:tc>
          <w:tcPr>
            <w:tcW w:w="3585"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pBdr>
                <w:bottom w:val="single" w:sz="2" w:space="1" w:color="000000"/>
              </w:pBdr>
              <w:bidi w:val="0"/>
              <w:spacing w:before="0" w:after="20"/>
              <w:jc w:val="left"/>
              <w:rPr/>
            </w:pPr>
            <w:r>
              <w:rPr/>
              <w:t>   </w:t>
            </w:r>
          </w:p>
        </w:tc>
      </w:tr>
      <w:tr>
        <w:trPr/>
        <w:tc>
          <w:tcPr>
            <w:tcW w:w="497"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bidi w:val="0"/>
              <w:spacing w:before="0" w:after="283"/>
              <w:jc w:val="left"/>
              <w:rPr/>
            </w:pPr>
            <w:r>
              <w:rPr/>
              <w:t>Title:]3</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Consented to:</w:t>
            </w:r>
          </w:p>
          <w:p>
            <w:pPr>
              <w:pStyle w:val="TableContents"/>
              <w:bidi w:val="0"/>
              <w:spacing w:before="0" w:after="20"/>
              <w:jc w:val="left"/>
              <w:rPr>
                <w:rFonts w:ascii="Times New Roman" w:hAnsi="Times New Roman"/>
                <w:sz w:val="20"/>
              </w:rPr>
            </w:pPr>
            <w:r>
              <w:rPr>
                <w:rFonts w:ascii="Times New Roman" w:hAnsi="Times New Roman"/>
                <w:sz w:val="20"/>
              </w:rPr>
              <w:t>GENERAL MOTORS COMPANY</w:t>
            </w:r>
          </w:p>
        </w:tc>
      </w:tr>
      <w:tr>
        <w:trPr>
          <w:trHeight w:val="240" w:hRule="atLeast"/>
        </w:trPr>
        <w:tc>
          <w:tcPr>
            <w:tcW w:w="497" w:type="dxa"/>
            <w:tcBorders/>
            <w:vAlign w:val="center"/>
          </w:tcPr>
          <w:p>
            <w:pPr>
              <w:pStyle w:val="TableContents"/>
              <w:bidi w:val="0"/>
              <w:spacing w:before="0" w:after="283"/>
              <w:jc w:val="left"/>
              <w:rPr>
                <w:sz w:val="4"/>
                <w:szCs w:val="4"/>
              </w:rPr>
            </w:pPr>
            <w:r>
              <w:rPr>
                <w:sz w:val="4"/>
                <w:szCs w:val="4"/>
              </w:rPr>
            </w:r>
          </w:p>
        </w:tc>
        <w:tc>
          <w:tcPr>
            <w:tcW w:w="3585"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pBdr>
                <w:bottom w:val="single" w:sz="2" w:space="1" w:color="000000"/>
              </w:pBdr>
              <w:bidi w:val="0"/>
              <w:spacing w:before="0" w:after="20"/>
              <w:jc w:val="left"/>
              <w:rPr/>
            </w:pPr>
            <w:r>
              <w:rPr/>
              <w:t> </w:t>
            </w:r>
          </w:p>
        </w:tc>
      </w:tr>
      <w:tr>
        <w:trPr/>
        <w:tc>
          <w:tcPr>
            <w:tcW w:w="497"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500" w:type="dxa"/>
            <w:tcBorders/>
          </w:tcPr>
          <w:p>
            <w:pPr>
              <w:pStyle w:val="TableContents"/>
              <w:bidi w:val="0"/>
              <w:spacing w:before="0" w:after="283"/>
              <w:jc w:val="left"/>
              <w:rPr/>
            </w:pPr>
            <w:r>
              <w:rPr/>
              <w:t>Title:</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written consent of the Company and the Administrative Agent, is required unless, (x) in the case of the Administrative Agent, the Assignee is a Lender or affiliate thereof, and (y) in the case of the Company only, (i) an Event of Default under Section 8(a) or (e) of the Credit Agreement has occurred and is continuing or (ii) the Assignee is a Lender to which any two or more of the following ratings have been issued by the relevant rating agency: (a) in the case of S&amp;P, at least BBB; (b) in the case of Moodys, at least Baa2; and (c) in the case of Fitch, at least BBB.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STANDARD TERMS AND CONDITIONS FOR </w:t>
      </w:r>
    </w:p>
    <w:p>
      <w:pPr>
        <w:pStyle w:val="TextBody"/>
        <w:bidi w:val="0"/>
        <w:spacing w:before="0" w:after="0"/>
        <w:jc w:val="center"/>
        <w:rPr>
          <w:rFonts w:ascii="Times New Roman" w:hAnsi="Times New Roman"/>
          <w:sz w:val="20"/>
        </w:rPr>
      </w:pPr>
      <w:r>
        <w:rPr>
          <w:rFonts w:ascii="Times New Roman" w:hAnsi="Times New Roman"/>
          <w:sz w:val="20"/>
        </w:rPr>
        <w:t xml:space="preserve">ASSIGNMENT AND ASSUMPTION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Assignor</w:t>
      </w:r>
      <w:r>
        <w:rPr>
          <w:rFonts w:ascii="Times New Roman" w:hAnsi="Times New Roman"/>
          <w:sz w:val="20"/>
        </w:rPr>
        <w:t xml:space="preserve">.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(ii) the execution, legality, validity, enforceability, genuineness, sufficiency or value of the Credit Agreement or any collateral thereunder, (iii) the financial condition of the Company, any of its Subsidiaries or Affiliates or any other Person obligated in respect of the Credit Agreement, (iv) any requirements under applicable law for the Assignee to become a lender under the Credit Agreement or to charge interest at the rate set forth therein from time to time or (v) the performance or observance by the Company, any of its Subsidiaries or Affiliates or any other Person of any of their respective obligations under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Assignee</w:t>
      </w:r>
      <w:r>
        <w:rPr>
          <w:rFonts w:ascii="Times New Roman" w:hAnsi="Times New Roman"/>
          <w:sz w:val="20"/>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and under applicable law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together with copies of the most recent financial statements delivered pursuant to </w:t>
      </w:r>
      <w:r>
        <w:rPr>
          <w:rFonts w:ascii="Times New Roman" w:hAnsi="Times New Roman"/>
          <w:sz w:val="20"/>
          <w:u w:val="single"/>
        </w:rPr>
        <w:t>Section 6.1</w:t>
      </w:r>
      <w:r>
        <w:rPr>
          <w:rFonts w:ascii="Times New Roman" w:hAnsi="Times New Roman"/>
          <w:sz w:val="20"/>
        </w:rPr>
        <w:t xml:space="preserve"> thereof (or, if none of such financial statements shall have then been delivered or deemed delivered, then copies of the financial statements referred to in </w:t>
      </w:r>
      <w:r>
        <w:rPr>
          <w:rFonts w:ascii="Times New Roman" w:hAnsi="Times New Roman"/>
          <w:sz w:val="20"/>
          <w:u w:val="single"/>
        </w:rPr>
        <w:t>Section 4.1</w:t>
      </w:r>
      <w:r>
        <w:rPr>
          <w:rFonts w:ascii="Times New Roman" w:hAnsi="Times New Roman"/>
          <w:sz w:val="20"/>
        </w:rPr>
        <w:t xml:space="preserve">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Arranger, the Assignor or any other Lender or any of their respective Related Parties, and (vi) attached to the Assignment and Assumption is any documentation required to be delivered by it pursuant to the terms of the Credit Agreement, duly completed and executed by the Assignee; and (b) agrees that (i) it will, independently and without reliance on the Administrative Agent, any Arranger, Syndication Agent or Co-Syndication Agent, the Assignor or any other Lender or any of their respective Related Parties, and based on such documents and information as it shall deem appropriate at the time, continue to make its own credit decisions in taking or not taking action under the Credit Agreement, and (ii) it will perform in accordance with their terms all of the obligations which by the terms of the Credit Agreement are required to be performed by it as a Lender.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Payments</w:t>
      </w:r>
      <w:r>
        <w:rPr>
          <w:rFonts w:ascii="Times New Roman" w:hAnsi="Times New Roman"/>
          <w:sz w:val="20"/>
        </w:rPr>
        <w:t xml:space="preserve">.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General Provisions</w:t>
      </w:r>
      <w:r>
        <w:rPr>
          <w:rFonts w:ascii="Times New Roman" w:hAnsi="Times New Roman"/>
          <w:sz w:val="20"/>
        </w:rPr>
        <w:t xml:space="preserve">. This Assignment and Assumption shall be binding upon, and inure to the benefit of, the parties hereto and their respective 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Approved Electronic Platform shall be effective as delivery of a manually executed counterpart of this Assignment and Assumption. This Assignment and Assumption shall be governed by, and construed in accordance with, the law of the State of New York.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H  </w:t>
      </w:r>
    </w:p>
    <w:p>
      <w:pPr>
        <w:pStyle w:val="TextBody"/>
        <w:bidi w:val="0"/>
        <w:spacing w:before="0" w:after="0"/>
        <w:jc w:val="right"/>
        <w:rPr>
          <w:rFonts w:ascii="Times New Roman" w:hAnsi="Times New Roman"/>
          <w:b/>
          <w:sz w:val="20"/>
        </w:rPr>
      </w:pPr>
      <w:r>
        <w:rPr>
          <w:rFonts w:ascii="Times New Roman" w:hAnsi="Times New Roman"/>
          <w:b/>
          <w:sz w:val="20"/>
        </w:rPr>
        <w:t xml:space="preserve">to    </w:t>
      </w:r>
    </w:p>
    <w:p>
      <w:pPr>
        <w:pStyle w:val="TextBody"/>
        <w:bidi w:val="0"/>
        <w:spacing w:before="0" w:after="0"/>
        <w:jc w:val="right"/>
        <w:rPr>
          <w:rFonts w:ascii="Times New Roman" w:hAnsi="Times New Roman"/>
          <w:b/>
          <w:sz w:val="20"/>
        </w:rPr>
      </w:pPr>
      <w:r>
        <w:rPr>
          <w:rFonts w:ascii="Times New Roman" w:hAnsi="Times New Roman"/>
          <w:b/>
          <w:sz w:val="20"/>
        </w:rPr>
        <w:t xml:space="preserve">Credit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JOINDER AGREEMENT </w:t>
      </w:r>
    </w:p>
    <w:p>
      <w:pPr>
        <w:pStyle w:val="TextBody"/>
        <w:bidi w:val="0"/>
        <w:spacing w:before="240" w:after="0"/>
        <w:jc w:val="left"/>
        <w:rPr>
          <w:rFonts w:ascii="Times New Roman" w:hAnsi="Times New Roman"/>
          <w:sz w:val="20"/>
        </w:rPr>
      </w:pPr>
      <w:r>
        <w:rPr>
          <w:rFonts w:ascii="Times New Roman" w:hAnsi="Times New Roman"/>
          <w:sz w:val="20"/>
        </w:rPr>
        <w:t>JOINDER AGREEMENT, dated as of ___, 20__, made by each signatory hereto (each a </w:t>
      </w:r>
      <w:r>
        <w:rPr>
          <w:rFonts w:ascii="Times New Roman" w:hAnsi="Times New Roman"/>
          <w:sz w:val="20"/>
          <w:u w:val="single"/>
        </w:rPr>
        <w:t>Subsidiary Borrower</w:t>
      </w:r>
      <w:r>
        <w:rPr>
          <w:rFonts w:ascii="Times New Roman" w:hAnsi="Times New Roman"/>
          <w:sz w:val="20"/>
        </w:rPr>
        <w:t>), in favor of JPMorgan Chase Bank, N.A., as administrative agent for the Lenders (in such capacity, the </w:t>
      </w:r>
      <w:r>
        <w:rPr>
          <w:rFonts w:ascii="Times New Roman" w:hAnsi="Times New Roman"/>
          <w:sz w:val="20"/>
          <w:u w:val="single"/>
        </w:rPr>
        <w:t>Administrative Agent</w:t>
      </w:r>
      <w:r>
        <w:rPr>
          <w:rFonts w:ascii="Times New Roman" w:hAnsi="Times New Roman"/>
          <w:sz w:val="20"/>
        </w:rPr>
        <w:t>) referred to in the Sixth Amended and Restated 364-Day Revolving Credit Agreement, dated as of March 28, 2024 (as amended, restated, amended and restated, renewed, supplemented or modified from time to time, the </w:t>
      </w:r>
      <w:r>
        <w:rPr>
          <w:rFonts w:ascii="Times New Roman" w:hAnsi="Times New Roman"/>
          <w:sz w:val="20"/>
          <w:u w:val="single"/>
        </w:rPr>
        <w:t>Credit Agreement</w:t>
      </w:r>
      <w:r>
        <w:rPr>
          <w:rFonts w:ascii="Times New Roman" w:hAnsi="Times New Roman"/>
          <w:sz w:val="20"/>
        </w:rPr>
        <w:t>), among General Motors Company, a Delaware corporation (the </w:t>
      </w:r>
      <w:r>
        <w:rPr>
          <w:rFonts w:ascii="Times New Roman" w:hAnsi="Times New Roman"/>
          <w:sz w:val="20"/>
          <w:u w:val="single"/>
        </w:rPr>
        <w:t>Company</w:t>
      </w:r>
      <w:r>
        <w:rPr>
          <w:rFonts w:ascii="Times New Roman" w:hAnsi="Times New Roman"/>
          <w:sz w:val="20"/>
        </w:rPr>
        <w:t xml:space="preserve">), General Motors Financial Company, Inc., a Texas corporation, the Subsidiary Borrowers from time to time party thereto, the Lenders referred to therein, the Administrative Agent, Citibank, N.A., as syndication agent, Bank of America, N.A., as co-syndication agent, and the other agents party thereto. Unless otherwise defined herein, terms used but not defined herein shall have the meanings given to them in the 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to this Joinder Agreement wish to add the Subsidiary Borrower to the Credit Agreement in the manner hereinafter set forth; and </w:t>
      </w:r>
    </w:p>
    <w:p>
      <w:pPr>
        <w:pStyle w:val="TextBody"/>
        <w:bidi w:val="0"/>
        <w:spacing w:before="240" w:after="0"/>
        <w:jc w:val="left"/>
        <w:rPr>
          <w:rFonts w:ascii="Times New Roman" w:hAnsi="Times New Roman"/>
          <w:sz w:val="20"/>
        </w:rPr>
      </w:pPr>
      <w:r>
        <w:rPr>
          <w:rFonts w:ascii="Times New Roman" w:hAnsi="Times New Roman"/>
          <w:sz w:val="20"/>
        </w:rPr>
        <w:t xml:space="preserve">WHEREAS, this Joinder Agreement is entered into pursuant to Section 10.1(d)(i)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the parties hereto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The Subsidiary Borrower, hereby acknowledges that it has received and reviewed a copy of the Credit Agreement, and acknowledges and agrees to (i) join the Credit Agreement as a Subsidiary Borrower, as indicated with its signature below; (ii) be bound by all covenants, agreements and acknowledgments attributable to a Subsidiary Borrower in the Credit Agreement; and (iii) perform all obligations and duties required of it by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2. The address, taxpayer identification number (if any) and jurisdiction of organization of the Subsidiary Borrower is set forth in Annex I to this Joinder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3. THIS JOINDER AND THE RIGHTS AND OBLIGATIONS OF THE PARTIES HEREUNDER SHALL BE GOVERNED BY, AND CONSTRUED AND INTERPRETED IN ACCORDANCE WITH, THE LAW OF THE STATE OF NEW YORK.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undersigned has caused this Joinder Agreement to be duly executed and delivered by its proper and duly authorized officer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32"/>
        <w:gridCol w:w="93"/>
        <w:gridCol w:w="3457"/>
      </w:tblGrid>
      <w:tr>
        <w:trPr/>
        <w:tc>
          <w:tcPr>
            <w:tcW w:w="532"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34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[EACH SUBSIDIARY BORROWER],</w:t>
            </w:r>
          </w:p>
        </w:tc>
      </w:tr>
      <w:tr>
        <w:trPr/>
        <w:tc>
          <w:tcPr>
            <w:tcW w:w="4082" w:type="dxa"/>
            <w:gridSpan w:val="3"/>
            <w:tcBorders/>
          </w:tcPr>
          <w:p>
            <w:pPr>
              <w:pStyle w:val="TableContents"/>
              <w:bidi w:val="0"/>
              <w:spacing w:before="0" w:after="283"/>
              <w:jc w:val="left"/>
              <w:rPr/>
            </w:pPr>
            <w:r>
              <w:rPr/>
              <w:t>as a Subsidiary Borrower</w:t>
            </w:r>
          </w:p>
        </w:tc>
      </w:tr>
      <w:tr>
        <w:trPr>
          <w:trHeight w:val="240" w:hRule="atLeast"/>
        </w:trPr>
        <w:tc>
          <w:tcPr>
            <w:tcW w:w="532" w:type="dxa"/>
            <w:tcBorders/>
            <w:vAlign w:val="center"/>
          </w:tcPr>
          <w:p>
            <w:pPr>
              <w:pStyle w:val="TableContents"/>
              <w:bidi w:val="0"/>
              <w:spacing w:before="0" w:after="283"/>
              <w:jc w:val="left"/>
              <w:rPr>
                <w:sz w:val="4"/>
                <w:szCs w:val="4"/>
              </w:rPr>
            </w:pPr>
            <w:r>
              <w:rPr>
                <w:sz w:val="4"/>
                <w:szCs w:val="4"/>
              </w:rPr>
            </w:r>
          </w:p>
        </w:tc>
        <w:tc>
          <w:tcPr>
            <w:tcW w:w="3550" w:type="dxa"/>
            <w:gridSpan w:val="2"/>
            <w:tcBorders/>
            <w:vAlign w:val="center"/>
          </w:tcPr>
          <w:p>
            <w:pPr>
              <w:pStyle w:val="TableContents"/>
              <w:bidi w:val="0"/>
              <w:spacing w:before="0" w:after="283"/>
              <w:jc w:val="left"/>
              <w:rPr>
                <w:sz w:val="4"/>
                <w:szCs w:val="4"/>
              </w:rPr>
            </w:pPr>
            <w:r>
              <w:rPr>
                <w:sz w:val="4"/>
                <w:szCs w:val="4"/>
              </w:rPr>
            </w:r>
          </w:p>
        </w:tc>
      </w:tr>
      <w:tr>
        <w:trPr/>
        <w:tc>
          <w:tcPr>
            <w:tcW w:w="532" w:type="dxa"/>
            <w:tcBorders/>
          </w:tcPr>
          <w:p>
            <w:pPr>
              <w:pStyle w:val="TableContents"/>
              <w:bidi w:val="0"/>
              <w:spacing w:before="0" w:after="283"/>
              <w:jc w:val="left"/>
              <w:rPr/>
            </w:pPr>
            <w:r>
              <w:rPr/>
              <w:t>By:</w:t>
            </w:r>
          </w:p>
        </w:tc>
        <w:tc>
          <w:tcPr>
            <w:tcW w:w="93" w:type="dxa"/>
            <w:tcBorders/>
            <w:vAlign w:val="bottom"/>
          </w:tcPr>
          <w:p>
            <w:pPr>
              <w:pStyle w:val="TableContents"/>
              <w:bidi w:val="0"/>
              <w:spacing w:before="0" w:after="283"/>
              <w:jc w:val="left"/>
              <w:rPr/>
            </w:pPr>
            <w:r>
              <w:rPr/>
              <w:t> </w:t>
            </w:r>
          </w:p>
        </w:tc>
        <w:tc>
          <w:tcPr>
            <w:tcW w:w="3457" w:type="dxa"/>
            <w:tcBorders/>
          </w:tcPr>
          <w:p>
            <w:pPr>
              <w:pStyle w:val="TableContents"/>
              <w:pBdr>
                <w:bottom w:val="single" w:sz="2" w:space="1" w:color="000000"/>
              </w:pBdr>
              <w:bidi w:val="0"/>
              <w:spacing w:before="0" w:after="20"/>
              <w:jc w:val="left"/>
              <w:rPr/>
            </w:pPr>
            <w:r>
              <w:rPr/>
              <w:t>   </w:t>
            </w:r>
          </w:p>
        </w:tc>
      </w:tr>
      <w:tr>
        <w:trPr/>
        <w:tc>
          <w:tcPr>
            <w:tcW w:w="532" w:type="dxa"/>
            <w:tcBorders/>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3457" w:type="dxa"/>
            <w:tcBorders/>
          </w:tcPr>
          <w:p>
            <w:pPr>
              <w:pStyle w:val="TableContents"/>
              <w:bidi w:val="0"/>
              <w:spacing w:before="0" w:after="283"/>
              <w:jc w:val="left"/>
              <w:rPr/>
            </w:pPr>
            <w:r>
              <w:rPr/>
              <w:t>Name:</w:t>
            </w:r>
          </w:p>
        </w:tc>
      </w:tr>
      <w:tr>
        <w:trPr/>
        <w:tc>
          <w:tcPr>
            <w:tcW w:w="532" w:type="dxa"/>
            <w:tcBorders/>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3457"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26"/>
        <w:gridCol w:w="134"/>
        <w:gridCol w:w="3222"/>
      </w:tblGrid>
      <w:tr>
        <w:trPr/>
        <w:tc>
          <w:tcPr>
            <w:tcW w:w="726"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32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u w:val="single"/>
              </w:rPr>
              <w:t>ACKNOWLEDGED AND AGREED TO</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JPMorgan Chase Bank, N.A.,</w:t>
            </w:r>
          </w:p>
        </w:tc>
      </w:tr>
      <w:tr>
        <w:trPr/>
        <w:tc>
          <w:tcPr>
            <w:tcW w:w="4082" w:type="dxa"/>
            <w:gridSpan w:val="3"/>
            <w:tcBorders/>
          </w:tcPr>
          <w:p>
            <w:pPr>
              <w:pStyle w:val="TableContents"/>
              <w:bidi w:val="0"/>
              <w:spacing w:before="0" w:after="283"/>
              <w:jc w:val="left"/>
              <w:rPr/>
            </w:pPr>
            <w:r>
              <w:rPr/>
              <w:t>as Administrative Agent</w:t>
            </w:r>
          </w:p>
        </w:tc>
      </w:tr>
      <w:tr>
        <w:trPr>
          <w:trHeight w:val="240" w:hRule="atLeast"/>
        </w:trPr>
        <w:tc>
          <w:tcPr>
            <w:tcW w:w="726" w:type="dxa"/>
            <w:tcBorders/>
            <w:vAlign w:val="center"/>
          </w:tcPr>
          <w:p>
            <w:pPr>
              <w:pStyle w:val="TableContents"/>
              <w:bidi w:val="0"/>
              <w:spacing w:before="0" w:after="283"/>
              <w:jc w:val="left"/>
              <w:rPr>
                <w:sz w:val="4"/>
                <w:szCs w:val="4"/>
              </w:rPr>
            </w:pPr>
            <w:r>
              <w:rPr>
                <w:sz w:val="4"/>
                <w:szCs w:val="4"/>
              </w:rPr>
            </w:r>
          </w:p>
        </w:tc>
        <w:tc>
          <w:tcPr>
            <w:tcW w:w="3356" w:type="dxa"/>
            <w:gridSpan w:val="2"/>
            <w:tcBorders/>
            <w:vAlign w:val="center"/>
          </w:tcPr>
          <w:p>
            <w:pPr>
              <w:pStyle w:val="TableContents"/>
              <w:bidi w:val="0"/>
              <w:spacing w:before="0" w:after="283"/>
              <w:jc w:val="left"/>
              <w:rPr>
                <w:sz w:val="4"/>
                <w:szCs w:val="4"/>
              </w:rPr>
            </w:pPr>
            <w:r>
              <w:rPr>
                <w:sz w:val="4"/>
                <w:szCs w:val="4"/>
              </w:rPr>
            </w:r>
          </w:p>
        </w:tc>
      </w:tr>
      <w:tr>
        <w:trPr/>
        <w:tc>
          <w:tcPr>
            <w:tcW w:w="726" w:type="dxa"/>
            <w:tcBorders/>
          </w:tcPr>
          <w:p>
            <w:pPr>
              <w:pStyle w:val="TableContents"/>
              <w:bidi w:val="0"/>
              <w:spacing w:before="0" w:after="283"/>
              <w:jc w:val="left"/>
              <w:rPr/>
            </w:pPr>
            <w:r>
              <w:rPr/>
              <w:t>By:</w:t>
            </w:r>
          </w:p>
        </w:tc>
        <w:tc>
          <w:tcPr>
            <w:tcW w:w="134" w:type="dxa"/>
            <w:tcBorders/>
            <w:vAlign w:val="bottom"/>
          </w:tcPr>
          <w:p>
            <w:pPr>
              <w:pStyle w:val="TableContents"/>
              <w:bidi w:val="0"/>
              <w:spacing w:before="0" w:after="283"/>
              <w:jc w:val="left"/>
              <w:rPr/>
            </w:pPr>
            <w:r>
              <w:rPr/>
              <w:t> </w:t>
            </w:r>
          </w:p>
        </w:tc>
        <w:tc>
          <w:tcPr>
            <w:tcW w:w="3222" w:type="dxa"/>
            <w:tcBorders/>
          </w:tcPr>
          <w:p>
            <w:pPr>
              <w:pStyle w:val="TableContents"/>
              <w:pBdr>
                <w:bottom w:val="single" w:sz="2" w:space="1" w:color="000000"/>
              </w:pBdr>
              <w:bidi w:val="0"/>
              <w:spacing w:before="0" w:after="20"/>
              <w:jc w:val="left"/>
              <w:rPr/>
            </w:pPr>
            <w:r>
              <w:rPr/>
              <w:t> </w:t>
            </w:r>
          </w:p>
        </w:tc>
      </w:tr>
      <w:tr>
        <w:trPr/>
        <w:tc>
          <w:tcPr>
            <w:tcW w:w="726"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3222" w:type="dxa"/>
            <w:tcBorders/>
          </w:tcPr>
          <w:p>
            <w:pPr>
              <w:pStyle w:val="TableContents"/>
              <w:bidi w:val="0"/>
              <w:spacing w:before="0" w:after="283"/>
              <w:jc w:val="left"/>
              <w:rPr/>
            </w:pPr>
            <w:r>
              <w:rPr/>
              <w:t>Name:</w:t>
            </w:r>
          </w:p>
        </w:tc>
      </w:tr>
      <w:tr>
        <w:trPr/>
        <w:tc>
          <w:tcPr>
            <w:tcW w:w="726"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3222"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61"/>
        <w:gridCol w:w="78"/>
        <w:gridCol w:w="3543"/>
      </w:tblGrid>
      <w:tr>
        <w:trPr/>
        <w:tc>
          <w:tcPr>
            <w:tcW w:w="461"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35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GENERAL MOTORS COMPANY</w:t>
            </w:r>
          </w:p>
        </w:tc>
      </w:tr>
      <w:tr>
        <w:trPr>
          <w:trHeight w:val="240" w:hRule="atLeast"/>
        </w:trPr>
        <w:tc>
          <w:tcPr>
            <w:tcW w:w="461" w:type="dxa"/>
            <w:tcBorders/>
            <w:vAlign w:val="center"/>
          </w:tcPr>
          <w:p>
            <w:pPr>
              <w:pStyle w:val="TableContents"/>
              <w:bidi w:val="0"/>
              <w:spacing w:before="0" w:after="283"/>
              <w:jc w:val="left"/>
              <w:rPr>
                <w:sz w:val="4"/>
                <w:szCs w:val="4"/>
              </w:rPr>
            </w:pPr>
            <w:r>
              <w:rPr>
                <w:sz w:val="4"/>
                <w:szCs w:val="4"/>
              </w:rPr>
            </w:r>
          </w:p>
        </w:tc>
        <w:tc>
          <w:tcPr>
            <w:tcW w:w="3621" w:type="dxa"/>
            <w:gridSpan w:val="2"/>
            <w:tcBorders/>
            <w:vAlign w:val="center"/>
          </w:tcPr>
          <w:p>
            <w:pPr>
              <w:pStyle w:val="TableContents"/>
              <w:bidi w:val="0"/>
              <w:spacing w:before="0" w:after="283"/>
              <w:jc w:val="left"/>
              <w:rPr>
                <w:sz w:val="4"/>
                <w:szCs w:val="4"/>
              </w:rPr>
            </w:pPr>
            <w:r>
              <w:rPr>
                <w:sz w:val="4"/>
                <w:szCs w:val="4"/>
              </w:rPr>
            </w:r>
          </w:p>
        </w:tc>
      </w:tr>
      <w:tr>
        <w:trPr/>
        <w:tc>
          <w:tcPr>
            <w:tcW w:w="461" w:type="dxa"/>
            <w:tcBorders/>
          </w:tcPr>
          <w:p>
            <w:pPr>
              <w:pStyle w:val="TableContents"/>
              <w:bidi w:val="0"/>
              <w:spacing w:before="0" w:after="283"/>
              <w:jc w:val="left"/>
              <w:rPr/>
            </w:pPr>
            <w:r>
              <w:rPr/>
              <w:t>By:</w:t>
            </w:r>
          </w:p>
        </w:tc>
        <w:tc>
          <w:tcPr>
            <w:tcW w:w="78" w:type="dxa"/>
            <w:tcBorders/>
            <w:vAlign w:val="bottom"/>
          </w:tcPr>
          <w:p>
            <w:pPr>
              <w:pStyle w:val="TableContents"/>
              <w:bidi w:val="0"/>
              <w:spacing w:before="0" w:after="283"/>
              <w:jc w:val="left"/>
              <w:rPr/>
            </w:pPr>
            <w:r>
              <w:rPr/>
              <w:t> </w:t>
            </w:r>
          </w:p>
        </w:tc>
        <w:tc>
          <w:tcPr>
            <w:tcW w:w="3543" w:type="dxa"/>
            <w:tcBorders/>
          </w:tcPr>
          <w:p>
            <w:pPr>
              <w:pStyle w:val="TableContents"/>
              <w:pBdr>
                <w:bottom w:val="single" w:sz="2" w:space="1" w:color="000000"/>
              </w:pBdr>
              <w:bidi w:val="0"/>
              <w:spacing w:before="0" w:after="20"/>
              <w:jc w:val="left"/>
              <w:rPr/>
            </w:pPr>
            <w:r>
              <w:rPr/>
              <w:t> </w:t>
            </w:r>
          </w:p>
        </w:tc>
      </w:tr>
      <w:tr>
        <w:trPr/>
        <w:tc>
          <w:tcPr>
            <w:tcW w:w="461" w:type="dxa"/>
            <w:tcBorders/>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3543" w:type="dxa"/>
            <w:tcBorders/>
          </w:tcPr>
          <w:p>
            <w:pPr>
              <w:pStyle w:val="TableContents"/>
              <w:bidi w:val="0"/>
              <w:spacing w:before="0" w:after="283"/>
              <w:jc w:val="left"/>
              <w:rPr/>
            </w:pPr>
            <w:r>
              <w:rPr/>
              <w:t>Name:</w:t>
            </w:r>
          </w:p>
        </w:tc>
      </w:tr>
      <w:tr>
        <w:trPr/>
        <w:tc>
          <w:tcPr>
            <w:tcW w:w="461" w:type="dxa"/>
            <w:tcBorders/>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3543"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I-1  </w:t>
      </w:r>
    </w:p>
    <w:p>
      <w:pPr>
        <w:pStyle w:val="TextBody"/>
        <w:bidi w:val="0"/>
        <w:spacing w:before="0" w:after="0"/>
        <w:jc w:val="right"/>
        <w:rPr>
          <w:rFonts w:ascii="Times New Roman" w:hAnsi="Times New Roman"/>
          <w:b/>
          <w:sz w:val="20"/>
        </w:rPr>
      </w:pPr>
      <w:r>
        <w:rPr>
          <w:rFonts w:ascii="Times New Roman" w:hAnsi="Times New Roman"/>
          <w:b/>
          <w:sz w:val="20"/>
        </w:rPr>
        <w:t xml:space="preserve">to    </w:t>
      </w:r>
    </w:p>
    <w:p>
      <w:pPr>
        <w:pStyle w:val="TextBody"/>
        <w:bidi w:val="0"/>
        <w:spacing w:before="0" w:after="0"/>
        <w:jc w:val="right"/>
        <w:rPr>
          <w:rFonts w:ascii="Times New Roman" w:hAnsi="Times New Roman"/>
          <w:b/>
          <w:sz w:val="20"/>
        </w:rPr>
      </w:pPr>
      <w:r>
        <w:rPr>
          <w:rFonts w:ascii="Times New Roman" w:hAnsi="Times New Roman"/>
          <w:b/>
          <w:sz w:val="20"/>
        </w:rPr>
        <w:t xml:space="preserve">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[FORM OF] </w:t>
      </w:r>
    </w:p>
    <w:p>
      <w:pPr>
        <w:pStyle w:val="TextBody"/>
        <w:bidi w:val="0"/>
        <w:spacing w:before="240" w:after="0"/>
        <w:jc w:val="center"/>
        <w:rPr>
          <w:rFonts w:ascii="Times New Roman" w:hAnsi="Times New Roman"/>
          <w:sz w:val="20"/>
        </w:rPr>
      </w:pPr>
      <w:r>
        <w:rPr>
          <w:rFonts w:ascii="Times New Roman" w:hAnsi="Times New Roman"/>
          <w:sz w:val="20"/>
        </w:rPr>
        <w:t xml:space="preserve">U.S. TAX COMPLIANCE CERTIFICATE </w:t>
      </w:r>
    </w:p>
    <w:p>
      <w:pPr>
        <w:pStyle w:val="TextBody"/>
        <w:bidi w:val="0"/>
        <w:spacing w:before="240" w:after="0"/>
        <w:jc w:val="center"/>
        <w:rPr>
          <w:rFonts w:ascii="Times New Roman" w:hAnsi="Times New Roman"/>
          <w:sz w:val="20"/>
        </w:rPr>
      </w:pPr>
      <w:r>
        <w:rPr>
          <w:rFonts w:ascii="Times New Roman" w:hAnsi="Times New Roman"/>
          <w:sz w:val="20"/>
        </w:rPr>
        <w:t xml:space="preserve">(For Non-U.S. Lenders That Are Not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Sixth Amended and Restated 364-Day Revolving Credit Agreement, dated as of March 28, 2024 (as amended, restated, amended and restated, renewed, supplemented or otherwise modified from time to time, the </w:t>
      </w:r>
      <w:r>
        <w:rPr>
          <w:rFonts w:ascii="Times New Roman" w:hAnsi="Times New Roman"/>
          <w:sz w:val="20"/>
          <w:u w:val="single"/>
        </w:rPr>
        <w:t>Credit Agreement</w:t>
      </w:r>
      <w:r>
        <w:rPr>
          <w:rFonts w:ascii="Times New Roman" w:hAnsi="Times New Roman"/>
          <w:sz w:val="20"/>
        </w:rPr>
        <w:t>), among General Motors Company, a Delaware corporation (the </w:t>
      </w:r>
      <w:r>
        <w:rPr>
          <w:rFonts w:ascii="Times New Roman" w:hAnsi="Times New Roman"/>
          <w:sz w:val="20"/>
          <w:u w:val="single"/>
        </w:rPr>
        <w:t>Company</w:t>
      </w:r>
      <w:r>
        <w:rPr>
          <w:rFonts w:ascii="Times New Roman" w:hAnsi="Times New Roman"/>
          <w:sz w:val="20"/>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hAnsi="Times New Roman"/>
          <w:sz w:val="20"/>
          <w:u w:val="single"/>
        </w:rPr>
        <w:t>Administrative Agent</w:t>
      </w:r>
      <w:r>
        <w:rPr>
          <w:rFonts w:ascii="Times New Roman" w:hAnsi="Times New Roman"/>
          <w:sz w:val="20"/>
        </w:rPr>
        <w:t xml:space="preserve">), Citibank, N.A., as syndication agent, Bank of America, N.A., as co-syndication agent, and the other agents party thereto. Unless otherwise defined herein, terms defined in the Credit Agreement and used herein shall have the meanings given to them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Section 2.21 of the Credit Agreement, the undersigned hereby certifies that (i) it is the sole record and beneficial owner of the Commitment, the Loan(s) (as well as any Note(s) evidencing such Loan(s))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or concurrently herewith furnishes, the Administrative Agent and the Company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otherwise defined herein, terms defined in the Credit Agreement and used herein shall have the meanings given to them in the Credit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7"/>
        <w:gridCol w:w="61"/>
        <w:gridCol w:w="3624"/>
      </w:tblGrid>
      <w:tr>
        <w:trPr/>
        <w:tc>
          <w:tcPr>
            <w:tcW w:w="39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LENDER]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pPr>
            <w:r>
              <w:rPr/>
              <w:t> </w:t>
            </w:r>
          </w:p>
        </w:tc>
      </w:tr>
      <w:tr>
        <w:trPr/>
        <w:tc>
          <w:tcPr>
            <w:tcW w:w="39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w:t>
            </w:r>
          </w:p>
        </w:tc>
      </w:tr>
      <w:tr>
        <w:trPr/>
        <w:tc>
          <w:tcPr>
            <w:tcW w:w="39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______________, 20__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I-2  </w:t>
      </w:r>
    </w:p>
    <w:p>
      <w:pPr>
        <w:pStyle w:val="TextBody"/>
        <w:bidi w:val="0"/>
        <w:spacing w:before="0" w:after="0"/>
        <w:jc w:val="right"/>
        <w:rPr>
          <w:rFonts w:ascii="Times New Roman" w:hAnsi="Times New Roman"/>
          <w:b/>
          <w:sz w:val="20"/>
        </w:rPr>
      </w:pPr>
      <w:r>
        <w:rPr>
          <w:rFonts w:ascii="Times New Roman" w:hAnsi="Times New Roman"/>
          <w:b/>
          <w:sz w:val="20"/>
        </w:rPr>
        <w:t xml:space="preserve">to    </w:t>
      </w:r>
    </w:p>
    <w:p>
      <w:pPr>
        <w:pStyle w:val="TextBody"/>
        <w:bidi w:val="0"/>
        <w:spacing w:before="0" w:after="0"/>
        <w:jc w:val="right"/>
        <w:rPr>
          <w:rFonts w:ascii="Times New Roman" w:hAnsi="Times New Roman"/>
          <w:b/>
          <w:sz w:val="20"/>
        </w:rPr>
      </w:pPr>
      <w:r>
        <w:rPr>
          <w:rFonts w:ascii="Times New Roman" w:hAnsi="Times New Roman"/>
          <w:b/>
          <w:sz w:val="20"/>
        </w:rPr>
        <w:t xml:space="preserve">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[FORM OF] </w:t>
      </w:r>
    </w:p>
    <w:p>
      <w:pPr>
        <w:pStyle w:val="TextBody"/>
        <w:bidi w:val="0"/>
        <w:spacing w:before="240" w:after="0"/>
        <w:jc w:val="center"/>
        <w:rPr>
          <w:rFonts w:ascii="Times New Roman" w:hAnsi="Times New Roman"/>
          <w:sz w:val="20"/>
        </w:rPr>
      </w:pPr>
      <w:r>
        <w:rPr>
          <w:rFonts w:ascii="Times New Roman" w:hAnsi="Times New Roman"/>
          <w:sz w:val="20"/>
        </w:rPr>
        <w:t xml:space="preserve">U.S. TAX COMPLIANCE CERTIFICATE </w:t>
      </w:r>
    </w:p>
    <w:p>
      <w:pPr>
        <w:pStyle w:val="TextBody"/>
        <w:bidi w:val="0"/>
        <w:spacing w:before="240" w:after="0"/>
        <w:jc w:val="center"/>
        <w:rPr>
          <w:rFonts w:ascii="Times New Roman" w:hAnsi="Times New Roman"/>
          <w:sz w:val="20"/>
        </w:rPr>
      </w:pPr>
      <w:r>
        <w:rPr>
          <w:rFonts w:ascii="Times New Roman" w:hAnsi="Times New Roman"/>
          <w:sz w:val="20"/>
        </w:rPr>
        <w:t xml:space="preserve">(For Non-U.S. Lenders That Are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Sixth Amended and Restated 364-Day Revolving Credit Agreement, dated as of March 28, 2024 (as amended, restated, amended and restated, renewed, supplemented or otherwise modified from time to time, the </w:t>
      </w:r>
      <w:r>
        <w:rPr>
          <w:rFonts w:ascii="Times New Roman" w:hAnsi="Times New Roman"/>
          <w:sz w:val="20"/>
          <w:u w:val="single"/>
        </w:rPr>
        <w:t>Credit Agreement</w:t>
      </w:r>
      <w:r>
        <w:rPr>
          <w:rFonts w:ascii="Times New Roman" w:hAnsi="Times New Roman"/>
          <w:sz w:val="20"/>
        </w:rPr>
        <w:t>), among General Motors Company, a Delaware corporation (the </w:t>
      </w:r>
      <w:r>
        <w:rPr>
          <w:rFonts w:ascii="Times New Roman" w:hAnsi="Times New Roman"/>
          <w:sz w:val="20"/>
          <w:u w:val="single"/>
        </w:rPr>
        <w:t>Company</w:t>
      </w:r>
      <w:r>
        <w:rPr>
          <w:rFonts w:ascii="Times New Roman" w:hAnsi="Times New Roman"/>
          <w:sz w:val="20"/>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hAnsi="Times New Roman"/>
          <w:sz w:val="20"/>
          <w:u w:val="single"/>
        </w:rPr>
        <w:t>Administrative Agent</w:t>
      </w:r>
      <w:r>
        <w:rPr>
          <w:rFonts w:ascii="Times New Roman" w:hAnsi="Times New Roman"/>
          <w:sz w:val="20"/>
        </w:rPr>
        <w:t xml:space="preserve">), Citibank, N.A., as syndication agent, Bank of America, N.A., as co-syndication agent, and the other agents party thereto. Unless otherwise defined herein, terms defined in the Credit Agreement and used herein shall have the meanings given to them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Section 2.21 of the Credit Agreement, the undersigned hereby certifies that (i) it is the sole record owner of the Commitment,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is a controlled foreign corporation related to the Company as described in Section 881(c)(3)(C) of the Code, and (vi) the interest payments in question are not effectively connected with the undersigneds or its direct or indirect partner/members conduct of a U.S. trade or business.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or concurrently herewith furnishes, the Administrative Agent and the Company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otherwise defined herein, terms defined in the Credit Agreement and used herein shall have the meanings given to them in the Credit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7"/>
        <w:gridCol w:w="61"/>
        <w:gridCol w:w="3624"/>
      </w:tblGrid>
      <w:tr>
        <w:trPr/>
        <w:tc>
          <w:tcPr>
            <w:tcW w:w="39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LENDER]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pPr>
            <w:r>
              <w:rPr/>
              <w:t> </w:t>
            </w:r>
          </w:p>
        </w:tc>
      </w:tr>
      <w:tr>
        <w:trPr/>
        <w:tc>
          <w:tcPr>
            <w:tcW w:w="39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w:t>
            </w:r>
          </w:p>
        </w:tc>
      </w:tr>
      <w:tr>
        <w:trPr/>
        <w:tc>
          <w:tcPr>
            <w:tcW w:w="39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___________, 20__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I-3  </w:t>
      </w:r>
    </w:p>
    <w:p>
      <w:pPr>
        <w:pStyle w:val="TextBody"/>
        <w:bidi w:val="0"/>
        <w:spacing w:before="0" w:after="0"/>
        <w:jc w:val="right"/>
        <w:rPr>
          <w:rFonts w:ascii="Times New Roman" w:hAnsi="Times New Roman"/>
          <w:b/>
          <w:sz w:val="20"/>
        </w:rPr>
      </w:pPr>
      <w:r>
        <w:rPr>
          <w:rFonts w:ascii="Times New Roman" w:hAnsi="Times New Roman"/>
          <w:b/>
          <w:sz w:val="20"/>
        </w:rPr>
        <w:t xml:space="preserve">to    </w:t>
      </w:r>
    </w:p>
    <w:p>
      <w:pPr>
        <w:pStyle w:val="TextBody"/>
        <w:bidi w:val="0"/>
        <w:spacing w:before="0" w:after="0"/>
        <w:jc w:val="right"/>
        <w:rPr>
          <w:rFonts w:ascii="Times New Roman" w:hAnsi="Times New Roman"/>
          <w:b/>
          <w:sz w:val="20"/>
        </w:rPr>
      </w:pPr>
      <w:r>
        <w:rPr>
          <w:rFonts w:ascii="Times New Roman" w:hAnsi="Times New Roman"/>
          <w:b/>
          <w:sz w:val="20"/>
        </w:rPr>
        <w:t xml:space="preserve">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[FORM OF] </w:t>
      </w:r>
    </w:p>
    <w:p>
      <w:pPr>
        <w:pStyle w:val="TextBody"/>
        <w:bidi w:val="0"/>
        <w:spacing w:before="240" w:after="0"/>
        <w:jc w:val="center"/>
        <w:rPr>
          <w:rFonts w:ascii="Times New Roman" w:hAnsi="Times New Roman"/>
          <w:sz w:val="20"/>
        </w:rPr>
      </w:pPr>
      <w:r>
        <w:rPr>
          <w:rFonts w:ascii="Times New Roman" w:hAnsi="Times New Roman"/>
          <w:sz w:val="20"/>
        </w:rPr>
        <w:t xml:space="preserve">U.S. TAX COMPLIANCE CERTIFICATE </w:t>
      </w:r>
    </w:p>
    <w:p>
      <w:pPr>
        <w:pStyle w:val="TextBody"/>
        <w:bidi w:val="0"/>
        <w:spacing w:before="240" w:after="0"/>
        <w:jc w:val="center"/>
        <w:rPr>
          <w:rFonts w:ascii="Times New Roman" w:hAnsi="Times New Roman"/>
          <w:sz w:val="20"/>
        </w:rPr>
      </w:pPr>
      <w:r>
        <w:rPr>
          <w:rFonts w:ascii="Times New Roman" w:hAnsi="Times New Roman"/>
          <w:sz w:val="20"/>
        </w:rPr>
        <w:t xml:space="preserve">(For Non-U.S. Participants That Are Not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Sixth Amended and Restated 364-Day Revolving Credit Agreement, dated as of March 28, 2024 (as amended, restated, amended and restated, renewed, supplemented or otherwise modified from time to time, the </w:t>
      </w:r>
      <w:r>
        <w:rPr>
          <w:rFonts w:ascii="Times New Roman" w:hAnsi="Times New Roman"/>
          <w:sz w:val="20"/>
          <w:u w:val="single"/>
        </w:rPr>
        <w:t>Credit Agreement</w:t>
      </w:r>
      <w:r>
        <w:rPr>
          <w:rFonts w:ascii="Times New Roman" w:hAnsi="Times New Roman"/>
          <w:sz w:val="20"/>
        </w:rPr>
        <w:t>), among General Motors Company, a Delaware corporation (the </w:t>
      </w:r>
      <w:r>
        <w:rPr>
          <w:rFonts w:ascii="Times New Roman" w:hAnsi="Times New Roman"/>
          <w:sz w:val="20"/>
          <w:u w:val="single"/>
        </w:rPr>
        <w:t>Company</w:t>
      </w:r>
      <w:r>
        <w:rPr>
          <w:rFonts w:ascii="Times New Roman" w:hAnsi="Times New Roman"/>
          <w:sz w:val="20"/>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hAnsi="Times New Roman"/>
          <w:sz w:val="20"/>
          <w:u w:val="single"/>
        </w:rPr>
        <w:t>Administrative Agent</w:t>
      </w:r>
      <w:r>
        <w:rPr>
          <w:rFonts w:ascii="Times New Roman" w:hAnsi="Times New Roman"/>
          <w:sz w:val="20"/>
        </w:rPr>
        <w:t xml:space="preserve">), Citibank, N.A., as syndication agent, Bank of America, N.A., as co-syndication agent, and the other agents party thereto. Unless otherwise defined herein, terms defined in the Credit Agreement and used herein shall have the meanings given to them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Section 2.21 of the Credit Agreement, the undersigned hereby certifies that (i) it is the sole record and beneficial owner of the participation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its participating Lender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such Lender in writing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otherwise defined herein, terms defined in the Credit Agreement and used herein shall have the meanings given to them in the Credit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77"/>
        <w:gridCol w:w="102"/>
        <w:gridCol w:w="3403"/>
      </w:tblGrid>
      <w:tr>
        <w:trPr/>
        <w:tc>
          <w:tcPr>
            <w:tcW w:w="57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40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PARTICIPANT]</w:t>
            </w:r>
          </w:p>
        </w:tc>
      </w:tr>
      <w:tr>
        <w:trPr>
          <w:trHeight w:val="240" w:hRule="atLeast"/>
        </w:trPr>
        <w:tc>
          <w:tcPr>
            <w:tcW w:w="577" w:type="dxa"/>
            <w:tcBorders/>
            <w:vAlign w:val="center"/>
          </w:tcPr>
          <w:p>
            <w:pPr>
              <w:pStyle w:val="TableContents"/>
              <w:bidi w:val="0"/>
              <w:spacing w:before="0" w:after="283"/>
              <w:jc w:val="left"/>
              <w:rPr>
                <w:sz w:val="4"/>
                <w:szCs w:val="4"/>
              </w:rPr>
            </w:pPr>
            <w:r>
              <w:rPr>
                <w:sz w:val="4"/>
                <w:szCs w:val="4"/>
              </w:rPr>
            </w:r>
          </w:p>
        </w:tc>
        <w:tc>
          <w:tcPr>
            <w:tcW w:w="3505" w:type="dxa"/>
            <w:gridSpan w:val="2"/>
            <w:tcBorders/>
            <w:vAlign w:val="center"/>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3403" w:type="dxa"/>
            <w:tcBorders/>
          </w:tcPr>
          <w:p>
            <w:pPr>
              <w:pStyle w:val="TableContents"/>
              <w:pBdr>
                <w:bottom w:val="single" w:sz="2" w:space="1" w:color="000000"/>
              </w:pBdr>
              <w:bidi w:val="0"/>
              <w:spacing w:before="0" w:after="20"/>
              <w:jc w:val="left"/>
              <w:rPr/>
            </w:pPr>
            <w:r>
              <w:rPr/>
              <w:t>   </w:t>
            </w:r>
          </w:p>
        </w:tc>
      </w:tr>
      <w:tr>
        <w:trPr/>
        <w:tc>
          <w:tcPr>
            <w:tcW w:w="57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3" w:type="dxa"/>
            <w:tcBorders/>
          </w:tcPr>
          <w:p>
            <w:pPr>
              <w:pStyle w:val="TableContents"/>
              <w:bidi w:val="0"/>
              <w:spacing w:before="0" w:after="283"/>
              <w:jc w:val="left"/>
              <w:rPr/>
            </w:pPr>
            <w:r>
              <w:rPr/>
              <w:t>Name:</w:t>
            </w:r>
          </w:p>
        </w:tc>
      </w:tr>
      <w:tr>
        <w:trPr/>
        <w:tc>
          <w:tcPr>
            <w:tcW w:w="57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3"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_____________, 20__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I-4  </w:t>
      </w:r>
    </w:p>
    <w:p>
      <w:pPr>
        <w:pStyle w:val="TextBody"/>
        <w:bidi w:val="0"/>
        <w:spacing w:before="0" w:after="0"/>
        <w:jc w:val="right"/>
        <w:rPr>
          <w:rFonts w:ascii="Times New Roman" w:hAnsi="Times New Roman"/>
          <w:b/>
          <w:sz w:val="20"/>
        </w:rPr>
      </w:pPr>
      <w:r>
        <w:rPr>
          <w:rFonts w:ascii="Times New Roman" w:hAnsi="Times New Roman"/>
          <w:b/>
          <w:sz w:val="20"/>
        </w:rPr>
        <w:t xml:space="preserve">to    </w:t>
      </w:r>
    </w:p>
    <w:p>
      <w:pPr>
        <w:pStyle w:val="TextBody"/>
        <w:bidi w:val="0"/>
        <w:spacing w:before="0" w:after="0"/>
        <w:jc w:val="right"/>
        <w:rPr>
          <w:rFonts w:ascii="Times New Roman" w:hAnsi="Times New Roman"/>
          <w:b/>
          <w:sz w:val="20"/>
        </w:rPr>
      </w:pPr>
      <w:r>
        <w:rPr>
          <w:rFonts w:ascii="Times New Roman" w:hAnsi="Times New Roman"/>
          <w:b/>
          <w:sz w:val="20"/>
        </w:rPr>
        <w:t xml:space="preserve">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[FORM OF] </w:t>
      </w:r>
    </w:p>
    <w:p>
      <w:pPr>
        <w:pStyle w:val="TextBody"/>
        <w:bidi w:val="0"/>
        <w:spacing w:before="240" w:after="0"/>
        <w:jc w:val="center"/>
        <w:rPr>
          <w:rFonts w:ascii="Times New Roman" w:hAnsi="Times New Roman"/>
          <w:sz w:val="20"/>
        </w:rPr>
      </w:pPr>
      <w:r>
        <w:rPr>
          <w:rFonts w:ascii="Times New Roman" w:hAnsi="Times New Roman"/>
          <w:sz w:val="20"/>
        </w:rPr>
        <w:t xml:space="preserve">U.S. TAX COMPLIANCE CERTIFICATE </w:t>
      </w:r>
    </w:p>
    <w:p>
      <w:pPr>
        <w:pStyle w:val="TextBody"/>
        <w:bidi w:val="0"/>
        <w:spacing w:before="240" w:after="0"/>
        <w:jc w:val="center"/>
        <w:rPr>
          <w:rFonts w:ascii="Times New Roman" w:hAnsi="Times New Roman"/>
          <w:sz w:val="20"/>
        </w:rPr>
      </w:pPr>
      <w:r>
        <w:rPr>
          <w:rFonts w:ascii="Times New Roman" w:hAnsi="Times New Roman"/>
          <w:sz w:val="20"/>
        </w:rPr>
        <w:t xml:space="preserve">(For Non-U.S. Participants That Are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Sixth Amended and Restated 364-Day Revolving Credit Agreement, dated as of March 28, 2024 (as amended, restated, amended and restated, renewed, supplemented or otherwise modified from time to time, the </w:t>
      </w:r>
      <w:r>
        <w:rPr>
          <w:rFonts w:ascii="Times New Roman" w:hAnsi="Times New Roman"/>
          <w:sz w:val="20"/>
          <w:u w:val="single"/>
        </w:rPr>
        <w:t>Credit Agreement</w:t>
      </w:r>
      <w:r>
        <w:rPr>
          <w:rFonts w:ascii="Times New Roman" w:hAnsi="Times New Roman"/>
          <w:sz w:val="20"/>
        </w:rPr>
        <w:t>), among General Motors Company, a Delaware corporation (the </w:t>
      </w:r>
      <w:r>
        <w:rPr>
          <w:rFonts w:ascii="Times New Roman" w:hAnsi="Times New Roman"/>
          <w:sz w:val="20"/>
          <w:u w:val="single"/>
        </w:rPr>
        <w:t>Company</w:t>
      </w:r>
      <w:r>
        <w:rPr>
          <w:rFonts w:ascii="Times New Roman" w:hAnsi="Times New Roman"/>
          <w:sz w:val="20"/>
        </w:rPr>
        <w:t>), General Motors Financial Company, Inc., a Texas corporation, the Subsidiary Guarantors from time to time party thereto, the Lenders from time to time party thereto, JPMorgan Chase Bank, N.A., as administrative agent (in such capacity, the </w:t>
      </w:r>
      <w:r>
        <w:rPr>
          <w:rFonts w:ascii="Times New Roman" w:hAnsi="Times New Roman"/>
          <w:sz w:val="20"/>
          <w:u w:val="single"/>
        </w:rPr>
        <w:t>Administrative Agent</w:t>
      </w:r>
      <w:r>
        <w:rPr>
          <w:rFonts w:ascii="Times New Roman" w:hAnsi="Times New Roman"/>
          <w:sz w:val="20"/>
        </w:rPr>
        <w:t xml:space="preserve">), Citibank, N.A., as syndication agent, Bank of America, N.A., as co-syndication agent, and the other agents party thereto. Unless otherwise defined herein, terms defined in the Credit Agreement and used herein shall have the meanings given to them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Section 2.21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that is a beneficial owner of such participation is a controlled foreign corporation related to the Company as described in Section 881(c)(3)(C) of the Code, and (vi) the interest payments in question are not effectively connected with the undersigneds or its direct or indirect partners/members conduct of a U.S. trade or business.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its participating Lender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such Lender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otherwise defined herein, terms defined in the Credit Agreement and used herein shall have the meanings given to them in the Credit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77"/>
        <w:gridCol w:w="102"/>
        <w:gridCol w:w="3403"/>
      </w:tblGrid>
      <w:tr>
        <w:trPr/>
        <w:tc>
          <w:tcPr>
            <w:tcW w:w="57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40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PARTICIPANT]</w:t>
            </w:r>
          </w:p>
        </w:tc>
      </w:tr>
      <w:tr>
        <w:trPr>
          <w:trHeight w:val="240" w:hRule="atLeast"/>
        </w:trPr>
        <w:tc>
          <w:tcPr>
            <w:tcW w:w="577" w:type="dxa"/>
            <w:tcBorders/>
            <w:vAlign w:val="center"/>
          </w:tcPr>
          <w:p>
            <w:pPr>
              <w:pStyle w:val="TableContents"/>
              <w:bidi w:val="0"/>
              <w:spacing w:before="0" w:after="283"/>
              <w:jc w:val="left"/>
              <w:rPr>
                <w:sz w:val="4"/>
                <w:szCs w:val="4"/>
              </w:rPr>
            </w:pPr>
            <w:r>
              <w:rPr>
                <w:sz w:val="4"/>
                <w:szCs w:val="4"/>
              </w:rPr>
            </w:r>
          </w:p>
        </w:tc>
        <w:tc>
          <w:tcPr>
            <w:tcW w:w="3505" w:type="dxa"/>
            <w:gridSpan w:val="2"/>
            <w:tcBorders/>
            <w:vAlign w:val="center"/>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3403" w:type="dxa"/>
            <w:tcBorders/>
          </w:tcPr>
          <w:p>
            <w:pPr>
              <w:pStyle w:val="TableContents"/>
              <w:pBdr>
                <w:bottom w:val="single" w:sz="2" w:space="1" w:color="000000"/>
              </w:pBdr>
              <w:bidi w:val="0"/>
              <w:spacing w:before="0" w:after="20"/>
              <w:jc w:val="left"/>
              <w:rPr/>
            </w:pPr>
            <w:r>
              <w:rPr/>
              <w:t> </w:t>
            </w:r>
          </w:p>
        </w:tc>
      </w:tr>
      <w:tr>
        <w:trPr/>
        <w:tc>
          <w:tcPr>
            <w:tcW w:w="57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3" w:type="dxa"/>
            <w:tcBorders/>
          </w:tcPr>
          <w:p>
            <w:pPr>
              <w:pStyle w:val="TableContents"/>
              <w:bidi w:val="0"/>
              <w:spacing w:before="0" w:after="283"/>
              <w:jc w:val="left"/>
              <w:rPr/>
            </w:pPr>
            <w:r>
              <w:rPr/>
              <w:t>Name:</w:t>
            </w:r>
          </w:p>
        </w:tc>
      </w:tr>
      <w:tr>
        <w:trPr/>
        <w:tc>
          <w:tcPr>
            <w:tcW w:w="57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3"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______________, 20__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J  </w:t>
      </w:r>
    </w:p>
    <w:p>
      <w:pPr>
        <w:pStyle w:val="TextBody"/>
        <w:bidi w:val="0"/>
        <w:spacing w:before="0" w:after="0"/>
        <w:jc w:val="right"/>
        <w:rPr>
          <w:rFonts w:ascii="Times New Roman" w:hAnsi="Times New Roman"/>
          <w:b/>
          <w:sz w:val="20"/>
        </w:rPr>
      </w:pPr>
      <w:r>
        <w:rPr>
          <w:rFonts w:ascii="Times New Roman" w:hAnsi="Times New Roman"/>
          <w:b/>
          <w:sz w:val="20"/>
        </w:rPr>
        <w:t xml:space="preserve">to    </w:t>
      </w:r>
    </w:p>
    <w:p>
      <w:pPr>
        <w:pStyle w:val="TextBody"/>
        <w:bidi w:val="0"/>
        <w:spacing w:before="0" w:after="0"/>
        <w:jc w:val="right"/>
        <w:rPr>
          <w:rFonts w:ascii="Times New Roman" w:hAnsi="Times New Roman"/>
          <w:b/>
          <w:sz w:val="20"/>
        </w:rPr>
      </w:pPr>
      <w:r>
        <w:rPr>
          <w:rFonts w:ascii="Times New Roman" w:hAnsi="Times New Roman"/>
          <w:b/>
          <w:sz w:val="20"/>
        </w:rPr>
        <w:t xml:space="preserve">Credit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COMPLIANCE CERTIFICATE </w:t>
      </w:r>
    </w:p>
    <w:p>
      <w:pPr>
        <w:pStyle w:val="TextBody"/>
        <w:bidi w:val="0"/>
        <w:spacing w:before="240" w:after="0"/>
        <w:jc w:val="right"/>
        <w:rPr>
          <w:rFonts w:ascii="Times New Roman" w:hAnsi="Times New Roman"/>
          <w:sz w:val="20"/>
        </w:rPr>
      </w:pPr>
      <w:r>
        <w:rPr>
          <w:rFonts w:ascii="Times New Roman" w:hAnsi="Times New Roman"/>
          <w:sz w:val="20"/>
        </w:rPr>
        <w:t xml:space="preserve">_____________, 20__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JPMorgan Chase Bank, N.A., as Administrative Agent under the Credit Agreements referred to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Re: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(i) the Fifth Amended and Restated Three Year Revolving Credit Agreement, dated as of March 31, 2023 (as amended, restated, amended and restated, renewed, supplemented or modified from time to time, the 3</w:t>
            </w:r>
            <w:r>
              <w:rPr>
                <w:rFonts w:ascii="Times New Roman" w:hAnsi="Times New Roman"/>
                <w:sz w:val="20"/>
                <w:u w:val="single"/>
              </w:rPr>
              <w:t>-Year Credit Agreement</w:t>
            </w:r>
            <w:r>
              <w:rPr>
                <w:rFonts w:ascii="Times New Roman" w:hAnsi="Times New Roman"/>
                <w:sz w:val="20"/>
              </w:rPr>
              <w:t>), among General Motors Company (together with its successors and permitted assigns, the </w:t>
            </w:r>
            <w:r>
              <w:rPr>
                <w:rFonts w:ascii="Times New Roman" w:hAnsi="Times New Roman"/>
                <w:sz w:val="20"/>
                <w:u w:val="single"/>
              </w:rPr>
              <w:t>Company</w:t>
            </w:r>
            <w:r>
              <w:rPr>
                <w:rFonts w:ascii="Times New Roman" w:hAnsi="Times New Roman"/>
                <w:sz w:val="20"/>
              </w:rPr>
              <w:t>), General Motors Financial Company, Inc., a Texas corporation (</w:t>
            </w:r>
            <w:r>
              <w:rPr>
                <w:rFonts w:ascii="Times New Roman" w:hAnsi="Times New Roman"/>
                <w:sz w:val="20"/>
                <w:u w:val="single"/>
              </w:rPr>
              <w:t>GMF</w:t>
            </w:r>
            <w:r>
              <w:rPr>
                <w:rFonts w:ascii="Times New Roman" w:hAnsi="Times New Roman"/>
                <w:sz w:val="20"/>
              </w:rPr>
              <w:t>), the Subsidiary Borrowers from time to time party thereto, the lenders from time to time party thereto, as lenders (the </w:t>
            </w:r>
            <w:r>
              <w:rPr>
                <w:rFonts w:ascii="Times New Roman" w:hAnsi="Times New Roman"/>
                <w:sz w:val="20"/>
                <w:u w:val="single"/>
              </w:rPr>
              <w:t>3-Year Lenders</w:t>
            </w:r>
            <w:r>
              <w:rPr>
                <w:rFonts w:ascii="Times New Roman" w:hAnsi="Times New Roman"/>
                <w:sz w:val="20"/>
              </w:rPr>
              <w:t>), JPMorgan Chase Bank, N.A. (</w:t>
            </w:r>
            <w:r>
              <w:rPr>
                <w:rFonts w:ascii="Times New Roman" w:hAnsi="Times New Roman"/>
                <w:sz w:val="20"/>
                <w:u w:val="single"/>
              </w:rPr>
              <w:t>JPM</w:t>
            </w:r>
            <w:r>
              <w:rPr>
                <w:rFonts w:ascii="Times New Roman" w:hAnsi="Times New Roman"/>
                <w:sz w:val="20"/>
              </w:rPr>
              <w:t>), as administrative agent for the 3-Year Lenders (in such capacity, together with any successor thereto in such capacity, the </w:t>
            </w:r>
            <w:r>
              <w:rPr>
                <w:rFonts w:ascii="Times New Roman" w:hAnsi="Times New Roman"/>
                <w:sz w:val="20"/>
                <w:u w:val="single"/>
              </w:rPr>
              <w:t>3-Year Administrative Agent</w:t>
            </w:r>
            <w:r>
              <w:rPr>
                <w:rFonts w:ascii="Times New Roman" w:hAnsi="Times New Roman"/>
                <w:sz w:val="20"/>
              </w:rPr>
              <w:t>), Citibank, N.A., as syndication agent (in such capacity, the </w:t>
            </w:r>
            <w:r>
              <w:rPr>
                <w:rFonts w:ascii="Times New Roman" w:hAnsi="Times New Roman"/>
                <w:sz w:val="20"/>
                <w:u w:val="single"/>
              </w:rPr>
              <w:t>Syndication Agent</w:t>
            </w:r>
            <w:r>
              <w:rPr>
                <w:rFonts w:ascii="Times New Roman" w:hAnsi="Times New Roman"/>
                <w:sz w:val="20"/>
              </w:rPr>
              <w:t>), Bank of America, N.A., as co-syndication agent (in such capacity, the </w:t>
            </w:r>
            <w:r>
              <w:rPr>
                <w:rFonts w:ascii="Times New Roman" w:hAnsi="Times New Roman"/>
                <w:sz w:val="20"/>
                <w:u w:val="single"/>
              </w:rPr>
              <w:t>Co-Syndication Agent</w:t>
            </w:r>
            <w:r>
              <w:rPr>
                <w:rFonts w:ascii="Times New Roman" w:hAnsi="Times New Roman"/>
                <w:sz w:val="20"/>
              </w:rPr>
              <w:t>), and the other agents party thereto, (ii) the Fourth Amended and Restated Five Year Revolving Credit Agreement, dated as of March 31, 2023 (as amended, restated, amended and restated, renewed, supplemented or modified from time to time, the </w:t>
            </w:r>
            <w:r>
              <w:rPr>
                <w:rFonts w:ascii="Times New Roman" w:hAnsi="Times New Roman"/>
                <w:sz w:val="20"/>
                <w:u w:val="single"/>
              </w:rPr>
              <w:t>5-Year Credit Agreement</w:t>
            </w:r>
            <w:r>
              <w:rPr>
                <w:rFonts w:ascii="Times New Roman" w:hAnsi="Times New Roman"/>
                <w:sz w:val="20"/>
              </w:rPr>
              <w:t>), among the Company, GMF, the Subsidiary Borrowers from time to time party thereto, the lenders from time to time party thereto, as lenders (the </w:t>
            </w:r>
            <w:r>
              <w:rPr>
                <w:rFonts w:ascii="Times New Roman" w:hAnsi="Times New Roman"/>
                <w:sz w:val="20"/>
                <w:u w:val="single"/>
              </w:rPr>
              <w:t>5-Year Lenders</w:t>
            </w:r>
            <w:r>
              <w:rPr>
                <w:rFonts w:ascii="Times New Roman" w:hAnsi="Times New Roman"/>
                <w:sz w:val="20"/>
              </w:rPr>
              <w:t>), JPM, as administrative agent for the 5-Year Lenders (in such capacity, together with any successor thereto in such capacity, the </w:t>
            </w:r>
            <w:r>
              <w:rPr>
                <w:rFonts w:ascii="Times New Roman" w:hAnsi="Times New Roman"/>
                <w:sz w:val="20"/>
                <w:u w:val="single"/>
              </w:rPr>
              <w:t>5-Year Administrative Agent</w:t>
            </w:r>
            <w:r>
              <w:rPr>
                <w:rFonts w:ascii="Times New Roman" w:hAnsi="Times New Roman"/>
                <w:sz w:val="20"/>
              </w:rPr>
              <w:t>), the Syndication Agent, the Co-Syndication Agent, and the other agents party thereto, and (iii) the Sixth Amended and Restated 364-Day Revolving Credit Agreement, dated as of March 28, 2024 (as amended, restated, amended and restated, renewed, supplemented or modified from time to time, the </w:t>
            </w:r>
            <w:r>
              <w:rPr>
                <w:rFonts w:ascii="Times New Roman" w:hAnsi="Times New Roman"/>
                <w:sz w:val="20"/>
                <w:u w:val="single"/>
              </w:rPr>
              <w:t>364-Day Credit Agreement</w:t>
            </w:r>
            <w:r>
              <w:rPr>
                <w:rFonts w:ascii="Times New Roman" w:hAnsi="Times New Roman"/>
                <w:sz w:val="20"/>
              </w:rPr>
              <w:t> and together with the 3-Year Credit Agreement and the 5-Year Credit Agreement, the </w:t>
            </w:r>
            <w:r>
              <w:rPr>
                <w:rFonts w:ascii="Times New Roman" w:hAnsi="Times New Roman"/>
                <w:sz w:val="20"/>
                <w:u w:val="single"/>
              </w:rPr>
              <w:t>Credit Agreements</w:t>
            </w:r>
            <w:r>
              <w:rPr>
                <w:rFonts w:ascii="Times New Roman" w:hAnsi="Times New Roman"/>
                <w:sz w:val="20"/>
              </w:rPr>
              <w:t> and each a </w:t>
            </w:r>
            <w:r>
              <w:rPr>
                <w:rFonts w:ascii="Times New Roman" w:hAnsi="Times New Roman"/>
                <w:sz w:val="20"/>
                <w:u w:val="single"/>
              </w:rPr>
              <w:t>Credit Agreement</w:t>
            </w:r>
            <w:r>
              <w:rPr>
                <w:rFonts w:ascii="Times New Roman" w:hAnsi="Times New Roman"/>
                <w:sz w:val="20"/>
              </w:rPr>
              <w:t>), among the Company, GMF, the Subsidiary Borrowers from time to time party thereto, the lenders from time to time party thereto, as lenders (the </w:t>
            </w:r>
            <w:r>
              <w:rPr>
                <w:rFonts w:ascii="Times New Roman" w:hAnsi="Times New Roman"/>
                <w:sz w:val="20"/>
                <w:u w:val="single"/>
              </w:rPr>
              <w:t>364-Day Lenders</w:t>
            </w:r>
            <w:r>
              <w:rPr>
                <w:rFonts w:ascii="Times New Roman" w:hAnsi="Times New Roman"/>
                <w:sz w:val="20"/>
              </w:rPr>
              <w:t> and together with the 3-Year Lenders and the 5-Year Lenders, the </w:t>
            </w:r>
            <w:r>
              <w:rPr>
                <w:rFonts w:ascii="Times New Roman" w:hAnsi="Times New Roman"/>
                <w:sz w:val="20"/>
                <w:u w:val="single"/>
              </w:rPr>
              <w:t>Lenders</w:t>
            </w:r>
            <w:r>
              <w:rPr>
                <w:rFonts w:ascii="Times New Roman" w:hAnsi="Times New Roman"/>
                <w:sz w:val="20"/>
              </w:rPr>
              <w:t>), JPM as the Administrative Agent for the 364-Day Lenders (in such capacity, together with any successor thereto in such capacity, the </w:t>
            </w:r>
            <w:r>
              <w:rPr>
                <w:rFonts w:ascii="Times New Roman" w:hAnsi="Times New Roman"/>
                <w:sz w:val="20"/>
                <w:u w:val="single"/>
              </w:rPr>
              <w:t>364-Day Administrative Agent</w:t>
            </w:r>
            <w:r>
              <w:rPr>
                <w:rFonts w:ascii="Times New Roman" w:hAnsi="Times New Roman"/>
                <w:sz w:val="20"/>
              </w:rPr>
              <w:t> and together with the 3-Year Administrative Agent and the 5-Year Administrative Agent, the </w:t>
            </w:r>
            <w:r>
              <w:rPr>
                <w:rFonts w:ascii="Times New Roman" w:hAnsi="Times New Roman"/>
                <w:sz w:val="20"/>
                <w:u w:val="single"/>
              </w:rPr>
              <w:t>Administrative Agent</w:t>
            </w:r>
            <w:r>
              <w:rPr>
                <w:rFonts w:ascii="Times New Roman" w:hAnsi="Times New Roman"/>
                <w:sz w:val="20"/>
              </w:rPr>
              <w:t xml:space="preserve">), the Syndication Agent, the Co-Syndication Agent, and the other agents party thereto. </w:t>
            </w:r>
          </w:p>
        </w:tc>
      </w:tr>
    </w:tbl>
    <w:p>
      <w:pPr>
        <w:pStyle w:val="TextBody"/>
        <w:bidi w:val="0"/>
        <w:spacing w:before="240" w:after="0"/>
        <w:jc w:val="left"/>
        <w:rPr>
          <w:rFonts w:ascii="Times New Roman" w:hAnsi="Times New Roman"/>
          <w:sz w:val="20"/>
        </w:rPr>
      </w:pPr>
      <w:r>
        <w:rPr>
          <w:rFonts w:ascii="Times New Roman" w:hAnsi="Times New Roman"/>
          <w:sz w:val="20"/>
        </w:rPr>
        <w:t>This Compliance Certificate (this </w:t>
      </w:r>
      <w:r>
        <w:rPr>
          <w:rFonts w:ascii="Times New Roman" w:hAnsi="Times New Roman"/>
          <w:sz w:val="20"/>
          <w:u w:val="single"/>
        </w:rPr>
        <w:t>Certificate</w:t>
      </w:r>
      <w:r>
        <w:rPr>
          <w:rFonts w:ascii="Times New Roman" w:hAnsi="Times New Roman"/>
          <w:sz w:val="20"/>
        </w:rPr>
        <w:t xml:space="preserve">) is furnished pursuant to </w:t>
      </w:r>
      <w:r>
        <w:rPr>
          <w:rFonts w:ascii="Times New Roman" w:hAnsi="Times New Roman"/>
          <w:sz w:val="20"/>
          <w:u w:val="single"/>
        </w:rPr>
        <w:t>Section 6.2</w:t>
      </w:r>
      <w:r>
        <w:rPr>
          <w:rFonts w:ascii="Times New Roman" w:hAnsi="Times New Roman"/>
          <w:sz w:val="20"/>
        </w:rPr>
        <w:t xml:space="preserve"> of each Credit Agreement. Unless otherwise defined herein, terms used in this Compliance Certificate have the meanings assigned to such terms in each Credit Agreement. I, the undersigned, a Responsible Officer of the Company, do hereby certify, in the name and on behalf of the Company, and without assuming any personal liability, as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I am [the] [a] duly elected [insert title of Responsible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2. To the best of my knowledge, no Default or Event of Default has occurred and is continuing as of the date hereof [, except as set forth in </w:t>
      </w:r>
      <w:r>
        <w:rPr>
          <w:rFonts w:ascii="Times New Roman" w:hAnsi="Times New Roman"/>
          <w:sz w:val="20"/>
          <w:u w:val="single"/>
        </w:rPr>
        <w:t>Annex 1</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3. Attached hereto as </w:t>
      </w:r>
      <w:r>
        <w:rPr>
          <w:rFonts w:ascii="Times New Roman" w:hAnsi="Times New Roman"/>
          <w:sz w:val="20"/>
          <w:u w:val="single"/>
        </w:rPr>
        <w:t>Schedule I</w:t>
      </w:r>
      <w:r>
        <w:rPr>
          <w:rFonts w:ascii="Times New Roman" w:hAnsi="Times New Roman"/>
          <w:sz w:val="20"/>
        </w:rPr>
        <w:t xml:space="preserve"> is the calculation of Consolidated Domestic Liquidity as of the last day of the most recent fiscal period covered by the financial statements of the Company delivered or deemed delivered pursuant to </w:t>
      </w:r>
      <w:r>
        <w:rPr>
          <w:rFonts w:ascii="Times New Roman" w:hAnsi="Times New Roman"/>
          <w:sz w:val="20"/>
          <w:u w:val="single"/>
        </w:rPr>
        <w:t>Section 6.1</w:t>
      </w:r>
      <w:r>
        <w:rPr>
          <w:rFonts w:ascii="Times New Roman" w:hAnsi="Times New Roman"/>
          <w:sz w:val="20"/>
        </w:rPr>
        <w:t xml:space="preserve"> of each Credit Agreement; and </w:t>
      </w:r>
    </w:p>
    <w:p>
      <w:pPr>
        <w:pStyle w:val="TextBody"/>
        <w:bidi w:val="0"/>
        <w:spacing w:before="240" w:after="0"/>
        <w:jc w:val="left"/>
        <w:rPr>
          <w:rFonts w:ascii="Times New Roman" w:hAnsi="Times New Roman"/>
          <w:sz w:val="20"/>
        </w:rPr>
      </w:pPr>
      <w:r>
        <w:rPr>
          <w:rFonts w:ascii="Times New Roman" w:hAnsi="Times New Roman"/>
          <w:sz w:val="20"/>
        </w:rPr>
        <w:t xml:space="preserve">4. Attached hereto as </w:t>
      </w:r>
      <w:r>
        <w:rPr>
          <w:rFonts w:ascii="Times New Roman" w:hAnsi="Times New Roman"/>
          <w:sz w:val="20"/>
          <w:u w:val="single"/>
        </w:rPr>
        <w:t>Schedule II</w:t>
      </w:r>
      <w:r>
        <w:rPr>
          <w:rFonts w:ascii="Times New Roman" w:hAnsi="Times New Roman"/>
          <w:sz w:val="20"/>
        </w:rPr>
        <w:t xml:space="preserve"> is the calculation of Consolidated Global Liquidity as of the last day of the most recent fiscal period covered by the financial statements of the Company delivered or deemed delivered pursuant to </w:t>
      </w:r>
      <w:r>
        <w:rPr>
          <w:rFonts w:ascii="Times New Roman" w:hAnsi="Times New Roman"/>
          <w:sz w:val="20"/>
          <w:u w:val="single"/>
        </w:rPr>
        <w:t>Section 6.1</w:t>
      </w:r>
      <w:r>
        <w:rPr>
          <w:rFonts w:ascii="Times New Roman" w:hAnsi="Times New Roman"/>
          <w:sz w:val="20"/>
        </w:rPr>
        <w:t xml:space="preserve"> of each Credit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certifications, together with the calculations set forth in </w:t>
      </w:r>
      <w:r>
        <w:rPr>
          <w:rFonts w:ascii="Times New Roman" w:hAnsi="Times New Roman"/>
          <w:sz w:val="20"/>
          <w:u w:val="single"/>
        </w:rPr>
        <w:t>Schedules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hereto, are made and delivered in my capacity described in </w:t>
      </w:r>
      <w:r>
        <w:rPr>
          <w:rFonts w:ascii="Times New Roman" w:hAnsi="Times New Roman"/>
          <w:sz w:val="20"/>
          <w:u w:val="single"/>
        </w:rPr>
        <w:t>paragraph 1</w:t>
      </w:r>
      <w:r>
        <w:rPr>
          <w:rFonts w:ascii="Times New Roman" w:hAnsi="Times New Roman"/>
          <w:sz w:val="20"/>
        </w:rPr>
        <w:t xml:space="preserve"> above for and on behalf of the Company.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28"/>
        <w:gridCol w:w="107"/>
        <w:gridCol w:w="2847"/>
      </w:tblGrid>
      <w:tr>
        <w:trPr/>
        <w:tc>
          <w:tcPr>
            <w:tcW w:w="1128"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GENERAL MOTORS COMPANY</w:t>
            </w:r>
          </w:p>
        </w:tc>
      </w:tr>
      <w:tr>
        <w:trPr>
          <w:trHeight w:val="240" w:hRule="atLeast"/>
        </w:trPr>
        <w:tc>
          <w:tcPr>
            <w:tcW w:w="1128" w:type="dxa"/>
            <w:tcBorders/>
            <w:vAlign w:val="center"/>
          </w:tcPr>
          <w:p>
            <w:pPr>
              <w:pStyle w:val="TableContents"/>
              <w:bidi w:val="0"/>
              <w:spacing w:before="0" w:after="283"/>
              <w:jc w:val="left"/>
              <w:rPr>
                <w:sz w:val="4"/>
                <w:szCs w:val="4"/>
              </w:rPr>
            </w:pPr>
            <w:r>
              <w:rPr>
                <w:sz w:val="4"/>
                <w:szCs w:val="4"/>
              </w:rPr>
            </w:r>
          </w:p>
        </w:tc>
        <w:tc>
          <w:tcPr>
            <w:tcW w:w="2954" w:type="dxa"/>
            <w:gridSpan w:val="2"/>
            <w:tcBorders/>
            <w:vAlign w:val="center"/>
          </w:tcPr>
          <w:p>
            <w:pPr>
              <w:pStyle w:val="TableContents"/>
              <w:bidi w:val="0"/>
              <w:spacing w:before="0" w:after="283"/>
              <w:jc w:val="left"/>
              <w:rPr>
                <w:sz w:val="4"/>
                <w:szCs w:val="4"/>
              </w:rPr>
            </w:pPr>
            <w:r>
              <w:rPr>
                <w:sz w:val="4"/>
                <w:szCs w:val="4"/>
              </w:rPr>
            </w:r>
          </w:p>
        </w:tc>
      </w:tr>
      <w:tr>
        <w:trPr/>
        <w:tc>
          <w:tcPr>
            <w:tcW w:w="1128" w:type="dxa"/>
            <w:tcBorders/>
          </w:tcPr>
          <w:p>
            <w:pPr>
              <w:pStyle w:val="TableContents"/>
              <w:bidi w:val="0"/>
              <w:spacing w:before="0" w:after="283"/>
              <w:jc w:val="left"/>
              <w:rPr/>
            </w:pPr>
            <w:r>
              <w:rPr/>
              <w:t>By:</w:t>
            </w:r>
          </w:p>
        </w:tc>
        <w:tc>
          <w:tcPr>
            <w:tcW w:w="107" w:type="dxa"/>
            <w:tcBorders/>
            <w:vAlign w:val="bottom"/>
          </w:tcPr>
          <w:p>
            <w:pPr>
              <w:pStyle w:val="TableContents"/>
              <w:bidi w:val="0"/>
              <w:spacing w:before="0" w:after="283"/>
              <w:jc w:val="left"/>
              <w:rPr/>
            </w:pPr>
            <w:r>
              <w:rPr/>
              <w:t> </w:t>
            </w:r>
          </w:p>
        </w:tc>
        <w:tc>
          <w:tcPr>
            <w:tcW w:w="2847" w:type="dxa"/>
            <w:tcBorders/>
          </w:tcPr>
          <w:p>
            <w:pPr>
              <w:pStyle w:val="TableContents"/>
              <w:pBdr>
                <w:bottom w:val="single" w:sz="2" w:space="1" w:color="000000"/>
              </w:pBdr>
              <w:bidi w:val="0"/>
              <w:spacing w:before="0" w:after="20"/>
              <w:jc w:val="left"/>
              <w:rPr/>
            </w:pPr>
            <w:r>
              <w:rPr/>
              <w:t> </w:t>
            </w:r>
          </w:p>
        </w:tc>
      </w:tr>
      <w:tr>
        <w:trPr/>
        <w:tc>
          <w:tcPr>
            <w:tcW w:w="1128" w:type="dxa"/>
            <w:tcBorders/>
          </w:tcPr>
          <w:p>
            <w:pPr>
              <w:pStyle w:val="TableContents"/>
              <w:bidi w:val="0"/>
              <w:spacing w:before="0" w:after="283"/>
              <w:jc w:val="left"/>
              <w:rPr/>
            </w:pPr>
            <w:r>
              <w:rPr/>
              <w:t>Name:</w:t>
            </w:r>
          </w:p>
        </w:tc>
        <w:tc>
          <w:tcPr>
            <w:tcW w:w="107" w:type="dxa"/>
            <w:tcBorders/>
            <w:vAlign w:val="bottom"/>
          </w:tcPr>
          <w:p>
            <w:pPr>
              <w:pStyle w:val="TableContents"/>
              <w:bidi w:val="0"/>
              <w:spacing w:before="0" w:after="283"/>
              <w:jc w:val="left"/>
              <w:rPr/>
            </w:pPr>
            <w:r>
              <w:rPr/>
              <w:t> </w:t>
            </w:r>
          </w:p>
        </w:tc>
        <w:tc>
          <w:tcPr>
            <w:tcW w:w="2847" w:type="dxa"/>
            <w:tcBorders/>
          </w:tcPr>
          <w:p>
            <w:pPr>
              <w:pStyle w:val="TableContents"/>
              <w:pBdr>
                <w:bottom w:val="single" w:sz="2" w:space="1" w:color="000000"/>
              </w:pBdr>
              <w:bidi w:val="0"/>
              <w:spacing w:before="0" w:after="20"/>
              <w:jc w:val="left"/>
              <w:rPr/>
            </w:pPr>
            <w:r>
              <w:rPr/>
              <w:t> </w:t>
            </w:r>
          </w:p>
        </w:tc>
      </w:tr>
      <w:tr>
        <w:trPr/>
        <w:tc>
          <w:tcPr>
            <w:tcW w:w="1128" w:type="dxa"/>
            <w:tcBorders/>
          </w:tcPr>
          <w:p>
            <w:pPr>
              <w:pStyle w:val="TableContents"/>
              <w:bidi w:val="0"/>
              <w:spacing w:before="0" w:after="283"/>
              <w:jc w:val="left"/>
              <w:rPr/>
            </w:pPr>
            <w:r>
              <w:rPr/>
              <w:t>Title:</w:t>
            </w:r>
          </w:p>
        </w:tc>
        <w:tc>
          <w:tcPr>
            <w:tcW w:w="107" w:type="dxa"/>
            <w:tcBorders/>
            <w:vAlign w:val="bottom"/>
          </w:tcPr>
          <w:p>
            <w:pPr>
              <w:pStyle w:val="TableContents"/>
              <w:bidi w:val="0"/>
              <w:spacing w:before="0" w:after="283"/>
              <w:jc w:val="left"/>
              <w:rPr/>
            </w:pPr>
            <w:r>
              <w:rPr/>
              <w:t> </w:t>
            </w:r>
          </w:p>
        </w:tc>
        <w:tc>
          <w:tcPr>
            <w:tcW w:w="2847"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I   </w:t>
      </w:r>
    </w:p>
    <w:p>
      <w:pPr>
        <w:pStyle w:val="TextBody"/>
        <w:bidi w:val="0"/>
        <w:spacing w:before="0" w:after="0"/>
        <w:jc w:val="right"/>
        <w:rPr>
          <w:rFonts w:ascii="Times New Roman" w:hAnsi="Times New Roman"/>
          <w:b/>
          <w:sz w:val="20"/>
        </w:rPr>
      </w:pPr>
      <w:r>
        <w:rPr>
          <w:rFonts w:ascii="Times New Roman" w:hAnsi="Times New Roman"/>
          <w:b/>
          <w:sz w:val="20"/>
        </w:rPr>
        <w:t xml:space="preserve">to      </w:t>
      </w:r>
    </w:p>
    <w:p>
      <w:pPr>
        <w:pStyle w:val="TextBody"/>
        <w:bidi w:val="0"/>
        <w:spacing w:before="0" w:after="0"/>
        <w:jc w:val="right"/>
        <w:rPr>
          <w:rFonts w:ascii="Times New Roman" w:hAnsi="Times New Roman"/>
          <w:b/>
          <w:sz w:val="20"/>
        </w:rPr>
      </w:pPr>
      <w:r>
        <w:rPr>
          <w:rFonts w:ascii="Times New Roman" w:hAnsi="Times New Roman"/>
          <w:b/>
          <w:sz w:val="20"/>
        </w:rPr>
        <w:t xml:space="preserve">Compliance Certificate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Consolidated Domestic Liquidity as of _____________, 20__(the Calculation Date)1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552"/>
        <w:gridCol w:w="245"/>
        <w:gridCol w:w="140"/>
        <w:gridCol w:w="2940"/>
        <w:gridCol w:w="62"/>
      </w:tblGrid>
      <w:tr>
        <w:trPr/>
        <w:tc>
          <w:tcPr>
            <w:tcW w:w="3552"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3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The Total Available Commitments under the 3-Year Credit Agreement as of the Calculation Date</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2940"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355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294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3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 The Total Available Commitments under the 5-Year Credit Agreement as of the Calculation Date</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2940"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355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294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3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 The Total Available Commitments under the 364-Day Credit Agreement as of the Calculation Date</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2940"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355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294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3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 The total available commitments (after giving effect to any applicable borrowing base limitations) under other effective committed credit facilities of the Company or any Domestic Subsidiary2 as of the Calculation Date</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2940"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355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294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3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 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2940"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355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Sum of (A) plus (B) plus (C) plus (D) plus (E): Consolidated Domestic Liquidity</w:t>
            </w:r>
            <w:r>
              <w:rPr>
                <w:rFonts w:ascii="Times New Roman" w:hAnsi="Times New Roman"/>
                <w:sz w:val="20"/>
              </w:rPr>
              <w:t>:</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2940" w:type="dxa"/>
            <w:tcBorders/>
            <w:vAlign w:val="bottom"/>
          </w:tcPr>
          <w:p>
            <w:pPr>
              <w:pStyle w:val="TableContents"/>
              <w:bidi w:val="0"/>
              <w:spacing w:before="0" w:after="283"/>
              <w:jc w:val="right"/>
              <w:rPr/>
            </w:pPr>
            <w:r>
              <w:rPr/>
              <w:t>______________________</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the most recent fiscal period covered by the financial statements of the Company delivered or deemed delivered pursuant to </w:t>
            </w:r>
            <w:r>
              <w:rPr>
                <w:rFonts w:ascii="Times New Roman" w:hAnsi="Times New Roman"/>
                <w:sz w:val="20"/>
                <w:u w:val="single"/>
              </w:rPr>
              <w:t>Section 6.1</w:t>
            </w:r>
            <w:r>
              <w:rPr>
                <w:rFonts w:ascii="Times New Roman" w:hAnsi="Times New Roman"/>
                <w:sz w:val="20"/>
              </w:rPr>
              <w:t xml:space="preserve"> of each Credit Agreement.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Excluding any warehouse facilities of GMF.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II   </w:t>
      </w:r>
    </w:p>
    <w:p>
      <w:pPr>
        <w:pStyle w:val="TextBody"/>
        <w:bidi w:val="0"/>
        <w:spacing w:before="0" w:after="0"/>
        <w:jc w:val="right"/>
        <w:rPr>
          <w:rFonts w:ascii="Times New Roman" w:hAnsi="Times New Roman"/>
          <w:b/>
          <w:sz w:val="20"/>
        </w:rPr>
      </w:pPr>
      <w:r>
        <w:rPr>
          <w:rFonts w:ascii="Times New Roman" w:hAnsi="Times New Roman"/>
          <w:b/>
          <w:sz w:val="20"/>
        </w:rPr>
        <w:t xml:space="preserve">to      </w:t>
      </w:r>
    </w:p>
    <w:p>
      <w:pPr>
        <w:pStyle w:val="TextBody"/>
        <w:bidi w:val="0"/>
        <w:spacing w:before="0" w:after="0"/>
        <w:jc w:val="right"/>
        <w:rPr>
          <w:rFonts w:ascii="Times New Roman" w:hAnsi="Times New Roman"/>
          <w:b/>
          <w:sz w:val="20"/>
        </w:rPr>
      </w:pPr>
      <w:r>
        <w:rPr>
          <w:rFonts w:ascii="Times New Roman" w:hAnsi="Times New Roman"/>
          <w:b/>
          <w:sz w:val="20"/>
        </w:rPr>
        <w:t xml:space="preserve">Compliance Certificate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Consolidated Global Liquidity as of _____________, 20__(the Calculation Date)1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552"/>
        <w:gridCol w:w="245"/>
        <w:gridCol w:w="140"/>
        <w:gridCol w:w="2940"/>
        <w:gridCol w:w="62"/>
      </w:tblGrid>
      <w:tr>
        <w:trPr/>
        <w:tc>
          <w:tcPr>
            <w:tcW w:w="3552"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3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The Total Available Commitments under the 3-Year Credit Agreement as of the Calculation Date</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2940"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355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294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3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 The Total Available Commitments under the 5-Year Credit Agreement as of the Calculation Date</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2940"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355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294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3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 The Total Available Commitments under the 364-Day Credit Agreement as of the Calculation Date</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2940"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355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294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3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(D) The total available commitments (after giving effect to any applicable borrowing base limitations) under other effective committed credit facilities of the Company or any of its Subsidiaries2 as of the Calculation Date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2940"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355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294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3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 The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2940"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355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Sum of (A) plus (B) plus (C) plus (D) plus (E): Consolidated Global Liquidity</w:t>
            </w:r>
            <w:r>
              <w:rPr>
                <w:rFonts w:ascii="Times New Roman" w:hAnsi="Times New Roman"/>
                <w:sz w:val="20"/>
              </w:rPr>
              <w:t>:</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2940" w:type="dxa"/>
            <w:tcBorders/>
            <w:vAlign w:val="bottom"/>
          </w:tcPr>
          <w:p>
            <w:pPr>
              <w:pStyle w:val="TableContents"/>
              <w:bidi w:val="0"/>
              <w:spacing w:before="0" w:after="283"/>
              <w:jc w:val="right"/>
              <w:rPr/>
            </w:pPr>
            <w:r>
              <w:rPr/>
              <w:t>______________________</w:t>
            </w:r>
          </w:p>
        </w:tc>
        <w:tc>
          <w:tcPr>
            <w:tcW w:w="62"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last day of the most recent fiscal period covered by the financial statements of the Company delivered or deemed delivered pursuant to </w:t>
            </w:r>
            <w:r>
              <w:rPr>
                <w:rFonts w:ascii="Times New Roman" w:hAnsi="Times New Roman"/>
                <w:sz w:val="20"/>
                <w:u w:val="single"/>
              </w:rPr>
              <w:t>Section 6.1</w:t>
            </w:r>
            <w:r>
              <w:rPr>
                <w:rFonts w:ascii="Times New Roman" w:hAnsi="Times New Roman"/>
                <w:sz w:val="20"/>
              </w:rPr>
              <w:t xml:space="preserve"> of each Credit Agreement.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Excluding any warehouse facilities of GMF.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1    </w:t>
      </w:r>
    </w:p>
    <w:p>
      <w:pPr>
        <w:pStyle w:val="TextBody"/>
        <w:bidi w:val="0"/>
        <w:spacing w:before="0" w:after="0"/>
        <w:jc w:val="right"/>
        <w:rPr>
          <w:rFonts w:ascii="Times New Roman" w:hAnsi="Times New Roman"/>
          <w:b/>
          <w:sz w:val="20"/>
        </w:rPr>
      </w:pPr>
      <w:r>
        <w:rPr>
          <w:rFonts w:ascii="Times New Roman" w:hAnsi="Times New Roman"/>
          <w:b/>
          <w:sz w:val="20"/>
        </w:rPr>
        <w:t xml:space="preserve">to      </w:t>
      </w:r>
    </w:p>
    <w:p>
      <w:pPr>
        <w:pStyle w:val="TextBody"/>
        <w:bidi w:val="0"/>
        <w:spacing w:before="0" w:after="0"/>
        <w:jc w:val="right"/>
        <w:rPr>
          <w:rFonts w:ascii="Times New Roman" w:hAnsi="Times New Roman"/>
          <w:b/>
          <w:sz w:val="20"/>
        </w:rPr>
      </w:pPr>
      <w:r>
        <w:rPr>
          <w:rFonts w:ascii="Times New Roman" w:hAnsi="Times New Roman"/>
          <w:b/>
          <w:sz w:val="20"/>
        </w:rPr>
        <w:t xml:space="preserve">Compliance Certificate </w:t>
      </w:r>
    </w:p>
    <w:p>
      <w:pPr>
        <w:pStyle w:val="TextBody"/>
        <w:bidi w:val="0"/>
        <w:spacing w:before="240" w:after="0"/>
        <w:jc w:val="center"/>
        <w:rPr>
          <w:rFonts w:ascii="Times New Roman" w:hAnsi="Times New Roman"/>
          <w:sz w:val="20"/>
        </w:rPr>
      </w:pPr>
      <w:r>
        <w:rPr>
          <w:rFonts w:ascii="Times New Roman" w:hAnsi="Times New Roman"/>
          <w:sz w:val="20"/>
        </w:rPr>
        <w:t xml:space="preserve">[Defaults/Events of Default that have occurred and are continuing]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K   </w:t>
      </w:r>
    </w:p>
    <w:p>
      <w:pPr>
        <w:pStyle w:val="TextBody"/>
        <w:bidi w:val="0"/>
        <w:spacing w:before="0" w:after="0"/>
        <w:jc w:val="right"/>
        <w:rPr>
          <w:rFonts w:ascii="Times New Roman" w:hAnsi="Times New Roman"/>
          <w:b/>
          <w:sz w:val="20"/>
        </w:rPr>
      </w:pPr>
      <w:r>
        <w:rPr>
          <w:rFonts w:ascii="Times New Roman" w:hAnsi="Times New Roman"/>
          <w:b/>
          <w:sz w:val="20"/>
        </w:rPr>
        <w:t xml:space="preserve">to     </w:t>
      </w:r>
    </w:p>
    <w:p>
      <w:pPr>
        <w:pStyle w:val="TextBody"/>
        <w:bidi w:val="0"/>
        <w:spacing w:before="0" w:after="0"/>
        <w:jc w:val="right"/>
        <w:rPr>
          <w:rFonts w:ascii="Times New Roman" w:hAnsi="Times New Roman"/>
          <w:b/>
          <w:sz w:val="20"/>
        </w:rPr>
      </w:pPr>
      <w:r>
        <w:rPr>
          <w:rFonts w:ascii="Times New Roman" w:hAnsi="Times New Roman"/>
          <w:b/>
          <w:sz w:val="20"/>
        </w:rPr>
        <w:t xml:space="preserve">Credit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NOTE </w:t>
      </w:r>
    </w:p>
    <w:p>
      <w:pPr>
        <w:pStyle w:val="TextBody"/>
        <w:bidi w:val="0"/>
        <w:spacing w:before="240" w:after="0"/>
        <w:jc w:val="left"/>
        <w:rPr>
          <w:rFonts w:ascii="Times New Roman" w:hAnsi="Times New Roman"/>
          <w:sz w:val="20"/>
        </w:rPr>
      </w:pPr>
      <w:r>
        <w:rPr>
          <w:rFonts w:ascii="Times New Roman" w:hAnsi="Times New Roman"/>
          <w:sz w:val="20"/>
        </w:rPr>
        <w:t xml:space="preserve">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0"/>
        <w:gridCol w:w="121"/>
        <w:gridCol w:w="8694"/>
      </w:tblGrid>
      <w:tr>
        <w:trPr/>
        <w:tc>
          <w:tcPr>
            <w:tcW w:w="139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694" w:type="dxa"/>
            <w:tcBorders/>
            <w:vAlign w:val="center"/>
          </w:tcPr>
          <w:p>
            <w:pPr>
              <w:pStyle w:val="TableContents"/>
              <w:bidi w:val="0"/>
              <w:spacing w:before="0" w:after="283"/>
              <w:jc w:val="left"/>
              <w:rPr>
                <w:sz w:val="4"/>
                <w:szCs w:val="4"/>
              </w:rPr>
            </w:pPr>
            <w:r>
              <w:rPr>
                <w:sz w:val="4"/>
                <w:szCs w:val="4"/>
              </w:rPr>
            </w:r>
          </w:p>
        </w:tc>
      </w:tr>
      <w:tr>
        <w:trPr/>
        <w:tc>
          <w:tcPr>
            <w:tcW w:w="139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694" w:type="dxa"/>
            <w:tcBorders/>
            <w:vAlign w:val="bottom"/>
          </w:tcPr>
          <w:p>
            <w:pPr>
              <w:pStyle w:val="TableContents"/>
              <w:bidi w:val="0"/>
              <w:spacing w:before="0" w:after="283"/>
              <w:jc w:val="right"/>
              <w:rPr/>
            </w:pPr>
            <w:r>
              <w:rPr/>
              <w:t>New York, New York</w:t>
            </w:r>
          </w:p>
        </w:tc>
      </w:tr>
      <w:tr>
        <w:trPr/>
        <w:tc>
          <w:tcPr>
            <w:tcW w:w="1390" w:type="dxa"/>
            <w:tcBorders/>
            <w:vAlign w:val="bottom"/>
          </w:tcPr>
          <w:p>
            <w:pPr>
              <w:pStyle w:val="TableContents"/>
              <w:bidi w:val="0"/>
              <w:spacing w:before="0" w:after="283"/>
              <w:jc w:val="left"/>
              <w:rPr/>
            </w:pPr>
            <w:r>
              <w:rPr/>
              <w:t>$_____________</w:t>
            </w:r>
          </w:p>
        </w:tc>
        <w:tc>
          <w:tcPr>
            <w:tcW w:w="121" w:type="dxa"/>
            <w:tcBorders/>
            <w:vAlign w:val="bottom"/>
          </w:tcPr>
          <w:p>
            <w:pPr>
              <w:pStyle w:val="TableContents"/>
              <w:bidi w:val="0"/>
              <w:spacing w:before="0" w:after="283"/>
              <w:jc w:val="left"/>
              <w:rPr/>
            </w:pPr>
            <w:r>
              <w:rPr/>
              <w:t>  </w:t>
            </w:r>
          </w:p>
        </w:tc>
        <w:tc>
          <w:tcPr>
            <w:tcW w:w="8694" w:type="dxa"/>
            <w:tcBorders/>
          </w:tcPr>
          <w:p>
            <w:pPr>
              <w:pStyle w:val="TableContents"/>
              <w:bidi w:val="0"/>
              <w:spacing w:before="0" w:after="283"/>
              <w:jc w:val="right"/>
              <w:rPr/>
            </w:pPr>
            <w:r>
              <w:rPr/>
              <w:t>______________, 20__</w:t>
            </w:r>
          </w:p>
        </w:tc>
      </w:tr>
    </w:tbl>
    <w:p>
      <w:pPr>
        <w:pStyle w:val="TextBody"/>
        <w:bidi w:val="0"/>
        <w:spacing w:before="240" w:after="0"/>
        <w:jc w:val="left"/>
        <w:rPr>
          <w:rFonts w:ascii="Times New Roman" w:hAnsi="Times New Roman"/>
          <w:sz w:val="20"/>
        </w:rPr>
      </w:pPr>
      <w:r>
        <w:rPr>
          <w:rFonts w:ascii="Times New Roman" w:hAnsi="Times New Roman"/>
          <w:sz w:val="20"/>
        </w:rPr>
        <w:t>FOR VALUE RECEIVED, the undersigned, [NAME OF BORROWER], [JURISDICTION OF INCORPORATION/FORMATION], [TYPE OF ORGANIZATION] (together with its successors and permitted assigns, the </w:t>
      </w:r>
      <w:r>
        <w:rPr>
          <w:rFonts w:ascii="Times New Roman" w:hAnsi="Times New Roman"/>
          <w:sz w:val="20"/>
          <w:u w:val="single"/>
        </w:rPr>
        <w:t>Applicable Borrower</w:t>
      </w:r>
      <w:r>
        <w:rPr>
          <w:rFonts w:ascii="Times New Roman" w:hAnsi="Times New Roman"/>
          <w:sz w:val="20"/>
        </w:rPr>
        <w:t>), hereby unconditionally promises to pay to ______________ (the </w:t>
      </w:r>
      <w:r>
        <w:rPr>
          <w:rFonts w:ascii="Times New Roman" w:hAnsi="Times New Roman"/>
          <w:sz w:val="20"/>
          <w:u w:val="single"/>
        </w:rPr>
        <w:t>Lender</w:t>
      </w:r>
      <w:r>
        <w:rPr>
          <w:rFonts w:ascii="Times New Roman" w:hAnsi="Times New Roman"/>
          <w:sz w:val="20"/>
        </w:rPr>
        <w:t xml:space="preserve">) or its registered assigns, on the Lenders Termination Date specified in the Credit Agreement (as hereinafter defined) at the Funding Office specified in such Credit Agreement, in the currency of such Loans and in immediately available funds, the principal amount of (a) ___________________ (__________), or, if less, (b) the unpaid principal amount of the Loans of the Lender outstanding under the Credit Agreement. The Applicable Borrower further agrees to pay interest in like money at such Funding Office on the unpaid principal amount hereof from time to time outstanding at the rates and on the dates specified in </w:t>
      </w:r>
      <w:r>
        <w:rPr>
          <w:rFonts w:ascii="Times New Roman" w:hAnsi="Times New Roman"/>
          <w:sz w:val="20"/>
          <w:u w:val="single"/>
        </w:rPr>
        <w:t>Section 2.16</w:t>
      </w:r>
      <w:r>
        <w:rPr>
          <w:rFonts w:ascii="Times New Roman" w:hAnsi="Times New Roman"/>
          <w:sz w:val="20"/>
        </w:rPr>
        <w:t xml:space="preserve">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holder of this Note is authorized to endorse on the schedules annexed hereto and made a part hereof or on a continuation thereof which shall be attached hereto and made a part hereof the date, Type and amount of each Loan evidenced hereby, and the date and amount of each payment or prepayment of principal with respect thereto, each conversion of all or a portion thereof to another Type, each continuation of all or a portion thereof as the same Type and, in the case of Term Benchmark Loans, the length of each Interest Period with respect thereto. Subject to the provisions of </w:t>
      </w:r>
      <w:r>
        <w:rPr>
          <w:rFonts w:ascii="Times New Roman" w:hAnsi="Times New Roman"/>
          <w:sz w:val="20"/>
          <w:u w:val="single"/>
        </w:rPr>
        <w:t>Section 10.6(b)</w:t>
      </w:r>
      <w:r>
        <w:rPr>
          <w:rFonts w:ascii="Times New Roman" w:hAnsi="Times New Roman"/>
          <w:sz w:val="20"/>
        </w:rPr>
        <w:t xml:space="preserve"> of the Credit Agreement, each such endorsement shall constitute </w:t>
      </w:r>
      <w:r>
        <w:rPr>
          <w:rFonts w:ascii="Times New Roman" w:hAnsi="Times New Roman"/>
          <w:sz w:val="20"/>
          <w:u w:val="single"/>
        </w:rPr>
        <w:t>prima</w:t>
      </w:r>
      <w:r>
        <w:rPr>
          <w:rFonts w:ascii="Times New Roman" w:hAnsi="Times New Roman"/>
          <w:sz w:val="20"/>
        </w:rPr>
        <w:t xml:space="preserve"> </w:t>
      </w:r>
      <w:r>
        <w:rPr>
          <w:rFonts w:ascii="Times New Roman" w:hAnsi="Times New Roman"/>
          <w:sz w:val="20"/>
          <w:u w:val="single"/>
        </w:rPr>
        <w:t>facie</w:t>
      </w:r>
      <w:r>
        <w:rPr>
          <w:rFonts w:ascii="Times New Roman" w:hAnsi="Times New Roman"/>
          <w:sz w:val="20"/>
        </w:rPr>
        <w:t xml:space="preserve"> evidence of the accuracy of the information endorsed. The failure to make any such endorsement or any error in any such endorsement shall not affect the obligations of the Applicable Borrower in respect of the Loans. </w:t>
      </w:r>
    </w:p>
    <w:p>
      <w:pPr>
        <w:pStyle w:val="TextBody"/>
        <w:bidi w:val="0"/>
        <w:spacing w:before="240" w:after="0"/>
        <w:jc w:val="left"/>
        <w:rPr>
          <w:rFonts w:ascii="Times New Roman" w:hAnsi="Times New Roman"/>
          <w:sz w:val="20"/>
        </w:rPr>
      </w:pPr>
      <w:r>
        <w:rPr>
          <w:rFonts w:ascii="Times New Roman" w:hAnsi="Times New Roman"/>
          <w:sz w:val="20"/>
        </w:rPr>
        <w:t>This Note (a) is one of the Notes referred to in the Sixth Amended and Restated 364-Day Revolving Credit Agreement, dated as of March 28, 2024 (as amended, restated, amended and restated, renewed, supplemented or otherwise modified from time to time, the </w:t>
      </w:r>
      <w:r>
        <w:rPr>
          <w:rFonts w:ascii="Times New Roman" w:hAnsi="Times New Roman"/>
          <w:sz w:val="20"/>
          <w:u w:val="single"/>
        </w:rPr>
        <w:t>Credit Agreement</w:t>
      </w:r>
      <w:r>
        <w:rPr>
          <w:rFonts w:ascii="Times New Roman" w:hAnsi="Times New Roman"/>
          <w:sz w:val="20"/>
        </w:rPr>
        <w:t xml:space="preserve">), among General Motors Company, a Delaware corporation, General Motors Financial Company, Inc., a Texas corporation, the Subsidiary Borrowers from time to time party thereto, the Lender, the other lenders from time to time party thereto, JPMorgan Chase Bank, N.A.,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Administrative Agent, Citibank, N.A., as syndication agent, Bank of America, N.A., as co-syndication agent, and the other agents party thereto, (b) is subject to the provisions of the Credit Agreement and (c) is subject to optional and mandatory prepayment in whole or in part as provided in the Credit Agreement. This Note is guaranteed as provided in the Loan Documents subject to the release and termination provisions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All parties now and hereafter liable with respect to this Note, whether as maker, principal, surety, guarantor, endorser or otherwise, hereby waive presentment, demand, protest and all other notices of any kind.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terms used herein have the meanings assigned to such terms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HEREIN OR IN THE CREDIT AGREEMENT, THIS NOTE MAY NOT BE TRANSFERRED EXCEPT PURSUANT TO AND IN ACCORDANCE WITH THE REGISTRATION AND OTHER PROVISIONS OF </w:t>
      </w:r>
      <w:r>
        <w:rPr>
          <w:rFonts w:ascii="Times New Roman" w:hAnsi="Times New Roman"/>
          <w:sz w:val="20"/>
          <w:u w:val="single"/>
        </w:rPr>
        <w:t>SECTION 10.6</w:t>
      </w:r>
      <w:r>
        <w:rPr>
          <w:rFonts w:ascii="Times New Roman" w:hAnsi="Times New Roman"/>
          <w:sz w:val="20"/>
        </w:rPr>
        <w:t xml:space="preserve">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NOTE SHALL BE GOVERNED BY, AND CONSTRUED AND INTERPRETED IN ACCORDANCE WITH, THE LAW OF THE STATE OF NEW YORK.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68"/>
        <w:gridCol w:w="132"/>
        <w:gridCol w:w="2582"/>
      </w:tblGrid>
      <w:tr>
        <w:trPr/>
        <w:tc>
          <w:tcPr>
            <w:tcW w:w="1368"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APPLICABLE BORROWER].</w:t>
            </w:r>
          </w:p>
        </w:tc>
      </w:tr>
      <w:tr>
        <w:trPr>
          <w:trHeight w:val="240" w:hRule="atLeast"/>
        </w:trPr>
        <w:tc>
          <w:tcPr>
            <w:tcW w:w="1368" w:type="dxa"/>
            <w:tcBorders/>
            <w:vAlign w:val="center"/>
          </w:tcPr>
          <w:p>
            <w:pPr>
              <w:pStyle w:val="TableContents"/>
              <w:bidi w:val="0"/>
              <w:spacing w:before="0" w:after="283"/>
              <w:jc w:val="left"/>
              <w:rPr>
                <w:sz w:val="4"/>
                <w:szCs w:val="4"/>
              </w:rPr>
            </w:pPr>
            <w:r>
              <w:rPr>
                <w:sz w:val="4"/>
                <w:szCs w:val="4"/>
              </w:rPr>
            </w:r>
          </w:p>
        </w:tc>
        <w:tc>
          <w:tcPr>
            <w:tcW w:w="2714" w:type="dxa"/>
            <w:gridSpan w:val="2"/>
            <w:tcBorders/>
            <w:vAlign w:val="center"/>
          </w:tcPr>
          <w:p>
            <w:pPr>
              <w:pStyle w:val="TableContents"/>
              <w:bidi w:val="0"/>
              <w:spacing w:before="0" w:after="283"/>
              <w:jc w:val="left"/>
              <w:rPr>
                <w:sz w:val="4"/>
                <w:szCs w:val="4"/>
              </w:rPr>
            </w:pPr>
            <w:r>
              <w:rPr>
                <w:sz w:val="4"/>
                <w:szCs w:val="4"/>
              </w:rPr>
            </w:r>
          </w:p>
        </w:tc>
      </w:tr>
      <w:tr>
        <w:trPr/>
        <w:tc>
          <w:tcPr>
            <w:tcW w:w="1368" w:type="dxa"/>
            <w:tcBorders/>
          </w:tcPr>
          <w:p>
            <w:pPr>
              <w:pStyle w:val="TableContents"/>
              <w:bidi w:val="0"/>
              <w:spacing w:before="0" w:after="283"/>
              <w:jc w:val="left"/>
              <w:rPr/>
            </w:pPr>
            <w:r>
              <w:rPr/>
              <w:t>By:</w:t>
            </w:r>
          </w:p>
        </w:tc>
        <w:tc>
          <w:tcPr>
            <w:tcW w:w="132" w:type="dxa"/>
            <w:tcBorders/>
            <w:vAlign w:val="bottom"/>
          </w:tcPr>
          <w:p>
            <w:pPr>
              <w:pStyle w:val="TableContents"/>
              <w:bidi w:val="0"/>
              <w:spacing w:before="0" w:after="283"/>
              <w:jc w:val="left"/>
              <w:rPr/>
            </w:pPr>
            <w:r>
              <w:rPr/>
              <w:t> </w:t>
            </w:r>
          </w:p>
        </w:tc>
        <w:tc>
          <w:tcPr>
            <w:tcW w:w="2582" w:type="dxa"/>
            <w:tcBorders/>
          </w:tcPr>
          <w:p>
            <w:pPr>
              <w:pStyle w:val="TableContents"/>
              <w:pBdr>
                <w:bottom w:val="single" w:sz="2" w:space="1" w:color="000000"/>
              </w:pBdr>
              <w:bidi w:val="0"/>
              <w:spacing w:before="0" w:after="20"/>
              <w:jc w:val="left"/>
              <w:rPr/>
            </w:pPr>
            <w:r>
              <w:rPr/>
              <w:t> </w:t>
            </w:r>
          </w:p>
        </w:tc>
      </w:tr>
      <w:tr>
        <w:trPr/>
        <w:tc>
          <w:tcPr>
            <w:tcW w:w="1368" w:type="dxa"/>
            <w:tcBorders/>
          </w:tcPr>
          <w:p>
            <w:pPr>
              <w:pStyle w:val="TableContents"/>
              <w:bidi w:val="0"/>
              <w:spacing w:before="0" w:after="283"/>
              <w:jc w:val="left"/>
              <w:rPr/>
            </w:pPr>
            <w:r>
              <w:rPr/>
              <w:t>Name:</w:t>
            </w:r>
          </w:p>
        </w:tc>
        <w:tc>
          <w:tcPr>
            <w:tcW w:w="132" w:type="dxa"/>
            <w:tcBorders/>
            <w:vAlign w:val="bottom"/>
          </w:tcPr>
          <w:p>
            <w:pPr>
              <w:pStyle w:val="TableContents"/>
              <w:bidi w:val="0"/>
              <w:spacing w:before="0" w:after="283"/>
              <w:jc w:val="left"/>
              <w:rPr/>
            </w:pPr>
            <w:r>
              <w:rPr/>
              <w:t> </w:t>
            </w:r>
          </w:p>
        </w:tc>
        <w:tc>
          <w:tcPr>
            <w:tcW w:w="2582" w:type="dxa"/>
            <w:tcBorders/>
          </w:tcPr>
          <w:p>
            <w:pPr>
              <w:pStyle w:val="TableContents"/>
              <w:pBdr>
                <w:bottom w:val="single" w:sz="2" w:space="1" w:color="000000"/>
              </w:pBdr>
              <w:bidi w:val="0"/>
              <w:spacing w:before="0" w:after="20"/>
              <w:jc w:val="left"/>
              <w:rPr/>
            </w:pPr>
            <w:r>
              <w:rPr/>
              <w:t> </w:t>
            </w:r>
          </w:p>
        </w:tc>
      </w:tr>
      <w:tr>
        <w:trPr/>
        <w:tc>
          <w:tcPr>
            <w:tcW w:w="1368" w:type="dxa"/>
            <w:tcBorders/>
          </w:tcPr>
          <w:p>
            <w:pPr>
              <w:pStyle w:val="TableContents"/>
              <w:bidi w:val="0"/>
              <w:spacing w:before="0" w:after="283"/>
              <w:jc w:val="left"/>
              <w:rPr/>
            </w:pPr>
            <w:r>
              <w:rPr/>
              <w:t>Title:</w:t>
            </w:r>
          </w:p>
        </w:tc>
        <w:tc>
          <w:tcPr>
            <w:tcW w:w="132" w:type="dxa"/>
            <w:tcBorders/>
            <w:vAlign w:val="bottom"/>
          </w:tcPr>
          <w:p>
            <w:pPr>
              <w:pStyle w:val="TableContents"/>
              <w:bidi w:val="0"/>
              <w:spacing w:before="0" w:after="283"/>
              <w:jc w:val="left"/>
              <w:rPr/>
            </w:pPr>
            <w:r>
              <w:rPr/>
              <w:t> </w:t>
            </w:r>
          </w:p>
        </w:tc>
        <w:tc>
          <w:tcPr>
            <w:tcW w:w="2582"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A </w:t>
      </w:r>
    </w:p>
    <w:p>
      <w:pPr>
        <w:pStyle w:val="TextBody"/>
        <w:bidi w:val="0"/>
        <w:spacing w:before="0" w:after="0"/>
        <w:jc w:val="right"/>
        <w:rPr>
          <w:rFonts w:ascii="Times New Roman" w:hAnsi="Times New Roman"/>
          <w:b/>
          <w:sz w:val="20"/>
        </w:rPr>
      </w:pPr>
      <w:r>
        <w:rPr>
          <w:rFonts w:ascii="Times New Roman" w:hAnsi="Times New Roman"/>
          <w:b/>
          <w:sz w:val="20"/>
        </w:rPr>
        <w:t xml:space="preserve">to    </w:t>
      </w:r>
    </w:p>
    <w:p>
      <w:pPr>
        <w:pStyle w:val="TextBody"/>
        <w:bidi w:val="0"/>
        <w:spacing w:before="0" w:after="0"/>
        <w:jc w:val="right"/>
        <w:rPr>
          <w:rFonts w:ascii="Times New Roman" w:hAnsi="Times New Roman"/>
          <w:b/>
          <w:sz w:val="20"/>
        </w:rPr>
      </w:pPr>
      <w:r>
        <w:rPr>
          <w:rFonts w:ascii="Times New Roman" w:hAnsi="Times New Roman"/>
          <w:b/>
          <w:sz w:val="20"/>
        </w:rPr>
        <w:t xml:space="preserve">Note   </w:t>
      </w:r>
    </w:p>
    <w:p>
      <w:pPr>
        <w:pStyle w:val="TextBody"/>
        <w:bidi w:val="0"/>
        <w:spacing w:before="240" w:after="0"/>
        <w:jc w:val="center"/>
        <w:rPr>
          <w:rFonts w:ascii="Times New Roman" w:hAnsi="Times New Roman"/>
          <w:sz w:val="20"/>
        </w:rPr>
      </w:pPr>
      <w:r>
        <w:rPr>
          <w:rFonts w:ascii="Times New Roman" w:hAnsi="Times New Roman"/>
          <w:sz w:val="20"/>
        </w:rPr>
        <w:t xml:space="preserve">LOANS, CONVERSIONS AND REPAYMENTS OF ABR LOANS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5"/>
        <w:gridCol w:w="230"/>
        <w:gridCol w:w="1175"/>
        <w:gridCol w:w="230"/>
        <w:gridCol w:w="1250"/>
        <w:gridCol w:w="230"/>
        <w:gridCol w:w="1433"/>
        <w:gridCol w:w="230"/>
        <w:gridCol w:w="1896"/>
        <w:gridCol w:w="230"/>
        <w:gridCol w:w="1627"/>
        <w:gridCol w:w="230"/>
        <w:gridCol w:w="909"/>
      </w:tblGrid>
      <w:tr>
        <w:trPr/>
        <w:tc>
          <w:tcPr>
            <w:tcW w:w="535"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53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Date</w:t>
            </w:r>
          </w:p>
        </w:tc>
        <w:tc>
          <w:tcPr>
            <w:tcW w:w="230" w:type="dxa"/>
            <w:tcBorders/>
            <w:vAlign w:val="bottom"/>
          </w:tcPr>
          <w:p>
            <w:pPr>
              <w:pStyle w:val="TableContents"/>
              <w:bidi w:val="0"/>
              <w:spacing w:before="0" w:after="283"/>
              <w:jc w:val="left"/>
              <w:rPr/>
            </w:pPr>
            <w:r>
              <w:rPr/>
              <w:t>  </w:t>
            </w:r>
          </w:p>
        </w:tc>
        <w:tc>
          <w:tcPr>
            <w:tcW w:w="1175" w:type="dxa"/>
            <w:tcBorders>
              <w:bottom w:val="single" w:sz="8" w:space="0" w:color="000000"/>
            </w:tcBorders>
            <w:tcMar>
              <w:bottom w:w="28" w:type="dxa"/>
            </w:tcMar>
            <w:vAlign w:val="bottom"/>
          </w:tcPr>
          <w:p>
            <w:pPr>
              <w:pStyle w:val="TableContents"/>
              <w:bidi w:val="0"/>
              <w:spacing w:before="0" w:after="283"/>
              <w:jc w:val="center"/>
              <w:rPr/>
            </w:pPr>
            <w:r>
              <w:rPr/>
              <w:t>Amount of</w:t>
              <w:br/>
              <w:t>ABR Loans</w:t>
            </w:r>
          </w:p>
        </w:tc>
        <w:tc>
          <w:tcPr>
            <w:tcW w:w="230" w:type="dxa"/>
            <w:tcBorders/>
            <w:vAlign w:val="bottom"/>
          </w:tcPr>
          <w:p>
            <w:pPr>
              <w:pStyle w:val="TableContents"/>
              <w:bidi w:val="0"/>
              <w:spacing w:before="0" w:after="283"/>
              <w:jc w:val="left"/>
              <w:rPr/>
            </w:pPr>
            <w:r>
              <w:rPr/>
              <w:t>  </w:t>
            </w:r>
          </w:p>
        </w:tc>
        <w:tc>
          <w:tcPr>
            <w:tcW w:w="1250" w:type="dxa"/>
            <w:tcBorders>
              <w:bottom w:val="single" w:sz="8" w:space="0" w:color="000000"/>
            </w:tcBorders>
            <w:tcMar>
              <w:bottom w:w="28" w:type="dxa"/>
            </w:tcMar>
            <w:vAlign w:val="bottom"/>
          </w:tcPr>
          <w:p>
            <w:pPr>
              <w:pStyle w:val="TableContents"/>
              <w:bidi w:val="0"/>
              <w:spacing w:before="0" w:after="283"/>
              <w:jc w:val="center"/>
              <w:rPr/>
            </w:pPr>
            <w:r>
              <w:rPr/>
              <w:t>Amount</w:t>
              <w:br/>
              <w:t>Converted to</w:t>
              <w:br/>
              <w:t>ABR Loans</w:t>
            </w:r>
          </w:p>
        </w:tc>
        <w:tc>
          <w:tcPr>
            <w:tcW w:w="230" w:type="dxa"/>
            <w:tcBorders/>
            <w:vAlign w:val="bottom"/>
          </w:tcPr>
          <w:p>
            <w:pPr>
              <w:pStyle w:val="TableContents"/>
              <w:bidi w:val="0"/>
              <w:spacing w:before="0" w:after="283"/>
              <w:jc w:val="left"/>
              <w:rPr/>
            </w:pPr>
            <w:r>
              <w:rPr/>
              <w:t>  </w:t>
            </w:r>
          </w:p>
        </w:tc>
        <w:tc>
          <w:tcPr>
            <w:tcW w:w="1433" w:type="dxa"/>
            <w:tcBorders>
              <w:bottom w:val="single" w:sz="8" w:space="0" w:color="000000"/>
            </w:tcBorders>
            <w:tcMar>
              <w:bottom w:w="28" w:type="dxa"/>
            </w:tcMar>
            <w:vAlign w:val="bottom"/>
          </w:tcPr>
          <w:p>
            <w:pPr>
              <w:pStyle w:val="TableContents"/>
              <w:bidi w:val="0"/>
              <w:spacing w:before="0" w:after="283"/>
              <w:jc w:val="center"/>
              <w:rPr/>
            </w:pPr>
            <w:r>
              <w:rPr/>
              <w:t>Amount of</w:t>
              <w:br/>
              <w:t>Principal</w:t>
              <w:br/>
              <w:t>of ABR Loans</w:t>
              <w:br/>
              <w:t>Repaid</w:t>
            </w:r>
          </w:p>
        </w:tc>
        <w:tc>
          <w:tcPr>
            <w:tcW w:w="230" w:type="dxa"/>
            <w:tcBorders/>
            <w:vAlign w:val="bottom"/>
          </w:tcPr>
          <w:p>
            <w:pPr>
              <w:pStyle w:val="TableContents"/>
              <w:bidi w:val="0"/>
              <w:spacing w:before="0" w:after="283"/>
              <w:jc w:val="left"/>
              <w:rPr/>
            </w:pPr>
            <w:r>
              <w:rPr/>
              <w:t>  </w:t>
            </w:r>
          </w:p>
        </w:tc>
        <w:tc>
          <w:tcPr>
            <w:tcW w:w="1896" w:type="dxa"/>
            <w:tcBorders>
              <w:bottom w:val="single" w:sz="8" w:space="0" w:color="000000"/>
            </w:tcBorders>
            <w:tcMar>
              <w:bottom w:w="28" w:type="dxa"/>
            </w:tcMar>
            <w:vAlign w:val="bottom"/>
          </w:tcPr>
          <w:p>
            <w:pPr>
              <w:pStyle w:val="TableContents"/>
              <w:bidi w:val="0"/>
              <w:spacing w:before="0" w:after="283"/>
              <w:jc w:val="center"/>
              <w:rPr/>
            </w:pPr>
            <w:r>
              <w:rPr/>
              <w:t>Amount of ABR</w:t>
              <w:br/>
              <w:t>Loans Converted to</w:t>
              <w:br/>
              <w:t>Term Benchmark</w:t>
              <w:br/>
              <w:t>Loans</w:t>
            </w:r>
          </w:p>
        </w:tc>
        <w:tc>
          <w:tcPr>
            <w:tcW w:w="230" w:type="dxa"/>
            <w:tcBorders/>
            <w:vAlign w:val="bottom"/>
          </w:tcPr>
          <w:p>
            <w:pPr>
              <w:pStyle w:val="TableContents"/>
              <w:bidi w:val="0"/>
              <w:spacing w:before="0" w:after="283"/>
              <w:jc w:val="left"/>
              <w:rPr/>
            </w:pPr>
            <w:r>
              <w:rPr/>
              <w:t>  </w:t>
            </w:r>
          </w:p>
        </w:tc>
        <w:tc>
          <w:tcPr>
            <w:tcW w:w="1627" w:type="dxa"/>
            <w:tcBorders>
              <w:bottom w:val="single" w:sz="8" w:space="0" w:color="000000"/>
            </w:tcBorders>
            <w:tcMar>
              <w:bottom w:w="28" w:type="dxa"/>
            </w:tcMar>
            <w:vAlign w:val="bottom"/>
          </w:tcPr>
          <w:p>
            <w:pPr>
              <w:pStyle w:val="TableContents"/>
              <w:bidi w:val="0"/>
              <w:spacing w:before="0" w:after="283"/>
              <w:jc w:val="center"/>
              <w:rPr/>
            </w:pPr>
            <w:r>
              <w:rPr/>
              <w:t>Unpaid Principal</w:t>
              <w:br/>
              <w:t>Balance</w:t>
              <w:br/>
              <w:t>of ABR Loans</w:t>
            </w:r>
          </w:p>
        </w:tc>
        <w:tc>
          <w:tcPr>
            <w:tcW w:w="230" w:type="dxa"/>
            <w:tcBorders/>
            <w:vAlign w:val="bottom"/>
          </w:tcPr>
          <w:p>
            <w:pPr>
              <w:pStyle w:val="TableContents"/>
              <w:bidi w:val="0"/>
              <w:spacing w:before="0" w:after="283"/>
              <w:jc w:val="left"/>
              <w:rPr/>
            </w:pPr>
            <w:r>
              <w:rPr/>
              <w:t>  </w:t>
            </w:r>
          </w:p>
        </w:tc>
        <w:tc>
          <w:tcPr>
            <w:tcW w:w="909" w:type="dxa"/>
            <w:tcBorders>
              <w:bottom w:val="single" w:sz="8" w:space="0" w:color="000000"/>
            </w:tcBorders>
            <w:tcMar>
              <w:bottom w:w="28" w:type="dxa"/>
            </w:tcMar>
            <w:vAlign w:val="bottom"/>
          </w:tcPr>
          <w:p>
            <w:pPr>
              <w:pStyle w:val="TableContents"/>
              <w:bidi w:val="0"/>
              <w:spacing w:before="0" w:after="283"/>
              <w:jc w:val="center"/>
              <w:rPr/>
            </w:pPr>
            <w:r>
              <w:rPr/>
              <w:t>Made By</w:t>
            </w:r>
          </w:p>
        </w:tc>
      </w:tr>
      <w:tr>
        <w:trPr/>
        <w:tc>
          <w:tcPr>
            <w:tcW w:w="535"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175"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250"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433"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896"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627"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909" w:type="dxa"/>
            <w:tcBorders/>
            <w:vAlign w:val="bottom"/>
          </w:tcPr>
          <w:p>
            <w:pPr>
              <w:pStyle w:val="TableContents"/>
              <w:pBdr>
                <w:bottom w:val="single" w:sz="8" w:space="1" w:color="000000"/>
              </w:pBdr>
              <w:bidi w:val="0"/>
              <w:spacing w:before="0" w:after="0"/>
              <w:jc w:val="left"/>
              <w:rPr/>
            </w:pPr>
            <w:r>
              <w:rPr/>
              <w:t> </w:t>
            </w:r>
          </w:p>
        </w:tc>
      </w:tr>
      <w:tr>
        <w:trPr/>
        <w:tc>
          <w:tcPr>
            <w:tcW w:w="535"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175"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250"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433"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896"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627"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909" w:type="dxa"/>
            <w:tcBorders/>
            <w:vAlign w:val="bottom"/>
          </w:tcPr>
          <w:p>
            <w:pPr>
              <w:pStyle w:val="TableContents"/>
              <w:pBdr>
                <w:bottom w:val="single" w:sz="8" w:space="1" w:color="000000"/>
              </w:pBdr>
              <w:bidi w:val="0"/>
              <w:spacing w:before="0" w:after="0"/>
              <w:jc w:val="left"/>
              <w:rPr/>
            </w:pPr>
            <w:r>
              <w:rPr/>
              <w:t> </w:t>
            </w:r>
          </w:p>
        </w:tc>
      </w:tr>
      <w:tr>
        <w:trPr/>
        <w:tc>
          <w:tcPr>
            <w:tcW w:w="535"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175"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250"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433"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896"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627"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909" w:type="dxa"/>
            <w:tcBorders/>
            <w:vAlign w:val="bottom"/>
          </w:tcPr>
          <w:p>
            <w:pPr>
              <w:pStyle w:val="TableContents"/>
              <w:pBdr>
                <w:bottom w:val="single" w:sz="8" w:space="1" w:color="000000"/>
              </w:pBdr>
              <w:bidi w:val="0"/>
              <w:spacing w:before="0" w:after="0"/>
              <w:jc w:val="left"/>
              <w:rPr/>
            </w:pPr>
            <w:r>
              <w:rPr/>
              <w:t> </w:t>
            </w:r>
          </w:p>
        </w:tc>
      </w:tr>
      <w:tr>
        <w:trPr/>
        <w:tc>
          <w:tcPr>
            <w:tcW w:w="535"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175"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250"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433"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896"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627"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909" w:type="dxa"/>
            <w:tcBorders/>
            <w:vAlign w:val="bottom"/>
          </w:tcPr>
          <w:p>
            <w:pPr>
              <w:pStyle w:val="TableContents"/>
              <w:pBdr>
                <w:bottom w:val="single" w:sz="8" w:space="1" w:color="000000"/>
              </w:pBdr>
              <w:bidi w:val="0"/>
              <w:spacing w:before="0" w:after="0"/>
              <w:jc w:val="left"/>
              <w:rPr/>
            </w:pPr>
            <w:r>
              <w:rPr/>
              <w:t> </w:t>
            </w:r>
          </w:p>
        </w:tc>
      </w:tr>
      <w:tr>
        <w:trPr/>
        <w:tc>
          <w:tcPr>
            <w:tcW w:w="535"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175"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250"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433"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896"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627"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909" w:type="dxa"/>
            <w:tcBorders/>
            <w:vAlign w:val="bottom"/>
          </w:tcPr>
          <w:p>
            <w:pPr>
              <w:pStyle w:val="TableContents"/>
              <w:pBdr>
                <w:bottom w:val="single" w:sz="8" w:space="1" w:color="000000"/>
              </w:pBdr>
              <w:bidi w:val="0"/>
              <w:spacing w:before="0" w:after="0"/>
              <w:jc w:val="left"/>
              <w:rPr/>
            </w:pPr>
            <w:r>
              <w:rPr/>
              <w:t> </w:t>
            </w:r>
          </w:p>
        </w:tc>
      </w:tr>
      <w:tr>
        <w:trPr/>
        <w:tc>
          <w:tcPr>
            <w:tcW w:w="535"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175"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250"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433"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896"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627"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909" w:type="dxa"/>
            <w:tcBorders/>
            <w:vAlign w:val="bottom"/>
          </w:tcPr>
          <w:p>
            <w:pPr>
              <w:pStyle w:val="TableContents"/>
              <w:pBdr>
                <w:bottom w:val="single" w:sz="8" w:space="1" w:color="000000"/>
              </w:pBdr>
              <w:bidi w:val="0"/>
              <w:spacing w:before="0" w:after="0"/>
              <w:jc w:val="left"/>
              <w:rPr/>
            </w:pPr>
            <w:r>
              <w:rPr/>
              <w:t> </w:t>
            </w:r>
          </w:p>
        </w:tc>
      </w:tr>
      <w:tr>
        <w:trPr/>
        <w:tc>
          <w:tcPr>
            <w:tcW w:w="535"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175"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250"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433"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896"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627"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909" w:type="dxa"/>
            <w:tcBorders/>
            <w:vAlign w:val="bottom"/>
          </w:tcPr>
          <w:p>
            <w:pPr>
              <w:pStyle w:val="TableContents"/>
              <w:pBdr>
                <w:bottom w:val="single" w:sz="8" w:space="1" w:color="000000"/>
              </w:pBdr>
              <w:bidi w:val="0"/>
              <w:spacing w:before="0" w:after="0"/>
              <w:jc w:val="left"/>
              <w:rPr/>
            </w:pPr>
            <w:r>
              <w:rPr/>
              <w:t> </w:t>
            </w:r>
          </w:p>
        </w:tc>
      </w:tr>
      <w:tr>
        <w:trPr/>
        <w:tc>
          <w:tcPr>
            <w:tcW w:w="535"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175"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250"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433"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896"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627"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909" w:type="dxa"/>
            <w:tcBorders/>
            <w:vAlign w:val="bottom"/>
          </w:tcPr>
          <w:p>
            <w:pPr>
              <w:pStyle w:val="TableContents"/>
              <w:pBdr>
                <w:bottom w:val="single" w:sz="8" w:space="1" w:color="000000"/>
              </w:pBdr>
              <w:bidi w:val="0"/>
              <w:spacing w:before="0" w:after="0"/>
              <w:jc w:val="left"/>
              <w:rPr/>
            </w:pPr>
            <w:r>
              <w:rPr/>
              <w:t> </w:t>
            </w:r>
          </w:p>
        </w:tc>
      </w:tr>
      <w:tr>
        <w:trPr/>
        <w:tc>
          <w:tcPr>
            <w:tcW w:w="535"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175"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250"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433"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896"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627"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909" w:type="dxa"/>
            <w:tcBorders/>
            <w:vAlign w:val="bottom"/>
          </w:tcPr>
          <w:p>
            <w:pPr>
              <w:pStyle w:val="TableContents"/>
              <w:pBdr>
                <w:bottom w:val="single" w:sz="8" w:space="1" w:color="000000"/>
              </w:pBdr>
              <w:bidi w:val="0"/>
              <w:spacing w:before="0" w:after="0"/>
              <w:jc w:val="left"/>
              <w:rPr/>
            </w:pPr>
            <w:r>
              <w:rPr/>
              <w:t> </w:t>
            </w:r>
          </w:p>
        </w:tc>
      </w:tr>
      <w:tr>
        <w:trPr/>
        <w:tc>
          <w:tcPr>
            <w:tcW w:w="535"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175"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250"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433"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896"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627"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909" w:type="dxa"/>
            <w:tcBorders/>
            <w:vAlign w:val="bottom"/>
          </w:tcPr>
          <w:p>
            <w:pPr>
              <w:pStyle w:val="TableContents"/>
              <w:pBdr>
                <w:bottom w:val="single" w:sz="8" w:space="1" w:color="000000"/>
              </w:pBdr>
              <w:bidi w:val="0"/>
              <w:spacing w:before="0" w:after="0"/>
              <w:jc w:val="left"/>
              <w:rPr/>
            </w:pPr>
            <w:r>
              <w:rPr/>
              <w:t> </w:t>
            </w:r>
          </w:p>
        </w:tc>
      </w:tr>
      <w:tr>
        <w:trPr/>
        <w:tc>
          <w:tcPr>
            <w:tcW w:w="535"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175"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250"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433"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896"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627"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909" w:type="dxa"/>
            <w:tcBorders/>
            <w:vAlign w:val="bottom"/>
          </w:tcPr>
          <w:p>
            <w:pPr>
              <w:pStyle w:val="TableContents"/>
              <w:pBdr>
                <w:bottom w:val="single" w:sz="8" w:space="1" w:color="000000"/>
              </w:pBdr>
              <w:bidi w:val="0"/>
              <w:spacing w:before="0" w:after="0"/>
              <w:jc w:val="left"/>
              <w:rPr/>
            </w:pPr>
            <w:r>
              <w:rPr/>
              <w:t> </w:t>
            </w:r>
          </w:p>
        </w:tc>
      </w:tr>
      <w:tr>
        <w:trPr/>
        <w:tc>
          <w:tcPr>
            <w:tcW w:w="535"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175"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250"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433"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896"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627"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909" w:type="dxa"/>
            <w:tcBorders/>
            <w:vAlign w:val="bottom"/>
          </w:tcPr>
          <w:p>
            <w:pPr>
              <w:pStyle w:val="TableContents"/>
              <w:pBdr>
                <w:bottom w:val="single" w:sz="8" w:space="1" w:color="000000"/>
              </w:pBdr>
              <w:bidi w:val="0"/>
              <w:spacing w:before="0" w:after="0"/>
              <w:jc w:val="left"/>
              <w:rPr/>
            </w:pPr>
            <w:r>
              <w:rPr/>
              <w:t> </w:t>
            </w:r>
          </w:p>
        </w:tc>
      </w:tr>
      <w:tr>
        <w:trPr/>
        <w:tc>
          <w:tcPr>
            <w:tcW w:w="535"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175"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250"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433"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896"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1627" w:type="dxa"/>
            <w:tcBorders/>
            <w:vAlign w:val="bottom"/>
          </w:tcPr>
          <w:p>
            <w:pPr>
              <w:pStyle w:val="TableContents"/>
              <w:pBdr>
                <w:bottom w:val="single" w:sz="8" w:space="1" w:color="000000"/>
              </w:pBdr>
              <w:bidi w:val="0"/>
              <w:spacing w:before="0" w:after="0"/>
              <w:jc w:val="left"/>
              <w:rPr/>
            </w:pPr>
            <w:r>
              <w:rPr/>
              <w:t> </w:t>
            </w:r>
          </w:p>
        </w:tc>
        <w:tc>
          <w:tcPr>
            <w:tcW w:w="230" w:type="dxa"/>
            <w:tcBorders/>
            <w:vAlign w:val="bottom"/>
          </w:tcPr>
          <w:p>
            <w:pPr>
              <w:pStyle w:val="TableContents"/>
              <w:bidi w:val="0"/>
              <w:spacing w:before="0" w:after="283"/>
              <w:jc w:val="left"/>
              <w:rPr/>
            </w:pPr>
            <w:r>
              <w:rPr/>
              <w:t>  </w:t>
            </w:r>
          </w:p>
        </w:tc>
        <w:tc>
          <w:tcPr>
            <w:tcW w:w="909" w:type="dxa"/>
            <w:tcBorders/>
            <w:vAlign w:val="bottom"/>
          </w:tcPr>
          <w:p>
            <w:pPr>
              <w:pStyle w:val="TableContents"/>
              <w:pBdr>
                <w:bottom w:val="single" w:sz="8" w:space="1" w:color="000000"/>
              </w:pBdr>
              <w:bidi w:val="0"/>
              <w:spacing w:before="0" w:after="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B </w:t>
      </w:r>
    </w:p>
    <w:p>
      <w:pPr>
        <w:pStyle w:val="TextBody"/>
        <w:bidi w:val="0"/>
        <w:spacing w:before="0" w:after="0"/>
        <w:jc w:val="right"/>
        <w:rPr>
          <w:rFonts w:ascii="Times New Roman" w:hAnsi="Times New Roman"/>
          <w:b/>
          <w:sz w:val="20"/>
        </w:rPr>
      </w:pPr>
      <w:r>
        <w:rPr>
          <w:rFonts w:ascii="Times New Roman" w:hAnsi="Times New Roman"/>
          <w:b/>
          <w:sz w:val="20"/>
        </w:rPr>
        <w:t xml:space="preserve">to    </w:t>
      </w:r>
    </w:p>
    <w:p>
      <w:pPr>
        <w:pStyle w:val="TextBody"/>
        <w:bidi w:val="0"/>
        <w:spacing w:before="0" w:after="0"/>
        <w:jc w:val="right"/>
        <w:rPr>
          <w:rFonts w:ascii="Times New Roman" w:hAnsi="Times New Roman"/>
          <w:b/>
          <w:sz w:val="20"/>
        </w:rPr>
      </w:pPr>
      <w:r>
        <w:rPr>
          <w:rFonts w:ascii="Times New Roman" w:hAnsi="Times New Roman"/>
          <w:b/>
          <w:sz w:val="20"/>
        </w:rPr>
        <w:t xml:space="preserve">Note   </w:t>
      </w:r>
    </w:p>
    <w:p>
      <w:pPr>
        <w:pStyle w:val="TextBody"/>
        <w:bidi w:val="0"/>
        <w:spacing w:before="240" w:after="0"/>
        <w:jc w:val="center"/>
        <w:rPr>
          <w:rFonts w:ascii="Times New Roman" w:hAnsi="Times New Roman"/>
          <w:sz w:val="20"/>
        </w:rPr>
      </w:pPr>
      <w:r>
        <w:rPr>
          <w:rFonts w:ascii="Times New Roman" w:hAnsi="Times New Roman"/>
          <w:sz w:val="20"/>
        </w:rPr>
        <w:t xml:space="preserve">LOANS, CONVERSIONS AND REPAYMENTS OF TERM BENCHMARK LOANS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0"/>
        <w:gridCol w:w="122"/>
        <w:gridCol w:w="710"/>
        <w:gridCol w:w="122"/>
        <w:gridCol w:w="1115"/>
        <w:gridCol w:w="122"/>
        <w:gridCol w:w="1850"/>
        <w:gridCol w:w="122"/>
        <w:gridCol w:w="1760"/>
        <w:gridCol w:w="122"/>
        <w:gridCol w:w="1895"/>
        <w:gridCol w:w="122"/>
        <w:gridCol w:w="1115"/>
        <w:gridCol w:w="121"/>
        <w:gridCol w:w="567"/>
      </w:tblGrid>
      <w:tr>
        <w:trPr/>
        <w:tc>
          <w:tcPr>
            <w:tcW w:w="34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34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Date</w:t>
            </w:r>
          </w:p>
        </w:tc>
        <w:tc>
          <w:tcPr>
            <w:tcW w:w="122" w:type="dxa"/>
            <w:tcBorders/>
            <w:vAlign w:val="bottom"/>
          </w:tcPr>
          <w:p>
            <w:pPr>
              <w:pStyle w:val="TableContents"/>
              <w:bidi w:val="0"/>
              <w:spacing w:before="0" w:after="283"/>
              <w:jc w:val="left"/>
              <w:rPr/>
            </w:pPr>
            <w:r>
              <w:rPr/>
              <w:t>  </w:t>
            </w:r>
          </w:p>
        </w:tc>
        <w:tc>
          <w:tcPr>
            <w:tcW w:w="710" w:type="dxa"/>
            <w:tcBorders>
              <w:bottom w:val="single" w:sz="8" w:space="0" w:color="000000"/>
            </w:tcBorders>
            <w:tcMar>
              <w:bottom w:w="28" w:type="dxa"/>
            </w:tcMar>
            <w:vAlign w:val="bottom"/>
          </w:tcPr>
          <w:p>
            <w:pPr>
              <w:pStyle w:val="TableContents"/>
              <w:bidi w:val="0"/>
              <w:spacing w:before="0" w:after="283"/>
              <w:jc w:val="center"/>
              <w:rPr/>
            </w:pPr>
            <w:r>
              <w:rPr/>
              <w:t>Interest</w:t>
              <w:br/>
              <w:t>Period</w:t>
            </w:r>
          </w:p>
        </w:tc>
        <w:tc>
          <w:tcPr>
            <w:tcW w:w="122" w:type="dxa"/>
            <w:tcBorders/>
            <w:vAlign w:val="bottom"/>
          </w:tcPr>
          <w:p>
            <w:pPr>
              <w:pStyle w:val="TableContents"/>
              <w:bidi w:val="0"/>
              <w:spacing w:before="0" w:after="283"/>
              <w:jc w:val="left"/>
              <w:rPr/>
            </w:pPr>
            <w:r>
              <w:rPr/>
              <w:t>  </w:t>
            </w:r>
          </w:p>
        </w:tc>
        <w:tc>
          <w:tcPr>
            <w:tcW w:w="1115" w:type="dxa"/>
            <w:tcBorders>
              <w:bottom w:val="single" w:sz="8" w:space="0" w:color="000000"/>
            </w:tcBorders>
            <w:tcMar>
              <w:bottom w:w="28" w:type="dxa"/>
            </w:tcMar>
            <w:vAlign w:val="bottom"/>
          </w:tcPr>
          <w:p>
            <w:pPr>
              <w:pStyle w:val="TableContents"/>
              <w:bidi w:val="0"/>
              <w:spacing w:before="0" w:after="283"/>
              <w:jc w:val="center"/>
              <w:rPr/>
            </w:pPr>
            <w:r>
              <w:rPr/>
              <w:t>Amount of</w:t>
              <w:br/>
              <w:t>Term</w:t>
              <w:br/>
              <w:t>Benchmark</w:t>
              <w:br/>
              <w:t>Loans</w:t>
            </w:r>
          </w:p>
        </w:tc>
        <w:tc>
          <w:tcPr>
            <w:tcW w:w="122" w:type="dxa"/>
            <w:tcBorders/>
            <w:vAlign w:val="bottom"/>
          </w:tcPr>
          <w:p>
            <w:pPr>
              <w:pStyle w:val="TableContents"/>
              <w:bidi w:val="0"/>
              <w:spacing w:before="0" w:after="283"/>
              <w:jc w:val="left"/>
              <w:rPr/>
            </w:pPr>
            <w:r>
              <w:rPr/>
              <w:t>  </w:t>
            </w:r>
          </w:p>
        </w:tc>
        <w:tc>
          <w:tcPr>
            <w:tcW w:w="1850" w:type="dxa"/>
            <w:tcBorders>
              <w:bottom w:val="single" w:sz="8" w:space="0" w:color="000000"/>
            </w:tcBorders>
            <w:tcMar>
              <w:bottom w:w="28" w:type="dxa"/>
            </w:tcMar>
            <w:vAlign w:val="bottom"/>
          </w:tcPr>
          <w:p>
            <w:pPr>
              <w:pStyle w:val="TableContents"/>
              <w:bidi w:val="0"/>
              <w:spacing w:before="0" w:after="283"/>
              <w:jc w:val="center"/>
              <w:rPr/>
            </w:pPr>
            <w:r>
              <w:rPr/>
              <w:t>Amount Converted</w:t>
              <w:br/>
              <w:t>to</w:t>
              <w:br/>
              <w:t>Term Benchmark</w:t>
              <w:br/>
              <w:t>Loans</w:t>
            </w:r>
          </w:p>
        </w:tc>
        <w:tc>
          <w:tcPr>
            <w:tcW w:w="122" w:type="dxa"/>
            <w:tcBorders/>
            <w:vAlign w:val="bottom"/>
          </w:tcPr>
          <w:p>
            <w:pPr>
              <w:pStyle w:val="TableContents"/>
              <w:bidi w:val="0"/>
              <w:spacing w:before="0" w:after="283"/>
              <w:jc w:val="left"/>
              <w:rPr/>
            </w:pPr>
            <w:r>
              <w:rPr/>
              <w:t>  </w:t>
            </w:r>
          </w:p>
        </w:tc>
        <w:tc>
          <w:tcPr>
            <w:tcW w:w="1760" w:type="dxa"/>
            <w:tcBorders>
              <w:bottom w:val="single" w:sz="8" w:space="0" w:color="000000"/>
            </w:tcBorders>
            <w:tcMar>
              <w:bottom w:w="28" w:type="dxa"/>
            </w:tcMar>
            <w:vAlign w:val="bottom"/>
          </w:tcPr>
          <w:p>
            <w:pPr>
              <w:pStyle w:val="TableContents"/>
              <w:bidi w:val="0"/>
              <w:spacing w:before="0" w:after="283"/>
              <w:jc w:val="center"/>
              <w:rPr/>
            </w:pPr>
            <w:r>
              <w:rPr/>
              <w:t>Amount of</w:t>
              <w:br/>
              <w:t>Principal</w:t>
              <w:br/>
              <w:t>of Term</w:t>
              <w:br/>
              <w:t>Benchmark Loans</w:t>
              <w:br/>
              <w:t>Repaid</w:t>
            </w:r>
          </w:p>
        </w:tc>
        <w:tc>
          <w:tcPr>
            <w:tcW w:w="122" w:type="dxa"/>
            <w:tcBorders/>
            <w:vAlign w:val="bottom"/>
          </w:tcPr>
          <w:p>
            <w:pPr>
              <w:pStyle w:val="TableContents"/>
              <w:bidi w:val="0"/>
              <w:spacing w:before="0" w:after="283"/>
              <w:jc w:val="left"/>
              <w:rPr/>
            </w:pPr>
            <w:r>
              <w:rPr/>
              <w:t>  </w:t>
            </w:r>
          </w:p>
        </w:tc>
        <w:tc>
          <w:tcPr>
            <w:tcW w:w="1895" w:type="dxa"/>
            <w:tcBorders>
              <w:bottom w:val="single" w:sz="8" w:space="0" w:color="000000"/>
            </w:tcBorders>
            <w:tcMar>
              <w:bottom w:w="28" w:type="dxa"/>
            </w:tcMar>
            <w:vAlign w:val="bottom"/>
          </w:tcPr>
          <w:p>
            <w:pPr>
              <w:pStyle w:val="TableContents"/>
              <w:bidi w:val="0"/>
              <w:spacing w:before="0" w:after="283"/>
              <w:jc w:val="center"/>
              <w:rPr/>
            </w:pPr>
            <w:r>
              <w:rPr/>
              <w:t>Amount of Term</w:t>
              <w:br/>
              <w:t>Benchmark</w:t>
              <w:br/>
              <w:t>Loans Converted to</w:t>
              <w:br/>
              <w:t>ABR Loans</w:t>
            </w:r>
          </w:p>
        </w:tc>
        <w:tc>
          <w:tcPr>
            <w:tcW w:w="122" w:type="dxa"/>
            <w:tcBorders/>
            <w:vAlign w:val="bottom"/>
          </w:tcPr>
          <w:p>
            <w:pPr>
              <w:pStyle w:val="TableContents"/>
              <w:bidi w:val="0"/>
              <w:spacing w:before="0" w:after="283"/>
              <w:jc w:val="left"/>
              <w:rPr/>
            </w:pPr>
            <w:r>
              <w:rPr/>
              <w:t>  </w:t>
            </w:r>
          </w:p>
        </w:tc>
        <w:tc>
          <w:tcPr>
            <w:tcW w:w="1115" w:type="dxa"/>
            <w:tcBorders>
              <w:bottom w:val="single" w:sz="8" w:space="0" w:color="000000"/>
            </w:tcBorders>
            <w:tcMar>
              <w:bottom w:w="28" w:type="dxa"/>
            </w:tcMar>
            <w:vAlign w:val="bottom"/>
          </w:tcPr>
          <w:p>
            <w:pPr>
              <w:pStyle w:val="TableContents"/>
              <w:bidi w:val="0"/>
              <w:spacing w:before="0" w:after="283"/>
              <w:jc w:val="center"/>
              <w:rPr/>
            </w:pPr>
            <w:r>
              <w:rPr/>
              <w:t>Unpaid</w:t>
              <w:br/>
              <w:t>Principal</w:t>
              <w:br/>
              <w:t>Balance</w:t>
              <w:br/>
              <w:t>of Term</w:t>
              <w:br/>
              <w:t>Benchmark</w:t>
              <w:br/>
              <w:t>Loans</w:t>
            </w:r>
          </w:p>
        </w:tc>
        <w:tc>
          <w:tcPr>
            <w:tcW w:w="121" w:type="dxa"/>
            <w:tcBorders/>
            <w:vAlign w:val="bottom"/>
          </w:tcPr>
          <w:p>
            <w:pPr>
              <w:pStyle w:val="TableContents"/>
              <w:bidi w:val="0"/>
              <w:spacing w:before="0" w:after="283"/>
              <w:jc w:val="left"/>
              <w:rPr/>
            </w:pPr>
            <w:r>
              <w:rPr/>
              <w:t>  </w:t>
            </w:r>
          </w:p>
        </w:tc>
        <w:tc>
          <w:tcPr>
            <w:tcW w:w="567" w:type="dxa"/>
            <w:tcBorders>
              <w:bottom w:val="single" w:sz="8" w:space="0" w:color="000000"/>
            </w:tcBorders>
            <w:tcMar>
              <w:bottom w:w="28" w:type="dxa"/>
            </w:tcMar>
            <w:vAlign w:val="bottom"/>
          </w:tcPr>
          <w:p>
            <w:pPr>
              <w:pStyle w:val="TableContents"/>
              <w:bidi w:val="0"/>
              <w:spacing w:before="0" w:after="283"/>
              <w:jc w:val="center"/>
              <w:rPr/>
            </w:pPr>
            <w:r>
              <w:rPr/>
              <w:t>Made By</w:t>
            </w:r>
          </w:p>
        </w:tc>
      </w:tr>
      <w:tr>
        <w:trPr/>
        <w:tc>
          <w:tcPr>
            <w:tcW w:w="34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71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11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85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76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89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115"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567" w:type="dxa"/>
            <w:tcBorders/>
            <w:vAlign w:val="bottom"/>
          </w:tcPr>
          <w:p>
            <w:pPr>
              <w:pStyle w:val="TableContents"/>
              <w:pBdr>
                <w:bottom w:val="single" w:sz="8" w:space="1" w:color="000000"/>
              </w:pBdr>
              <w:bidi w:val="0"/>
              <w:spacing w:before="0" w:after="0"/>
              <w:jc w:val="left"/>
              <w:rPr/>
            </w:pPr>
            <w:r>
              <w:rPr/>
              <w:t> </w:t>
            </w:r>
          </w:p>
        </w:tc>
      </w:tr>
      <w:tr>
        <w:trPr/>
        <w:tc>
          <w:tcPr>
            <w:tcW w:w="34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71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11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85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76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89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115"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567" w:type="dxa"/>
            <w:tcBorders/>
            <w:vAlign w:val="bottom"/>
          </w:tcPr>
          <w:p>
            <w:pPr>
              <w:pStyle w:val="TableContents"/>
              <w:pBdr>
                <w:bottom w:val="single" w:sz="8" w:space="1" w:color="000000"/>
              </w:pBdr>
              <w:bidi w:val="0"/>
              <w:spacing w:before="0" w:after="0"/>
              <w:jc w:val="left"/>
              <w:rPr/>
            </w:pPr>
            <w:r>
              <w:rPr/>
              <w:t> </w:t>
            </w:r>
          </w:p>
        </w:tc>
      </w:tr>
      <w:tr>
        <w:trPr/>
        <w:tc>
          <w:tcPr>
            <w:tcW w:w="34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71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11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85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76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89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115"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567" w:type="dxa"/>
            <w:tcBorders/>
            <w:vAlign w:val="bottom"/>
          </w:tcPr>
          <w:p>
            <w:pPr>
              <w:pStyle w:val="TableContents"/>
              <w:pBdr>
                <w:bottom w:val="single" w:sz="8" w:space="1" w:color="000000"/>
              </w:pBdr>
              <w:bidi w:val="0"/>
              <w:spacing w:before="0" w:after="0"/>
              <w:jc w:val="left"/>
              <w:rPr/>
            </w:pPr>
            <w:r>
              <w:rPr/>
              <w:t> </w:t>
            </w:r>
          </w:p>
        </w:tc>
      </w:tr>
      <w:tr>
        <w:trPr/>
        <w:tc>
          <w:tcPr>
            <w:tcW w:w="34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71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11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85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76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89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115"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567" w:type="dxa"/>
            <w:tcBorders/>
            <w:vAlign w:val="bottom"/>
          </w:tcPr>
          <w:p>
            <w:pPr>
              <w:pStyle w:val="TableContents"/>
              <w:pBdr>
                <w:bottom w:val="single" w:sz="8" w:space="1" w:color="000000"/>
              </w:pBdr>
              <w:bidi w:val="0"/>
              <w:spacing w:before="0" w:after="0"/>
              <w:jc w:val="left"/>
              <w:rPr/>
            </w:pPr>
            <w:r>
              <w:rPr/>
              <w:t> </w:t>
            </w:r>
          </w:p>
        </w:tc>
      </w:tr>
      <w:tr>
        <w:trPr/>
        <w:tc>
          <w:tcPr>
            <w:tcW w:w="34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71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11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85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76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89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115"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567" w:type="dxa"/>
            <w:tcBorders/>
            <w:vAlign w:val="bottom"/>
          </w:tcPr>
          <w:p>
            <w:pPr>
              <w:pStyle w:val="TableContents"/>
              <w:pBdr>
                <w:bottom w:val="single" w:sz="8" w:space="1" w:color="000000"/>
              </w:pBdr>
              <w:bidi w:val="0"/>
              <w:spacing w:before="0" w:after="0"/>
              <w:jc w:val="left"/>
              <w:rPr/>
            </w:pPr>
            <w:r>
              <w:rPr/>
              <w:t> </w:t>
            </w:r>
          </w:p>
        </w:tc>
      </w:tr>
      <w:tr>
        <w:trPr/>
        <w:tc>
          <w:tcPr>
            <w:tcW w:w="34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71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11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85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76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89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115"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567" w:type="dxa"/>
            <w:tcBorders/>
            <w:vAlign w:val="bottom"/>
          </w:tcPr>
          <w:p>
            <w:pPr>
              <w:pStyle w:val="TableContents"/>
              <w:pBdr>
                <w:bottom w:val="single" w:sz="8" w:space="1" w:color="000000"/>
              </w:pBdr>
              <w:bidi w:val="0"/>
              <w:spacing w:before="0" w:after="0"/>
              <w:jc w:val="left"/>
              <w:rPr/>
            </w:pPr>
            <w:r>
              <w:rPr/>
              <w:t> </w:t>
            </w:r>
          </w:p>
        </w:tc>
      </w:tr>
      <w:tr>
        <w:trPr/>
        <w:tc>
          <w:tcPr>
            <w:tcW w:w="34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71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11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85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76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89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115"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567" w:type="dxa"/>
            <w:tcBorders/>
            <w:vAlign w:val="bottom"/>
          </w:tcPr>
          <w:p>
            <w:pPr>
              <w:pStyle w:val="TableContents"/>
              <w:pBdr>
                <w:bottom w:val="single" w:sz="8" w:space="1" w:color="000000"/>
              </w:pBdr>
              <w:bidi w:val="0"/>
              <w:spacing w:before="0" w:after="0"/>
              <w:jc w:val="left"/>
              <w:rPr/>
            </w:pPr>
            <w:r>
              <w:rPr/>
              <w:t> </w:t>
            </w:r>
          </w:p>
        </w:tc>
      </w:tr>
      <w:tr>
        <w:trPr/>
        <w:tc>
          <w:tcPr>
            <w:tcW w:w="34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71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11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85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76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89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115"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567" w:type="dxa"/>
            <w:tcBorders/>
            <w:vAlign w:val="bottom"/>
          </w:tcPr>
          <w:p>
            <w:pPr>
              <w:pStyle w:val="TableContents"/>
              <w:pBdr>
                <w:bottom w:val="single" w:sz="8" w:space="1" w:color="000000"/>
              </w:pBdr>
              <w:bidi w:val="0"/>
              <w:spacing w:before="0" w:after="0"/>
              <w:jc w:val="left"/>
              <w:rPr/>
            </w:pPr>
            <w:r>
              <w:rPr/>
              <w:t> </w:t>
            </w:r>
          </w:p>
        </w:tc>
      </w:tr>
      <w:tr>
        <w:trPr/>
        <w:tc>
          <w:tcPr>
            <w:tcW w:w="34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71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11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85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76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89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115"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567" w:type="dxa"/>
            <w:tcBorders/>
            <w:vAlign w:val="bottom"/>
          </w:tcPr>
          <w:p>
            <w:pPr>
              <w:pStyle w:val="TableContents"/>
              <w:pBdr>
                <w:bottom w:val="single" w:sz="8" w:space="1" w:color="000000"/>
              </w:pBdr>
              <w:bidi w:val="0"/>
              <w:spacing w:before="0" w:after="0"/>
              <w:jc w:val="left"/>
              <w:rPr/>
            </w:pPr>
            <w:r>
              <w:rPr/>
              <w:t> </w:t>
            </w:r>
          </w:p>
        </w:tc>
      </w:tr>
      <w:tr>
        <w:trPr/>
        <w:tc>
          <w:tcPr>
            <w:tcW w:w="34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71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11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85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76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89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115"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567" w:type="dxa"/>
            <w:tcBorders/>
            <w:vAlign w:val="bottom"/>
          </w:tcPr>
          <w:p>
            <w:pPr>
              <w:pStyle w:val="TableContents"/>
              <w:pBdr>
                <w:bottom w:val="single" w:sz="8" w:space="1" w:color="000000"/>
              </w:pBdr>
              <w:bidi w:val="0"/>
              <w:spacing w:before="0" w:after="0"/>
              <w:jc w:val="left"/>
              <w:rPr/>
            </w:pPr>
            <w:r>
              <w:rPr/>
              <w:t> </w:t>
            </w:r>
          </w:p>
        </w:tc>
      </w:tr>
      <w:tr>
        <w:trPr/>
        <w:tc>
          <w:tcPr>
            <w:tcW w:w="34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71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11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85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76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89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115"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567" w:type="dxa"/>
            <w:tcBorders/>
            <w:vAlign w:val="bottom"/>
          </w:tcPr>
          <w:p>
            <w:pPr>
              <w:pStyle w:val="TableContents"/>
              <w:pBdr>
                <w:bottom w:val="single" w:sz="8" w:space="1" w:color="000000"/>
              </w:pBdr>
              <w:bidi w:val="0"/>
              <w:spacing w:before="0" w:after="0"/>
              <w:jc w:val="left"/>
              <w:rPr/>
            </w:pPr>
            <w:r>
              <w:rPr/>
              <w:t> </w:t>
            </w:r>
          </w:p>
        </w:tc>
      </w:tr>
      <w:tr>
        <w:trPr/>
        <w:tc>
          <w:tcPr>
            <w:tcW w:w="34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71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11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85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76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89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115"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567" w:type="dxa"/>
            <w:tcBorders/>
            <w:vAlign w:val="bottom"/>
          </w:tcPr>
          <w:p>
            <w:pPr>
              <w:pStyle w:val="TableContents"/>
              <w:pBdr>
                <w:bottom w:val="single" w:sz="8" w:space="1" w:color="000000"/>
              </w:pBdr>
              <w:bidi w:val="0"/>
              <w:spacing w:before="0" w:after="0"/>
              <w:jc w:val="left"/>
              <w:rPr/>
            </w:pPr>
            <w:r>
              <w:rPr/>
              <w:t> </w:t>
            </w:r>
          </w:p>
        </w:tc>
      </w:tr>
      <w:tr>
        <w:trPr/>
        <w:tc>
          <w:tcPr>
            <w:tcW w:w="34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71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11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85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760"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895" w:type="dxa"/>
            <w:tcBorders/>
            <w:vAlign w:val="bottom"/>
          </w:tcPr>
          <w:p>
            <w:pPr>
              <w:pStyle w:val="TableContents"/>
              <w:pBdr>
                <w:bottom w:val="single" w:sz="8" w:space="1" w:color="000000"/>
              </w:pBdr>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1115" w:type="dxa"/>
            <w:tcBorders/>
            <w:vAlign w:val="bottom"/>
          </w:tcPr>
          <w:p>
            <w:pPr>
              <w:pStyle w:val="TableContents"/>
              <w:pBdr>
                <w:bottom w:val="single" w:sz="8"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567" w:type="dxa"/>
            <w:tcBorders/>
            <w:vAlign w:val="bottom"/>
          </w:tcPr>
          <w:p>
            <w:pPr>
              <w:pStyle w:val="TableContents"/>
              <w:pBdr>
                <w:bottom w:val="single" w:sz="8" w:space="1" w:color="000000"/>
              </w:pBdr>
              <w:bidi w:val="0"/>
              <w:spacing w:before="0" w:after="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C </w:t>
      </w:r>
    </w:p>
    <w:p>
      <w:pPr>
        <w:pStyle w:val="TextBody"/>
        <w:bidi w:val="0"/>
        <w:spacing w:before="0" w:after="0"/>
        <w:jc w:val="right"/>
        <w:rPr>
          <w:rFonts w:ascii="Times New Roman" w:hAnsi="Times New Roman"/>
          <w:b/>
          <w:sz w:val="20"/>
        </w:rPr>
      </w:pPr>
      <w:r>
        <w:rPr>
          <w:rFonts w:ascii="Times New Roman" w:hAnsi="Times New Roman"/>
          <w:b/>
          <w:sz w:val="20"/>
        </w:rPr>
        <w:t xml:space="preserve">to    </w:t>
      </w:r>
    </w:p>
    <w:p>
      <w:pPr>
        <w:pStyle w:val="TextBody"/>
        <w:bidi w:val="0"/>
        <w:spacing w:before="0" w:after="0"/>
        <w:jc w:val="right"/>
        <w:rPr>
          <w:rFonts w:ascii="Times New Roman" w:hAnsi="Times New Roman"/>
          <w:b/>
          <w:sz w:val="20"/>
        </w:rPr>
      </w:pPr>
      <w:r>
        <w:rPr>
          <w:rFonts w:ascii="Times New Roman" w:hAnsi="Times New Roman"/>
          <w:b/>
          <w:sz w:val="20"/>
        </w:rPr>
        <w:t xml:space="preserve">Note   </w:t>
      </w:r>
    </w:p>
    <w:p>
      <w:pPr>
        <w:pStyle w:val="TextBody"/>
        <w:bidi w:val="0"/>
        <w:spacing w:before="240" w:after="0"/>
        <w:jc w:val="center"/>
        <w:rPr>
          <w:rFonts w:ascii="Times New Roman" w:hAnsi="Times New Roman"/>
          <w:sz w:val="20"/>
        </w:rPr>
      </w:pPr>
      <w:r>
        <w:rPr>
          <w:rFonts w:ascii="Times New Roman" w:hAnsi="Times New Roman"/>
          <w:sz w:val="20"/>
        </w:rPr>
        <w:t xml:space="preserve">LOANS, CONVERSIONS AND REPAYMENTS OF DAILY SIMPLE SOFR LOANS </w:t>
      </w:r>
    </w:p>
    <w:p>
      <w:pPr>
        <w:pStyle w:val="TextBody"/>
        <w:bidi w:val="0"/>
        <w:spacing w:before="0" w:after="0"/>
        <w:jc w:val="left"/>
        <w:rPr/>
      </w:pPr>
      <w:r>
        <w:rPr/>
        <w:t> </w:t>
      </w:r>
    </w:p>
    <w:tbl>
      <w:tblPr>
        <w:tblW w:w="11430" w:type="dxa"/>
        <w:jc w:val="center"/>
        <w:tblInd w:w="0" w:type="dxa"/>
        <w:tblLayout w:type="fixed"/>
        <w:tblCellMar>
          <w:top w:w="0" w:type="dxa"/>
          <w:left w:w="0" w:type="dxa"/>
          <w:bottom w:w="0" w:type="dxa"/>
          <w:right w:w="0" w:type="dxa"/>
        </w:tblCellMar>
      </w:tblPr>
      <w:tblGrid>
        <w:gridCol w:w="335"/>
        <w:gridCol w:w="120"/>
        <w:gridCol w:w="725"/>
        <w:gridCol w:w="120"/>
        <w:gridCol w:w="905"/>
        <w:gridCol w:w="120"/>
        <w:gridCol w:w="1280"/>
        <w:gridCol w:w="120"/>
        <w:gridCol w:w="1280"/>
        <w:gridCol w:w="120"/>
        <w:gridCol w:w="1520"/>
        <w:gridCol w:w="120"/>
        <w:gridCol w:w="1895"/>
        <w:gridCol w:w="120"/>
        <w:gridCol w:w="1625"/>
        <w:gridCol w:w="120"/>
        <w:gridCol w:w="905"/>
      </w:tblGrid>
      <w:tr>
        <w:trPr/>
        <w:tc>
          <w:tcPr>
            <w:tcW w:w="3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33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Date</w:t>
            </w:r>
          </w:p>
        </w:tc>
        <w:tc>
          <w:tcPr>
            <w:tcW w:w="120" w:type="dxa"/>
            <w:tcBorders/>
            <w:vAlign w:val="bottom"/>
          </w:tcPr>
          <w:p>
            <w:pPr>
              <w:pStyle w:val="TableContents"/>
              <w:bidi w:val="0"/>
              <w:spacing w:before="0" w:after="283"/>
              <w:jc w:val="left"/>
              <w:rPr/>
            </w:pPr>
            <w:r>
              <w:rPr/>
              <w:t>  </w:t>
            </w:r>
          </w:p>
        </w:tc>
        <w:tc>
          <w:tcPr>
            <w:tcW w:w="725" w:type="dxa"/>
            <w:tcBorders>
              <w:bottom w:val="single" w:sz="8" w:space="0" w:color="000000"/>
            </w:tcBorders>
            <w:tcMar>
              <w:bottom w:w="28" w:type="dxa"/>
            </w:tcMar>
            <w:vAlign w:val="bottom"/>
          </w:tcPr>
          <w:p>
            <w:pPr>
              <w:pStyle w:val="TableContents"/>
              <w:bidi w:val="0"/>
              <w:spacing w:before="0" w:after="283"/>
              <w:jc w:val="center"/>
              <w:rPr/>
            </w:pPr>
            <w:r>
              <w:rPr/>
              <w:t>Facility</w:t>
            </w:r>
          </w:p>
        </w:tc>
        <w:tc>
          <w:tcPr>
            <w:tcW w:w="120" w:type="dxa"/>
            <w:tcBorders/>
            <w:vAlign w:val="bottom"/>
          </w:tcPr>
          <w:p>
            <w:pPr>
              <w:pStyle w:val="TableContents"/>
              <w:bidi w:val="0"/>
              <w:spacing w:before="0" w:after="283"/>
              <w:jc w:val="left"/>
              <w:rPr/>
            </w:pPr>
            <w:r>
              <w:rPr/>
              <w:t>  </w:t>
            </w:r>
          </w:p>
        </w:tc>
        <w:tc>
          <w:tcPr>
            <w:tcW w:w="905" w:type="dxa"/>
            <w:tcBorders>
              <w:bottom w:val="single" w:sz="8" w:space="0" w:color="000000"/>
            </w:tcBorders>
            <w:tcMar>
              <w:bottom w:w="28" w:type="dxa"/>
            </w:tcMar>
            <w:vAlign w:val="bottom"/>
          </w:tcPr>
          <w:p>
            <w:pPr>
              <w:pStyle w:val="TableContents"/>
              <w:bidi w:val="0"/>
              <w:spacing w:before="0" w:after="283"/>
              <w:jc w:val="center"/>
              <w:rPr/>
            </w:pPr>
            <w:r>
              <w:rPr/>
              <w:t>Currency</w:t>
            </w:r>
          </w:p>
        </w:tc>
        <w:tc>
          <w:tcPr>
            <w:tcW w:w="120" w:type="dxa"/>
            <w:tcBorders/>
            <w:vAlign w:val="bottom"/>
          </w:tcPr>
          <w:p>
            <w:pPr>
              <w:pStyle w:val="TableContents"/>
              <w:bidi w:val="0"/>
              <w:spacing w:before="0" w:after="283"/>
              <w:jc w:val="left"/>
              <w:rPr/>
            </w:pPr>
            <w:r>
              <w:rPr/>
              <w:t>  </w:t>
            </w:r>
          </w:p>
        </w:tc>
        <w:tc>
          <w:tcPr>
            <w:tcW w:w="1280" w:type="dxa"/>
            <w:tcBorders>
              <w:bottom w:val="single" w:sz="8" w:space="0" w:color="000000"/>
            </w:tcBorders>
            <w:tcMar>
              <w:bottom w:w="28" w:type="dxa"/>
            </w:tcMar>
            <w:vAlign w:val="bottom"/>
          </w:tcPr>
          <w:p>
            <w:pPr>
              <w:pStyle w:val="TableContents"/>
              <w:bidi w:val="0"/>
              <w:spacing w:before="0" w:after="283"/>
              <w:jc w:val="center"/>
              <w:rPr/>
            </w:pPr>
            <w:r>
              <w:rPr/>
              <w:t>Amount of</w:t>
              <w:br/>
              <w:t>Daily Simple</w:t>
              <w:br/>
              <w:t>SOFR Loans</w:t>
            </w:r>
          </w:p>
        </w:tc>
        <w:tc>
          <w:tcPr>
            <w:tcW w:w="120" w:type="dxa"/>
            <w:tcBorders/>
            <w:vAlign w:val="bottom"/>
          </w:tcPr>
          <w:p>
            <w:pPr>
              <w:pStyle w:val="TableContents"/>
              <w:bidi w:val="0"/>
              <w:spacing w:before="0" w:after="283"/>
              <w:jc w:val="left"/>
              <w:rPr/>
            </w:pPr>
            <w:r>
              <w:rPr/>
              <w:t>  </w:t>
            </w:r>
          </w:p>
        </w:tc>
        <w:tc>
          <w:tcPr>
            <w:tcW w:w="1280" w:type="dxa"/>
            <w:tcBorders>
              <w:bottom w:val="single" w:sz="8" w:space="0" w:color="000000"/>
            </w:tcBorders>
            <w:tcMar>
              <w:bottom w:w="28" w:type="dxa"/>
            </w:tcMar>
            <w:vAlign w:val="bottom"/>
          </w:tcPr>
          <w:p>
            <w:pPr>
              <w:pStyle w:val="TableContents"/>
              <w:bidi w:val="0"/>
              <w:spacing w:before="0" w:after="283"/>
              <w:jc w:val="center"/>
              <w:rPr/>
            </w:pPr>
            <w:r>
              <w:rPr/>
              <w:t>Amount</w:t>
              <w:br/>
              <w:t>Converted to</w:t>
              <w:br/>
              <w:t>Daily Simple</w:t>
              <w:br/>
              <w:t>SOFR Loans</w:t>
            </w:r>
          </w:p>
        </w:tc>
        <w:tc>
          <w:tcPr>
            <w:tcW w:w="120" w:type="dxa"/>
            <w:tcBorders/>
            <w:vAlign w:val="bottom"/>
          </w:tcPr>
          <w:p>
            <w:pPr>
              <w:pStyle w:val="TableContents"/>
              <w:bidi w:val="0"/>
              <w:spacing w:before="0" w:after="283"/>
              <w:jc w:val="left"/>
              <w:rPr/>
            </w:pPr>
            <w:r>
              <w:rPr/>
              <w:t>  </w:t>
            </w:r>
          </w:p>
        </w:tc>
        <w:tc>
          <w:tcPr>
            <w:tcW w:w="1520" w:type="dxa"/>
            <w:tcBorders>
              <w:bottom w:val="single" w:sz="8" w:space="0" w:color="000000"/>
            </w:tcBorders>
            <w:tcMar>
              <w:bottom w:w="28" w:type="dxa"/>
            </w:tcMar>
            <w:vAlign w:val="bottom"/>
          </w:tcPr>
          <w:p>
            <w:pPr>
              <w:pStyle w:val="TableContents"/>
              <w:bidi w:val="0"/>
              <w:spacing w:before="0" w:after="283"/>
              <w:jc w:val="center"/>
              <w:rPr/>
            </w:pPr>
            <w:r>
              <w:rPr/>
              <w:t>Amount of</w:t>
              <w:br/>
              <w:t>Principal</w:t>
              <w:br/>
              <w:t>of Daily Simple</w:t>
              <w:br/>
              <w:t>SOFR Loans</w:t>
              <w:br/>
              <w:t>Repaid</w:t>
            </w:r>
          </w:p>
        </w:tc>
        <w:tc>
          <w:tcPr>
            <w:tcW w:w="120" w:type="dxa"/>
            <w:tcBorders/>
            <w:vAlign w:val="bottom"/>
          </w:tcPr>
          <w:p>
            <w:pPr>
              <w:pStyle w:val="TableContents"/>
              <w:bidi w:val="0"/>
              <w:spacing w:before="0" w:after="283"/>
              <w:jc w:val="left"/>
              <w:rPr/>
            </w:pPr>
            <w:r>
              <w:rPr/>
              <w:t>  </w:t>
            </w:r>
          </w:p>
        </w:tc>
        <w:tc>
          <w:tcPr>
            <w:tcW w:w="1895" w:type="dxa"/>
            <w:tcBorders>
              <w:bottom w:val="single" w:sz="8" w:space="0" w:color="000000"/>
            </w:tcBorders>
            <w:tcMar>
              <w:bottom w:w="28" w:type="dxa"/>
            </w:tcMar>
            <w:vAlign w:val="bottom"/>
          </w:tcPr>
          <w:p>
            <w:pPr>
              <w:pStyle w:val="TableContents"/>
              <w:bidi w:val="0"/>
              <w:spacing w:before="0" w:after="283"/>
              <w:jc w:val="center"/>
              <w:rPr/>
            </w:pPr>
            <w:r>
              <w:rPr/>
              <w:t>Amount of Daily</w:t>
              <w:br/>
              <w:t>Simple SOFR</w:t>
              <w:br/>
              <w:t>Loans Converted to</w:t>
              <w:br/>
              <w:t>ABR Loans</w:t>
            </w:r>
          </w:p>
        </w:tc>
        <w:tc>
          <w:tcPr>
            <w:tcW w:w="120" w:type="dxa"/>
            <w:tcBorders/>
            <w:vAlign w:val="bottom"/>
          </w:tcPr>
          <w:p>
            <w:pPr>
              <w:pStyle w:val="TableContents"/>
              <w:bidi w:val="0"/>
              <w:spacing w:before="0" w:after="283"/>
              <w:jc w:val="left"/>
              <w:rPr/>
            </w:pPr>
            <w:r>
              <w:rPr/>
              <w:t>  </w:t>
            </w:r>
          </w:p>
        </w:tc>
        <w:tc>
          <w:tcPr>
            <w:tcW w:w="1625" w:type="dxa"/>
            <w:tcBorders>
              <w:bottom w:val="single" w:sz="8" w:space="0" w:color="000000"/>
            </w:tcBorders>
            <w:tcMar>
              <w:bottom w:w="28" w:type="dxa"/>
            </w:tcMar>
            <w:vAlign w:val="bottom"/>
          </w:tcPr>
          <w:p>
            <w:pPr>
              <w:pStyle w:val="TableContents"/>
              <w:bidi w:val="0"/>
              <w:spacing w:before="0" w:after="283"/>
              <w:jc w:val="center"/>
              <w:rPr/>
            </w:pPr>
            <w:r>
              <w:rPr/>
              <w:t>Unpaid Principal</w:t>
              <w:br/>
              <w:t>Balance</w:t>
              <w:br/>
              <w:t>of Daily Simple</w:t>
              <w:br/>
              <w:t>SOFR Loans</w:t>
            </w:r>
          </w:p>
        </w:tc>
        <w:tc>
          <w:tcPr>
            <w:tcW w:w="120" w:type="dxa"/>
            <w:tcBorders/>
            <w:vAlign w:val="bottom"/>
          </w:tcPr>
          <w:p>
            <w:pPr>
              <w:pStyle w:val="TableContents"/>
              <w:bidi w:val="0"/>
              <w:spacing w:before="0" w:after="283"/>
              <w:jc w:val="left"/>
              <w:rPr/>
            </w:pPr>
            <w:r>
              <w:rPr/>
              <w:t>  </w:t>
            </w:r>
          </w:p>
        </w:tc>
        <w:tc>
          <w:tcPr>
            <w:tcW w:w="905" w:type="dxa"/>
            <w:tcBorders>
              <w:bottom w:val="single" w:sz="8" w:space="0" w:color="000000"/>
            </w:tcBorders>
            <w:tcMar>
              <w:bottom w:w="28" w:type="dxa"/>
            </w:tcMar>
            <w:vAlign w:val="bottom"/>
          </w:tcPr>
          <w:p>
            <w:pPr>
              <w:pStyle w:val="TableContents"/>
              <w:bidi w:val="0"/>
              <w:spacing w:before="0" w:after="283"/>
              <w:jc w:val="center"/>
              <w:rPr/>
            </w:pPr>
            <w:r>
              <w:rPr/>
              <w:t>Made By</w:t>
            </w:r>
          </w:p>
        </w:tc>
      </w:tr>
      <w:tr>
        <w:trPr/>
        <w:tc>
          <w:tcPr>
            <w:tcW w:w="33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2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52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9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62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pBdr>
                <w:bottom w:val="single" w:sz="8" w:space="1" w:color="000000"/>
              </w:pBdr>
              <w:bidi w:val="0"/>
              <w:spacing w:before="0" w:after="0"/>
              <w:jc w:val="left"/>
              <w:rPr/>
            </w:pPr>
            <w:r>
              <w:rPr/>
              <w:t> </w:t>
            </w:r>
          </w:p>
        </w:tc>
      </w:tr>
      <w:tr>
        <w:trPr/>
        <w:tc>
          <w:tcPr>
            <w:tcW w:w="33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2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52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9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62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pBdr>
                <w:bottom w:val="single" w:sz="8" w:space="1" w:color="000000"/>
              </w:pBdr>
              <w:bidi w:val="0"/>
              <w:spacing w:before="0" w:after="0"/>
              <w:jc w:val="left"/>
              <w:rPr/>
            </w:pPr>
            <w:r>
              <w:rPr/>
              <w:t> </w:t>
            </w:r>
          </w:p>
        </w:tc>
      </w:tr>
      <w:tr>
        <w:trPr/>
        <w:tc>
          <w:tcPr>
            <w:tcW w:w="33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2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52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9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62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pBdr>
                <w:bottom w:val="single" w:sz="8" w:space="1" w:color="000000"/>
              </w:pBdr>
              <w:bidi w:val="0"/>
              <w:spacing w:before="0" w:after="0"/>
              <w:jc w:val="left"/>
              <w:rPr/>
            </w:pPr>
            <w:r>
              <w:rPr/>
              <w:t> </w:t>
            </w:r>
          </w:p>
        </w:tc>
      </w:tr>
      <w:tr>
        <w:trPr/>
        <w:tc>
          <w:tcPr>
            <w:tcW w:w="33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2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52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9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62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pBdr>
                <w:bottom w:val="single" w:sz="8" w:space="1" w:color="000000"/>
              </w:pBdr>
              <w:bidi w:val="0"/>
              <w:spacing w:before="0" w:after="0"/>
              <w:jc w:val="left"/>
              <w:rPr/>
            </w:pPr>
            <w:r>
              <w:rPr/>
              <w:t> </w:t>
            </w:r>
          </w:p>
        </w:tc>
      </w:tr>
      <w:tr>
        <w:trPr/>
        <w:tc>
          <w:tcPr>
            <w:tcW w:w="33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2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52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9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62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pBdr>
                <w:bottom w:val="single" w:sz="8" w:space="1" w:color="000000"/>
              </w:pBdr>
              <w:bidi w:val="0"/>
              <w:spacing w:before="0" w:after="0"/>
              <w:jc w:val="left"/>
              <w:rPr/>
            </w:pPr>
            <w:r>
              <w:rPr/>
              <w:t> </w:t>
            </w:r>
          </w:p>
        </w:tc>
      </w:tr>
      <w:tr>
        <w:trPr/>
        <w:tc>
          <w:tcPr>
            <w:tcW w:w="33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2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52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9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62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pBdr>
                <w:bottom w:val="single" w:sz="8" w:space="1" w:color="000000"/>
              </w:pBdr>
              <w:bidi w:val="0"/>
              <w:spacing w:before="0" w:after="0"/>
              <w:jc w:val="left"/>
              <w:rPr/>
            </w:pPr>
            <w:r>
              <w:rPr/>
              <w:t> </w:t>
            </w:r>
          </w:p>
        </w:tc>
      </w:tr>
      <w:tr>
        <w:trPr/>
        <w:tc>
          <w:tcPr>
            <w:tcW w:w="33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2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52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9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62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pBdr>
                <w:bottom w:val="single" w:sz="8" w:space="1" w:color="000000"/>
              </w:pBdr>
              <w:bidi w:val="0"/>
              <w:spacing w:before="0" w:after="0"/>
              <w:jc w:val="left"/>
              <w:rPr/>
            </w:pPr>
            <w:r>
              <w:rPr/>
              <w:t> </w:t>
            </w:r>
          </w:p>
        </w:tc>
      </w:tr>
      <w:tr>
        <w:trPr/>
        <w:tc>
          <w:tcPr>
            <w:tcW w:w="33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2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52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9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62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pBdr>
                <w:bottom w:val="single" w:sz="8" w:space="1" w:color="000000"/>
              </w:pBdr>
              <w:bidi w:val="0"/>
              <w:spacing w:before="0" w:after="0"/>
              <w:jc w:val="left"/>
              <w:rPr/>
            </w:pPr>
            <w:r>
              <w:rPr/>
              <w:t> </w:t>
            </w:r>
          </w:p>
        </w:tc>
      </w:tr>
      <w:tr>
        <w:trPr/>
        <w:tc>
          <w:tcPr>
            <w:tcW w:w="33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2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52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9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62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pBdr>
                <w:bottom w:val="single" w:sz="8" w:space="1" w:color="000000"/>
              </w:pBdr>
              <w:bidi w:val="0"/>
              <w:spacing w:before="0" w:after="0"/>
              <w:jc w:val="left"/>
              <w:rPr/>
            </w:pPr>
            <w:r>
              <w:rPr/>
              <w:t> </w:t>
            </w:r>
          </w:p>
        </w:tc>
      </w:tr>
      <w:tr>
        <w:trPr/>
        <w:tc>
          <w:tcPr>
            <w:tcW w:w="33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2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52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9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62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pBdr>
                <w:bottom w:val="single" w:sz="8" w:space="1" w:color="000000"/>
              </w:pBdr>
              <w:bidi w:val="0"/>
              <w:spacing w:before="0" w:after="0"/>
              <w:jc w:val="left"/>
              <w:rPr/>
            </w:pPr>
            <w:r>
              <w:rPr/>
              <w:t> </w:t>
            </w:r>
          </w:p>
        </w:tc>
      </w:tr>
      <w:tr>
        <w:trPr/>
        <w:tc>
          <w:tcPr>
            <w:tcW w:w="33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2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52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9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62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pBdr>
                <w:bottom w:val="single" w:sz="8" w:space="1" w:color="000000"/>
              </w:pBdr>
              <w:bidi w:val="0"/>
              <w:spacing w:before="0" w:after="0"/>
              <w:jc w:val="left"/>
              <w:rPr/>
            </w:pPr>
            <w:r>
              <w:rPr/>
              <w:t> </w:t>
            </w:r>
          </w:p>
        </w:tc>
      </w:tr>
      <w:tr>
        <w:trPr/>
        <w:tc>
          <w:tcPr>
            <w:tcW w:w="33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2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52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9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62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pBdr>
                <w:bottom w:val="single" w:sz="8" w:space="1" w:color="000000"/>
              </w:pBdr>
              <w:bidi w:val="0"/>
              <w:spacing w:before="0" w:after="0"/>
              <w:jc w:val="left"/>
              <w:rPr/>
            </w:pPr>
            <w:r>
              <w:rPr/>
              <w:t> </w:t>
            </w:r>
          </w:p>
        </w:tc>
      </w:tr>
      <w:tr>
        <w:trPr/>
        <w:tc>
          <w:tcPr>
            <w:tcW w:w="33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72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8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52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9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62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905" w:type="dxa"/>
            <w:tcBorders/>
            <w:vAlign w:val="bottom"/>
          </w:tcPr>
          <w:p>
            <w:pPr>
              <w:pStyle w:val="TableContents"/>
              <w:pBdr>
                <w:bottom w:val="single" w:sz="8" w:space="1" w:color="000000"/>
              </w:pBdr>
              <w:bidi w:val="0"/>
              <w:spacing w:before="0" w:after="0"/>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343"/>
        <w:gridCol w:w="120"/>
        <w:gridCol w:w="3950"/>
        <w:gridCol w:w="120"/>
        <w:gridCol w:w="1672"/>
      </w:tblGrid>
      <w:tr>
        <w:trPr/>
        <w:tc>
          <w:tcPr>
            <w:tcW w:w="434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43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5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72" w:type="dxa"/>
            <w:tcBorders/>
          </w:tcPr>
          <w:p>
            <w:pPr>
              <w:pStyle w:val="TableContents"/>
              <w:bidi w:val="0"/>
              <w:spacing w:before="0" w:after="0"/>
              <w:jc w:val="center"/>
              <w:rPr>
                <w:rFonts w:ascii="Times New Roman" w:hAnsi="Times New Roman"/>
                <w:b/>
                <w:sz w:val="20"/>
              </w:rPr>
            </w:pPr>
            <w:r>
              <w:rPr>
                <w:rFonts w:ascii="Times New Roman" w:hAnsi="Times New Roman"/>
                <w:b/>
                <w:sz w:val="20"/>
              </w:rPr>
              <w:t>EXHIBIT L</w:t>
            </w:r>
          </w:p>
          <w:p>
            <w:pPr>
              <w:pStyle w:val="TableContents"/>
              <w:bidi w:val="0"/>
              <w:spacing w:before="0" w:after="0"/>
              <w:jc w:val="center"/>
              <w:rPr>
                <w:rFonts w:ascii="Times New Roman" w:hAnsi="Times New Roman"/>
                <w:b/>
                <w:sz w:val="20"/>
              </w:rPr>
            </w:pPr>
            <w:r>
              <w:rPr>
                <w:rFonts w:ascii="Times New Roman" w:hAnsi="Times New Roman"/>
                <w:b/>
                <w:sz w:val="20"/>
              </w:rPr>
              <w:t>to</w:t>
            </w:r>
          </w:p>
          <w:p>
            <w:pPr>
              <w:pStyle w:val="TableContents"/>
              <w:bidi w:val="0"/>
              <w:spacing w:before="0" w:after="20"/>
              <w:jc w:val="center"/>
              <w:rPr>
                <w:rFonts w:ascii="Times New Roman" w:hAnsi="Times New Roman"/>
                <w:b/>
                <w:sz w:val="20"/>
              </w:rPr>
            </w:pPr>
            <w:r>
              <w:rPr>
                <w:rFonts w:ascii="Times New Roman" w:hAnsi="Times New Roman"/>
                <w:b/>
                <w:sz w:val="20"/>
              </w:rPr>
              <w:t>Credit Agreement</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FORM OF BORROWING REQUEST </w:t>
      </w:r>
    </w:p>
    <w:p>
      <w:pPr>
        <w:pStyle w:val="TextBody"/>
        <w:bidi w:val="0"/>
        <w:spacing w:before="240" w:after="0"/>
        <w:jc w:val="left"/>
        <w:rPr>
          <w:rFonts w:ascii="Times New Roman" w:hAnsi="Times New Roman"/>
          <w:sz w:val="20"/>
        </w:rPr>
      </w:pPr>
      <w:r>
        <w:rPr>
          <w:rFonts w:ascii="Times New Roman" w:hAnsi="Times New Roman"/>
          <w:sz w:val="20"/>
        </w:rPr>
        <w:t xml:space="preserve">JPMorgan Chase Bank, N.A., as Administrative Agent </w:t>
      </w:r>
    </w:p>
    <w:p>
      <w:pPr>
        <w:pStyle w:val="TextBody"/>
        <w:bidi w:val="0"/>
        <w:spacing w:before="0" w:after="0"/>
        <w:jc w:val="left"/>
        <w:rPr>
          <w:rFonts w:ascii="Times New Roman" w:hAnsi="Times New Roman"/>
          <w:sz w:val="20"/>
        </w:rPr>
      </w:pPr>
      <w:r>
        <w:rPr>
          <w:rFonts w:ascii="Times New Roman" w:hAnsi="Times New Roman"/>
          <w:sz w:val="20"/>
        </w:rPr>
        <w:t xml:space="preserve">for the lenders referred to below </w:t>
      </w:r>
    </w:p>
    <w:p>
      <w:pPr>
        <w:pStyle w:val="TextBody"/>
        <w:bidi w:val="0"/>
        <w:spacing w:before="0" w:after="0"/>
        <w:jc w:val="left"/>
        <w:rPr>
          <w:rFonts w:ascii="Times New Roman" w:hAnsi="Times New Roman"/>
          <w:sz w:val="20"/>
        </w:rPr>
      </w:pPr>
      <w:r>
        <w:rPr>
          <w:rFonts w:ascii="Times New Roman" w:hAnsi="Times New Roman"/>
          <w:sz w:val="20"/>
        </w:rPr>
        <w:t xml:space="preserve">Loan &amp; Agency Services Group </w:t>
      </w:r>
    </w:p>
    <w:p>
      <w:pPr>
        <w:pStyle w:val="TextBody"/>
        <w:bidi w:val="0"/>
        <w:spacing w:before="0" w:after="0"/>
        <w:jc w:val="left"/>
        <w:rPr>
          <w:rFonts w:ascii="Times New Roman" w:hAnsi="Times New Roman"/>
          <w:sz w:val="20"/>
        </w:rPr>
      </w:pPr>
      <w:r>
        <w:rPr>
          <w:rFonts w:ascii="Times New Roman" w:hAnsi="Times New Roman"/>
          <w:sz w:val="20"/>
        </w:rPr>
        <w:t xml:space="preserve">4041 Ogletown Stanton Road, Floor 2 </w:t>
      </w:r>
    </w:p>
    <w:p>
      <w:pPr>
        <w:pStyle w:val="TextBody"/>
        <w:bidi w:val="0"/>
        <w:spacing w:before="0" w:after="0"/>
        <w:jc w:val="left"/>
        <w:rPr>
          <w:rFonts w:ascii="Times New Roman" w:hAnsi="Times New Roman"/>
          <w:sz w:val="20"/>
        </w:rPr>
      </w:pPr>
      <w:r>
        <w:rPr>
          <w:rFonts w:ascii="Times New Roman" w:hAnsi="Times New Roman"/>
          <w:sz w:val="20"/>
        </w:rPr>
        <w:t xml:space="preserve">Newark, DE, 19713-2107, United States </w:t>
      </w:r>
    </w:p>
    <w:p>
      <w:pPr>
        <w:pStyle w:val="TextBody"/>
        <w:bidi w:val="0"/>
        <w:spacing w:before="0" w:after="0"/>
        <w:jc w:val="left"/>
        <w:rPr>
          <w:rFonts w:ascii="Times New Roman" w:hAnsi="Times New Roman"/>
          <w:sz w:val="20"/>
        </w:rPr>
      </w:pPr>
      <w:r>
        <w:rPr>
          <w:rFonts w:ascii="Times New Roman" w:hAnsi="Times New Roman"/>
          <w:sz w:val="20"/>
        </w:rPr>
        <w:t xml:space="preserve">Email: laura.delgadillo@jpmorgan.com </w:t>
      </w:r>
    </w:p>
    <w:p>
      <w:pPr>
        <w:pStyle w:val="TextBody"/>
        <w:bidi w:val="0"/>
        <w:spacing w:before="0" w:after="0"/>
        <w:jc w:val="left"/>
        <w:rPr>
          <w:rFonts w:ascii="Times New Roman" w:hAnsi="Times New Roman"/>
          <w:sz w:val="20"/>
        </w:rPr>
      </w:pPr>
      <w:r>
        <w:rPr>
          <w:rFonts w:ascii="Times New Roman" w:hAnsi="Times New Roman"/>
          <w:sz w:val="20"/>
        </w:rPr>
        <w:t xml:space="preserve">Telephone: 302-634-3228 </w:t>
      </w:r>
    </w:p>
    <w:p>
      <w:pPr>
        <w:pStyle w:val="TextBody"/>
        <w:bidi w:val="0"/>
        <w:spacing w:before="0" w:after="0"/>
        <w:jc w:val="left"/>
        <w:rPr>
          <w:rFonts w:ascii="Times New Roman" w:hAnsi="Times New Roman"/>
          <w:sz w:val="20"/>
        </w:rPr>
      </w:pPr>
      <w:r>
        <w:rPr>
          <w:rFonts w:ascii="Times New Roman" w:hAnsi="Times New Roman"/>
          <w:sz w:val="20"/>
        </w:rPr>
        <w:t xml:space="preserve">Attention: Laura Delgadillo </w:t>
      </w:r>
    </w:p>
    <w:p>
      <w:pPr>
        <w:pStyle w:val="TextBody"/>
        <w:bidi w:val="0"/>
        <w:spacing w:before="240" w:after="0"/>
        <w:jc w:val="right"/>
        <w:rPr>
          <w:rFonts w:ascii="Times New Roman" w:hAnsi="Times New Roman"/>
          <w:sz w:val="20"/>
        </w:rPr>
      </w:pPr>
      <w:r>
        <w:rPr>
          <w:rFonts w:ascii="Times New Roman" w:hAnsi="Times New Roman"/>
          <w:sz w:val="20"/>
        </w:rPr>
        <w:t xml:space="preserve">_________, 20__    </w:t>
      </w:r>
    </w:p>
    <w:p>
      <w:pPr>
        <w:pStyle w:val="TextBody"/>
        <w:bidi w:val="0"/>
        <w:spacing w:before="240" w:after="0"/>
        <w:jc w:val="left"/>
        <w:rPr>
          <w:rFonts w:ascii="Times New Roman" w:hAnsi="Times New Roman"/>
          <w:sz w:val="20"/>
        </w:rPr>
      </w:pPr>
      <w:r>
        <w:rPr>
          <w:rFonts w:ascii="Times New Roman" w:hAnsi="Times New Roman"/>
          <w:sz w:val="20"/>
        </w:rPr>
        <w:t xml:space="preserve">Ladies/Gentlemen: </w:t>
      </w:r>
    </w:p>
    <w:p>
      <w:pPr>
        <w:pStyle w:val="TextBody"/>
        <w:bidi w:val="0"/>
        <w:spacing w:before="240" w:after="0"/>
        <w:jc w:val="left"/>
        <w:rPr>
          <w:rFonts w:ascii="Times New Roman" w:hAnsi="Times New Roman"/>
          <w:sz w:val="20"/>
        </w:rPr>
      </w:pPr>
      <w:r>
        <w:rPr>
          <w:rFonts w:ascii="Times New Roman" w:hAnsi="Times New Roman"/>
          <w:sz w:val="20"/>
        </w:rPr>
        <w:t>The undersigned, [INSERT NAME OF APPLICABLE BORROWER] (the </w:t>
      </w:r>
      <w:r>
        <w:rPr>
          <w:rFonts w:ascii="Times New Roman" w:hAnsi="Times New Roman"/>
          <w:sz w:val="20"/>
          <w:u w:val="single"/>
        </w:rPr>
        <w:t>Applicable Borrower</w:t>
      </w:r>
      <w:r>
        <w:rPr>
          <w:rFonts w:ascii="Times New Roman" w:hAnsi="Times New Roman"/>
          <w:sz w:val="20"/>
        </w:rPr>
        <w:t>) [and General Motors Company, a Delaware corporation (</w:t>
      </w:r>
      <w:r>
        <w:rPr>
          <w:rFonts w:ascii="Times New Roman" w:hAnsi="Times New Roman"/>
          <w:sz w:val="20"/>
          <w:u w:val="single"/>
        </w:rPr>
        <w:t>Company/Applicable Borrower)]</w:t>
      </w:r>
      <w:r>
        <w:rPr>
          <w:rFonts w:ascii="Times New Roman" w:hAnsi="Times New Roman"/>
          <w:sz w:val="20"/>
        </w:rPr>
        <w:t>1, refer[s] to the Sixth Amended and Restated 364-Day Revolving Credit Agreement, dated as of March 28, 2024, as amended, restated, amended and restated, renewed, supplemented or modified from time to time (the </w:t>
      </w:r>
      <w:r>
        <w:rPr>
          <w:rFonts w:ascii="Times New Roman" w:hAnsi="Times New Roman"/>
          <w:sz w:val="20"/>
          <w:u w:val="single"/>
        </w:rPr>
        <w:t>Credit Agreement</w:t>
      </w:r>
      <w:r>
        <w:rPr>
          <w:rFonts w:ascii="Times New Roman" w:hAnsi="Times New Roman"/>
          <w:sz w:val="20"/>
        </w:rPr>
        <w:t>), among [the Company/the Applicable Borrower]2, General Motors Financial Company, Inc., a Texas corporation, the Subsidiary Borrowers from time to time party thereto, the several banks and other financial institutions or entities from time to time party thereto (the </w:t>
      </w:r>
      <w:r>
        <w:rPr>
          <w:rFonts w:ascii="Times New Roman" w:hAnsi="Times New Roman"/>
          <w:sz w:val="20"/>
          <w:u w:val="single"/>
        </w:rPr>
        <w:t>Lenders</w:t>
      </w:r>
      <w:r>
        <w:rPr>
          <w:rFonts w:ascii="Times New Roman" w:hAnsi="Times New Roman"/>
          <w:sz w:val="20"/>
        </w:rPr>
        <w:t xml:space="preserve">), JPMorgan Chase Bank, N.A., as administrative agent, Citibank, N.A., as syndication agent, Bank of America, N.A., as co-syndication agent, and the other agents named therein. Capitalized terms used herein and not otherwise defined herein shall have the meanings assigned to such terms in the Credit Agreement. The Applicable Borrower and the Company hereby give you notice pursuant to Section [2.2] of the Credit Agreement that it requests an Extension of Credit under the Credit Agreement, and in connection sets forth below the terms on which such Extension of Credit is requested to be made, to which the Company hereby consents: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if the Company is not the Applicable Borrower.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Borrowing Request from the Company, it is the Applicable Borrower.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65"/>
        <w:gridCol w:w="109"/>
        <w:gridCol w:w="23"/>
        <w:gridCol w:w="109"/>
        <w:gridCol w:w="361"/>
        <w:gridCol w:w="129"/>
        <w:gridCol w:w="6706"/>
        <w:gridCol w:w="129"/>
        <w:gridCol w:w="2374"/>
      </w:tblGrid>
      <w:tr>
        <w:trPr/>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706"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61" w:type="dxa"/>
            <w:tcBorders/>
          </w:tcPr>
          <w:p>
            <w:pPr>
              <w:pStyle w:val="TableContents"/>
              <w:bidi w:val="0"/>
              <w:spacing w:before="0" w:after="283"/>
              <w:jc w:val="left"/>
              <w:rPr/>
            </w:pPr>
            <w:r>
              <w:rPr/>
              <w:t>(A)</w:t>
            </w:r>
          </w:p>
        </w:tc>
        <w:tc>
          <w:tcPr>
            <w:tcW w:w="129" w:type="dxa"/>
            <w:tcBorders/>
            <w:vAlign w:val="bottom"/>
          </w:tcPr>
          <w:p>
            <w:pPr>
              <w:pStyle w:val="TableContents"/>
              <w:bidi w:val="0"/>
              <w:spacing w:before="0" w:after="283"/>
              <w:jc w:val="left"/>
              <w:rPr/>
            </w:pPr>
            <w:r>
              <w:rPr/>
              <w:t>  </w:t>
            </w:r>
          </w:p>
        </w:tc>
        <w:tc>
          <w:tcPr>
            <w:tcW w:w="6706" w:type="dxa"/>
            <w:tcBorders/>
          </w:tcPr>
          <w:p>
            <w:pPr>
              <w:pStyle w:val="TableContents"/>
              <w:bidi w:val="0"/>
              <w:spacing w:before="0" w:after="0"/>
              <w:jc w:val="left"/>
              <w:rPr>
                <w:rFonts w:ascii="Times New Roman" w:hAnsi="Times New Roman"/>
                <w:sz w:val="20"/>
              </w:rPr>
            </w:pPr>
            <w:r>
              <w:rPr>
                <w:rFonts w:ascii="Times New Roman" w:hAnsi="Times New Roman"/>
                <w:sz w:val="20"/>
              </w:rPr>
              <w:t>Borrowing Date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(which is a Business Day)3</w:t>
            </w:r>
          </w:p>
        </w:tc>
        <w:tc>
          <w:tcPr>
            <w:tcW w:w="129" w:type="dxa"/>
            <w:tcBorders/>
            <w:vAlign w:val="bottom"/>
          </w:tcPr>
          <w:p>
            <w:pPr>
              <w:pStyle w:val="TableContents"/>
              <w:bidi w:val="0"/>
              <w:spacing w:before="0" w:after="283"/>
              <w:jc w:val="left"/>
              <w:rPr/>
            </w:pPr>
            <w:r>
              <w:rPr/>
              <w:t>  </w:t>
            </w:r>
          </w:p>
        </w:tc>
        <w:tc>
          <w:tcPr>
            <w:tcW w:w="2374" w:type="dxa"/>
            <w:tcBorders/>
          </w:tcPr>
          <w:p>
            <w:pPr>
              <w:pStyle w:val="TableContents"/>
              <w:pBdr>
                <w:bottom w:val="single" w:sz="2" w:space="1" w:color="000000"/>
              </w:pBdr>
              <w:bidi w:val="0"/>
              <w:spacing w:before="0" w:after="0"/>
              <w:jc w:val="left"/>
              <w:rPr/>
            </w:pPr>
            <w:r>
              <w:rPr/>
              <w:t> </w:t>
            </w:r>
          </w:p>
          <w:p>
            <w:pPr>
              <w:pStyle w:val="TableContents"/>
              <w:bidi w:val="0"/>
              <w:spacing w:before="0" w:after="20"/>
              <w:jc w:val="left"/>
              <w:rPr/>
            </w:pPr>
            <w:r>
              <w:rPr/>
              <w:t> </w:t>
            </w:r>
          </w:p>
        </w:tc>
      </w:tr>
      <w:tr>
        <w:trPr>
          <w:trHeight w:val="120" w:hRule="atLeast"/>
        </w:trPr>
        <w:tc>
          <w:tcPr>
            <w:tcW w:w="265" w:type="dxa"/>
            <w:tcBorders/>
            <w:vAlign w:val="center"/>
          </w:tcPr>
          <w:p>
            <w:pPr>
              <w:pStyle w:val="TableContents"/>
              <w:bidi w:val="0"/>
              <w:spacing w:before="0" w:after="283"/>
              <w:jc w:val="left"/>
              <w:rPr>
                <w:sz w:val="4"/>
                <w:szCs w:val="4"/>
              </w:rPr>
            </w:pPr>
            <w:r>
              <w:rPr>
                <w:sz w:val="4"/>
                <w:szCs w:val="4"/>
              </w:rPr>
            </w:r>
          </w:p>
        </w:tc>
        <w:tc>
          <w:tcPr>
            <w:tcW w:w="132"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6835" w:type="dxa"/>
            <w:gridSpan w:val="2"/>
            <w:tcBorders/>
            <w:vAlign w:val="center"/>
          </w:tcPr>
          <w:p>
            <w:pPr>
              <w:pStyle w:val="TableContents"/>
              <w:bidi w:val="0"/>
              <w:spacing w:before="0" w:after="283"/>
              <w:jc w:val="left"/>
              <w:rPr>
                <w:sz w:val="4"/>
                <w:szCs w:val="4"/>
              </w:rPr>
            </w:pPr>
            <w:r>
              <w:rPr>
                <w:sz w:val="4"/>
                <w:szCs w:val="4"/>
              </w:rPr>
            </w:r>
          </w:p>
        </w:tc>
        <w:tc>
          <w:tcPr>
            <w:tcW w:w="2503" w:type="dxa"/>
            <w:gridSpan w:val="2"/>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61" w:type="dxa"/>
            <w:tcBorders/>
          </w:tcPr>
          <w:p>
            <w:pPr>
              <w:pStyle w:val="TableContents"/>
              <w:bidi w:val="0"/>
              <w:spacing w:before="0" w:after="283"/>
              <w:jc w:val="left"/>
              <w:rPr/>
            </w:pPr>
            <w:r>
              <w:rPr/>
              <w:t>(D)</w:t>
            </w:r>
          </w:p>
        </w:tc>
        <w:tc>
          <w:tcPr>
            <w:tcW w:w="129" w:type="dxa"/>
            <w:tcBorders/>
            <w:vAlign w:val="bottom"/>
          </w:tcPr>
          <w:p>
            <w:pPr>
              <w:pStyle w:val="TableContents"/>
              <w:bidi w:val="0"/>
              <w:spacing w:before="0" w:after="283"/>
              <w:jc w:val="left"/>
              <w:rPr/>
            </w:pPr>
            <w:r>
              <w:rPr/>
              <w:t>  </w:t>
            </w:r>
          </w:p>
        </w:tc>
        <w:tc>
          <w:tcPr>
            <w:tcW w:w="6706" w:type="dxa"/>
            <w:tcBorders/>
          </w:tcPr>
          <w:p>
            <w:pPr>
              <w:pStyle w:val="TableContents"/>
              <w:bidi w:val="0"/>
              <w:spacing w:before="0" w:after="283"/>
              <w:jc w:val="left"/>
              <w:rPr/>
            </w:pPr>
            <w:r>
              <w:rPr/>
              <w:t>Aggregate Amount of Extension of Credit 4</w:t>
            </w:r>
          </w:p>
        </w:tc>
        <w:tc>
          <w:tcPr>
            <w:tcW w:w="129" w:type="dxa"/>
            <w:tcBorders/>
            <w:vAlign w:val="bottom"/>
          </w:tcPr>
          <w:p>
            <w:pPr>
              <w:pStyle w:val="TableContents"/>
              <w:bidi w:val="0"/>
              <w:spacing w:before="0" w:after="283"/>
              <w:jc w:val="left"/>
              <w:rPr/>
            </w:pPr>
            <w:r>
              <w:rPr/>
              <w:t>  </w:t>
            </w:r>
          </w:p>
        </w:tc>
        <w:tc>
          <w:tcPr>
            <w:tcW w:w="2374" w:type="dxa"/>
            <w:tcBorders/>
          </w:tcPr>
          <w:p>
            <w:pPr>
              <w:pStyle w:val="TableContents"/>
              <w:pBdr>
                <w:bottom w:val="single" w:sz="2" w:space="1" w:color="000000"/>
              </w:pBdr>
              <w:bidi w:val="0"/>
              <w:spacing w:before="0" w:after="20"/>
              <w:jc w:val="left"/>
              <w:rPr/>
            </w:pPr>
            <w:r>
              <w:rPr/>
              <w:t> </w:t>
            </w:r>
          </w:p>
        </w:tc>
      </w:tr>
      <w:tr>
        <w:trPr>
          <w:trHeight w:val="120" w:hRule="atLeast"/>
        </w:trPr>
        <w:tc>
          <w:tcPr>
            <w:tcW w:w="265" w:type="dxa"/>
            <w:tcBorders/>
            <w:vAlign w:val="center"/>
          </w:tcPr>
          <w:p>
            <w:pPr>
              <w:pStyle w:val="TableContents"/>
              <w:bidi w:val="0"/>
              <w:spacing w:before="0" w:after="283"/>
              <w:jc w:val="left"/>
              <w:rPr>
                <w:sz w:val="4"/>
                <w:szCs w:val="4"/>
              </w:rPr>
            </w:pPr>
            <w:r>
              <w:rPr>
                <w:sz w:val="4"/>
                <w:szCs w:val="4"/>
              </w:rPr>
            </w:r>
          </w:p>
        </w:tc>
        <w:tc>
          <w:tcPr>
            <w:tcW w:w="132"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6835" w:type="dxa"/>
            <w:gridSpan w:val="2"/>
            <w:tcBorders/>
            <w:vAlign w:val="center"/>
          </w:tcPr>
          <w:p>
            <w:pPr>
              <w:pStyle w:val="TableContents"/>
              <w:bidi w:val="0"/>
              <w:spacing w:before="0" w:after="283"/>
              <w:jc w:val="left"/>
              <w:rPr>
                <w:sz w:val="4"/>
                <w:szCs w:val="4"/>
              </w:rPr>
            </w:pPr>
            <w:r>
              <w:rPr>
                <w:sz w:val="4"/>
                <w:szCs w:val="4"/>
              </w:rPr>
            </w:r>
          </w:p>
        </w:tc>
        <w:tc>
          <w:tcPr>
            <w:tcW w:w="2503" w:type="dxa"/>
            <w:gridSpan w:val="2"/>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61" w:type="dxa"/>
            <w:tcBorders/>
          </w:tcPr>
          <w:p>
            <w:pPr>
              <w:pStyle w:val="TableContents"/>
              <w:bidi w:val="0"/>
              <w:spacing w:before="0" w:after="283"/>
              <w:jc w:val="left"/>
              <w:rPr/>
            </w:pPr>
            <w:r>
              <w:rPr/>
              <w:t>(E)</w:t>
            </w:r>
          </w:p>
        </w:tc>
        <w:tc>
          <w:tcPr>
            <w:tcW w:w="129" w:type="dxa"/>
            <w:tcBorders/>
            <w:vAlign w:val="bottom"/>
          </w:tcPr>
          <w:p>
            <w:pPr>
              <w:pStyle w:val="TableContents"/>
              <w:bidi w:val="0"/>
              <w:spacing w:before="0" w:after="283"/>
              <w:jc w:val="left"/>
              <w:rPr/>
            </w:pPr>
            <w:r>
              <w:rPr/>
              <w:t>  </w:t>
            </w:r>
          </w:p>
        </w:tc>
        <w:tc>
          <w:tcPr>
            <w:tcW w:w="6706" w:type="dxa"/>
            <w:tcBorders/>
          </w:tcPr>
          <w:p>
            <w:pPr>
              <w:pStyle w:val="TableContents"/>
              <w:bidi w:val="0"/>
              <w:spacing w:before="0" w:after="283"/>
              <w:jc w:val="left"/>
              <w:rPr/>
            </w:pPr>
            <w:r>
              <w:rPr/>
              <w:t>Type of Extension of Credit 5</w:t>
            </w:r>
          </w:p>
        </w:tc>
        <w:tc>
          <w:tcPr>
            <w:tcW w:w="129" w:type="dxa"/>
            <w:tcBorders/>
            <w:vAlign w:val="bottom"/>
          </w:tcPr>
          <w:p>
            <w:pPr>
              <w:pStyle w:val="TableContents"/>
              <w:bidi w:val="0"/>
              <w:spacing w:before="0" w:after="283"/>
              <w:jc w:val="left"/>
              <w:rPr/>
            </w:pPr>
            <w:r>
              <w:rPr/>
              <w:t>  </w:t>
            </w:r>
          </w:p>
        </w:tc>
        <w:tc>
          <w:tcPr>
            <w:tcW w:w="2374" w:type="dxa"/>
            <w:tcBorders/>
          </w:tcPr>
          <w:p>
            <w:pPr>
              <w:pStyle w:val="TableContents"/>
              <w:pBdr>
                <w:bottom w:val="single" w:sz="2" w:space="1" w:color="000000"/>
              </w:pBdr>
              <w:bidi w:val="0"/>
              <w:spacing w:before="0" w:after="20"/>
              <w:jc w:val="left"/>
              <w:rPr/>
            </w:pPr>
            <w:r>
              <w:rPr/>
              <w:t> </w:t>
            </w:r>
          </w:p>
        </w:tc>
      </w:tr>
      <w:tr>
        <w:trPr>
          <w:trHeight w:val="120" w:hRule="atLeast"/>
        </w:trPr>
        <w:tc>
          <w:tcPr>
            <w:tcW w:w="265" w:type="dxa"/>
            <w:tcBorders/>
            <w:vAlign w:val="center"/>
          </w:tcPr>
          <w:p>
            <w:pPr>
              <w:pStyle w:val="TableContents"/>
              <w:bidi w:val="0"/>
              <w:spacing w:before="0" w:after="283"/>
              <w:jc w:val="left"/>
              <w:rPr>
                <w:sz w:val="4"/>
                <w:szCs w:val="4"/>
              </w:rPr>
            </w:pPr>
            <w:r>
              <w:rPr>
                <w:sz w:val="4"/>
                <w:szCs w:val="4"/>
              </w:rPr>
            </w:r>
          </w:p>
        </w:tc>
        <w:tc>
          <w:tcPr>
            <w:tcW w:w="132"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6835" w:type="dxa"/>
            <w:gridSpan w:val="2"/>
            <w:tcBorders/>
            <w:vAlign w:val="center"/>
          </w:tcPr>
          <w:p>
            <w:pPr>
              <w:pStyle w:val="TableContents"/>
              <w:bidi w:val="0"/>
              <w:spacing w:before="0" w:after="283"/>
              <w:jc w:val="left"/>
              <w:rPr>
                <w:sz w:val="4"/>
                <w:szCs w:val="4"/>
              </w:rPr>
            </w:pPr>
            <w:r>
              <w:rPr>
                <w:sz w:val="4"/>
                <w:szCs w:val="4"/>
              </w:rPr>
            </w:r>
          </w:p>
        </w:tc>
        <w:tc>
          <w:tcPr>
            <w:tcW w:w="2503" w:type="dxa"/>
            <w:gridSpan w:val="2"/>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61" w:type="dxa"/>
            <w:tcBorders/>
          </w:tcPr>
          <w:p>
            <w:pPr>
              <w:pStyle w:val="TableContents"/>
              <w:bidi w:val="0"/>
              <w:spacing w:before="0" w:after="283"/>
              <w:jc w:val="left"/>
              <w:rPr/>
            </w:pPr>
            <w:r>
              <w:rPr/>
              <w:t>(F)</w:t>
            </w:r>
          </w:p>
        </w:tc>
        <w:tc>
          <w:tcPr>
            <w:tcW w:w="129" w:type="dxa"/>
            <w:tcBorders/>
            <w:vAlign w:val="bottom"/>
          </w:tcPr>
          <w:p>
            <w:pPr>
              <w:pStyle w:val="TableContents"/>
              <w:bidi w:val="0"/>
              <w:spacing w:before="0" w:after="283"/>
              <w:jc w:val="left"/>
              <w:rPr/>
            </w:pPr>
            <w:r>
              <w:rPr/>
              <w:t>  </w:t>
            </w:r>
          </w:p>
        </w:tc>
        <w:tc>
          <w:tcPr>
            <w:tcW w:w="6706" w:type="dxa"/>
            <w:tcBorders/>
          </w:tcPr>
          <w:p>
            <w:pPr>
              <w:pStyle w:val="TableContents"/>
              <w:bidi w:val="0"/>
              <w:spacing w:before="0" w:after="283"/>
              <w:jc w:val="left"/>
              <w:rPr/>
            </w:pPr>
            <w:r>
              <w:rPr/>
              <w:t>Interest Period and the last day thereof6</w:t>
            </w:r>
          </w:p>
        </w:tc>
        <w:tc>
          <w:tcPr>
            <w:tcW w:w="129" w:type="dxa"/>
            <w:tcBorders/>
            <w:vAlign w:val="bottom"/>
          </w:tcPr>
          <w:p>
            <w:pPr>
              <w:pStyle w:val="TableContents"/>
              <w:bidi w:val="0"/>
              <w:spacing w:before="0" w:after="283"/>
              <w:jc w:val="left"/>
              <w:rPr/>
            </w:pPr>
            <w:r>
              <w:rPr/>
              <w:t>  </w:t>
            </w:r>
          </w:p>
        </w:tc>
        <w:tc>
          <w:tcPr>
            <w:tcW w:w="2374" w:type="dxa"/>
            <w:tcBorders/>
          </w:tcPr>
          <w:p>
            <w:pPr>
              <w:pStyle w:val="TableContents"/>
              <w:pBdr>
                <w:bottom w:val="single" w:sz="2" w:space="1" w:color="000000"/>
              </w:pBdr>
              <w:bidi w:val="0"/>
              <w:spacing w:before="0" w:after="20"/>
              <w:jc w:val="left"/>
              <w:rPr/>
            </w:pPr>
            <w:r>
              <w:rPr/>
              <w:t> </w:t>
            </w:r>
          </w:p>
        </w:tc>
      </w:tr>
      <w:tr>
        <w:trPr>
          <w:trHeight w:val="120" w:hRule="atLeast"/>
        </w:trPr>
        <w:tc>
          <w:tcPr>
            <w:tcW w:w="265" w:type="dxa"/>
            <w:tcBorders/>
            <w:vAlign w:val="center"/>
          </w:tcPr>
          <w:p>
            <w:pPr>
              <w:pStyle w:val="TableContents"/>
              <w:bidi w:val="0"/>
              <w:spacing w:before="0" w:after="283"/>
              <w:jc w:val="left"/>
              <w:rPr>
                <w:sz w:val="4"/>
                <w:szCs w:val="4"/>
              </w:rPr>
            </w:pPr>
            <w:r>
              <w:rPr>
                <w:sz w:val="4"/>
                <w:szCs w:val="4"/>
              </w:rPr>
            </w:r>
          </w:p>
        </w:tc>
        <w:tc>
          <w:tcPr>
            <w:tcW w:w="132"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6835" w:type="dxa"/>
            <w:gridSpan w:val="2"/>
            <w:tcBorders/>
            <w:vAlign w:val="center"/>
          </w:tcPr>
          <w:p>
            <w:pPr>
              <w:pStyle w:val="TableContents"/>
              <w:bidi w:val="0"/>
              <w:spacing w:before="0" w:after="283"/>
              <w:jc w:val="left"/>
              <w:rPr>
                <w:sz w:val="4"/>
                <w:szCs w:val="4"/>
              </w:rPr>
            </w:pPr>
            <w:r>
              <w:rPr>
                <w:sz w:val="4"/>
                <w:szCs w:val="4"/>
              </w:rPr>
            </w:r>
          </w:p>
        </w:tc>
        <w:tc>
          <w:tcPr>
            <w:tcW w:w="2503" w:type="dxa"/>
            <w:gridSpan w:val="2"/>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61" w:type="dxa"/>
            <w:tcBorders/>
          </w:tcPr>
          <w:p>
            <w:pPr>
              <w:pStyle w:val="TableContents"/>
              <w:bidi w:val="0"/>
              <w:spacing w:before="0" w:after="283"/>
              <w:jc w:val="left"/>
              <w:rPr/>
            </w:pPr>
            <w:r>
              <w:rPr/>
              <w:t>(G)</w:t>
            </w:r>
          </w:p>
        </w:tc>
        <w:tc>
          <w:tcPr>
            <w:tcW w:w="129" w:type="dxa"/>
            <w:tcBorders/>
            <w:vAlign w:val="bottom"/>
          </w:tcPr>
          <w:p>
            <w:pPr>
              <w:pStyle w:val="TableContents"/>
              <w:bidi w:val="0"/>
              <w:spacing w:before="0" w:after="283"/>
              <w:jc w:val="left"/>
              <w:rPr/>
            </w:pPr>
            <w:r>
              <w:rPr/>
              <w:t>  </w:t>
            </w:r>
          </w:p>
        </w:tc>
        <w:tc>
          <w:tcPr>
            <w:tcW w:w="6706" w:type="dxa"/>
            <w:tcBorders/>
          </w:tcPr>
          <w:p>
            <w:pPr>
              <w:pStyle w:val="TableContents"/>
              <w:bidi w:val="0"/>
              <w:spacing w:before="0" w:after="283"/>
              <w:jc w:val="left"/>
              <w:rPr/>
            </w:pPr>
            <w:r>
              <w:rPr/>
              <w:t>Funds are requested to be disbursed to the Borrowers account with _____________ (Account No. _________________ ).</w:t>
            </w:r>
          </w:p>
        </w:tc>
        <w:tc>
          <w:tcPr>
            <w:tcW w:w="129" w:type="dxa"/>
            <w:tcBorders/>
            <w:vAlign w:val="bottom"/>
          </w:tcPr>
          <w:p>
            <w:pPr>
              <w:pStyle w:val="TableContents"/>
              <w:bidi w:val="0"/>
              <w:spacing w:before="0" w:after="283"/>
              <w:jc w:val="left"/>
              <w:rPr/>
            </w:pPr>
            <w:r>
              <w:rPr/>
              <w:t>  </w:t>
            </w:r>
          </w:p>
        </w:tc>
        <w:tc>
          <w:tcPr>
            <w:tcW w:w="2374"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Borrowing Request to be delivered to the Administrative Agent prior to (a) in the case of Term Benchmark Loans, 11:00 a.m., New York City time, three U.S. Government Securities Business Days prior to the requested Borrowing Date, (b) in the case of Daily Simple SOFR Loans, 11:00 a.m., New York City time, three U.S. Government Securities Business Days prior to the requested Borrowing date or (c) in the case of ABR Loans, 11:00 A.M., New York City time, on the date of the proposed borrowing.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borrowing shall be in an amount equal to $25 million (or, if the Total Available Commitments at such time are less than $25 million, such lesser amount) or a whole multiple of $5 million in excess thereof.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Term Benchmark Borrowing, Daily Simple SOFR or ABR Borrowing.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shall be subject to the definition of Interest Period and end on or before the Termination Date.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Applicable Borrower hereby represents and warrants to the Administrative Agent and the Lenders that, on the date of the requested Extension of Credit, the conditions to lending specified in Section[s] [5.1 and7] 5.2 of the Credit Agreement have been satisfied.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37"/>
        <w:gridCol w:w="94"/>
        <w:gridCol w:w="3451"/>
      </w:tblGrid>
      <w:tr>
        <w:trPr/>
        <w:tc>
          <w:tcPr>
            <w:tcW w:w="537"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[INSERT NAME OF APPLICABLE BORROWER]8</w:t>
            </w:r>
          </w:p>
        </w:tc>
      </w:tr>
      <w:tr>
        <w:trPr>
          <w:trHeight w:val="240" w:hRule="atLeast"/>
        </w:trPr>
        <w:tc>
          <w:tcPr>
            <w:tcW w:w="537" w:type="dxa"/>
            <w:tcBorders/>
            <w:vAlign w:val="center"/>
          </w:tcPr>
          <w:p>
            <w:pPr>
              <w:pStyle w:val="TableContents"/>
              <w:bidi w:val="0"/>
              <w:spacing w:before="0" w:after="283"/>
              <w:jc w:val="left"/>
              <w:rPr>
                <w:sz w:val="4"/>
                <w:szCs w:val="4"/>
              </w:rPr>
            </w:pPr>
            <w:r>
              <w:rPr>
                <w:sz w:val="4"/>
                <w:szCs w:val="4"/>
              </w:rPr>
            </w:r>
          </w:p>
        </w:tc>
        <w:tc>
          <w:tcPr>
            <w:tcW w:w="3545" w:type="dxa"/>
            <w:gridSpan w:val="2"/>
            <w:tcBorders/>
            <w:vAlign w:val="center"/>
          </w:tcPr>
          <w:p>
            <w:pPr>
              <w:pStyle w:val="TableContents"/>
              <w:bidi w:val="0"/>
              <w:spacing w:before="0" w:after="283"/>
              <w:jc w:val="left"/>
              <w:rPr>
                <w:sz w:val="4"/>
                <w:szCs w:val="4"/>
              </w:rPr>
            </w:pPr>
            <w:r>
              <w:rPr>
                <w:sz w:val="4"/>
                <w:szCs w:val="4"/>
              </w:rPr>
            </w:r>
          </w:p>
        </w:tc>
      </w:tr>
      <w:tr>
        <w:trPr/>
        <w:tc>
          <w:tcPr>
            <w:tcW w:w="537" w:type="dxa"/>
            <w:tcBorders/>
          </w:tcPr>
          <w:p>
            <w:pPr>
              <w:pStyle w:val="TableContents"/>
              <w:bidi w:val="0"/>
              <w:spacing w:before="0" w:after="283"/>
              <w:jc w:val="left"/>
              <w:rPr/>
            </w:pPr>
            <w:r>
              <w:rPr/>
              <w:t>By:</w:t>
            </w:r>
          </w:p>
        </w:tc>
        <w:tc>
          <w:tcPr>
            <w:tcW w:w="94" w:type="dxa"/>
            <w:tcBorders/>
            <w:vAlign w:val="bottom"/>
          </w:tcPr>
          <w:p>
            <w:pPr>
              <w:pStyle w:val="TableContents"/>
              <w:bidi w:val="0"/>
              <w:spacing w:before="0" w:after="283"/>
              <w:jc w:val="left"/>
              <w:rPr/>
            </w:pPr>
            <w:r>
              <w:rPr/>
              <w:t> </w:t>
            </w:r>
          </w:p>
        </w:tc>
        <w:tc>
          <w:tcPr>
            <w:tcW w:w="3451" w:type="dxa"/>
            <w:tcBorders/>
          </w:tcPr>
          <w:p>
            <w:pPr>
              <w:pStyle w:val="TableContents"/>
              <w:pBdr>
                <w:bottom w:val="single" w:sz="2" w:space="1" w:color="000000"/>
              </w:pBdr>
              <w:bidi w:val="0"/>
              <w:spacing w:before="0" w:after="20"/>
              <w:jc w:val="left"/>
              <w:rPr/>
            </w:pPr>
            <w:r>
              <w:rPr/>
              <w:t> </w:t>
            </w:r>
          </w:p>
        </w:tc>
      </w:tr>
      <w:tr>
        <w:trPr/>
        <w:tc>
          <w:tcPr>
            <w:tcW w:w="537" w:type="dxa"/>
            <w:tcBorders/>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3451" w:type="dxa"/>
            <w:tcBorders/>
          </w:tcPr>
          <w:p>
            <w:pPr>
              <w:pStyle w:val="TableContents"/>
              <w:bidi w:val="0"/>
              <w:spacing w:before="0" w:after="283"/>
              <w:jc w:val="left"/>
              <w:rPr/>
            </w:pPr>
            <w:r>
              <w:rPr/>
              <w:t>Name:</w:t>
            </w:r>
          </w:p>
        </w:tc>
      </w:tr>
      <w:tr>
        <w:trPr/>
        <w:tc>
          <w:tcPr>
            <w:tcW w:w="537" w:type="dxa"/>
            <w:tcBorders/>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3451"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GENERAL MOTORS COMPANY</w:t>
            </w:r>
          </w:p>
        </w:tc>
      </w:tr>
      <w:tr>
        <w:trPr>
          <w:trHeight w:val="240" w:hRule="atLeast"/>
        </w:trPr>
        <w:tc>
          <w:tcPr>
            <w:tcW w:w="537" w:type="dxa"/>
            <w:tcBorders/>
            <w:vAlign w:val="center"/>
          </w:tcPr>
          <w:p>
            <w:pPr>
              <w:pStyle w:val="TableContents"/>
              <w:bidi w:val="0"/>
              <w:spacing w:before="0" w:after="283"/>
              <w:jc w:val="left"/>
              <w:rPr>
                <w:sz w:val="4"/>
                <w:szCs w:val="4"/>
              </w:rPr>
            </w:pPr>
            <w:r>
              <w:rPr>
                <w:sz w:val="4"/>
                <w:szCs w:val="4"/>
              </w:rPr>
            </w:r>
          </w:p>
        </w:tc>
        <w:tc>
          <w:tcPr>
            <w:tcW w:w="3545" w:type="dxa"/>
            <w:gridSpan w:val="2"/>
            <w:tcBorders/>
            <w:vAlign w:val="center"/>
          </w:tcPr>
          <w:p>
            <w:pPr>
              <w:pStyle w:val="TableContents"/>
              <w:bidi w:val="0"/>
              <w:spacing w:before="0" w:after="283"/>
              <w:jc w:val="left"/>
              <w:rPr>
                <w:sz w:val="4"/>
                <w:szCs w:val="4"/>
              </w:rPr>
            </w:pPr>
            <w:r>
              <w:rPr>
                <w:sz w:val="4"/>
                <w:szCs w:val="4"/>
              </w:rPr>
            </w:r>
          </w:p>
        </w:tc>
      </w:tr>
      <w:tr>
        <w:trPr/>
        <w:tc>
          <w:tcPr>
            <w:tcW w:w="537" w:type="dxa"/>
            <w:tcBorders/>
          </w:tcPr>
          <w:p>
            <w:pPr>
              <w:pStyle w:val="TableContents"/>
              <w:bidi w:val="0"/>
              <w:spacing w:before="0" w:after="283"/>
              <w:jc w:val="left"/>
              <w:rPr/>
            </w:pPr>
            <w:r>
              <w:rPr/>
              <w:t>By:</w:t>
            </w:r>
          </w:p>
        </w:tc>
        <w:tc>
          <w:tcPr>
            <w:tcW w:w="94" w:type="dxa"/>
            <w:tcBorders/>
            <w:vAlign w:val="bottom"/>
          </w:tcPr>
          <w:p>
            <w:pPr>
              <w:pStyle w:val="TableContents"/>
              <w:bidi w:val="0"/>
              <w:spacing w:before="0" w:after="283"/>
              <w:jc w:val="left"/>
              <w:rPr/>
            </w:pPr>
            <w:r>
              <w:rPr/>
              <w:t> </w:t>
            </w:r>
          </w:p>
        </w:tc>
        <w:tc>
          <w:tcPr>
            <w:tcW w:w="3451" w:type="dxa"/>
            <w:tcBorders/>
          </w:tcPr>
          <w:p>
            <w:pPr>
              <w:pStyle w:val="TableContents"/>
              <w:pBdr>
                <w:bottom w:val="single" w:sz="2" w:space="1" w:color="000000"/>
              </w:pBdr>
              <w:bidi w:val="0"/>
              <w:spacing w:before="0" w:after="20"/>
              <w:jc w:val="left"/>
              <w:rPr/>
            </w:pPr>
            <w:r>
              <w:rPr/>
              <w:t> </w:t>
            </w:r>
          </w:p>
        </w:tc>
      </w:tr>
      <w:tr>
        <w:trPr/>
        <w:tc>
          <w:tcPr>
            <w:tcW w:w="537" w:type="dxa"/>
            <w:tcBorders/>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3451" w:type="dxa"/>
            <w:tcBorders/>
          </w:tcPr>
          <w:p>
            <w:pPr>
              <w:pStyle w:val="TableContents"/>
              <w:bidi w:val="0"/>
              <w:spacing w:before="0" w:after="283"/>
              <w:jc w:val="left"/>
              <w:rPr/>
            </w:pPr>
            <w:r>
              <w:rPr/>
              <w:t>Name:</w:t>
            </w:r>
          </w:p>
        </w:tc>
      </w:tr>
      <w:tr>
        <w:trPr/>
        <w:tc>
          <w:tcPr>
            <w:tcW w:w="537" w:type="dxa"/>
            <w:tcBorders/>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3451" w:type="dxa"/>
            <w:tcBorders/>
          </w:tcPr>
          <w:p>
            <w:pPr>
              <w:pStyle w:val="TableContents"/>
              <w:bidi w:val="0"/>
              <w:spacing w:before="0" w:after="283"/>
              <w:jc w:val="left"/>
              <w:rPr/>
            </w:pPr>
            <w:r>
              <w:rPr/>
              <w:t>Title:</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for Borrowing on the Closing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[Insert for Borrowings by an Applicable Borrower other than the Company.]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180</Pages>
  <Words>65680</Words>
  <Characters>340454</Characters>
  <CharactersWithSpaces>406019</CharactersWithSpaces>
  <Paragraphs>4318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