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7550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50150"/>
                    </a:xfrm>
                    <a:prstGeom prst="rect">
                      <a:avLst/>
                    </a:prstGeom>
                    <a:noFill/>
                  </pic:spPr>
                </pic:pic>
              </a:graphicData>
            </a:graphic>
          </wp:anchor>
        </w:drawing>
      </w:r>
    </w:p>
    <w:p>
      <w:pPr>
        <w:spacing w:after="0" w:line="103" w:lineRule="exact"/>
        <w:rPr>
          <w:sz w:val="24"/>
          <w:szCs w:val="24"/>
          <w:color w:val="auto"/>
        </w:rPr>
      </w:pPr>
    </w:p>
    <w:p>
      <w:pPr>
        <w:sectPr>
          <w:pgSz w:w="11900" w:h="16909"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03/31/2012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4"/>
        <w:spacing w:after="0"/>
        <w:rPr>
          <w:sz w:val="20"/>
          <w:szCs w:val="20"/>
          <w:color w:val="auto"/>
        </w:rPr>
      </w:pPr>
      <w:r>
        <w:rPr>
          <w:rFonts w:ascii="Arial" w:cs="Arial" w:eastAsia="Arial" w:hAnsi="Arial"/>
          <w:sz w:val="17"/>
          <w:szCs w:val="17"/>
          <w:color w:val="0000FF"/>
        </w:rPr>
        <w:t>Senior Vice President &amp; GC</w:t>
      </w:r>
    </w:p>
    <w:p>
      <w:pPr>
        <w:spacing w:after="0" w:line="439" w:lineRule="exact"/>
        <w:rPr>
          <w:sz w:val="24"/>
          <w:szCs w:val="24"/>
          <w:color w:val="auto"/>
        </w:rPr>
      </w:pPr>
    </w:p>
    <w:p>
      <w:pPr>
        <w:sectPr>
          <w:pgSz w:w="11900" w:h="16909"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5"/>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5,475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75,620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3,720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71,900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1,755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70,145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3"/>
              </w:rPr>
              <w:t>4,434</w:t>
            </w:r>
            <w:r>
              <w:rPr>
                <w:rFonts w:ascii="Arial" w:cs="Arial" w:eastAsia="Arial" w:hAnsi="Arial"/>
                <w:sz w:val="21"/>
                <w:szCs w:val="21"/>
                <w:color w:val="008000"/>
                <w:w w:val="83"/>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74,579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3,012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71,567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1,422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70,145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3"/>
              </w:rPr>
              <w:t>1,866</w:t>
            </w:r>
            <w:r>
              <w:rPr>
                <w:rFonts w:ascii="Arial" w:cs="Arial" w:eastAsia="Arial" w:hAnsi="Arial"/>
                <w:sz w:val="21"/>
                <w:szCs w:val="21"/>
                <w:color w:val="008000"/>
                <w:w w:val="83"/>
                <w:vertAlign w:val="superscript"/>
              </w:rPr>
              <w:t>(6)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72,011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1,267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70,744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1"/>
              </w:rPr>
              <w:t>599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70,145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5,475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5,475</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90"/>
              </w:rPr>
              <w:t>10,950</w:t>
            </w: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4,434</w:t>
            </w:r>
            <w:r>
              <w:rPr>
                <w:rFonts w:ascii="Arial" w:cs="Arial" w:eastAsia="Arial" w:hAnsi="Arial"/>
                <w:sz w:val="21"/>
                <w:szCs w:val="21"/>
                <w:color w:val="008000"/>
                <w:w w:val="84"/>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4,434</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4,431</w:t>
            </w:r>
            <w:r>
              <w:rPr>
                <w:rFonts w:ascii="Arial" w:cs="Arial" w:eastAsia="Arial" w:hAnsi="Arial"/>
                <w:sz w:val="21"/>
                <w:szCs w:val="21"/>
                <w:color w:val="008000"/>
                <w:w w:val="84"/>
                <w:vertAlign w:val="superscript"/>
              </w:rPr>
              <w:t>(4)</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1,866</w:t>
            </w:r>
            <w:r>
              <w:rPr>
                <w:rFonts w:ascii="Arial" w:cs="Arial" w:eastAsia="Arial" w:hAnsi="Arial"/>
                <w:sz w:val="21"/>
                <w:szCs w:val="21"/>
                <w:color w:val="008000"/>
                <w:w w:val="84"/>
                <w:vertAlign w:val="superscript"/>
              </w:rPr>
              <w:t>(6)</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1,866</w:t>
            </w:r>
            <w:r>
              <w:rPr>
                <w:rFonts w:ascii="Arial" w:cs="Arial" w:eastAsia="Arial" w:hAnsi="Arial"/>
                <w:sz w:val="21"/>
                <w:szCs w:val="21"/>
                <w:color w:val="008000"/>
                <w:w w:val="87"/>
                <w:vertAlign w:val="superscript"/>
              </w:rPr>
              <w:t>(6)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20,187</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20,187</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20,187</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2011 pursuant to the Company's Salary Stock Plan (the "GMSSP") and vested upon grant. The portion of this award currently payable was settled on March 31, 2011 in cash, less a portion withheld for taxes.</w:t>
      </w:r>
    </w:p>
    <w:p>
      <w:pPr>
        <w:spacing w:after="0" w:line="22" w:lineRule="exact"/>
        <w:rPr>
          <w:rFonts w:ascii="Arial" w:cs="Arial" w:eastAsia="Arial" w:hAnsi="Arial"/>
          <w:sz w:val="13"/>
          <w:szCs w:val="13"/>
          <w:color w:val="008000"/>
        </w:rPr>
      </w:pPr>
    </w:p>
    <w:p>
      <w:pPr>
        <w:jc w:val="both"/>
        <w:ind w:left="40" w:right="28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SSUs are fully vested when made and will be settled in three equal annual installments beginning one year after the date of the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w:t>
      </w:r>
    </w:p>
    <w:p>
      <w:pPr>
        <w:spacing w:after="0" w:line="3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46" w:lineRule="exact"/>
        <w:rPr>
          <w:rFonts w:ascii="Arial" w:cs="Arial" w:eastAsia="Arial" w:hAnsi="Arial"/>
          <w:sz w:val="13"/>
          <w:szCs w:val="13"/>
          <w:color w:val="008000"/>
        </w:rPr>
      </w:pPr>
    </w:p>
    <w:p>
      <w:pPr>
        <w:ind w:left="40" w:right="220" w:firstLine="4"/>
        <w:spacing w:after="0" w:line="306"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2010, the employee received a grant of 4,434 SSUs of which 1,478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employee was credited with a total of 13,299 SSUs granted on March 31, 2010 of which 4,434 SSUs became payable on March 31,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2009.</w:t>
      </w:r>
    </w:p>
    <w:p>
      <w:pPr>
        <w:spacing w:after="0" w:line="46" w:lineRule="exact"/>
        <w:rPr>
          <w:rFonts w:ascii="Arial" w:cs="Arial" w:eastAsia="Arial" w:hAnsi="Arial"/>
          <w:sz w:val="13"/>
          <w:szCs w:val="13"/>
          <w:color w:val="008000"/>
        </w:rPr>
      </w:pPr>
    </w:p>
    <w:p>
      <w:pPr>
        <w:ind w:left="40" w:right="140" w:firstLine="4"/>
        <w:spacing w:after="0" w:line="306"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2009, the employee received a grant of 1,866 SSUs of which 622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employee was credited with a total of 5,601 SSUs granted on March 31, 2010 of which 1,866 SSUs became payable on December 31, 2010.</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2012.</w:t>
      </w:r>
    </w:p>
    <w:p>
      <w:pPr>
        <w:sectPr>
          <w:pgSz w:w="11900" w:h="16909" w:orient="portrait"/>
          <w:cols w:equalWidth="0" w:num="1">
            <w:col w:w="11520"/>
          </w:cols>
          <w:pgMar w:left="240" w:top="223"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04/03/2012</w:t>
            </w:r>
          </w:p>
        </w:tc>
        <w:tc>
          <w:tcPr>
            <w:tcW w:w="0" w:type="dxa"/>
            <w:vAlign w:val="bottom"/>
          </w:tcPr>
          <w:p>
            <w:pPr>
              <w:spacing w:after="0"/>
              <w:rPr>
                <w:sz w:val="1"/>
                <w:szCs w:val="1"/>
                <w:color w:val="auto"/>
              </w:rPr>
            </w:pPr>
          </w:p>
        </w:tc>
      </w:tr>
      <w:tr>
        <w:trPr>
          <w:trHeight w:val="85"/>
        </w:trPr>
        <w:tc>
          <w:tcPr>
            <w:tcW w:w="138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9"/>
              </w:rPr>
              <w:t>fact for Mr. Millikin</w:t>
            </w:r>
          </w:p>
        </w:tc>
        <w:tc>
          <w:tcPr>
            <w:tcW w:w="6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8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2619" w:firstLine="4"/>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2019-12-17T01:09:47Z</dcterms:created>
  <dcterms:modified xsi:type="dcterms:W3CDTF">2019-12-17T01:09:47Z</dcterms:modified>
</cp:coreProperties>
</file>