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121920</wp:posOffset>
            </wp:positionH>
            <wp:positionV relativeFrom="page">
              <wp:posOffset>453390</wp:posOffset>
            </wp:positionV>
            <wp:extent cx="73177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7740" cy="36830"/>
                    </a:xfrm>
                    <a:prstGeom prst="rect">
                      <a:avLst/>
                    </a:prstGeom>
                    <a:noFill/>
                  </pic:spPr>
                </pic:pic>
              </a:graphicData>
            </a:graphic>
          </wp:anchor>
        </w:drawing>
        <w:t>UNITED STATES</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Washington, DC 20549-1004</w:t>
      </w:r>
    </w:p>
    <w:p>
      <w:pPr>
        <w:spacing w:after="0" w:line="1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30"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FORM 8-K</w:t>
      </w:r>
    </w:p>
    <w:p>
      <w:pPr>
        <w:spacing w:after="0" w:line="24"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38"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PURSUANT TO SECTION 13 OR 15(d) OF</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THE SECURITIES EXCHANGE ACT OF 1934</w:t>
      </w:r>
    </w:p>
    <w:p>
      <w:pPr>
        <w:spacing w:after="0" w:line="135"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Date of Report (Date of earliest event reported) January 13, 2016</w:t>
      </w:r>
    </w:p>
    <w:p>
      <w:pPr>
        <w:spacing w:after="0" w:line="19"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36"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GENERAL MOTORS COMPANY</w:t>
      </w:r>
    </w:p>
    <w:p>
      <w:pPr>
        <w:spacing w:after="0" w:line="28"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(Exact Name of Registrant as Specified in its Charter)</w:t>
      </w:r>
    </w:p>
    <w:p>
      <w:pPr>
        <w:spacing w:after="0" w:line="5"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394" w:lineRule="exact"/>
        <w:rPr>
          <w:sz w:val="24"/>
          <w:szCs w:val="24"/>
          <w:color w:val="auto"/>
        </w:rPr>
      </w:pPr>
    </w:p>
    <w:tbl>
      <w:tblPr>
        <w:tblLayout w:type="fixed"/>
        <w:tblInd w:w="1700" w:type="dxa"/>
        <w:tblCellMar>
          <w:top w:w="0" w:type="dxa"/>
          <w:left w:w="0" w:type="dxa"/>
          <w:bottom w:w="0" w:type="dxa"/>
          <w:right w:w="0" w:type="dxa"/>
        </w:tblCellMar>
      </w:tblPr>
      <w:tr>
        <w:trPr>
          <w:trHeight w:val="148"/>
        </w:trPr>
        <w:tc>
          <w:tcPr>
            <w:tcW w:w="2700" w:type="dxa"/>
            <w:vAlign w:val="bottom"/>
          </w:tcPr>
          <w:p>
            <w:pPr>
              <w:jc w:val="center"/>
              <w:ind w:right="1240"/>
              <w:spacing w:after="0"/>
              <w:rPr>
                <w:sz w:val="20"/>
                <w:szCs w:val="20"/>
                <w:color w:val="auto"/>
              </w:rPr>
            </w:pPr>
            <w:r>
              <w:rPr>
                <w:rFonts w:ascii="Arial" w:cs="Arial" w:eastAsia="Arial" w:hAnsi="Arial"/>
                <w:sz w:val="12"/>
                <w:szCs w:val="12"/>
                <w:b w:val="1"/>
                <w:bCs w:val="1"/>
                <w:color w:val="auto"/>
                <w:w w:val="98"/>
              </w:rPr>
              <w:t>DELAWARE</w:t>
            </w:r>
          </w:p>
        </w:tc>
        <w:tc>
          <w:tcPr>
            <w:tcW w:w="3060" w:type="dxa"/>
            <w:vAlign w:val="bottom"/>
            <w:vMerge w:val="restart"/>
          </w:tcPr>
          <w:p>
            <w:pPr>
              <w:jc w:val="center"/>
              <w:ind w:right="320"/>
              <w:spacing w:after="0"/>
              <w:rPr>
                <w:sz w:val="20"/>
                <w:szCs w:val="20"/>
                <w:color w:val="auto"/>
              </w:rPr>
            </w:pPr>
            <w:r>
              <w:rPr>
                <w:rFonts w:ascii="Arial" w:cs="Arial" w:eastAsia="Arial" w:hAnsi="Arial"/>
                <w:sz w:val="12"/>
                <w:szCs w:val="12"/>
                <w:b w:val="1"/>
                <w:bCs w:val="1"/>
                <w:color w:val="auto"/>
                <w:w w:val="90"/>
              </w:rPr>
              <w:t>001-34960</w:t>
            </w:r>
          </w:p>
        </w:tc>
        <w:tc>
          <w:tcPr>
            <w:tcW w:w="2060" w:type="dxa"/>
            <w:vAlign w:val="bottom"/>
          </w:tcPr>
          <w:p>
            <w:pPr>
              <w:jc w:val="center"/>
              <w:ind w:left="1100"/>
              <w:spacing w:after="0"/>
              <w:rPr>
                <w:sz w:val="20"/>
                <w:szCs w:val="20"/>
                <w:color w:val="auto"/>
              </w:rPr>
            </w:pPr>
            <w:r>
              <w:rPr>
                <w:rFonts w:ascii="Arial" w:cs="Arial" w:eastAsia="Arial" w:hAnsi="Arial"/>
                <w:sz w:val="12"/>
                <w:szCs w:val="12"/>
                <w:b w:val="1"/>
                <w:bCs w:val="1"/>
                <w:color w:val="auto"/>
                <w:w w:val="90"/>
              </w:rPr>
              <w:t>27-0756180</w:t>
            </w:r>
          </w:p>
        </w:tc>
        <w:tc>
          <w:tcPr>
            <w:tcW w:w="0" w:type="dxa"/>
            <w:vAlign w:val="bottom"/>
          </w:tcPr>
          <w:p>
            <w:pPr>
              <w:spacing w:after="0"/>
              <w:rPr>
                <w:sz w:val="1"/>
                <w:szCs w:val="1"/>
                <w:color w:val="auto"/>
              </w:rPr>
            </w:pPr>
          </w:p>
        </w:tc>
      </w:tr>
      <w:tr>
        <w:trPr>
          <w:trHeight w:val="144"/>
        </w:trPr>
        <w:tc>
          <w:tcPr>
            <w:tcW w:w="2700" w:type="dxa"/>
            <w:vAlign w:val="bottom"/>
          </w:tcPr>
          <w:p>
            <w:pPr>
              <w:jc w:val="center"/>
              <w:ind w:right="1240"/>
              <w:spacing w:after="0"/>
              <w:rPr>
                <w:sz w:val="20"/>
                <w:szCs w:val="20"/>
                <w:color w:val="auto"/>
              </w:rPr>
            </w:pPr>
            <w:r>
              <w:rPr>
                <w:rFonts w:ascii="Arial" w:cs="Arial" w:eastAsia="Arial" w:hAnsi="Arial"/>
                <w:sz w:val="12"/>
                <w:szCs w:val="12"/>
                <w:color w:val="auto"/>
                <w:w w:val="93"/>
              </w:rPr>
              <w:t>(State or other jurisdiction of</w:t>
            </w:r>
          </w:p>
        </w:tc>
        <w:tc>
          <w:tcPr>
            <w:tcW w:w="3060" w:type="dxa"/>
            <w:vAlign w:val="bottom"/>
            <w:vMerge w:val="continue"/>
          </w:tcPr>
          <w:p>
            <w:pPr>
              <w:spacing w:after="0"/>
              <w:rPr>
                <w:sz w:val="12"/>
                <w:szCs w:val="12"/>
                <w:color w:val="auto"/>
              </w:rPr>
            </w:pPr>
          </w:p>
        </w:tc>
        <w:tc>
          <w:tcPr>
            <w:tcW w:w="2060" w:type="dxa"/>
            <w:vAlign w:val="bottom"/>
          </w:tcPr>
          <w:p>
            <w:pPr>
              <w:jc w:val="center"/>
              <w:ind w:left="1100"/>
              <w:spacing w:after="0"/>
              <w:rPr>
                <w:sz w:val="20"/>
                <w:szCs w:val="20"/>
                <w:color w:val="auto"/>
              </w:rPr>
            </w:pPr>
            <w:r>
              <w:rPr>
                <w:rFonts w:ascii="Arial" w:cs="Arial" w:eastAsia="Arial" w:hAnsi="Arial"/>
                <w:sz w:val="12"/>
                <w:szCs w:val="12"/>
                <w:color w:val="auto"/>
                <w:w w:val="93"/>
              </w:rPr>
              <w:t>(I.R.S. Employer</w:t>
            </w:r>
          </w:p>
        </w:tc>
        <w:tc>
          <w:tcPr>
            <w:tcW w:w="0" w:type="dxa"/>
            <w:vAlign w:val="bottom"/>
          </w:tcPr>
          <w:p>
            <w:pPr>
              <w:spacing w:after="0"/>
              <w:rPr>
                <w:sz w:val="1"/>
                <w:szCs w:val="1"/>
                <w:color w:val="auto"/>
              </w:rPr>
            </w:pPr>
          </w:p>
        </w:tc>
      </w:tr>
      <w:tr>
        <w:trPr>
          <w:trHeight w:val="153"/>
        </w:trPr>
        <w:tc>
          <w:tcPr>
            <w:tcW w:w="2700" w:type="dxa"/>
            <w:vAlign w:val="bottom"/>
          </w:tcPr>
          <w:p>
            <w:pPr>
              <w:jc w:val="center"/>
              <w:ind w:right="1240"/>
              <w:spacing w:after="0"/>
              <w:rPr>
                <w:sz w:val="20"/>
                <w:szCs w:val="20"/>
                <w:color w:val="auto"/>
              </w:rPr>
            </w:pPr>
            <w:r>
              <w:rPr>
                <w:rFonts w:ascii="Arial" w:cs="Arial" w:eastAsia="Arial" w:hAnsi="Arial"/>
                <w:sz w:val="12"/>
                <w:szCs w:val="12"/>
                <w:color w:val="auto"/>
                <w:w w:val="92"/>
              </w:rPr>
              <w:t>incorporation)</w:t>
            </w:r>
          </w:p>
        </w:tc>
        <w:tc>
          <w:tcPr>
            <w:tcW w:w="3060" w:type="dxa"/>
            <w:vAlign w:val="bottom"/>
          </w:tcPr>
          <w:p>
            <w:pPr>
              <w:jc w:val="center"/>
              <w:ind w:right="320"/>
              <w:spacing w:after="0"/>
              <w:rPr>
                <w:sz w:val="20"/>
                <w:szCs w:val="20"/>
                <w:color w:val="auto"/>
              </w:rPr>
            </w:pPr>
            <w:r>
              <w:rPr>
                <w:rFonts w:ascii="Arial" w:cs="Arial" w:eastAsia="Arial" w:hAnsi="Arial"/>
                <w:sz w:val="12"/>
                <w:szCs w:val="12"/>
                <w:color w:val="auto"/>
                <w:w w:val="92"/>
              </w:rPr>
              <w:t>(Commission File Number)</w:t>
            </w:r>
          </w:p>
        </w:tc>
        <w:tc>
          <w:tcPr>
            <w:tcW w:w="2060" w:type="dxa"/>
            <w:vAlign w:val="bottom"/>
          </w:tcPr>
          <w:p>
            <w:pPr>
              <w:jc w:val="center"/>
              <w:ind w:left="1100"/>
              <w:spacing w:after="0"/>
              <w:rPr>
                <w:sz w:val="20"/>
                <w:szCs w:val="20"/>
                <w:color w:val="auto"/>
              </w:rPr>
            </w:pPr>
            <w:r>
              <w:rPr>
                <w:rFonts w:ascii="Arial" w:cs="Arial" w:eastAsia="Arial" w:hAnsi="Arial"/>
                <w:sz w:val="12"/>
                <w:szCs w:val="12"/>
                <w:color w:val="auto"/>
                <w:w w:val="96"/>
              </w:rPr>
              <w:t>Identification No.)</w:t>
            </w:r>
          </w:p>
        </w:tc>
        <w:tc>
          <w:tcPr>
            <w:tcW w:w="0" w:type="dxa"/>
            <w:vAlign w:val="bottom"/>
          </w:tcPr>
          <w:p>
            <w:pPr>
              <w:spacing w:after="0"/>
              <w:rPr>
                <w:sz w:val="1"/>
                <w:szCs w:val="1"/>
                <w:color w:val="auto"/>
              </w:rPr>
            </w:pPr>
          </w:p>
        </w:tc>
      </w:tr>
      <w:tr>
        <w:trPr>
          <w:trHeight w:val="315"/>
        </w:trPr>
        <w:tc>
          <w:tcPr>
            <w:tcW w:w="2700" w:type="dxa"/>
            <w:vAlign w:val="bottom"/>
          </w:tcPr>
          <w:p>
            <w:pPr>
              <w:jc w:val="center"/>
              <w:ind w:left="340"/>
              <w:spacing w:after="0"/>
              <w:rPr>
                <w:sz w:val="20"/>
                <w:szCs w:val="20"/>
                <w:color w:val="auto"/>
              </w:rPr>
            </w:pPr>
            <w:r>
              <w:rPr>
                <w:rFonts w:ascii="Arial" w:cs="Arial" w:eastAsia="Arial" w:hAnsi="Arial"/>
                <w:sz w:val="12"/>
                <w:szCs w:val="12"/>
                <w:b w:val="1"/>
                <w:bCs w:val="1"/>
                <w:color w:val="auto"/>
                <w:w w:val="90"/>
              </w:rPr>
              <w:t>300 Renaissance Center, Detroit, Michigan</w:t>
            </w:r>
          </w:p>
        </w:tc>
        <w:tc>
          <w:tcPr>
            <w:tcW w:w="3060" w:type="dxa"/>
            <w:vAlign w:val="bottom"/>
          </w:tcPr>
          <w:p>
            <w:pPr>
              <w:spacing w:after="0"/>
              <w:rPr>
                <w:sz w:val="24"/>
                <w:szCs w:val="24"/>
                <w:color w:val="auto"/>
              </w:rPr>
            </w:pPr>
          </w:p>
        </w:tc>
        <w:tc>
          <w:tcPr>
            <w:tcW w:w="2060" w:type="dxa"/>
            <w:vAlign w:val="bottom"/>
          </w:tcPr>
          <w:p>
            <w:pPr>
              <w:jc w:val="right"/>
              <w:ind w:right="940"/>
              <w:spacing w:after="0"/>
              <w:rPr>
                <w:sz w:val="20"/>
                <w:szCs w:val="20"/>
                <w:color w:val="auto"/>
              </w:rPr>
            </w:pPr>
            <w:r>
              <w:rPr>
                <w:rFonts w:ascii="Arial" w:cs="Arial" w:eastAsia="Arial" w:hAnsi="Arial"/>
                <w:sz w:val="12"/>
                <w:szCs w:val="12"/>
                <w:b w:val="1"/>
                <w:bCs w:val="1"/>
                <w:color w:val="auto"/>
              </w:rPr>
              <w:t>48265-3000</w:t>
            </w:r>
          </w:p>
        </w:tc>
        <w:tc>
          <w:tcPr>
            <w:tcW w:w="0" w:type="dxa"/>
            <w:vAlign w:val="bottom"/>
          </w:tcPr>
          <w:p>
            <w:pPr>
              <w:spacing w:after="0"/>
              <w:rPr>
                <w:sz w:val="1"/>
                <w:szCs w:val="1"/>
                <w:color w:val="auto"/>
              </w:rPr>
            </w:pPr>
          </w:p>
        </w:tc>
      </w:tr>
      <w:tr>
        <w:trPr>
          <w:trHeight w:val="153"/>
        </w:trPr>
        <w:tc>
          <w:tcPr>
            <w:tcW w:w="2700" w:type="dxa"/>
            <w:vAlign w:val="bottom"/>
          </w:tcPr>
          <w:p>
            <w:pPr>
              <w:jc w:val="center"/>
              <w:ind w:left="320"/>
              <w:spacing w:after="0"/>
              <w:rPr>
                <w:sz w:val="20"/>
                <w:szCs w:val="20"/>
                <w:color w:val="auto"/>
              </w:rPr>
            </w:pPr>
            <w:r>
              <w:rPr>
                <w:rFonts w:ascii="Arial" w:cs="Arial" w:eastAsia="Arial" w:hAnsi="Arial"/>
                <w:sz w:val="12"/>
                <w:szCs w:val="12"/>
                <w:color w:val="auto"/>
                <w:w w:val="92"/>
              </w:rPr>
              <w:t>(Address of Principal Executive Offices)</w:t>
            </w:r>
          </w:p>
        </w:tc>
        <w:tc>
          <w:tcPr>
            <w:tcW w:w="3060" w:type="dxa"/>
            <w:vAlign w:val="bottom"/>
          </w:tcPr>
          <w:p>
            <w:pPr>
              <w:spacing w:after="0"/>
              <w:rPr>
                <w:sz w:val="13"/>
                <w:szCs w:val="13"/>
                <w:color w:val="auto"/>
              </w:rPr>
            </w:pPr>
          </w:p>
        </w:tc>
        <w:tc>
          <w:tcPr>
            <w:tcW w:w="2060" w:type="dxa"/>
            <w:vAlign w:val="bottom"/>
          </w:tcPr>
          <w:p>
            <w:pPr>
              <w:jc w:val="center"/>
              <w:ind w:right="480"/>
              <w:spacing w:after="0"/>
              <w:rPr>
                <w:sz w:val="20"/>
                <w:szCs w:val="20"/>
                <w:color w:val="auto"/>
              </w:rPr>
            </w:pPr>
            <w:r>
              <w:rPr>
                <w:rFonts w:ascii="Arial" w:cs="Arial" w:eastAsia="Arial" w:hAnsi="Arial"/>
                <w:sz w:val="12"/>
                <w:szCs w:val="12"/>
                <w:color w:val="auto"/>
                <w:w w:val="91"/>
              </w:rPr>
              <w:t>(Zip Code)</w:t>
            </w:r>
          </w:p>
        </w:tc>
        <w:tc>
          <w:tcPr>
            <w:tcW w:w="0" w:type="dxa"/>
            <w:vAlign w:val="bottom"/>
          </w:tcPr>
          <w:p>
            <w:pPr>
              <w:spacing w:after="0"/>
              <w:rPr>
                <w:sz w:val="1"/>
                <w:szCs w:val="1"/>
                <w:color w:val="auto"/>
              </w:rPr>
            </w:pPr>
          </w:p>
        </w:tc>
      </w:tr>
      <w:tr>
        <w:trPr>
          <w:trHeight w:val="297"/>
        </w:trPr>
        <w:tc>
          <w:tcPr>
            <w:tcW w:w="2700" w:type="dxa"/>
            <w:vAlign w:val="bottom"/>
          </w:tcPr>
          <w:p>
            <w:pPr>
              <w:spacing w:after="0"/>
              <w:rPr>
                <w:sz w:val="24"/>
                <w:szCs w:val="24"/>
                <w:color w:val="auto"/>
              </w:rPr>
            </w:pPr>
          </w:p>
        </w:tc>
        <w:tc>
          <w:tcPr>
            <w:tcW w:w="3060" w:type="dxa"/>
            <w:vAlign w:val="bottom"/>
          </w:tcPr>
          <w:p>
            <w:pPr>
              <w:jc w:val="center"/>
              <w:ind w:right="340"/>
              <w:spacing w:after="0"/>
              <w:rPr>
                <w:sz w:val="20"/>
                <w:szCs w:val="20"/>
                <w:color w:val="auto"/>
              </w:rPr>
            </w:pPr>
            <w:r>
              <w:rPr>
                <w:rFonts w:ascii="Arial" w:cs="Arial" w:eastAsia="Arial" w:hAnsi="Arial"/>
                <w:sz w:val="12"/>
                <w:szCs w:val="12"/>
                <w:color w:val="auto"/>
                <w:w w:val="90"/>
              </w:rPr>
              <w:t>(</w:t>
            </w:r>
            <w:r>
              <w:rPr>
                <w:rFonts w:ascii="Arial" w:cs="Arial" w:eastAsia="Arial" w:hAnsi="Arial"/>
                <w:sz w:val="12"/>
                <w:szCs w:val="12"/>
                <w:b w:val="1"/>
                <w:bCs w:val="1"/>
                <w:color w:val="auto"/>
                <w:w w:val="90"/>
              </w:rPr>
              <w:t>313</w:t>
            </w:r>
            <w:r>
              <w:rPr>
                <w:rFonts w:ascii="Arial" w:cs="Arial" w:eastAsia="Arial" w:hAnsi="Arial"/>
                <w:sz w:val="12"/>
                <w:szCs w:val="12"/>
                <w:color w:val="auto"/>
                <w:w w:val="90"/>
              </w:rPr>
              <w:t xml:space="preserve">) </w:t>
            </w:r>
            <w:r>
              <w:rPr>
                <w:rFonts w:ascii="Arial" w:cs="Arial" w:eastAsia="Arial" w:hAnsi="Arial"/>
                <w:sz w:val="12"/>
                <w:szCs w:val="12"/>
                <w:b w:val="1"/>
                <w:bCs w:val="1"/>
                <w:color w:val="auto"/>
                <w:w w:val="90"/>
              </w:rPr>
              <w:t>556-5000</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3060" w:type="dxa"/>
            <w:vAlign w:val="bottom"/>
          </w:tcPr>
          <w:p>
            <w:pPr>
              <w:jc w:val="center"/>
              <w:ind w:right="340"/>
              <w:spacing w:after="0"/>
              <w:rPr>
                <w:sz w:val="20"/>
                <w:szCs w:val="20"/>
                <w:color w:val="auto"/>
              </w:rPr>
            </w:pPr>
            <w:r>
              <w:rPr>
                <w:rFonts w:ascii="Arial" w:cs="Arial" w:eastAsia="Arial" w:hAnsi="Arial"/>
                <w:sz w:val="12"/>
                <w:szCs w:val="12"/>
                <w:color w:val="auto"/>
                <w:w w:val="90"/>
              </w:rPr>
              <w:t>(Registrant's telephone number, including area code)</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5"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51"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307" w:lineRule="exact"/>
        <w:rPr>
          <w:sz w:val="24"/>
          <w:szCs w:val="24"/>
          <w:color w:val="auto"/>
        </w:rPr>
      </w:pPr>
    </w:p>
    <w:p>
      <w:pPr>
        <w:ind w:left="580" w:hanging="570"/>
        <w:spacing w:after="0"/>
        <w:tabs>
          <w:tab w:leader="none" w:pos="58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233" w:lineRule="exact"/>
        <w:rPr>
          <w:rFonts w:ascii="MS PGothic" w:cs="MS PGothic" w:eastAsia="MS PGothic" w:hAnsi="MS PGothic"/>
          <w:sz w:val="12"/>
          <w:szCs w:val="12"/>
          <w:color w:val="auto"/>
        </w:rPr>
      </w:pPr>
    </w:p>
    <w:p>
      <w:pPr>
        <w:ind w:left="580" w:hanging="570"/>
        <w:spacing w:after="0"/>
        <w:tabs>
          <w:tab w:leader="none" w:pos="58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(17-CFR 240.14a-12)</w:t>
      </w:r>
    </w:p>
    <w:p>
      <w:pPr>
        <w:spacing w:after="0" w:line="233" w:lineRule="exact"/>
        <w:rPr>
          <w:rFonts w:ascii="MS PGothic" w:cs="MS PGothic" w:eastAsia="MS PGothic" w:hAnsi="MS PGothic"/>
          <w:sz w:val="12"/>
          <w:szCs w:val="12"/>
          <w:color w:val="auto"/>
        </w:rPr>
      </w:pPr>
    </w:p>
    <w:p>
      <w:pPr>
        <w:ind w:left="580" w:hanging="570"/>
        <w:spacing w:after="0"/>
        <w:tabs>
          <w:tab w:leader="none" w:pos="58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233" w:lineRule="exact"/>
        <w:rPr>
          <w:rFonts w:ascii="MS PGothic" w:cs="MS PGothic" w:eastAsia="MS PGothic" w:hAnsi="MS PGothic"/>
          <w:sz w:val="12"/>
          <w:szCs w:val="12"/>
          <w:color w:val="auto"/>
        </w:rPr>
      </w:pPr>
    </w:p>
    <w:p>
      <w:pPr>
        <w:ind w:left="580" w:hanging="570"/>
        <w:spacing w:after="0"/>
        <w:tabs>
          <w:tab w:leader="none" w:pos="58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53340</wp:posOffset>
            </wp:positionV>
            <wp:extent cx="73177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jc w:val="both"/>
        <w:ind w:firstLine="108"/>
        <w:spacing w:after="0" w:line="276" w:lineRule="auto"/>
        <w:rPr>
          <w:sz w:val="20"/>
          <w:szCs w:val="20"/>
          <w:color w:val="auto"/>
        </w:rPr>
      </w:pPr>
      <w:r>
        <w:rPr>
          <w:rFonts w:ascii="Arial" w:cs="Arial" w:eastAsia="Arial" w:hAnsi="Arial"/>
          <w:sz w:val="12"/>
          <w:szCs w:val="12"/>
          <w:color w:val="auto"/>
        </w:rPr>
        <w:t>On January 13, 2016 a number of General Motors Company (GM) executives presented at a conference hosted by Deutsche Bank and provided an update on GM's 2015 performance and accomplishments and 2016 outlook. In connection with the presentations GM also issued a press release. The press release and presentations related thereto are attached as Exhibits 99.1 and 99.2.</w:t>
      </w:r>
    </w:p>
    <w:p>
      <w:pPr>
        <w:spacing w:after="0" w:line="115" w:lineRule="exact"/>
        <w:rPr>
          <w:sz w:val="20"/>
          <w:szCs w:val="20"/>
          <w:color w:val="auto"/>
        </w:rPr>
      </w:pPr>
    </w:p>
    <w:p>
      <w:pPr>
        <w:jc w:val="both"/>
        <w:ind w:firstLine="108"/>
        <w:spacing w:after="0" w:line="263" w:lineRule="auto"/>
        <w:rPr>
          <w:sz w:val="20"/>
          <w:szCs w:val="20"/>
          <w:color w:val="auto"/>
        </w:rPr>
      </w:pPr>
      <w:r>
        <w:rPr>
          <w:rFonts w:ascii="Arial" w:cs="Arial" w:eastAsia="Arial" w:hAnsi="Arial"/>
          <w:sz w:val="12"/>
          <w:szCs w:val="12"/>
          <w:color w:val="auto"/>
        </w:rPr>
        <w:t>In accordance with General Instruction B.2 of Form 8-K, the information in this Item 7.01, including Exhibits 99.1 and 99.2, shall not be deemed “filed” for the purposes of Section 18 of the Securities Exchange Act of 1934, as amended, or otherwise subject to the liabilities of that section. The information in this Item 7.01 shall not be incorporated by reference into any filing or other document pursuant to the Securities Act of 1933, as amended, except as shall be expressly set forth by specific reference in such filing or document.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8.01 Other Events</w:t>
      </w:r>
    </w:p>
    <w:p>
      <w:pPr>
        <w:spacing w:after="0" w:line="154" w:lineRule="exact"/>
        <w:rPr>
          <w:sz w:val="20"/>
          <w:szCs w:val="20"/>
          <w:color w:val="auto"/>
        </w:rPr>
      </w:pPr>
    </w:p>
    <w:p>
      <w:pPr>
        <w:jc w:val="both"/>
        <w:ind w:firstLine="108"/>
        <w:spacing w:after="0" w:line="276" w:lineRule="auto"/>
        <w:rPr>
          <w:sz w:val="20"/>
          <w:szCs w:val="20"/>
          <w:color w:val="auto"/>
        </w:rPr>
      </w:pPr>
      <w:r>
        <w:rPr>
          <w:rFonts w:ascii="Arial" w:cs="Arial" w:eastAsia="Arial" w:hAnsi="Arial"/>
          <w:sz w:val="12"/>
          <w:szCs w:val="12"/>
          <w:color w:val="auto"/>
        </w:rPr>
        <w:t>On January 13, 2016 GM announced that its Board of Directors authorized an increase to its existing $5.0 billion stock repurchase program to purchase up to an additional $4.0 billion of GM shares through the end of 2017. The Board of Directors also authorized an increase in the quarterly common stock dividend to $0.38 per share beginning in the first quarter of 2016.</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0" w:type="dxa"/>
            <w:vAlign w:val="bottom"/>
            <w:gridSpan w:val="4"/>
          </w:tcPr>
          <w:p>
            <w:pPr>
              <w:spacing w:after="0"/>
              <w:rPr>
                <w:sz w:val="20"/>
                <w:szCs w:val="20"/>
                <w:color w:val="auto"/>
              </w:rPr>
            </w:pPr>
            <w:r>
              <w:rPr>
                <w:rFonts w:ascii="Arial" w:cs="Arial" w:eastAsia="Arial" w:hAnsi="Arial"/>
                <w:sz w:val="12"/>
                <w:szCs w:val="12"/>
                <w:b w:val="1"/>
                <w:bCs w:val="1"/>
                <w:color w:val="auto"/>
              </w:rPr>
              <w:t>EXHIBIT</w:t>
            </w:r>
          </w:p>
        </w:tc>
      </w:tr>
      <w:tr>
        <w:trPr>
          <w:trHeight w:val="376"/>
        </w:trPr>
        <w:tc>
          <w:tcPr>
            <w:tcW w:w="2980" w:type="dxa"/>
            <w:vAlign w:val="bottom"/>
            <w:gridSpan w:val="2"/>
          </w:tcPr>
          <w:p>
            <w:pPr>
              <w:spacing w:after="0"/>
              <w:rPr>
                <w:sz w:val="20"/>
                <w:szCs w:val="20"/>
                <w:color w:val="auto"/>
              </w:rPr>
            </w:pPr>
            <w:r>
              <w:rPr>
                <w:rFonts w:ascii="Arial" w:cs="Arial" w:eastAsia="Arial" w:hAnsi="Arial"/>
                <w:sz w:val="12"/>
                <w:szCs w:val="12"/>
                <w:color w:val="auto"/>
              </w:rPr>
              <w:t>Exhibit</w:t>
            </w:r>
          </w:p>
        </w:tc>
        <w:tc>
          <w:tcPr>
            <w:tcW w:w="2480" w:type="dxa"/>
            <w:vAlign w:val="bottom"/>
            <w:gridSpan w:val="2"/>
          </w:tcPr>
          <w:p>
            <w:pPr>
              <w:spacing w:after="0"/>
              <w:rPr>
                <w:sz w:val="20"/>
                <w:szCs w:val="20"/>
                <w:color w:val="auto"/>
              </w:rPr>
            </w:pPr>
            <w:r>
              <w:rPr>
                <w:rFonts w:ascii="Arial" w:cs="Arial" w:eastAsia="Arial" w:hAnsi="Arial"/>
                <w:sz w:val="12"/>
                <w:szCs w:val="12"/>
                <w:color w:val="auto"/>
              </w:rPr>
              <w:t>Description</w:t>
            </w:r>
          </w:p>
        </w:tc>
        <w:tc>
          <w:tcPr>
            <w:tcW w:w="520" w:type="dxa"/>
            <w:vAlign w:val="bottom"/>
            <w:tcBorders>
              <w:top w:val="single" w:sz="8" w:color="auto"/>
            </w:tcBorders>
          </w:tcPr>
          <w:p>
            <w:pPr>
              <w:spacing w:after="0"/>
              <w:rPr>
                <w:sz w:val="24"/>
                <w:szCs w:val="24"/>
                <w:color w:val="auto"/>
              </w:rPr>
            </w:pPr>
          </w:p>
        </w:tc>
        <w:tc>
          <w:tcPr>
            <w:tcW w:w="2880" w:type="dxa"/>
            <w:vAlign w:val="bottom"/>
            <w:gridSpan w:val="3"/>
          </w:tcPr>
          <w:p>
            <w:pPr>
              <w:ind w:left="1940"/>
              <w:spacing w:after="0"/>
              <w:rPr>
                <w:sz w:val="20"/>
                <w:szCs w:val="20"/>
                <w:color w:val="auto"/>
              </w:rPr>
            </w:pPr>
            <w:r>
              <w:rPr>
                <w:rFonts w:ascii="Arial" w:cs="Arial" w:eastAsia="Arial" w:hAnsi="Arial"/>
                <w:sz w:val="12"/>
                <w:szCs w:val="12"/>
                <w:color w:val="auto"/>
              </w:rPr>
              <w:t>Method of Filing</w:t>
            </w:r>
          </w:p>
        </w:tc>
      </w:tr>
      <w:tr>
        <w:trPr>
          <w:trHeight w:val="20"/>
        </w:trPr>
        <w:tc>
          <w:tcPr>
            <w:tcW w:w="3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3"/>
        </w:trPr>
        <w:tc>
          <w:tcPr>
            <w:tcW w:w="2980" w:type="dxa"/>
            <w:vAlign w:val="bottom"/>
            <w:gridSpan w:val="2"/>
          </w:tcPr>
          <w:p>
            <w:pPr>
              <w:spacing w:after="0"/>
              <w:rPr>
                <w:sz w:val="20"/>
                <w:szCs w:val="20"/>
                <w:color w:val="auto"/>
              </w:rPr>
            </w:pPr>
            <w:r>
              <w:rPr>
                <w:rFonts w:ascii="Arial" w:cs="Arial" w:eastAsia="Arial" w:hAnsi="Arial"/>
                <w:sz w:val="12"/>
                <w:szCs w:val="12"/>
                <w:color w:val="auto"/>
              </w:rPr>
              <w:t>Exhibit 99.1</w:t>
            </w:r>
          </w:p>
        </w:tc>
        <w:tc>
          <w:tcPr>
            <w:tcW w:w="2480" w:type="dxa"/>
            <w:vAlign w:val="bottom"/>
            <w:gridSpan w:val="2"/>
          </w:tcPr>
          <w:p>
            <w:pPr>
              <w:spacing w:after="0"/>
              <w:rPr>
                <w:sz w:val="20"/>
                <w:szCs w:val="20"/>
                <w:color w:val="auto"/>
              </w:rPr>
            </w:pPr>
            <w:r>
              <w:rPr>
                <w:rFonts w:ascii="Arial" w:cs="Arial" w:eastAsia="Arial" w:hAnsi="Arial"/>
                <w:sz w:val="12"/>
                <w:szCs w:val="12"/>
                <w:color w:val="auto"/>
              </w:rPr>
              <w:t>Press Release Dated January 13, 2016</w:t>
            </w:r>
          </w:p>
        </w:tc>
        <w:tc>
          <w:tcPr>
            <w:tcW w:w="520" w:type="dxa"/>
            <w:vAlign w:val="bottom"/>
          </w:tcPr>
          <w:p>
            <w:pPr>
              <w:spacing w:after="0"/>
              <w:rPr>
                <w:sz w:val="24"/>
                <w:szCs w:val="24"/>
                <w:color w:val="auto"/>
              </w:rPr>
            </w:pPr>
          </w:p>
        </w:tc>
        <w:tc>
          <w:tcPr>
            <w:tcW w:w="2880" w:type="dxa"/>
            <w:vAlign w:val="bottom"/>
            <w:gridSpan w:val="3"/>
          </w:tcPr>
          <w:p>
            <w:pPr>
              <w:ind w:left="1940"/>
              <w:spacing w:after="0"/>
              <w:rPr>
                <w:sz w:val="20"/>
                <w:szCs w:val="20"/>
                <w:color w:val="auto"/>
              </w:rPr>
            </w:pPr>
            <w:r>
              <w:rPr>
                <w:rFonts w:ascii="Arial" w:cs="Arial" w:eastAsia="Arial" w:hAnsi="Arial"/>
                <w:sz w:val="12"/>
                <w:szCs w:val="12"/>
                <w:color w:val="auto"/>
                <w:w w:val="89"/>
              </w:rPr>
              <w:t>Attached as Exhibit</w:t>
            </w:r>
          </w:p>
        </w:tc>
      </w:tr>
      <w:tr>
        <w:trPr>
          <w:trHeight w:val="180"/>
        </w:trPr>
        <w:tc>
          <w:tcPr>
            <w:tcW w:w="2980" w:type="dxa"/>
            <w:vAlign w:val="bottom"/>
            <w:gridSpan w:val="2"/>
          </w:tcPr>
          <w:p>
            <w:pPr>
              <w:spacing w:after="0"/>
              <w:rPr>
                <w:sz w:val="20"/>
                <w:szCs w:val="20"/>
                <w:color w:val="auto"/>
              </w:rPr>
            </w:pPr>
            <w:r>
              <w:rPr>
                <w:rFonts w:ascii="Arial" w:cs="Arial" w:eastAsia="Arial" w:hAnsi="Arial"/>
                <w:sz w:val="12"/>
                <w:szCs w:val="12"/>
                <w:color w:val="auto"/>
              </w:rPr>
              <w:t>Exhibit 99.2</w:t>
            </w:r>
          </w:p>
        </w:tc>
        <w:tc>
          <w:tcPr>
            <w:tcW w:w="2480" w:type="dxa"/>
            <w:vAlign w:val="bottom"/>
            <w:gridSpan w:val="2"/>
          </w:tcPr>
          <w:p>
            <w:pPr>
              <w:spacing w:after="0"/>
              <w:rPr>
                <w:sz w:val="20"/>
                <w:szCs w:val="20"/>
                <w:color w:val="auto"/>
              </w:rPr>
            </w:pPr>
            <w:r>
              <w:rPr>
                <w:rFonts w:ascii="Arial" w:cs="Arial" w:eastAsia="Arial" w:hAnsi="Arial"/>
                <w:sz w:val="12"/>
                <w:szCs w:val="12"/>
                <w:color w:val="auto"/>
              </w:rPr>
              <w:t>Presentations Dated January 13, 2016</w:t>
            </w:r>
          </w:p>
        </w:tc>
        <w:tc>
          <w:tcPr>
            <w:tcW w:w="520" w:type="dxa"/>
            <w:vAlign w:val="bottom"/>
          </w:tcPr>
          <w:p>
            <w:pPr>
              <w:spacing w:after="0"/>
              <w:rPr>
                <w:sz w:val="15"/>
                <w:szCs w:val="15"/>
                <w:color w:val="auto"/>
              </w:rPr>
            </w:pPr>
          </w:p>
        </w:tc>
        <w:tc>
          <w:tcPr>
            <w:tcW w:w="2880" w:type="dxa"/>
            <w:vAlign w:val="bottom"/>
            <w:gridSpan w:val="3"/>
          </w:tcPr>
          <w:p>
            <w:pPr>
              <w:ind w:left="1940"/>
              <w:spacing w:after="0"/>
              <w:rPr>
                <w:sz w:val="20"/>
                <w:szCs w:val="20"/>
                <w:color w:val="auto"/>
              </w:rPr>
            </w:pPr>
            <w:r>
              <w:rPr>
                <w:rFonts w:ascii="Arial" w:cs="Arial" w:eastAsia="Arial" w:hAnsi="Arial"/>
                <w:sz w:val="12"/>
                <w:szCs w:val="12"/>
                <w:color w:val="auto"/>
                <w:w w:val="89"/>
              </w:rPr>
              <w:t>Attached as Exhibit</w:t>
            </w:r>
          </w:p>
        </w:tc>
      </w:tr>
    </w:tbl>
    <w:p>
      <w:pPr>
        <w:sectPr>
          <w:pgSz w:w="11900" w:h="16838" w:orient="portrait"/>
          <w:cols w:equalWidth="0" w:num="1">
            <w:col w:w="11480"/>
          </w:cols>
          <w:pgMar w:left="220" w:top="433"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2"/>
          <w:szCs w:val="12"/>
          <w:b w:val="1"/>
          <w:bCs w:val="1"/>
          <w:color w:val="auto"/>
        </w:rPr>
        <w:t>SIGNATURE</w:t>
      </w: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GENERAL MOTORS COMPANY</w:t>
            </w:r>
          </w:p>
        </w:tc>
      </w:tr>
      <w:tr>
        <w:trPr>
          <w:trHeight w:val="151"/>
        </w:trPr>
        <w:tc>
          <w:tcPr>
            <w:tcW w:w="3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(Registrant)</w:t>
            </w:r>
          </w:p>
        </w:tc>
        <w:tc>
          <w:tcPr>
            <w:tcW w:w="3560" w:type="dxa"/>
            <w:vAlign w:val="bottom"/>
          </w:tcPr>
          <w:p>
            <w:pPr>
              <w:spacing w:after="0"/>
              <w:rPr>
                <w:sz w:val="13"/>
                <w:szCs w:val="13"/>
                <w:color w:val="auto"/>
              </w:rPr>
            </w:pPr>
          </w:p>
        </w:tc>
      </w:tr>
      <w:tr>
        <w:trPr>
          <w:trHeight w:val="475"/>
        </w:trPr>
        <w:tc>
          <w:tcPr>
            <w:tcW w:w="3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THOMAS S. TIMKO</w:t>
            </w:r>
          </w:p>
        </w:tc>
      </w:tr>
      <w:tr>
        <w:trPr>
          <w:trHeight w:val="153"/>
        </w:trPr>
        <w:tc>
          <w:tcPr>
            <w:tcW w:w="3300" w:type="dxa"/>
            <w:vAlign w:val="bottom"/>
          </w:tcPr>
          <w:p>
            <w:pPr>
              <w:spacing w:after="0"/>
              <w:rPr>
                <w:sz w:val="20"/>
                <w:szCs w:val="20"/>
                <w:color w:val="auto"/>
              </w:rPr>
            </w:pPr>
            <w:r>
              <w:rPr>
                <w:rFonts w:ascii="Arial" w:cs="Arial" w:eastAsia="Arial" w:hAnsi="Arial"/>
                <w:sz w:val="12"/>
                <w:szCs w:val="12"/>
                <w:color w:val="auto"/>
              </w:rPr>
              <w:t>Date: January 13, 2016</w:t>
            </w:r>
          </w:p>
        </w:tc>
        <w:tc>
          <w:tcPr>
            <w:tcW w:w="2880" w:type="dxa"/>
            <w:vAlign w:val="bottom"/>
          </w:tcPr>
          <w:p>
            <w:pPr>
              <w:ind w:left="2220"/>
              <w:spacing w:after="0"/>
              <w:rPr>
                <w:sz w:val="20"/>
                <w:szCs w:val="20"/>
                <w:color w:val="auto"/>
              </w:rPr>
            </w:pPr>
            <w:r>
              <w:rPr>
                <w:rFonts w:ascii="Arial" w:cs="Arial" w:eastAsia="Arial" w:hAnsi="Arial"/>
                <w:sz w:val="12"/>
                <w:szCs w:val="12"/>
                <w:color w:val="auto"/>
              </w:rPr>
              <w:t>By:</w:t>
            </w:r>
          </w:p>
        </w:tc>
        <w:tc>
          <w:tcPr>
            <w:tcW w:w="20" w:type="dxa"/>
            <w:vAlign w:val="bottom"/>
          </w:tcPr>
          <w:p>
            <w:pPr>
              <w:spacing w:after="0"/>
              <w:rPr>
                <w:sz w:val="13"/>
                <w:szCs w:val="13"/>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Thomas S. Timko</w:t>
            </w:r>
          </w:p>
        </w:tc>
      </w:tr>
      <w:tr>
        <w:trPr>
          <w:trHeight w:val="153"/>
        </w:trPr>
        <w:tc>
          <w:tcPr>
            <w:tcW w:w="3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Vice President, Controller and Chief Accounting Officer</w:t>
            </w:r>
          </w:p>
        </w:tc>
      </w:tr>
    </w:tbl>
    <w:p>
      <w:pPr>
        <w:sectPr>
          <w:pgSz w:w="11900" w:h="16838" w:orient="portrait"/>
          <w:cols w:equalWidth="0" w:num="1">
            <w:col w:w="11460"/>
          </w:cols>
          <w:pgMar w:left="240" w:top="57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900805" cy="560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00805" cy="56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For Release: Wednesday, Jan. 13, 2016, 8 a.m. EST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GM Increases Earnings Outlook for 2016; Announces Increased Returns to Shareholders</w:t>
      </w:r>
    </w:p>
    <w:p>
      <w:pPr>
        <w:spacing w:after="0" w:line="149"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2016 EPS-adjusted outlook increased to between $5.25 and $5.75</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Share repurchase program now totals up to $9.0 billion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Six percent increase in quarterly dividend to $0.38 per share</w:t>
      </w:r>
    </w:p>
    <w:p>
      <w:pPr>
        <w:spacing w:after="0" w:line="136"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b w:val="1"/>
          <w:bCs w:val="1"/>
          <w:color w:val="auto"/>
        </w:rPr>
        <w:t xml:space="preserve">DETROIT </w:t>
      </w:r>
      <w:r>
        <w:rPr>
          <w:rFonts w:ascii="Arial" w:cs="Arial" w:eastAsia="Arial" w:hAnsi="Arial"/>
          <w:sz w:val="13"/>
          <w:szCs w:val="13"/>
          <w:color w:val="auto"/>
        </w:rPr>
        <w:t>- General Motors Co. (NYSE: GM) today announced an increase to its 2016 earnings per share adjusted outlook to between $5.25 and $5.75, up from the prior outlook of $5.00 to $5.50 provided on Oct. 1,</w:t>
      </w:r>
      <w:r>
        <w:rPr>
          <w:rFonts w:ascii="Arial" w:cs="Arial" w:eastAsia="Arial" w:hAnsi="Arial"/>
          <w:sz w:val="13"/>
          <w:szCs w:val="13"/>
          <w:b w:val="1"/>
          <w:bCs w:val="1"/>
          <w:color w:val="auto"/>
        </w:rPr>
        <w:t xml:space="preserve"> </w:t>
      </w:r>
      <w:r>
        <w:rPr>
          <w:rFonts w:ascii="Arial" w:cs="Arial" w:eastAsia="Arial" w:hAnsi="Arial"/>
          <w:sz w:val="13"/>
          <w:szCs w:val="13"/>
          <w:color w:val="auto"/>
        </w:rPr>
        <w:t>2015. The company also expects improved EBIT-adjusted, EBIT-adjusted margin and automotive adjusted free cash flow.</w:t>
      </w:r>
    </w:p>
    <w:p>
      <w:pPr>
        <w:spacing w:after="0" w:line="108" w:lineRule="exact"/>
        <w:rPr>
          <w:sz w:val="20"/>
          <w:szCs w:val="20"/>
          <w:color w:val="auto"/>
        </w:rPr>
      </w:pPr>
    </w:p>
    <w:p>
      <w:pPr>
        <w:ind w:right="160"/>
        <w:spacing w:after="0" w:line="314" w:lineRule="auto"/>
        <w:rPr>
          <w:sz w:val="20"/>
          <w:szCs w:val="20"/>
          <w:color w:val="auto"/>
        </w:rPr>
      </w:pPr>
      <w:r>
        <w:rPr>
          <w:rFonts w:ascii="Arial" w:cs="Arial" w:eastAsia="Arial" w:hAnsi="Arial"/>
          <w:sz w:val="12"/>
          <w:szCs w:val="12"/>
          <w:color w:val="auto"/>
        </w:rPr>
        <w:t>Based on this outlook, the GM Board of Directors authorized an increase to the company’s existing common stock repurchase program, bringing the total to $9 billion - an increase of $4 billion - while extending the program through 2017. The Board also authorized an increase in the regular quarterly common stock dividend of 6 percent, to $0.38 per share, beginning in the first quarter of 2016.</w:t>
      </w:r>
    </w:p>
    <w:p>
      <w:pPr>
        <w:spacing w:after="0" w:line="89" w:lineRule="exact"/>
        <w:rPr>
          <w:sz w:val="20"/>
          <w:szCs w:val="20"/>
          <w:color w:val="auto"/>
        </w:rPr>
      </w:pPr>
    </w:p>
    <w:p>
      <w:pPr>
        <w:ind w:right="220"/>
        <w:spacing w:after="0" w:line="271" w:lineRule="auto"/>
        <w:rPr>
          <w:sz w:val="20"/>
          <w:szCs w:val="20"/>
          <w:color w:val="auto"/>
        </w:rPr>
      </w:pPr>
      <w:r>
        <w:rPr>
          <w:rFonts w:ascii="Arial" w:cs="Arial" w:eastAsia="Arial" w:hAnsi="Arial"/>
          <w:sz w:val="13"/>
          <w:szCs w:val="13"/>
          <w:color w:val="auto"/>
        </w:rPr>
        <w:t>Chairman and CEO Mary Barra, President Dan Ammann, and Executive Vice President and CFO Chuck Stevens shared this outlook with the investment community attending the Deutsche Bank 2016 Global Auto Industry Conference in Detroit.</w:t>
      </w:r>
    </w:p>
    <w:p>
      <w:pPr>
        <w:spacing w:after="0" w:line="113" w:lineRule="exact"/>
        <w:rPr>
          <w:sz w:val="20"/>
          <w:szCs w:val="20"/>
          <w:color w:val="auto"/>
        </w:rPr>
      </w:pPr>
    </w:p>
    <w:p>
      <w:pPr>
        <w:ind w:right="80"/>
        <w:spacing w:after="0" w:line="314" w:lineRule="auto"/>
        <w:rPr>
          <w:sz w:val="20"/>
          <w:szCs w:val="20"/>
          <w:color w:val="auto"/>
        </w:rPr>
      </w:pPr>
      <w:r>
        <w:rPr>
          <w:rFonts w:ascii="Arial" w:cs="Arial" w:eastAsia="Arial" w:hAnsi="Arial"/>
          <w:sz w:val="12"/>
          <w:szCs w:val="12"/>
          <w:color w:val="auto"/>
        </w:rPr>
        <w:t>“We made significant progress executing our strategic plan and the results are being demonstrated through our improved earnings,” Barra said. “Moving forward, we will continue to keep the customer at the center of everything we do. We are making the right investments and taking the actions necessary to lead in the transformation of personal mobility, and positioning the company to continue to drive shareholder value.”</w:t>
      </w:r>
    </w:p>
    <w:p>
      <w:pPr>
        <w:spacing w:after="0" w:line="89" w:lineRule="exact"/>
        <w:rPr>
          <w:sz w:val="20"/>
          <w:szCs w:val="20"/>
          <w:color w:val="auto"/>
        </w:rPr>
      </w:pPr>
    </w:p>
    <w:p>
      <w:pPr>
        <w:ind w:right="260"/>
        <w:spacing w:after="0" w:line="271" w:lineRule="auto"/>
        <w:rPr>
          <w:sz w:val="20"/>
          <w:szCs w:val="20"/>
          <w:color w:val="auto"/>
        </w:rPr>
      </w:pPr>
      <w:r>
        <w:rPr>
          <w:rFonts w:ascii="Arial" w:cs="Arial" w:eastAsia="Arial" w:hAnsi="Arial"/>
          <w:sz w:val="13"/>
          <w:szCs w:val="13"/>
          <w:color w:val="auto"/>
        </w:rPr>
        <w:t>The company’s 2016 outlook is based on a strong product launch cadence, growth in adjacent businesses, continued emphasis on driving core efficiencies across the enterprise, and expected modest global industry growth.</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3"/>
          <w:szCs w:val="13"/>
          <w:color w:val="auto"/>
        </w:rPr>
        <w:t>The company said continued execution of its plan should keep GM on track to achieve 9- to 10-percent EBIT-adjusted margin by early next decade. The strategic plan calls for sustained growth in the company’s core business and includes several major initiatives:</w:t>
      </w:r>
    </w:p>
    <w:p>
      <w:pPr>
        <w:spacing w:after="0" w:line="113"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color w:val="auto"/>
        </w:rPr>
        <w:t>Lead in product and technology.</w:t>
      </w:r>
    </w:p>
    <w:p>
      <w:pPr>
        <w:spacing w:after="0" w:line="13"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color w:val="auto"/>
        </w:rPr>
        <w:t>Growing the Chevrolet and Cadillac brands globally.</w:t>
      </w:r>
    </w:p>
    <w:p>
      <w:pPr>
        <w:spacing w:after="0" w:line="3"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color w:val="auto"/>
        </w:rPr>
        <w:t>Continue driving growth in China.</w:t>
      </w:r>
    </w:p>
    <w:p>
      <w:pPr>
        <w:spacing w:after="0" w:line="3"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color w:val="auto"/>
        </w:rPr>
        <w:t>Continue growing GM Financial.</w:t>
      </w:r>
    </w:p>
    <w:p>
      <w:pPr>
        <w:spacing w:after="0" w:line="3"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3"/>
          <w:szCs w:val="13"/>
          <w:color w:val="auto"/>
        </w:rPr>
        <w:t>Delivering core operating efficiencies.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Among key accomplishments for 2015, the company noted the following:</w:t>
      </w:r>
    </w:p>
    <w:p>
      <w:pPr>
        <w:spacing w:after="0" w:line="148"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3"/>
          <w:szCs w:val="13"/>
          <w:color w:val="auto"/>
        </w:rPr>
        <w:t>On-track to deliver double-digit growth in EBIT-adjusted and EPS-adjusted in calendar year 2015.</w:t>
      </w:r>
    </w:p>
    <w:p>
      <w:pPr>
        <w:spacing w:after="0" w:line="13"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3"/>
          <w:szCs w:val="13"/>
          <w:color w:val="auto"/>
        </w:rPr>
        <w:t>Achieved its targeted 10-percent EBIT-adjusted margin in North America - one year ahead of plan.</w:t>
      </w:r>
    </w:p>
    <w:p>
      <w:pPr>
        <w:spacing w:after="0" w:line="3"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3"/>
          <w:szCs w:val="13"/>
          <w:color w:val="auto"/>
        </w:rPr>
        <w:t>Since announcing the initial share repurchase program in March 2015, the company repurchased 70 percent of the authorized program through the end of 2015, or $3.5 billion.</w:t>
      </w:r>
    </w:p>
    <w:p>
      <w:pPr>
        <w:spacing w:after="0" w:line="3"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3"/>
          <w:szCs w:val="13"/>
          <w:color w:val="auto"/>
        </w:rPr>
        <w:t xml:space="preserve">All-new Chevrolet Camaro and Colorado earned </w:t>
      </w:r>
      <w:r>
        <w:rPr>
          <w:rFonts w:ascii="Arial" w:cs="Arial" w:eastAsia="Arial" w:hAnsi="Arial"/>
          <w:sz w:val="13"/>
          <w:szCs w:val="13"/>
          <w:i w:val="1"/>
          <w:iCs w:val="1"/>
          <w:color w:val="auto"/>
        </w:rPr>
        <w:t>Motor Trend</w:t>
      </w:r>
      <w:r>
        <w:rPr>
          <w:rFonts w:ascii="Arial" w:cs="Arial" w:eastAsia="Arial" w:hAnsi="Arial"/>
          <w:sz w:val="13"/>
          <w:szCs w:val="13"/>
          <w:color w:val="auto"/>
        </w:rPr>
        <w:t xml:space="preserve"> car and truck of the year awards.</w:t>
      </w:r>
    </w:p>
    <w:p>
      <w:pPr>
        <w:sectPr>
          <w:pgSz w:w="11900" w:h="16838" w:orient="portrait"/>
          <w:cols w:equalWidth="0" w:num="1">
            <w:col w:w="11480"/>
          </w:cols>
          <w:pgMar w:left="220" w:top="433" w:right="199" w:bottom="1440" w:gutter="0" w:footer="0" w:header="0"/>
        </w:sectPr>
      </w:pPr>
    </w:p>
    <w:bookmarkStart w:id="4" w:name="page5"/>
    <w:bookmarkEnd w:id="4"/>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2"/>
          <w:szCs w:val="12"/>
          <w:color w:val="auto"/>
        </w:rPr>
        <w:t>GM Financial continued to grow as GM’s captive finance unit by tripling its penetration of GM’s U.S. retail sales to approximately 30 percent in calendar year 2015, up from 10 percent in calendar year 2014.</w:t>
      </w:r>
    </w:p>
    <w:p>
      <w:pPr>
        <w:spacing w:after="0" w:line="25"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3"/>
          <w:szCs w:val="13"/>
          <w:color w:val="auto"/>
        </w:rPr>
        <w:t>Increased Opel/Vauxhall market share for the third straight year in Europe.</w:t>
      </w:r>
    </w:p>
    <w:p>
      <w:pPr>
        <w:spacing w:after="0" w:line="3" w:lineRule="exact"/>
        <w:rPr>
          <w:rFonts w:ascii="Arial" w:cs="Arial" w:eastAsia="Arial" w:hAnsi="Arial"/>
          <w:sz w:val="12"/>
          <w:szCs w:val="12"/>
          <w:color w:val="auto"/>
        </w:rPr>
      </w:pPr>
    </w:p>
    <w:p>
      <w:pPr>
        <w:ind w:left="420" w:hanging="212"/>
        <w:spacing w:after="0" w:line="245"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3"/>
          <w:szCs w:val="13"/>
          <w:color w:val="auto"/>
        </w:rPr>
        <w:t>Launched key car-sharing program in the U.S. with “Let’s Drive NYC” and in Europe with Opel’s “CarUnity”, and announced an autonomous car-sharing program on the Warren Technical Center campus with Chevrolet Volts.</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3"/>
          <w:szCs w:val="13"/>
          <w:color w:val="auto"/>
        </w:rPr>
        <w:t>On Jan. 4, 2016, announced a long-term strategic alliance with Lyft.</w:t>
      </w:r>
    </w:p>
    <w:p>
      <w:pPr>
        <w:spacing w:after="0" w:line="138" w:lineRule="exact"/>
        <w:rPr>
          <w:sz w:val="20"/>
          <w:szCs w:val="20"/>
          <w:color w:val="auto"/>
        </w:rPr>
      </w:pPr>
    </w:p>
    <w:p>
      <w:pPr>
        <w:ind w:right="40"/>
        <w:spacing w:after="0" w:line="271" w:lineRule="auto"/>
        <w:rPr>
          <w:sz w:val="20"/>
          <w:szCs w:val="20"/>
          <w:color w:val="auto"/>
        </w:rPr>
      </w:pPr>
      <w:r>
        <w:rPr>
          <w:rFonts w:ascii="Arial" w:cs="Arial" w:eastAsia="Arial" w:hAnsi="Arial"/>
          <w:sz w:val="13"/>
          <w:szCs w:val="13"/>
          <w:color w:val="auto"/>
        </w:rPr>
        <w:t>GM also outlined several actions designed to improve the company’s capital efficiency, resulting in a significant reduction in longer-term capital expenditures. GM continues to expect capital expenditures of 5- to 5.5-percent of revenues in the near-term.</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“Our commitment to improve our performance in 2016 will build on our strong operating results of the past two years, and support improved shareholder returns,” Stevens said.</w:t>
      </w:r>
    </w:p>
    <w:p>
      <w:pPr>
        <w:spacing w:after="0" w:line="145" w:lineRule="exact"/>
        <w:rPr>
          <w:sz w:val="20"/>
          <w:szCs w:val="20"/>
          <w:color w:val="auto"/>
        </w:rPr>
      </w:pPr>
    </w:p>
    <w:p>
      <w:pPr>
        <w:jc w:val="both"/>
        <w:ind w:right="240"/>
        <w:spacing w:after="0" w:line="267" w:lineRule="auto"/>
        <w:rPr>
          <w:sz w:val="20"/>
          <w:szCs w:val="20"/>
          <w:color w:val="auto"/>
        </w:rPr>
      </w:pPr>
      <w:r>
        <w:rPr>
          <w:rFonts w:ascii="Arial" w:cs="Arial" w:eastAsia="Arial" w:hAnsi="Arial"/>
          <w:sz w:val="12"/>
          <w:szCs w:val="12"/>
          <w:b w:val="1"/>
          <w:bCs w:val="1"/>
          <w:color w:val="auto"/>
        </w:rPr>
        <w:t xml:space="preserve">General Motors Co. </w:t>
      </w:r>
      <w:r>
        <w:rPr>
          <w:rFonts w:ascii="Arial" w:cs="Arial" w:eastAsia="Arial" w:hAnsi="Arial"/>
          <w:sz w:val="12"/>
          <w:szCs w:val="12"/>
          <w:color w:val="auto"/>
        </w:rPr>
        <w:t>(NYSE:GM, TSX: GMM) and its partners produce vehicles in 30 countries, and the company has leadership positions in the world's largest and fastest-growing automotive markets. GM, its subsidiaries and joint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2"/>
          <w:szCs w:val="12"/>
          <w:u w:val="single" w:color="auto"/>
          <w:color w:val="0000FF"/>
        </w:rPr>
        <w:t>http://www.gm.com</w:t>
      </w:r>
      <w:r>
        <w:rPr>
          <w:rFonts w:ascii="Arial" w:cs="Arial" w:eastAsia="Arial" w:hAnsi="Arial"/>
          <w:sz w:val="12"/>
          <w:szCs w:val="12"/>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Tom Henderson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GM Finance 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313-410-2704</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tom.e.henderson@gm.com</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9"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In this press release, the presentations referenced herein, and in related comments by management, our use of the words “plans,” “anticipated,” “goals,” “expect,” “anticipate,” “possible,” “target,” “believe,” “commit,” “intend” “continue,” “may,” “would,” “could,” “should,” “project,” “appears,” “potential,” “projected,” “on track,”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various recalls and risks, consequences and costs associated with failure to comply with the deferred prosecution agreement; our ability to remain competitive and our ability to continue to attract new customers, particularly for our new products. GM’s most recent reports on Form 10-K and Form 10-Q provide information about these and other factors, which we may revise or supplement in future reports to the Securities and Exchange Commission.</w:t>
      </w:r>
    </w:p>
    <w:p>
      <w:pPr>
        <w:sectPr>
          <w:pgSz w:w="11900" w:h="16838" w:orient="portrait"/>
          <w:cols w:equalWidth="0" w:num="1">
            <w:col w:w="11460"/>
          </w:cols>
          <w:pgMar w:left="220" w:top="435" w:right="219" w:bottom="1440" w:gutter="0" w:footer="0" w:header="0"/>
        </w:sectPr>
      </w:pPr>
    </w:p>
    <w:bookmarkStart w:id="5" w:name="page6"/>
    <w:bookmarkEnd w:id="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951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5307330</wp:posOffset>
            </wp:positionV>
            <wp:extent cx="724471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5307330</wp:posOffset>
            </wp:positionV>
            <wp:extent cx="724471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5307330</wp:posOffset>
            </wp:positionV>
            <wp:extent cx="724471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0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495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2019-12-08T19:44:10Z</dcterms:created>
  <dcterms:modified xsi:type="dcterms:W3CDTF">2019-12-08T19:44:10Z</dcterms:modified>
</cp:coreProperties>
</file>