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8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25, 2022</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ectPr>
          <w:pgSz w:w="11900" w:h="16838" w:orient="portrait"/>
          <w:cols w:equalWidth="0" w:num="1">
            <w:col w:w="11040"/>
          </w:cols>
          <w:pgMar w:left="300" w:top="1178" w:right="559" w:bottom="1440" w:gutter="0" w:footer="0" w:header="0"/>
        </w:sectPr>
      </w:pPr>
    </w:p>
    <w:p>
      <w:pPr>
        <w:spacing w:after="0" w:line="9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3"/>
          <w:szCs w:val="13"/>
          <w:b w:val="1"/>
          <w:bCs w:val="1"/>
          <w:color w:val="auto"/>
        </w:rPr>
        <w:t>001-34960</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27-0756180</w:t>
      </w:r>
    </w:p>
    <w:p>
      <w:pPr>
        <w:spacing w:after="0" w:line="53" w:lineRule="exact"/>
        <w:rPr>
          <w:sz w:val="24"/>
          <w:szCs w:val="24"/>
          <w:color w:val="auto"/>
        </w:rPr>
      </w:pPr>
    </w:p>
    <w:p>
      <w:pPr>
        <w:sectPr>
          <w:pgSz w:w="11900" w:h="16838" w:orient="portrait"/>
          <w:cols w:equalWidth="0" w:num="3">
            <w:col w:w="4780" w:space="720"/>
            <w:col w:w="2820" w:space="720"/>
            <w:col w:w="2000"/>
          </w:cols>
          <w:pgMar w:left="300" w:top="1178" w:right="5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3">
            <w:col w:w="4300" w:space="720"/>
            <w:col w:w="2620" w:space="720"/>
            <w:col w:w="2680"/>
          </w:cols>
          <w:pgMar w:left="300" w:top="1178"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Times New Roman" w:cs="Times New Roman" w:eastAsia="Times New Roman" w:hAnsi="Times New Roman"/>
          <w:sz w:val="14"/>
          <w:szCs w:val="14"/>
          <w:b w:val="1"/>
          <w:bCs w:val="1"/>
          <w:color w:val="auto"/>
        </w:rPr>
        <w:t>300 Renaissance Center,</w:t>
      </w:r>
      <w:r>
        <w:rPr>
          <w:sz w:val="20"/>
          <w:szCs w:val="20"/>
          <w:color w:val="auto"/>
        </w:rPr>
        <w:tab/>
      </w:r>
      <w:r>
        <w:rPr>
          <w:rFonts w:ascii="Times New Roman" w:cs="Times New Roman" w:eastAsia="Times New Roman" w:hAnsi="Times New Roman"/>
          <w:sz w:val="14"/>
          <w:szCs w:val="14"/>
          <w:b w:val="1"/>
          <w:bCs w:val="1"/>
          <w:color w:val="auto"/>
        </w:rPr>
        <w:t>Detroit,</w:t>
      </w:r>
      <w:r>
        <w:rPr>
          <w:sz w:val="20"/>
          <w:szCs w:val="20"/>
          <w:color w:val="auto"/>
        </w:rPr>
        <w:tab/>
      </w:r>
      <w:r>
        <w:rPr>
          <w:rFonts w:ascii="Times New Roman" w:cs="Times New Roman" w:eastAsia="Times New Roman" w:hAnsi="Times New Roman"/>
          <w:sz w:val="14"/>
          <w:szCs w:val="14"/>
          <w:b w:val="1"/>
          <w:bCs w:val="1"/>
          <w:color w:val="auto"/>
        </w:rPr>
        <w:t>Michigan</w:t>
      </w:r>
    </w:p>
    <w:p>
      <w:pPr>
        <w:spacing w:after="0" w:line="25" w:lineRule="exact"/>
        <w:rPr>
          <w:sz w:val="24"/>
          <w:szCs w:val="24"/>
          <w:color w:val="auto"/>
        </w:rPr>
      </w:pPr>
    </w:p>
    <w:p>
      <w:pPr>
        <w:jc w:val="right"/>
        <w:ind w:right="3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Times New Roman" w:cs="Times New Roman" w:eastAsia="Times New Roman" w:hAnsi="Times New Roman"/>
          <w:sz w:val="13"/>
          <w:szCs w:val="13"/>
          <w:b w:val="1"/>
          <w:bCs w:val="1"/>
          <w:color w:val="auto"/>
        </w:rPr>
        <w:t>48265 -3000</w:t>
      </w:r>
    </w:p>
    <w:p>
      <w:pPr>
        <w:spacing w:after="0" w:line="37"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78" w:right="559" w:bottom="1440" w:gutter="0" w:footer="0" w:header="0"/>
          <w:type w:val="continuous"/>
        </w:sectPr>
      </w:pPr>
    </w:p>
    <w:p>
      <w:pPr>
        <w:spacing w:after="0" w:line="6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(313) 667-1500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600" w:type="dxa"/>
            <w:vAlign w:val="bottom"/>
            <w:gridSpan w:val="2"/>
          </w:tcPr>
          <w:p>
            <w:pPr>
              <w:jc w:val="center"/>
              <w:ind w:left="27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63" w:lineRule="exact"/>
        <w:rPr>
          <w:sz w:val="24"/>
          <w:szCs w:val="24"/>
          <w:color w:val="auto"/>
        </w:rPr>
      </w:pPr>
    </w:p>
    <w:p>
      <w:pPr>
        <w:ind w:right="5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574675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78"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On October 25, 2022 General Motors Company (GM) issued a news release and supplemental materials on the subject of its 2022 third quarter earnings. The news release and supplemental materials are attached as Exhibit 99.1 and Exhibit 99.2.</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Charts furnished to securities analysts in connection with GM's 2022 third quarter earnings release are available on GM's website at www.gm.com/investors/earnings-releases.html.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tcBorders>
              <w:top w:val="single" w:sz="8" w:color="auto"/>
            </w:tcBorders>
            <w:gridSpan w:val="2"/>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News Release Dated October 25, 2022</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Financial Highlights Dated October 25, 2022</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Date: October 25, 2022</w:t>
            </w:r>
          </w:p>
        </w:tc>
        <w:tc>
          <w:tcPr>
            <w:tcW w:w="5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Christopher T. Hatto, Vice President, Global Business Solutions and Chief Accounting</w:t>
            </w:r>
          </w:p>
        </w:tc>
      </w:t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r>
    </w:tbl>
    <w:p>
      <w:pPr>
        <w:sectPr>
          <w:pgSz w:w="11900" w:h="16838" w:orient="portrait"/>
          <w:cols w:equalWidth="0" w:num="1">
            <w:col w:w="11220"/>
          </w:cols>
          <w:pgMar w:left="340" w:top="91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jc w:val="center"/>
        <w:spacing w:after="0" w:line="208" w:lineRule="auto"/>
        <w:rPr>
          <w:sz w:val="20"/>
          <w:szCs w:val="20"/>
          <w:color w:val="auto"/>
        </w:rPr>
      </w:pPr>
      <w:r>
        <w:rPr>
          <w:rFonts w:ascii="Arial" w:cs="Arial" w:eastAsia="Arial" w:hAnsi="Arial"/>
          <w:sz w:val="13"/>
          <w:szCs w:val="13"/>
          <w:b w:val="1"/>
          <w:bCs w:val="1"/>
          <w:color w:val="auto"/>
        </w:rPr>
        <w:t>Supplemental Material</w:t>
      </w:r>
      <w:r>
        <w:rPr>
          <w:rFonts w:ascii="Arial" w:cs="Arial" w:eastAsia="Arial" w:hAnsi="Arial"/>
          <w:sz w:val="16"/>
          <w:szCs w:val="16"/>
          <w:b w:val="1"/>
          <w:bCs w:val="1"/>
          <w:color w:val="auto"/>
          <w:vertAlign w:val="superscript"/>
        </w:rPr>
        <w:t>1</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05" w:lineRule="exact"/>
        <w:rPr>
          <w:sz w:val="20"/>
          <w:szCs w:val="20"/>
          <w:color w:val="auto"/>
        </w:rPr>
      </w:pPr>
    </w:p>
    <w:p>
      <w:pPr>
        <w:jc w:val="both"/>
        <w:ind w:firstLine="127"/>
        <w:spacing w:after="0" w:line="254"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4"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9" w:lineRule="exact"/>
        <w:rPr>
          <w:sz w:val="20"/>
          <w:szCs w:val="20"/>
          <w:color w:val="auto"/>
        </w:rPr>
      </w:pPr>
    </w:p>
    <w:p>
      <w:pPr>
        <w:jc w:val="both"/>
        <w:ind w:firstLine="127"/>
        <w:spacing w:after="0" w:line="275" w:lineRule="auto"/>
        <w:rPr>
          <w:sz w:val="20"/>
          <w:szCs w:val="20"/>
          <w:color w:val="auto"/>
        </w:rPr>
      </w:pPr>
      <w:r>
        <w:rPr>
          <w:rFonts w:ascii="Arial" w:cs="Arial" w:eastAsia="Arial" w:hAnsi="Arial"/>
          <w:sz w:val="12"/>
          <w:szCs w:val="12"/>
          <w:b w:val="1"/>
          <w:bCs w:val="1"/>
          <w:i w:val="1"/>
          <w:iCs w:val="1"/>
          <w:color w:val="auto"/>
        </w:rPr>
        <w:t xml:space="preserve">EBIT-adjusted </w:t>
      </w:r>
      <w:r>
        <w:rPr>
          <w:rFonts w:ascii="Arial" w:cs="Arial" w:eastAsia="Arial" w:hAnsi="Arial"/>
          <w:sz w:val="12"/>
          <w:szCs w:val="12"/>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65"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65"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70"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________</w:t>
      </w:r>
    </w:p>
    <w:p>
      <w:pPr>
        <w:spacing w:after="0" w:line="172" w:lineRule="exact"/>
        <w:rPr>
          <w:sz w:val="20"/>
          <w:szCs w:val="20"/>
          <w:color w:val="auto"/>
        </w:rPr>
      </w:pPr>
    </w:p>
    <w:p>
      <w:pPr>
        <w:ind w:left="80" w:hanging="75"/>
        <w:spacing w:after="0"/>
        <w:tabs>
          <w:tab w:leader="none" w:pos="8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Certain columns and rows may not add due to rounding.</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22"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segment profit (loss)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80" w:type="dxa"/>
            <w:vAlign w:val="bottom"/>
            <w:gridSpan w:val="5"/>
          </w:tcPr>
          <w:p>
            <w:pPr>
              <w:ind w:left="980"/>
              <w:spacing w:after="0"/>
              <w:rPr>
                <w:sz w:val="20"/>
                <w:szCs w:val="20"/>
                <w:color w:val="auto"/>
              </w:rPr>
            </w:pPr>
            <w:r>
              <w:rPr>
                <w:rFonts w:ascii="Arial" w:cs="Arial" w:eastAsia="Arial" w:hAnsi="Arial"/>
                <w:sz w:val="10"/>
                <w:szCs w:val="10"/>
                <w:b w:val="1"/>
                <w:bCs w:val="1"/>
                <w:color w:val="auto"/>
              </w:rPr>
              <w:t>Three Months Ended</w:t>
            </w:r>
          </w:p>
        </w:tc>
        <w:tc>
          <w:tcPr>
            <w:tcW w:w="220" w:type="dxa"/>
            <w:vAlign w:val="bottom"/>
          </w:tcPr>
          <w:p>
            <w:pPr>
              <w:spacing w:after="0"/>
              <w:rPr>
                <w:sz w:val="12"/>
                <w:szCs w:val="12"/>
                <w:color w:val="auto"/>
              </w:rPr>
            </w:pPr>
          </w:p>
        </w:tc>
        <w:tc>
          <w:tcPr>
            <w:tcW w:w="3200" w:type="dxa"/>
            <w:vAlign w:val="bottom"/>
            <w:gridSpan w:val="4"/>
          </w:tcPr>
          <w:p>
            <w:pPr>
              <w:jc w:val="right"/>
              <w:ind w:right="1177"/>
              <w:spacing w:after="0"/>
              <w:rPr>
                <w:sz w:val="20"/>
                <w:szCs w:val="20"/>
                <w:color w:val="auto"/>
              </w:rPr>
            </w:pPr>
            <w:r>
              <w:rPr>
                <w:rFonts w:ascii="Arial" w:cs="Arial" w:eastAsia="Arial" w:hAnsi="Arial"/>
                <w:sz w:val="10"/>
                <w:szCs w:val="10"/>
                <w:b w:val="1"/>
                <w:bCs w:val="1"/>
                <w:color w:val="auto"/>
              </w:rPr>
              <w:t>Nine Months Ended</w:t>
            </w:r>
          </w:p>
        </w:tc>
      </w:tr>
      <w:tr>
        <w:trPr>
          <w:trHeight w:val="131"/>
        </w:trPr>
        <w:tc>
          <w:tcPr>
            <w:tcW w:w="43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2022</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September 30, 2022</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stockholders(a)</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8,278</w:t>
            </w:r>
          </w:p>
        </w:tc>
      </w:tr>
      <w:tr>
        <w:trPr>
          <w:trHeight w:val="169"/>
        </w:trPr>
        <w:tc>
          <w:tcPr>
            <w:tcW w:w="436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2,300</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r>
      <w:tr>
        <w:trPr>
          <w:trHeight w:val="169"/>
        </w:trPr>
        <w:tc>
          <w:tcPr>
            <w:tcW w:w="436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69"/>
        </w:trPr>
        <w:tc>
          <w:tcPr>
            <w:tcW w:w="4360" w:type="dxa"/>
            <w:vAlign w:val="bottom"/>
          </w:tcPr>
          <w:p>
            <w:pPr>
              <w:ind w:left="120"/>
              <w:spacing w:after="0"/>
              <w:rPr>
                <w:sz w:val="20"/>
                <w:szCs w:val="20"/>
                <w:color w:val="auto"/>
              </w:rPr>
            </w:pPr>
            <w:r>
              <w:rPr>
                <w:rFonts w:ascii="Arial" w:cs="Arial" w:eastAsia="Arial" w:hAnsi="Arial"/>
                <w:sz w:val="13"/>
                <w:szCs w:val="13"/>
                <w:color w:val="auto"/>
              </w:rPr>
              <w:t>Cruise compensation modifications(b)</w:t>
            </w:r>
          </w:p>
        </w:tc>
        <w:tc>
          <w:tcPr>
            <w:tcW w:w="2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matters(c)</w:t>
            </w:r>
          </w:p>
        </w:tc>
        <w:tc>
          <w:tcPr>
            <w:tcW w:w="2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4360" w:type="dxa"/>
            <w:vAlign w:val="bottom"/>
          </w:tcPr>
          <w:p>
            <w:pPr>
              <w:ind w:left="120"/>
              <w:spacing w:after="0"/>
              <w:rPr>
                <w:sz w:val="20"/>
                <w:szCs w:val="20"/>
                <w:color w:val="auto"/>
              </w:rPr>
            </w:pPr>
            <w:r>
              <w:rPr>
                <w:rFonts w:ascii="Arial" w:cs="Arial" w:eastAsia="Arial" w:hAnsi="Arial"/>
                <w:sz w:val="13"/>
                <w:szCs w:val="13"/>
                <w:color w:val="auto"/>
              </w:rPr>
              <w:t>Cadillac dealer strategy(d)</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175</w:t>
            </w:r>
          </w:p>
        </w:tc>
      </w:tr>
      <w:tr>
        <w:trPr>
          <w:trHeight w:val="180"/>
        </w:trPr>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Korea wage litigation(e)</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r>
      <w:tr>
        <w:trPr>
          <w:trHeight w:val="159"/>
        </w:trPr>
        <w:tc>
          <w:tcPr>
            <w:tcW w:w="436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20" w:type="dxa"/>
            <w:vAlign w:val="bottom"/>
          </w:tcPr>
          <w:p>
            <w:pPr>
              <w:spacing w:after="0"/>
              <w:rPr>
                <w:sz w:val="13"/>
                <w:szCs w:val="1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257</w:t>
            </w: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11,456</w:t>
            </w:r>
          </w:p>
        </w:tc>
      </w:tr>
      <w:tr>
        <w:trPr>
          <w:trHeight w:val="149"/>
        </w:trPr>
        <w:tc>
          <w:tcPr>
            <w:tcW w:w="4360" w:type="dxa"/>
            <w:vAlign w:val="bottom"/>
          </w:tcPr>
          <w:p>
            <w:pPr>
              <w:ind w:left="20"/>
              <w:spacing w:after="0" w:line="148" w:lineRule="exact"/>
              <w:rPr>
                <w:sz w:val="20"/>
                <w:szCs w:val="20"/>
                <w:color w:val="auto"/>
              </w:rPr>
            </w:pPr>
            <w:r>
              <w:rPr>
                <w:rFonts w:ascii="Arial" w:cs="Arial" w:eastAsia="Arial" w:hAnsi="Arial"/>
                <w:sz w:val="13"/>
                <w:szCs w:val="13"/>
                <w:color w:val="auto"/>
              </w:rPr>
              <w:t>Operating segments</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71"/>
        </w:trPr>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North America (GMNA)</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8,153</w:t>
            </w:r>
          </w:p>
        </w:tc>
      </w:tr>
      <w:tr>
        <w:trPr>
          <w:trHeight w:val="169"/>
        </w:trPr>
        <w:tc>
          <w:tcPr>
            <w:tcW w:w="4360" w:type="dxa"/>
            <w:vAlign w:val="bottom"/>
          </w:tcPr>
          <w:p>
            <w:pPr>
              <w:ind w:left="100"/>
              <w:spacing w:after="0"/>
              <w:rPr>
                <w:sz w:val="20"/>
                <w:szCs w:val="20"/>
                <w:color w:val="auto"/>
              </w:rPr>
            </w:pPr>
            <w:r>
              <w:rPr>
                <w:rFonts w:ascii="Arial" w:cs="Arial" w:eastAsia="Arial" w:hAnsi="Arial"/>
                <w:sz w:val="13"/>
                <w:szCs w:val="13"/>
                <w:color w:val="auto"/>
              </w:rPr>
              <w:t>GM International (GMI)</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552</w:t>
            </w:r>
          </w:p>
        </w:tc>
      </w:tr>
      <w:tr>
        <w:trPr>
          <w:trHeight w:val="171"/>
        </w:trPr>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Cruise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(847)</w:t>
            </w:r>
          </w:p>
        </w:tc>
      </w:tr>
      <w:tr>
        <w:trPr>
          <w:trHeight w:val="169"/>
        </w:trPr>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GM Financial(f)</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3,856</w:t>
            </w:r>
          </w:p>
        </w:tc>
      </w:tr>
      <w:tr>
        <w:trPr>
          <w:trHeight w:val="162"/>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11,714</w:t>
            </w:r>
          </w:p>
        </w:tc>
      </w:tr>
      <w:tr>
        <w:trPr>
          <w:trHeight w:val="16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eliminations(g)</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r>
      <w:tr>
        <w:trPr>
          <w:trHeight w:val="18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EBIT(loss)-adjusted</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11" w:lineRule="exact"/>
        <w:rPr>
          <w:rFonts w:ascii="Arial" w:cs="Arial" w:eastAsia="Arial" w:hAnsi="Arial"/>
          <w:sz w:val="11"/>
          <w:szCs w:val="11"/>
          <w:color w:val="auto"/>
        </w:rPr>
      </w:pPr>
    </w:p>
    <w:p>
      <w:pPr>
        <w:ind w:left="260" w:hanging="255"/>
        <w:spacing w:after="0" w:line="237" w:lineRule="auto"/>
        <w:tabs>
          <w:tab w:leader="none" w:pos="260" w:val="left"/>
        </w:tabs>
        <w:numPr>
          <w:ilvl w:val="0"/>
          <w:numId w:val="3"/>
        </w:numPr>
        <w:rPr>
          <w:rFonts w:ascii="Arial" w:cs="Arial" w:eastAsia="Arial" w:hAnsi="Arial"/>
          <w:sz w:val="13"/>
          <w:szCs w:val="13"/>
          <w:color w:val="auto"/>
        </w:rPr>
      </w:pPr>
      <w:r>
        <w:rPr>
          <w:rFonts w:ascii="Arial" w:cs="Arial" w:eastAsia="Arial" w:hAnsi="Arial"/>
          <w:sz w:val="11"/>
          <w:szCs w:val="11"/>
          <w:color w:val="auto"/>
        </w:rPr>
        <w:t>This adjustment was excluded because it relates to the resolution of substantially all royalty matters accrued with respect to past-year vehicle sales in the three months ended March 31, 2022</w:t>
      </w:r>
      <w:r>
        <w:rPr>
          <w:rFonts w:ascii="Times New Roman" w:cs="Times New Roman" w:eastAsia="Times New Roman" w:hAnsi="Times New Roman"/>
          <w:sz w:val="12"/>
          <w:szCs w:val="12"/>
          <w:color w:val="auto"/>
        </w:rPr>
        <w:t>.</w:t>
      </w: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(EV) strategy.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Korea Supreme Court decisions related to our salaried workers.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spacing w:after="0" w:line="11"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3"/>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Opel/Vauxhall Business (primarily pension costs), corporate expenditures and certain nonsegment 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702"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(loss) attributable to stockholders under U.S. GAAP to EBIT (loss)-adjusted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5"/>
          </w:tcPr>
          <w:p>
            <w:pPr>
              <w:ind w:left="260"/>
              <w:spacing w:after="0"/>
              <w:rPr>
                <w:sz w:val="20"/>
                <w:szCs w:val="20"/>
                <w:color w:val="auto"/>
              </w:rPr>
            </w:pPr>
            <w:r>
              <w:rPr>
                <w:rFonts w:ascii="Arial" w:cs="Arial" w:eastAsia="Arial" w:hAnsi="Arial"/>
                <w:sz w:val="10"/>
                <w:szCs w:val="10"/>
                <w:b w:val="1"/>
                <w:bCs w:val="1"/>
                <w:color w:val="auto"/>
              </w:rPr>
              <w:t>September 30,</w:t>
            </w:r>
          </w:p>
        </w:tc>
        <w:tc>
          <w:tcPr>
            <w:tcW w:w="16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4"/>
          </w:tcPr>
          <w:p>
            <w:pPr>
              <w:jc w:val="right"/>
              <w:ind w:right="377"/>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45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Income tax expense (benefit)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69"/>
        </w:trPr>
        <w:tc>
          <w:tcPr>
            <w:tcW w:w="45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Cruise compensation modifications(a)</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Patent royalty matters(b)</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GM Brazil indirect tax matters(c)</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Cadillac dealer strategy(d)</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9"/>
        </w:trPr>
        <w:tc>
          <w:tcPr>
            <w:tcW w:w="4540" w:type="dxa"/>
            <w:vAlign w:val="bottom"/>
          </w:tcPr>
          <w:p>
            <w:pPr>
              <w:ind w:left="120"/>
              <w:spacing w:after="0"/>
              <w:rPr>
                <w:sz w:val="20"/>
                <w:szCs w:val="20"/>
                <w:color w:val="auto"/>
              </w:rPr>
            </w:pPr>
            <w:r>
              <w:rPr>
                <w:rFonts w:ascii="Arial" w:cs="Arial" w:eastAsia="Arial" w:hAnsi="Arial"/>
                <w:sz w:val="13"/>
                <w:szCs w:val="13"/>
                <w:color w:val="auto"/>
              </w:rPr>
              <w:t>GMI restructuring(e)</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1"/>
        </w:trPr>
        <w:tc>
          <w:tcPr>
            <w:tcW w:w="4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Korea wage litigation(f)</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4540" w:type="dxa"/>
            <w:vAlign w:val="bottom"/>
          </w:tcPr>
          <w:p>
            <w:pPr>
              <w:ind w:left="120"/>
              <w:spacing w:after="0" w:line="128" w:lineRule="exact"/>
              <w:rPr>
                <w:sz w:val="20"/>
                <w:szCs w:val="20"/>
                <w:color w:val="auto"/>
              </w:rPr>
            </w:pPr>
            <w:r>
              <w:rPr>
                <w:rFonts w:ascii="Arial" w:cs="Arial" w:eastAsia="Arial" w:hAnsi="Arial"/>
                <w:sz w:val="13"/>
                <w:szCs w:val="13"/>
                <w:color w:val="auto"/>
              </w:rPr>
              <w:t>Ignition switch recall and related legal</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68"/>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matters(g)</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2"/>
        </w:trPr>
        <w:tc>
          <w:tcPr>
            <w:tcW w:w="4540" w:type="dxa"/>
            <w:vAlign w:val="bottom"/>
          </w:tcPr>
          <w:p>
            <w:pPr>
              <w:ind w:left="20"/>
              <w:spacing w:after="0"/>
              <w:rPr>
                <w:sz w:val="20"/>
                <w:szCs w:val="20"/>
                <w:color w:val="auto"/>
              </w:rPr>
            </w:pPr>
            <w:r>
              <w:rPr>
                <w:rFonts w:ascii="Arial" w:cs="Arial" w:eastAsia="Arial" w:hAnsi="Arial"/>
                <w:sz w:val="13"/>
                <w:szCs w:val="13"/>
                <w:color w:val="auto"/>
              </w:rPr>
              <w:t>EBIT (loss)-adjusted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4,287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2,343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4,417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3,712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settlement with third parties in the three months ended December 31, 2021 relating to retrospective recoveries of indirect taxes in Brazil realized in prior periods.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EV strategy.</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This adjustment primarily consists of employee separation charges in the three months ended December 31, 2020.</w:t>
      </w: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Korea Supreme Court decisions related to our salaried workers.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702"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Nine Months Ended</w:t>
            </w: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31"/>
        </w:trPr>
        <w:tc>
          <w:tcPr>
            <w:tcW w:w="39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rPr>
              <w:t>September 30, 2022</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0"/>
                <w:szCs w:val="10"/>
                <w:b w:val="1"/>
                <w:bCs w:val="1"/>
                <w:color w:val="auto"/>
              </w:rPr>
              <w:t>September 30, 2021</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September 30, 2022</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0"/>
                <w:szCs w:val="10"/>
                <w:b w:val="1"/>
                <w:bCs w:val="1"/>
                <w:color w:val="auto"/>
              </w:rPr>
              <w:t>September 30, 2021</w:t>
            </w:r>
          </w:p>
        </w:tc>
      </w:tr>
      <w:tr>
        <w:trPr>
          <w:trHeight w:val="113"/>
        </w:trPr>
        <w:tc>
          <w:tcPr>
            <w:tcW w:w="3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76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8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880" w:type="dxa"/>
            <w:vAlign w:val="bottom"/>
            <w:gridSpan w:val="2"/>
          </w:tcPr>
          <w:p>
            <w:pPr>
              <w:ind w:left="60"/>
              <w:spacing w:after="0"/>
              <w:rPr>
                <w:sz w:val="20"/>
                <w:szCs w:val="20"/>
                <w:color w:val="auto"/>
              </w:rPr>
            </w:pPr>
            <w:r>
              <w:rPr>
                <w:rFonts w:ascii="Arial" w:cs="Arial" w:eastAsia="Arial" w:hAnsi="Arial"/>
                <w:sz w:val="8"/>
                <w:szCs w:val="8"/>
                <w:b w:val="1"/>
                <w:bCs w:val="1"/>
                <w:color w:val="auto"/>
              </w:rPr>
              <w:t>Per Share</w:t>
            </w:r>
          </w:p>
        </w:tc>
        <w:tc>
          <w:tcPr>
            <w:tcW w:w="18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40" w:type="dxa"/>
            <w:vAlign w:val="bottom"/>
          </w:tcPr>
          <w:p>
            <w:pPr>
              <w:spacing w:after="0"/>
              <w:rPr>
                <w:sz w:val="9"/>
                <w:szCs w:val="9"/>
                <w:color w:val="auto"/>
              </w:rPr>
            </w:pPr>
          </w:p>
        </w:tc>
        <w:tc>
          <w:tcPr>
            <w:tcW w:w="780" w:type="dxa"/>
            <w:vAlign w:val="bottom"/>
            <w:gridSpan w:val="2"/>
          </w:tcPr>
          <w:p>
            <w:pPr>
              <w:ind w:left="80"/>
              <w:spacing w:after="0"/>
              <w:rPr>
                <w:sz w:val="20"/>
                <w:szCs w:val="20"/>
                <w:color w:val="auto"/>
              </w:rPr>
            </w:pPr>
            <w:r>
              <w:rPr>
                <w:rFonts w:ascii="Arial" w:cs="Arial" w:eastAsia="Arial" w:hAnsi="Arial"/>
                <w:sz w:val="8"/>
                <w:szCs w:val="8"/>
                <w:b w:val="1"/>
                <w:bCs w:val="1"/>
                <w:color w:val="auto"/>
              </w:rPr>
              <w:t>Per Share</w:t>
            </w:r>
          </w:p>
        </w:tc>
        <w:tc>
          <w:tcPr>
            <w:tcW w:w="160" w:type="dxa"/>
            <w:vAlign w:val="bottom"/>
          </w:tcPr>
          <w:p>
            <w:pPr>
              <w:spacing w:after="0"/>
              <w:rPr>
                <w:sz w:val="9"/>
                <w:szCs w:val="9"/>
                <w:color w:val="auto"/>
              </w:rPr>
            </w:pPr>
          </w:p>
        </w:tc>
        <w:tc>
          <w:tcPr>
            <w:tcW w:w="740" w:type="dxa"/>
            <w:vAlign w:val="bottom"/>
            <w:gridSpan w:val="2"/>
          </w:tcPr>
          <w:p>
            <w:pPr>
              <w:ind w:left="80"/>
              <w:spacing w:after="0"/>
              <w:rPr>
                <w:sz w:val="20"/>
                <w:szCs w:val="20"/>
                <w:color w:val="auto"/>
              </w:rPr>
            </w:pPr>
            <w:r>
              <w:rPr>
                <w:rFonts w:ascii="Arial" w:cs="Arial" w:eastAsia="Arial" w:hAnsi="Arial"/>
                <w:sz w:val="8"/>
                <w:szCs w:val="8"/>
                <w:b w:val="1"/>
                <w:bCs w:val="1"/>
                <w:color w:val="auto"/>
              </w:rPr>
              <w:t>Amount</w:t>
            </w:r>
          </w:p>
        </w:tc>
        <w:tc>
          <w:tcPr>
            <w:tcW w:w="160" w:type="dxa"/>
            <w:vAlign w:val="bottom"/>
          </w:tcPr>
          <w:p>
            <w:pPr>
              <w:spacing w:after="0"/>
              <w:rPr>
                <w:sz w:val="9"/>
                <w:szCs w:val="9"/>
                <w:color w:val="auto"/>
              </w:rPr>
            </w:pPr>
          </w:p>
        </w:tc>
        <w:tc>
          <w:tcPr>
            <w:tcW w:w="680" w:type="dxa"/>
            <w:vAlign w:val="bottom"/>
          </w:tcPr>
          <w:p>
            <w:pPr>
              <w:jc w:val="right"/>
              <w:ind w:right="158"/>
              <w:spacing w:after="0"/>
              <w:rPr>
                <w:sz w:val="20"/>
                <w:szCs w:val="20"/>
                <w:color w:val="auto"/>
              </w:rPr>
            </w:pPr>
            <w:r>
              <w:rPr>
                <w:rFonts w:ascii="Arial" w:cs="Arial" w:eastAsia="Arial" w:hAnsi="Arial"/>
                <w:sz w:val="8"/>
                <w:szCs w:val="8"/>
                <w:b w:val="1"/>
                <w:bCs w:val="1"/>
                <w:color w:val="auto"/>
              </w:rPr>
              <w:t>Per Share</w:t>
            </w:r>
          </w:p>
        </w:tc>
      </w:tr>
      <w:tr>
        <w:trPr>
          <w:trHeight w:val="167"/>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6,931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center"/>
              <w:ind w:left="261"/>
              <w:spacing w:after="0"/>
              <w:rPr>
                <w:sz w:val="20"/>
                <w:szCs w:val="20"/>
                <w:color w:val="auto"/>
              </w:rPr>
            </w:pPr>
            <w:r>
              <w:rPr>
                <w:rFonts w:ascii="Arial" w:cs="Arial" w:eastAsia="Arial" w:hAnsi="Arial"/>
                <w:sz w:val="13"/>
                <w:szCs w:val="13"/>
                <w:color w:val="auto"/>
                <w:w w:val="94"/>
              </w:rPr>
              <w:t>4.73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w:t>
            </w:r>
          </w:p>
        </w:tc>
      </w:tr>
      <w:tr>
        <w:trPr>
          <w:trHeight w:val="169"/>
        </w:trPr>
        <w:tc>
          <w:tcPr>
            <w:tcW w:w="3920" w:type="dxa"/>
            <w:vAlign w:val="bottom"/>
          </w:tcPr>
          <w:p>
            <w:pPr>
              <w:spacing w:after="0"/>
              <w:rPr>
                <w:sz w:val="20"/>
                <w:szCs w:val="20"/>
                <w:color w:val="auto"/>
              </w:rPr>
            </w:pPr>
            <w:r>
              <w:rPr>
                <w:rFonts w:ascii="Arial" w:cs="Arial" w:eastAsia="Arial" w:hAnsi="Arial"/>
                <w:sz w:val="13"/>
                <w:szCs w:val="13"/>
                <w:color w:val="auto"/>
              </w:rPr>
              <w:t>Adjustments(a)</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left="261"/>
              <w:spacing w:after="0"/>
              <w:rPr>
                <w:sz w:val="20"/>
                <w:szCs w:val="20"/>
                <w:color w:val="auto"/>
              </w:rPr>
            </w:pPr>
            <w:r>
              <w:rPr>
                <w:rFonts w:ascii="Arial" w:cs="Arial" w:eastAsia="Arial" w:hAnsi="Arial"/>
                <w:sz w:val="13"/>
                <w:szCs w:val="13"/>
                <w:color w:val="auto"/>
                <w:w w:val="94"/>
              </w:rPr>
              <w:t>0.65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0.18</w:t>
            </w:r>
          </w:p>
        </w:tc>
      </w:tr>
      <w:tr>
        <w:trPr>
          <w:trHeight w:val="171"/>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Tax effect on adjustments(b)</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241"/>
              <w:spacing w:after="0"/>
              <w:rPr>
                <w:sz w:val="20"/>
                <w:szCs w:val="20"/>
                <w:color w:val="auto"/>
              </w:rPr>
            </w:pPr>
            <w:r>
              <w:rPr>
                <w:rFonts w:ascii="Arial" w:cs="Arial" w:eastAsia="Arial" w:hAnsi="Arial"/>
                <w:sz w:val="13"/>
                <w:szCs w:val="13"/>
                <w:color w:val="auto"/>
                <w:w w:val="99"/>
              </w:rPr>
              <w:t>(0.20)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r>
      <w:tr>
        <w:trPr>
          <w:trHeight w:val="169"/>
        </w:trPr>
        <w:tc>
          <w:tcPr>
            <w:tcW w:w="3920" w:type="dxa"/>
            <w:vAlign w:val="bottom"/>
          </w:tcPr>
          <w:p>
            <w:pPr>
              <w:spacing w:after="0"/>
              <w:rPr>
                <w:sz w:val="20"/>
                <w:szCs w:val="20"/>
                <w:color w:val="auto"/>
              </w:rPr>
            </w:pPr>
            <w:r>
              <w:rPr>
                <w:rFonts w:ascii="Arial" w:cs="Arial" w:eastAsia="Arial" w:hAnsi="Arial"/>
                <w:sz w:val="13"/>
                <w:szCs w:val="13"/>
                <w:color w:val="auto"/>
              </w:rPr>
              <w:t>Tax adjustments(c)</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left="241"/>
              <w:spacing w:after="0"/>
              <w:rPr>
                <w:sz w:val="20"/>
                <w:szCs w:val="20"/>
                <w:color w:val="auto"/>
              </w:rPr>
            </w:pPr>
            <w:r>
              <w:rPr>
                <w:rFonts w:ascii="Arial" w:cs="Arial" w:eastAsia="Arial" w:hAnsi="Arial"/>
                <w:sz w:val="13"/>
                <w:szCs w:val="13"/>
                <w:color w:val="auto"/>
                <w:w w:val="99"/>
              </w:rPr>
              <w:t>(0.33)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0.03</w:t>
            </w:r>
          </w:p>
        </w:tc>
      </w:tr>
      <w:tr>
        <w:trPr>
          <w:trHeight w:val="182"/>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Deemed dividend adjustment(d)</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261"/>
              <w:spacing w:after="0"/>
              <w:rPr>
                <w:sz w:val="20"/>
                <w:szCs w:val="20"/>
                <w:color w:val="auto"/>
              </w:rPr>
            </w:pPr>
            <w:r>
              <w:rPr>
                <w:rFonts w:ascii="Arial" w:cs="Arial" w:eastAsia="Arial" w:hAnsi="Arial"/>
                <w:sz w:val="13"/>
                <w:szCs w:val="13"/>
                <w:color w:val="auto"/>
                <w:w w:val="94"/>
              </w:rPr>
              <w:t>0.62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920" w:type="dxa"/>
            <w:vAlign w:val="bottom"/>
          </w:tcPr>
          <w:p>
            <w:pPr>
              <w:spacing w:after="0"/>
              <w:rPr>
                <w:sz w:val="20"/>
                <w:szCs w:val="20"/>
                <w:color w:val="auto"/>
              </w:rPr>
            </w:pPr>
            <w:r>
              <w:rPr>
                <w:rFonts w:ascii="Arial" w:cs="Arial" w:eastAsia="Arial" w:hAnsi="Arial"/>
                <w:sz w:val="13"/>
                <w:szCs w:val="13"/>
                <w:color w:val="auto"/>
              </w:rPr>
              <w:t>EPS-diluted-adjusted</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3,278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color w:val="auto"/>
              </w:rPr>
              <w:t>8,019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center"/>
              <w:ind w:left="261"/>
              <w:spacing w:after="0"/>
              <w:rPr>
                <w:sz w:val="20"/>
                <w:szCs w:val="20"/>
                <w:color w:val="auto"/>
              </w:rPr>
            </w:pPr>
            <w:r>
              <w:rPr>
                <w:rFonts w:ascii="Arial" w:cs="Arial" w:eastAsia="Arial" w:hAnsi="Arial"/>
                <w:sz w:val="13"/>
                <w:szCs w:val="13"/>
                <w:color w:val="auto"/>
                <w:w w:val="94"/>
              </w:rPr>
              <w:t>5.48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8,400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w:t>
            </w: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w:t>
      </w: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 w:lineRule="exact"/>
        <w:rPr>
          <w:rFonts w:ascii="Arial" w:cs="Arial" w:eastAsia="Arial" w:hAnsi="Arial"/>
          <w:sz w:val="11"/>
          <w:szCs w:val="11"/>
          <w:color w:val="auto"/>
        </w:rPr>
      </w:pPr>
    </w:p>
    <w:p>
      <w:pPr>
        <w:jc w:val="both"/>
        <w:ind w:left="260" w:hanging="255"/>
        <w:spacing w:after="0" w:line="257" w:lineRule="auto"/>
        <w:tabs>
          <w:tab w:leader="none" w:pos="254"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These adjustments consist of tax benefit related to the release of a valuation allowance against deferred tax assets considered realizable as a result of Cruise tax reconsolidation in the nine months ended September 30, 2022, tax benefit related to a deduction for an investment in a subsidiary in the three months ended September 30, 2021 and tax expense related to the establishment of a valuation allowance against Cruise deferred tax assets in the nine months ended September 30, 2021. These adjustments were excluded because of the unique nature of these events and significant impacts of valuation allowances are not considered part of our core operations.</w:t>
      </w:r>
    </w:p>
    <w:p>
      <w:pPr>
        <w:spacing w:after="0" w:line="124" w:lineRule="exact"/>
        <w:rPr>
          <w:rFonts w:ascii="Arial" w:cs="Arial" w:eastAsia="Arial" w:hAnsi="Arial"/>
          <w:sz w:val="11"/>
          <w:szCs w:val="11"/>
          <w:color w:val="auto"/>
        </w:rPr>
      </w:pPr>
    </w:p>
    <w:p>
      <w:pPr>
        <w:ind w:left="240" w:hanging="235"/>
        <w:spacing w:after="0"/>
        <w:tabs>
          <w:tab w:leader="none" w:pos="2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This adjustment consists of a deemed dividend related to the redemption of Cruise preferred shares from SoftBank in the nine months ended September 30, 2022.</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1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4"/>
          </w:tcPr>
          <w:p>
            <w:pPr>
              <w:ind w:left="320"/>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ind w:left="320"/>
              <w:spacing w:after="0"/>
              <w:rPr>
                <w:sz w:val="20"/>
                <w:szCs w:val="20"/>
                <w:color w:val="auto"/>
              </w:rPr>
            </w:pPr>
            <w:r>
              <w:rPr>
                <w:rFonts w:ascii="Arial" w:cs="Arial" w:eastAsia="Arial" w:hAnsi="Arial"/>
                <w:sz w:val="10"/>
                <w:szCs w:val="10"/>
                <w:b w:val="1"/>
                <w:bCs w:val="1"/>
                <w:color w:val="auto"/>
              </w:rPr>
              <w:t>Nine Months Ended</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7"/>
          </w:tcPr>
          <w:p>
            <w:pPr>
              <w:spacing w:after="0"/>
              <w:rPr>
                <w:sz w:val="20"/>
                <w:szCs w:val="20"/>
                <w:color w:val="auto"/>
              </w:rPr>
            </w:pPr>
            <w:r>
              <w:rPr>
                <w:rFonts w:ascii="Arial" w:cs="Arial" w:eastAsia="Arial" w:hAnsi="Arial"/>
                <w:sz w:val="10"/>
                <w:szCs w:val="10"/>
                <w:b w:val="1"/>
                <w:bCs w:val="1"/>
                <w:color w:val="auto"/>
              </w:rPr>
              <w:t>September 30, 2022</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gridSpan w:val="6"/>
          </w:tcPr>
          <w:p>
            <w:pPr>
              <w:jc w:val="right"/>
              <w:ind w:right="638"/>
              <w:spacing w:after="0"/>
              <w:rPr>
                <w:sz w:val="20"/>
                <w:szCs w:val="20"/>
                <w:color w:val="auto"/>
              </w:rPr>
            </w:pPr>
            <w:r>
              <w:rPr>
                <w:rFonts w:ascii="Arial" w:cs="Arial" w:eastAsia="Arial" w:hAnsi="Arial"/>
                <w:sz w:val="10"/>
                <w:szCs w:val="10"/>
                <w:b w:val="1"/>
                <w:bCs w:val="1"/>
                <w:color w:val="auto"/>
              </w:rPr>
              <w:t>September 30, 2021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6"/>
          </w:tcPr>
          <w:p>
            <w:pPr>
              <w:jc w:val="center"/>
              <w:spacing w:after="0"/>
              <w:rPr>
                <w:sz w:val="20"/>
                <w:szCs w:val="20"/>
                <w:color w:val="auto"/>
              </w:rPr>
            </w:pPr>
            <w:r>
              <w:rPr>
                <w:rFonts w:ascii="Arial" w:cs="Arial" w:eastAsia="Arial" w:hAnsi="Arial"/>
                <w:sz w:val="10"/>
                <w:szCs w:val="10"/>
                <w:b w:val="1"/>
                <w:bCs w:val="1"/>
                <w:color w:val="auto"/>
                <w:w w:val="98"/>
              </w:rPr>
              <w:t>September 30, 2022</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6"/>
          </w:tcPr>
          <w:p>
            <w:pPr>
              <w:jc w:val="center"/>
              <w:spacing w:after="0"/>
              <w:rPr>
                <w:sz w:val="20"/>
                <w:szCs w:val="20"/>
                <w:color w:val="auto"/>
              </w:rPr>
            </w:pPr>
            <w:r>
              <w:rPr>
                <w:rFonts w:ascii="Arial" w:cs="Arial" w:eastAsia="Arial" w:hAnsi="Arial"/>
                <w:sz w:val="10"/>
                <w:szCs w:val="10"/>
                <w:b w:val="1"/>
                <w:bCs w:val="1"/>
                <w:color w:val="auto"/>
                <w:w w:val="98"/>
              </w:rPr>
              <w:t>September 30, 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40" w:type="dxa"/>
            <w:vAlign w:val="bottom"/>
          </w:tcPr>
          <w:p>
            <w:pPr>
              <w:spacing w:after="0"/>
              <w:rPr>
                <w:sz w:val="6"/>
                <w:szCs w:val="6"/>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jc w:val="right"/>
              <w:ind w:right="45"/>
              <w:spacing w:after="0" w:line="77" w:lineRule="exact"/>
              <w:rPr>
                <w:sz w:val="20"/>
                <w:szCs w:val="20"/>
                <w:color w:val="auto"/>
              </w:rPr>
            </w:pPr>
            <w:r>
              <w:rPr>
                <w:rFonts w:ascii="Arial" w:cs="Arial" w:eastAsia="Arial" w:hAnsi="Arial"/>
                <w:sz w:val="8"/>
                <w:szCs w:val="8"/>
                <w:b w:val="1"/>
                <w:bCs w:val="1"/>
                <w:color w:val="auto"/>
              </w:rPr>
              <w:t>Income tax</w:t>
            </w:r>
          </w:p>
        </w:tc>
        <w:tc>
          <w:tcPr>
            <w:tcW w:w="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jc w:val="right"/>
              <w:ind w:right="45"/>
              <w:spacing w:after="0" w:line="77" w:lineRule="exact"/>
              <w:rPr>
                <w:sz w:val="20"/>
                <w:szCs w:val="20"/>
                <w:color w:val="auto"/>
              </w:rPr>
            </w:pPr>
            <w:r>
              <w:rPr>
                <w:rFonts w:ascii="Arial" w:cs="Arial" w:eastAsia="Arial" w:hAnsi="Arial"/>
                <w:sz w:val="8"/>
                <w:szCs w:val="8"/>
                <w:b w:val="1"/>
                <w:bCs w:val="1"/>
                <w:color w:val="auto"/>
              </w:rPr>
              <w:t>Income tax</w:t>
            </w: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3"/>
          </w:tcPr>
          <w:p>
            <w:pPr>
              <w:jc w:val="center"/>
              <w:ind w:right="220"/>
              <w:spacing w:after="0" w:line="77" w:lineRule="exact"/>
              <w:rPr>
                <w:sz w:val="20"/>
                <w:szCs w:val="20"/>
                <w:color w:val="auto"/>
              </w:rPr>
            </w:pPr>
            <w:r>
              <w:rPr>
                <w:rFonts w:ascii="Arial" w:cs="Arial" w:eastAsia="Arial" w:hAnsi="Arial"/>
                <w:sz w:val="8"/>
                <w:szCs w:val="8"/>
                <w:b w:val="1"/>
                <w:bCs w:val="1"/>
                <w:color w:val="auto"/>
              </w:rPr>
              <w:t>Income tax</w:t>
            </w: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b w:val="1"/>
                <w:bCs w:val="1"/>
                <w:color w:val="auto"/>
              </w:rPr>
              <w:t>Income before</w:t>
            </w:r>
          </w:p>
        </w:tc>
        <w:tc>
          <w:tcPr>
            <w:tcW w:w="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3"/>
          </w:tcPr>
          <w:p>
            <w:pPr>
              <w:jc w:val="center"/>
              <w:ind w:right="260"/>
              <w:spacing w:after="0" w:line="77" w:lineRule="exact"/>
              <w:rPr>
                <w:sz w:val="20"/>
                <w:szCs w:val="20"/>
                <w:color w:val="auto"/>
              </w:rPr>
            </w:pPr>
            <w:r>
              <w:rPr>
                <w:rFonts w:ascii="Arial" w:cs="Arial" w:eastAsia="Arial" w:hAnsi="Arial"/>
                <w:sz w:val="8"/>
                <w:szCs w:val="8"/>
                <w:b w:val="1"/>
                <w:bCs w:val="1"/>
                <w:color w:val="auto"/>
              </w:rPr>
              <w:t>Income tax</w:t>
            </w: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6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ind w:right="105"/>
              <w:spacing w:after="0" w:line="85" w:lineRule="exact"/>
              <w:rPr>
                <w:sz w:val="20"/>
                <w:szCs w:val="20"/>
                <w:color w:val="auto"/>
              </w:rPr>
            </w:pPr>
            <w:r>
              <w:rPr>
                <w:rFonts w:ascii="Arial" w:cs="Arial" w:eastAsia="Arial" w:hAnsi="Arial"/>
                <w:sz w:val="8"/>
                <w:szCs w:val="8"/>
                <w:b w:val="1"/>
                <w:bCs w:val="1"/>
                <w:color w:val="auto"/>
              </w:rPr>
              <w:t>expense</w:t>
            </w:r>
          </w:p>
        </w:tc>
        <w:tc>
          <w:tcPr>
            <w:tcW w:w="80" w:type="dxa"/>
            <w:vAlign w:val="bottom"/>
          </w:tcPr>
          <w:p>
            <w:pPr>
              <w:spacing w:after="0"/>
              <w:rPr>
                <w:sz w:val="7"/>
                <w:szCs w:val="7"/>
                <w:color w:val="auto"/>
              </w:rPr>
            </w:pPr>
          </w:p>
        </w:tc>
        <w:tc>
          <w:tcPr>
            <w:tcW w:w="760" w:type="dxa"/>
            <w:vAlign w:val="bottom"/>
            <w:vMerge w:val="restart"/>
          </w:tcPr>
          <w:p>
            <w:pPr>
              <w:ind w:left="40"/>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vMerge w:val="restart"/>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jc w:val="right"/>
              <w:ind w:right="85"/>
              <w:spacing w:after="0" w:line="85" w:lineRule="exact"/>
              <w:rPr>
                <w:sz w:val="20"/>
                <w:szCs w:val="20"/>
                <w:color w:val="auto"/>
              </w:rPr>
            </w:pPr>
            <w:r>
              <w:rPr>
                <w:rFonts w:ascii="Arial" w:cs="Arial" w:eastAsia="Arial" w:hAnsi="Arial"/>
                <w:sz w:val="8"/>
                <w:szCs w:val="8"/>
                <w:b w:val="1"/>
                <w:bCs w:val="1"/>
                <w:color w:val="auto"/>
              </w:rPr>
              <w:t>expense</w:t>
            </w:r>
          </w:p>
        </w:tc>
        <w:tc>
          <w:tcPr>
            <w:tcW w:w="100" w:type="dxa"/>
            <w:vAlign w:val="bottom"/>
          </w:tcPr>
          <w:p>
            <w:pPr>
              <w:spacing w:after="0"/>
              <w:rPr>
                <w:sz w:val="7"/>
                <w:szCs w:val="7"/>
                <w:color w:val="auto"/>
              </w:rPr>
            </w:pPr>
          </w:p>
        </w:tc>
        <w:tc>
          <w:tcPr>
            <w:tcW w:w="78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Effective tax rate</w:t>
            </w:r>
          </w:p>
        </w:tc>
        <w:tc>
          <w:tcPr>
            <w:tcW w:w="8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3"/>
          </w:tcPr>
          <w:p>
            <w:pPr>
              <w:jc w:val="center"/>
              <w:ind w:right="240"/>
              <w:spacing w:after="0" w:line="85" w:lineRule="exact"/>
              <w:rPr>
                <w:sz w:val="20"/>
                <w:szCs w:val="20"/>
                <w:color w:val="auto"/>
              </w:rPr>
            </w:pPr>
            <w:r>
              <w:rPr>
                <w:rFonts w:ascii="Arial" w:cs="Arial" w:eastAsia="Arial" w:hAnsi="Arial"/>
                <w:sz w:val="8"/>
                <w:szCs w:val="8"/>
                <w:b w:val="1"/>
                <w:bCs w:val="1"/>
                <w:color w:val="auto"/>
              </w:rPr>
              <w:t>expense</w:t>
            </w:r>
          </w:p>
        </w:tc>
        <w:tc>
          <w:tcPr>
            <w:tcW w:w="740" w:type="dxa"/>
            <w:vAlign w:val="bottom"/>
            <w:vMerge w:val="restart"/>
          </w:tcPr>
          <w:p>
            <w:pPr>
              <w:spacing w:after="0"/>
              <w:rPr>
                <w:sz w:val="20"/>
                <w:szCs w:val="20"/>
                <w:color w:val="auto"/>
              </w:rPr>
            </w:pPr>
            <w:r>
              <w:rPr>
                <w:rFonts w:ascii="Arial" w:cs="Arial" w:eastAsia="Arial" w:hAnsi="Arial"/>
                <w:sz w:val="8"/>
                <w:szCs w:val="8"/>
                <w:b w:val="1"/>
                <w:bCs w:val="1"/>
                <w:color w:val="auto"/>
              </w:rPr>
              <w:t>Effective tax rate</w:t>
            </w: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3"/>
          </w:tcPr>
          <w:p>
            <w:pPr>
              <w:jc w:val="center"/>
              <w:ind w:right="240"/>
              <w:spacing w:after="0" w:line="85" w:lineRule="exact"/>
              <w:rPr>
                <w:sz w:val="20"/>
                <w:szCs w:val="20"/>
                <w:color w:val="auto"/>
              </w:rPr>
            </w:pPr>
            <w:r>
              <w:rPr>
                <w:rFonts w:ascii="Arial" w:cs="Arial" w:eastAsia="Arial" w:hAnsi="Arial"/>
                <w:sz w:val="8"/>
                <w:szCs w:val="8"/>
                <w:b w:val="1"/>
                <w:bCs w:val="1"/>
                <w:color w:val="auto"/>
              </w:rPr>
              <w:t>expense</w:t>
            </w:r>
          </w:p>
        </w:tc>
        <w:tc>
          <w:tcPr>
            <w:tcW w:w="740" w:type="dxa"/>
            <w:vAlign w:val="bottom"/>
            <w:vMerge w:val="restart"/>
          </w:tcPr>
          <w:p>
            <w:pPr>
              <w:jc w:val="right"/>
              <w:ind w:right="3"/>
              <w:spacing w:after="0"/>
              <w:rPr>
                <w:sz w:val="20"/>
                <w:szCs w:val="20"/>
                <w:color w:val="auto"/>
              </w:rPr>
            </w:pPr>
            <w:r>
              <w:rPr>
                <w:rFonts w:ascii="Arial" w:cs="Arial" w:eastAsia="Arial" w:hAnsi="Arial"/>
                <w:sz w:val="8"/>
                <w:szCs w:val="8"/>
                <w:b w:val="1"/>
                <w:bCs w:val="1"/>
                <w:color w:val="auto"/>
              </w:rPr>
              <w:t>Effective tax rate</w:t>
            </w:r>
          </w:p>
        </w:tc>
        <w:tc>
          <w:tcPr>
            <w:tcW w:w="0" w:type="dxa"/>
            <w:vAlign w:val="bottom"/>
          </w:tcPr>
          <w:p>
            <w:pPr>
              <w:spacing w:after="0"/>
              <w:rPr>
                <w:sz w:val="1"/>
                <w:szCs w:val="1"/>
                <w:color w:val="auto"/>
              </w:rPr>
            </w:pPr>
          </w:p>
        </w:tc>
      </w:tr>
      <w:tr>
        <w:trPr>
          <w:trHeight w:val="121"/>
        </w:trPr>
        <w:tc>
          <w:tcPr>
            <w:tcW w:w="164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income taxes</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5"/>
              <w:spacing w:after="0"/>
              <w:rPr>
                <w:sz w:val="20"/>
                <w:szCs w:val="20"/>
                <w:color w:val="auto"/>
              </w:rPr>
            </w:pPr>
            <w:r>
              <w:rPr>
                <w:rFonts w:ascii="Arial" w:cs="Arial" w:eastAsia="Arial" w:hAnsi="Arial"/>
                <w:sz w:val="8"/>
                <w:szCs w:val="8"/>
                <w:b w:val="1"/>
                <w:bCs w:val="1"/>
                <w:color w:val="auto"/>
              </w:rPr>
              <w:t>(benefit)</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income taxes</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8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8"/>
                <w:szCs w:val="8"/>
                <w:b w:val="1"/>
                <w:bCs w:val="1"/>
                <w:color w:val="auto"/>
              </w:rPr>
              <w:t>income taxes</w:t>
            </w: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8"/>
                <w:szCs w:val="8"/>
                <w:b w:val="1"/>
                <w:bCs w:val="1"/>
                <w:color w:val="auto"/>
              </w:rPr>
              <w:t>income taxes</w:t>
            </w: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8"/>
                <w:szCs w:val="8"/>
                <w:b w:val="1"/>
                <w:bCs w:val="1"/>
                <w:color w:val="auto"/>
              </w:rPr>
              <w:t>(benefit)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Effective tax rate</w:t>
            </w:r>
          </w:p>
        </w:tc>
        <w:tc>
          <w:tcPr>
            <w:tcW w:w="180" w:type="dxa"/>
            <w:vAlign w:val="bottom"/>
            <w:shd w:val="clear" w:color="auto" w:fill="CCEEFF"/>
          </w:tcPr>
          <w:p>
            <w:pPr>
              <w:jc w:val="right"/>
              <w:ind w:right="4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845</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w w:val="98"/>
              </w:rPr>
              <w:t>20.6 %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7"/>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152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1,308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ind w:left="320"/>
              <w:spacing w:after="0"/>
              <w:rPr>
                <w:sz w:val="20"/>
                <w:szCs w:val="20"/>
                <w:color w:val="auto"/>
              </w:rPr>
            </w:pPr>
            <w:r>
              <w:rPr>
                <w:rFonts w:ascii="Arial" w:cs="Arial" w:eastAsia="Arial" w:hAnsi="Arial"/>
                <w:sz w:val="13"/>
                <w:szCs w:val="13"/>
                <w:color w:val="auto"/>
                <w:w w:val="98"/>
              </w:rPr>
              <w:t>14.5 %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3"/>
                <w:szCs w:val="13"/>
                <w:color w:val="auto"/>
              </w:rPr>
              <w:t>2,300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0" w:type="dxa"/>
            <w:vAlign w:val="bottom"/>
          </w:tcPr>
          <w:p>
            <w:pPr>
              <w:spacing w:after="0"/>
              <w:rPr>
                <w:sz w:val="1"/>
                <w:szCs w:val="1"/>
                <w:color w:val="auto"/>
              </w:rPr>
            </w:pPr>
          </w:p>
        </w:tc>
      </w:tr>
      <w:tr>
        <w:trPr>
          <w:trHeight w:val="169"/>
        </w:trPr>
        <w:tc>
          <w:tcPr>
            <w:tcW w:w="1640" w:type="dxa"/>
            <w:vAlign w:val="bottom"/>
          </w:tcPr>
          <w:p>
            <w:pPr>
              <w:spacing w:after="0"/>
              <w:rPr>
                <w:sz w:val="20"/>
                <w:szCs w:val="20"/>
                <w:color w:val="auto"/>
              </w:rPr>
            </w:pPr>
            <w:r>
              <w:rPr>
                <w:rFonts w:ascii="Arial" w:cs="Arial" w:eastAsia="Arial" w:hAnsi="Arial"/>
                <w:sz w:val="13"/>
                <w:szCs w:val="13"/>
                <w:color w:val="auto"/>
              </w:rPr>
              <w:t>Adjustments(a)</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spacing w:after="0"/>
              <w:rPr>
                <w:sz w:val="20"/>
                <w:szCs w:val="20"/>
                <w:color w:val="auto"/>
              </w:rPr>
            </w:pPr>
            <w:r>
              <w:rPr>
                <w:rFonts w:ascii="Arial" w:cs="Arial" w:eastAsia="Arial" w:hAnsi="Arial"/>
                <w:sz w:val="13"/>
                <w:szCs w:val="13"/>
                <w:color w:val="auto"/>
              </w:rPr>
              <w:t>Tax adjustments(b)</w:t>
            </w:r>
          </w:p>
        </w:tc>
        <w:tc>
          <w:tcPr>
            <w:tcW w:w="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20"/>
                <w:szCs w:val="20"/>
                <w:color w:val="auto"/>
              </w:rPr>
            </w:pPr>
            <w:r>
              <w:rPr>
                <w:rFonts w:ascii="Arial" w:cs="Arial" w:eastAsia="Arial" w:hAnsi="Arial"/>
                <w:sz w:val="13"/>
                <w:szCs w:val="13"/>
                <w:color w:val="auto"/>
              </w:rPr>
              <w:t>ETR-adjusted</w:t>
            </w:r>
          </w:p>
        </w:tc>
        <w:tc>
          <w:tcPr>
            <w:tcW w:w="180" w:type="dxa"/>
            <w:vAlign w:val="bottom"/>
          </w:tcPr>
          <w:p>
            <w:pPr>
              <w:jc w:val="right"/>
              <w:ind w:right="4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4,097</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845</w:t>
            </w:r>
          </w:p>
        </w:tc>
        <w:tc>
          <w:tcPr>
            <w:tcW w:w="840" w:type="dxa"/>
            <w:vAlign w:val="bottom"/>
            <w:gridSpan w:val="2"/>
          </w:tcPr>
          <w:p>
            <w:pPr>
              <w:ind w:left="420"/>
              <w:spacing w:after="0"/>
              <w:rPr>
                <w:sz w:val="20"/>
                <w:szCs w:val="20"/>
                <w:color w:val="auto"/>
              </w:rPr>
            </w:pPr>
            <w:r>
              <w:rPr>
                <w:rFonts w:ascii="Arial" w:cs="Arial" w:eastAsia="Arial" w:hAnsi="Arial"/>
                <w:sz w:val="13"/>
                <w:szCs w:val="13"/>
                <w:color w:val="auto"/>
                <w:w w:val="98"/>
              </w:rPr>
              <w:t>20.6 %</w:t>
            </w:r>
          </w:p>
        </w:tc>
        <w:tc>
          <w:tcPr>
            <w:tcW w:w="100" w:type="dxa"/>
            <w:vAlign w:val="bottom"/>
          </w:tcPr>
          <w:p>
            <w:pPr>
              <w:spacing w:after="0"/>
              <w:rPr>
                <w:sz w:val="14"/>
                <w:szCs w:val="14"/>
                <w:color w:val="auto"/>
              </w:rPr>
            </w:pPr>
          </w:p>
        </w:tc>
        <w:tc>
          <w:tcPr>
            <w:tcW w:w="180" w:type="dxa"/>
            <w:vAlign w:val="bottom"/>
          </w:tcPr>
          <w:p>
            <w:pPr>
              <w:jc w:val="right"/>
              <w:ind w:right="47"/>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2,696</w:t>
            </w: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
              <w:spacing w:after="0"/>
              <w:rPr>
                <w:sz w:val="20"/>
                <w:szCs w:val="20"/>
                <w:color w:val="auto"/>
              </w:rPr>
            </w:pPr>
            <w:r>
              <w:rPr>
                <w:rFonts w:ascii="Arial" w:cs="Arial" w:eastAsia="Arial" w:hAnsi="Arial"/>
                <w:sz w:val="13"/>
                <w:szCs w:val="13"/>
                <w:color w:val="auto"/>
              </w:rPr>
              <w:t>462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17.1 %</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10,062</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
              <w:spacing w:after="0"/>
              <w:rPr>
                <w:sz w:val="20"/>
                <w:szCs w:val="20"/>
                <w:color w:val="auto"/>
              </w:rPr>
            </w:pPr>
            <w:r>
              <w:rPr>
                <w:rFonts w:ascii="Arial" w:cs="Arial" w:eastAsia="Arial" w:hAnsi="Arial"/>
                <w:sz w:val="13"/>
                <w:szCs w:val="13"/>
                <w:color w:val="auto"/>
              </w:rPr>
              <w:t>2,086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w w:val="98"/>
              </w:rPr>
              <w:t>20.7 %</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10,761</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
              <w:spacing w:after="0"/>
              <w:rPr>
                <w:sz w:val="20"/>
                <w:szCs w:val="20"/>
                <w:color w:val="auto"/>
              </w:rPr>
            </w:pPr>
            <w:r>
              <w:rPr>
                <w:rFonts w:ascii="Arial" w:cs="Arial" w:eastAsia="Arial" w:hAnsi="Arial"/>
                <w:sz w:val="13"/>
                <w:szCs w:val="13"/>
                <w:color w:val="auto"/>
              </w:rPr>
              <w:t>2,298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60" w:hanging="255"/>
        <w:spacing w:after="0" w:line="261"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segment profit (loss)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240" w:hanging="235"/>
        <w:spacing w:after="0"/>
        <w:tabs>
          <w:tab w:leader="none" w:pos="24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702"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firstLine="127"/>
        <w:spacing w:after="0" w:line="266"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jc w:val="right"/>
              <w:ind w:right="1220"/>
              <w:spacing w:after="0"/>
              <w:rPr>
                <w:sz w:val="20"/>
                <w:szCs w:val="20"/>
                <w:color w:val="auto"/>
              </w:rPr>
            </w:pPr>
            <w:r>
              <w:rPr>
                <w:rFonts w:ascii="Arial" w:cs="Arial" w:eastAsia="Arial" w:hAnsi="Arial"/>
                <w:sz w:val="10"/>
                <w:szCs w:val="10"/>
                <w:b w:val="1"/>
                <w:bCs w:val="1"/>
                <w:color w:val="auto"/>
              </w:rPr>
              <w:t>Four Quarters Ended</w:t>
            </w:r>
          </w:p>
        </w:tc>
      </w:tr>
      <w:tr>
        <w:trPr>
          <w:trHeight w:val="131"/>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2022</w:t>
            </w:r>
          </w:p>
        </w:tc>
        <w:tc>
          <w:tcPr>
            <w:tcW w:w="240" w:type="dxa"/>
            <w:vAlign w:val="bottom"/>
          </w:tcPr>
          <w:p>
            <w:pPr>
              <w:spacing w:after="0"/>
              <w:rPr>
                <w:sz w:val="11"/>
                <w:szCs w:val="11"/>
                <w:color w:val="auto"/>
              </w:rPr>
            </w:pPr>
          </w:p>
        </w:tc>
        <w:tc>
          <w:tcPr>
            <w:tcW w:w="1480" w:type="dxa"/>
            <w:vAlign w:val="bottom"/>
          </w:tcPr>
          <w:p>
            <w:pPr>
              <w:jc w:val="right"/>
              <w:ind w:right="340"/>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3"/>
                <w:szCs w:val="13"/>
                <w:color w:val="auto"/>
              </w:rPr>
              <w:t>9.7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equity(a)</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102"/>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100"/>
              <w:spacing w:after="0"/>
              <w:rPr>
                <w:sz w:val="20"/>
                <w:szCs w:val="20"/>
                <w:color w:val="auto"/>
              </w:rPr>
            </w:pPr>
            <w:r>
              <w:rPr>
                <w:rFonts w:ascii="Arial" w:cs="Arial" w:eastAsia="Arial" w:hAnsi="Arial"/>
                <w:sz w:val="13"/>
                <w:szCs w:val="13"/>
                <w:color w:val="auto"/>
              </w:rPr>
              <w:t>52.4</w:t>
            </w: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equity of noncontrolling interests where the corresponding earnings (loss) are included in Net income (loss) attributable to stockholders.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4"/>
          </w:tcPr>
          <w:p>
            <w:pPr>
              <w:ind w:left="1040"/>
              <w:spacing w:after="0"/>
              <w:rPr>
                <w:sz w:val="20"/>
                <w:szCs w:val="20"/>
                <w:color w:val="auto"/>
              </w:rPr>
            </w:pPr>
            <w:r>
              <w:rPr>
                <w:rFonts w:ascii="Arial" w:cs="Arial" w:eastAsia="Arial" w:hAnsi="Arial"/>
                <w:sz w:val="10"/>
                <w:szCs w:val="10"/>
                <w:b w:val="1"/>
                <w:bCs w:val="1"/>
                <w:color w:val="auto"/>
              </w:rPr>
              <w:t>Four Quarters Ended</w:t>
            </w:r>
          </w:p>
        </w:tc>
      </w:tr>
      <w:tr>
        <w:trPr>
          <w:trHeight w:val="131"/>
        </w:trPr>
        <w:tc>
          <w:tcPr>
            <w:tcW w:w="7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tcPr>
          <w:p>
            <w:pPr>
              <w:ind w:left="160"/>
              <w:spacing w:after="0"/>
              <w:rPr>
                <w:sz w:val="20"/>
                <w:szCs w:val="20"/>
                <w:color w:val="auto"/>
              </w:rPr>
            </w:pPr>
            <w:r>
              <w:rPr>
                <w:rFonts w:ascii="Arial" w:cs="Arial" w:eastAsia="Arial" w:hAnsi="Arial"/>
                <w:sz w:val="10"/>
                <w:szCs w:val="10"/>
                <w:b w:val="1"/>
                <w:bCs w:val="1"/>
                <w:color w:val="auto"/>
              </w:rPr>
              <w:t>September 30, 2022</w:t>
            </w:r>
          </w:p>
        </w:tc>
        <w:tc>
          <w:tcPr>
            <w:tcW w:w="240" w:type="dxa"/>
            <w:vAlign w:val="bottom"/>
          </w:tcPr>
          <w:p>
            <w:pPr>
              <w:spacing w:after="0"/>
              <w:rPr>
                <w:sz w:val="11"/>
                <w:szCs w:val="11"/>
                <w:color w:val="auto"/>
              </w:rPr>
            </w:pPr>
          </w:p>
        </w:tc>
        <w:tc>
          <w:tcPr>
            <w:tcW w:w="1480" w:type="dxa"/>
            <w:vAlign w:val="bottom"/>
          </w:tcPr>
          <w:p>
            <w:pPr>
              <w:jc w:val="right"/>
              <w:ind w:right="338"/>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 (loss)-adjusted(a)</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13.5</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3"/>
                <w:szCs w:val="13"/>
                <w:color w:val="auto"/>
              </w:rPr>
              <w:t>15.2</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Average equity(b)</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Pr>
          <w:p>
            <w:pPr>
              <w:ind w:left="1060"/>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52.4</w:t>
            </w: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17.3</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Add: Average automotive net pension &amp; OPEB liability</w:t>
            </w:r>
          </w:p>
        </w:tc>
        <w:tc>
          <w:tcPr>
            <w:tcW w:w="260" w:type="dxa"/>
            <w:vAlign w:val="bottom"/>
          </w:tcPr>
          <w:p>
            <w:pPr>
              <w:spacing w:after="0"/>
              <w:rPr>
                <w:sz w:val="14"/>
                <w:szCs w:val="14"/>
                <w:color w:val="auto"/>
              </w:rPr>
            </w:pPr>
          </w:p>
        </w:tc>
        <w:tc>
          <w:tcPr>
            <w:tcW w:w="1480" w:type="dxa"/>
            <w:vAlign w:val="bottom"/>
          </w:tcPr>
          <w:p>
            <w:pPr>
              <w:ind w:left="1060"/>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98"/>
              <w:spacing w:after="0"/>
              <w:rPr>
                <w:sz w:val="20"/>
                <w:szCs w:val="20"/>
                <w:color w:val="auto"/>
              </w:rPr>
            </w:pPr>
            <w:r>
              <w:rPr>
                <w:rFonts w:ascii="Arial" w:cs="Arial" w:eastAsia="Arial" w:hAnsi="Arial"/>
                <w:sz w:val="13"/>
                <w:szCs w:val="13"/>
                <w:color w:val="auto"/>
              </w:rPr>
              <w:t>17.7</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Average automotive and other net income tax asset</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(22.8)</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ROIC-adjusted average net assets</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64.6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ROIC-adjusted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ind w:left="1060"/>
              <w:spacing w:after="0"/>
              <w:rPr>
                <w:sz w:val="20"/>
                <w:szCs w:val="20"/>
                <w:color w:val="auto"/>
              </w:rPr>
            </w:pPr>
            <w:r>
              <w:rPr>
                <w:rFonts w:ascii="Arial" w:cs="Arial" w:eastAsia="Arial" w:hAnsi="Arial"/>
                <w:sz w:val="13"/>
                <w:szCs w:val="13"/>
                <w:color w:val="auto"/>
                <w:w w:val="98"/>
              </w:rPr>
              <w:t>19.0 %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(loss) attributable to stockholders under U.S. GAAP to EBIT (loss)-adjusted for adjustment details.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 (loss)-adjusted.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702"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automotive cash provided by (used in) operating activities under U.S. GAAP to adjusted automotive free cash flow (dollars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5"/>
          </w:tcPr>
          <w:p>
            <w:pPr>
              <w:ind w:left="8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620" w:type="dxa"/>
            <w:vAlign w:val="bottom"/>
            <w:gridSpan w:val="4"/>
          </w:tcPr>
          <w:p>
            <w:pPr>
              <w:jc w:val="center"/>
              <w:ind w:right="38"/>
              <w:spacing w:after="0"/>
              <w:rPr>
                <w:sz w:val="20"/>
                <w:szCs w:val="20"/>
                <w:color w:val="auto"/>
              </w:rPr>
            </w:pPr>
            <w:r>
              <w:rPr>
                <w:rFonts w:ascii="Arial" w:cs="Arial" w:eastAsia="Arial" w:hAnsi="Arial"/>
                <w:sz w:val="10"/>
                <w:szCs w:val="10"/>
                <w:b w:val="1"/>
                <w:bCs w:val="1"/>
                <w:color w:val="auto"/>
                <w:w w:val="98"/>
              </w:rPr>
              <w:t>Nine Months Ended</w:t>
            </w:r>
          </w:p>
        </w:tc>
      </w:tr>
      <w:tr>
        <w:trPr>
          <w:trHeight w:val="131"/>
        </w:trPr>
        <w:tc>
          <w:tcPr>
            <w:tcW w:w="55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2022</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September 30, 2021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September 30, 2022</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(used in) operating activities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(1,829)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(4,235)</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Add: Cadillac dealer strategy</w:t>
            </w:r>
          </w:p>
        </w:tc>
        <w:tc>
          <w:tcPr>
            <w:tcW w:w="1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1"/>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 Korea wage litigation</w:t>
            </w:r>
          </w:p>
        </w:tc>
        <w:tc>
          <w:tcPr>
            <w:tcW w:w="1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9"/>
        </w:trPr>
        <w:tc>
          <w:tcPr>
            <w:tcW w:w="5500" w:type="dxa"/>
            <w:vAlign w:val="bottom"/>
          </w:tcPr>
          <w:p>
            <w:pPr>
              <w:ind w:left="20"/>
              <w:spacing w:after="0"/>
              <w:rPr>
                <w:sz w:val="20"/>
                <w:szCs w:val="20"/>
                <w:color w:val="auto"/>
              </w:rPr>
            </w:pPr>
            <w:r>
              <w:rPr>
                <w:rFonts w:ascii="Arial" w:cs="Arial" w:eastAsia="Arial" w:hAnsi="Arial"/>
                <w:sz w:val="13"/>
                <w:szCs w:val="13"/>
                <w:color w:val="auto"/>
              </w:rPr>
              <w:t>Add: Patent royalty matters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automotive free cash flow</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3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7"/>
                <w:szCs w:val="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7"/>
                <w:szCs w:val="7"/>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7"/>
                <w:szCs w:val="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7"/>
                <w:szCs w:val="7"/>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7"/>
                <w:szCs w:val="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6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2022</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34,691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3,187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41,889</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1,951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96</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2,054</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680" w:type="dxa"/>
            <w:vAlign w:val="bottom"/>
          </w:tcPr>
          <w:p>
            <w:pPr>
              <w:ind w:left="540"/>
              <w:spacing w:after="0"/>
              <w:rPr>
                <w:sz w:val="20"/>
                <w:szCs w:val="20"/>
                <w:color w:val="auto"/>
              </w:rPr>
            </w:pPr>
            <w:r>
              <w:rPr>
                <w:rFonts w:ascii="Arial" w:cs="Arial" w:eastAsia="Arial" w:hAnsi="Arial"/>
                <w:sz w:val="10"/>
                <w:szCs w:val="10"/>
                <w:color w:val="auto"/>
                <w:w w:val="97"/>
              </w:rPr>
              <w:t>(8)</w:t>
            </w:r>
          </w:p>
        </w:tc>
        <w:tc>
          <w:tcPr>
            <w:tcW w:w="12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2,104</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1,212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2,774</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367</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24"/>
                <w:szCs w:val="2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6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20"/>
                <w:szCs w:val="20"/>
                <w:color w:val="auto"/>
              </w:rPr>
            </w:pPr>
            <w:r>
              <w:rPr>
                <w:rFonts w:ascii="Arial" w:cs="Arial" w:eastAsia="Arial" w:hAnsi="Arial"/>
                <w:sz w:val="8"/>
                <w:szCs w:val="8"/>
                <w:b w:val="1"/>
                <w:bCs w:val="1"/>
                <w:color w:val="auto"/>
              </w:rPr>
              <w:t>Three Months Ended September 30, 2021</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20,554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3,354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26,779</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1,684</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142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23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1,859</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1,554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3,081</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323</w:t>
            </w:r>
          </w:p>
        </w:tc>
        <w:tc>
          <w:tcPr>
            <w:tcW w:w="0" w:type="dxa"/>
            <w:vAlign w:val="bottom"/>
          </w:tcPr>
          <w:p>
            <w:pPr>
              <w:spacing w:after="0"/>
              <w:rPr>
                <w:sz w:val="1"/>
                <w:szCs w:val="1"/>
                <w:color w:val="auto"/>
              </w:rPr>
            </w:pPr>
          </w:p>
        </w:tc>
      </w:tr>
      <w:tr>
        <w:trPr>
          <w:trHeight w:val="287"/>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24"/>
                <w:szCs w:val="2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6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20"/>
                <w:szCs w:val="20"/>
                <w:color w:val="auto"/>
              </w:rPr>
            </w:pPr>
            <w:r>
              <w:rPr>
                <w:rFonts w:ascii="Arial" w:cs="Arial" w:eastAsia="Arial" w:hAnsi="Arial"/>
                <w:sz w:val="8"/>
                <w:szCs w:val="8"/>
                <w:b w:val="1"/>
                <w:bCs w:val="1"/>
                <w:color w:val="auto"/>
              </w:rPr>
              <w:t>Nine Months Ended September 30, 2022</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92,907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104,140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9,489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113,627</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5,366</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395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5,771</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680" w:type="dxa"/>
            <w:vAlign w:val="bottom"/>
          </w:tcPr>
          <w:p>
            <w:pPr>
              <w:ind w:left="540"/>
              <w:spacing w:after="0"/>
              <w:rPr>
                <w:sz w:val="20"/>
                <w:szCs w:val="20"/>
                <w:color w:val="auto"/>
              </w:rPr>
            </w:pPr>
            <w:r>
              <w:rPr>
                <w:rFonts w:ascii="Arial" w:cs="Arial" w:eastAsia="Arial" w:hAnsi="Arial"/>
                <w:sz w:val="10"/>
                <w:szCs w:val="10"/>
                <w:color w:val="auto"/>
                <w:w w:val="97"/>
              </w:rPr>
              <w:t>(6)</w:t>
            </w:r>
          </w:p>
        </w:tc>
        <w:tc>
          <w:tcPr>
            <w:tcW w:w="12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5,933</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3,666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8,509</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Equity income(a)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615</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4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120" w:type="dxa"/>
            <w:vAlign w:val="bottom"/>
          </w:tcPr>
          <w:p>
            <w:pPr>
              <w:spacing w:after="0"/>
              <w:rPr>
                <w:sz w:val="24"/>
                <w:szCs w:val="2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Eliminations</w:t>
            </w:r>
          </w:p>
        </w:tc>
        <w:tc>
          <w:tcPr>
            <w:tcW w:w="16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24"/>
                <w:szCs w:val="2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6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580" w:type="dxa"/>
            <w:vAlign w:val="bottom"/>
            <w:vMerge w:val="restart"/>
          </w:tcPr>
          <w:p>
            <w:pPr>
              <w:jc w:val="right"/>
              <w:ind w:right="23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Financial</w:t>
            </w:r>
          </w:p>
        </w:tc>
        <w:tc>
          <w:tcPr>
            <w:tcW w:w="13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20"/>
                <w:szCs w:val="20"/>
                <w:color w:val="auto"/>
              </w:rPr>
            </w:pPr>
            <w:r>
              <w:rPr>
                <w:rFonts w:ascii="Arial" w:cs="Arial" w:eastAsia="Arial" w:hAnsi="Arial"/>
                <w:sz w:val="8"/>
                <w:szCs w:val="8"/>
                <w:b w:val="1"/>
                <w:bCs w:val="1"/>
                <w:color w:val="auto"/>
              </w:rPr>
              <w:t>Nine Months Ended September 30, 2021</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Net sales and revenue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74,443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8,721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83,231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10,187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480"/>
              <w:spacing w:after="0"/>
              <w:rPr>
                <w:sz w:val="20"/>
                <w:szCs w:val="20"/>
                <w:color w:val="auto"/>
              </w:rPr>
            </w:pPr>
            <w:r>
              <w:rPr>
                <w:rFonts w:ascii="Arial" w:cs="Arial" w:eastAsia="Arial" w:hAnsi="Arial"/>
                <w:sz w:val="10"/>
                <w:szCs w:val="10"/>
                <w:color w:val="auto"/>
              </w:rPr>
              <w:t>(79)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93,420</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Expenditures for property</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3,860</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362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4,235</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4,310</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Depreciation and amortization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4,801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9,110</w:t>
            </w:r>
          </w:p>
        </w:tc>
        <w:tc>
          <w:tcPr>
            <w:tcW w:w="0" w:type="dxa"/>
            <w:vAlign w:val="bottom"/>
          </w:tcPr>
          <w:p>
            <w:pPr>
              <w:spacing w:after="0"/>
              <w:rPr>
                <w:sz w:val="1"/>
                <w:szCs w:val="1"/>
                <w:color w:val="auto"/>
              </w:rPr>
            </w:pPr>
          </w:p>
        </w:tc>
      </w:tr>
      <w:tr>
        <w:trPr>
          <w:trHeight w:val="134"/>
        </w:trPr>
        <w:tc>
          <w:tcPr>
            <w:tcW w:w="3080" w:type="dxa"/>
            <w:vAlign w:val="bottom"/>
          </w:tcPr>
          <w:p>
            <w:pPr>
              <w:spacing w:after="0"/>
              <w:rPr>
                <w:sz w:val="20"/>
                <w:szCs w:val="20"/>
                <w:color w:val="auto"/>
              </w:rPr>
            </w:pPr>
            <w:r>
              <w:rPr>
                <w:rFonts w:ascii="Arial" w:cs="Arial" w:eastAsia="Arial" w:hAnsi="Arial"/>
                <w:sz w:val="10"/>
                <w:szCs w:val="10"/>
                <w:color w:val="auto"/>
              </w:rPr>
              <w:t>Impairment charges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20"/>
                <w:szCs w:val="20"/>
                <w:color w:val="auto"/>
              </w:rPr>
            </w:pPr>
            <w:r>
              <w:rPr>
                <w:rFonts w:ascii="Arial" w:cs="Arial" w:eastAsia="Arial" w:hAnsi="Arial"/>
                <w:sz w:val="10"/>
                <w:szCs w:val="10"/>
                <w:color w:val="auto"/>
              </w:rPr>
              <w:t>$</w:t>
            </w:r>
          </w:p>
        </w:tc>
        <w:tc>
          <w:tcPr>
            <w:tcW w:w="80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0"/>
                <w:szCs w:val="10"/>
                <w:color w:val="auto"/>
              </w:rPr>
              <w:t>Equity income (a)</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1,015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60" w:hanging="255"/>
        <w:spacing w:after="0" w:line="264" w:lineRule="auto"/>
        <w:tabs>
          <w:tab w:leader="none" w:pos="249"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Automotive China equity income (loss) of $330 million and $270 million in the three months ended September 30, 2022 and 2021 and $477 million and $854 million in the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702"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90"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 Also, as of March 2022, GM is no longer importing vehicles or parts to Russia, Belarus and other sanctioned provinces in Ukraine.</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nine months ended September 30, 2022, 30.6% of our wholesale vehicle sales volume was generated outside the U.S. The following table summarizes wholesale vehicle sales by automotive segment (vehicles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3060" w:type="dxa"/>
            <w:vAlign w:val="bottom"/>
            <w:tcBorders>
              <w:bottom w:val="single" w:sz="8" w:color="auto"/>
            </w:tcBorders>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0"/>
                <w:szCs w:val="10"/>
                <w:b w:val="1"/>
                <w:bCs w:val="1"/>
                <w:color w:val="auto"/>
              </w:rPr>
              <w:t>Nine Months Ended</w:t>
            </w:r>
          </w:p>
        </w:tc>
      </w:tr>
      <w:tr>
        <w:trPr>
          <w:trHeight w:val="131"/>
        </w:trPr>
        <w:tc>
          <w:tcPr>
            <w:tcW w:w="44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2022</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September 30, 2022</w:t>
            </w: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2,139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474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r>
      <w:tr>
        <w:trPr>
          <w:trHeight w:val="182"/>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2,613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80"/>
          </w:cols>
          <w:pgMar w:left="300" w:top="702"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jc w:val="both"/>
        <w:ind w:firstLine="127"/>
        <w:spacing w:after="0" w:line="24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3480" w:type="dxa"/>
            <w:vAlign w:val="bottom"/>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380" w:type="dxa"/>
            <w:vAlign w:val="bottom"/>
            <w:gridSpan w:val="3"/>
          </w:tcPr>
          <w:p>
            <w:pPr>
              <w:jc w:val="right"/>
              <w:ind w:right="1157"/>
              <w:spacing w:after="0"/>
              <w:rPr>
                <w:sz w:val="20"/>
                <w:szCs w:val="20"/>
                <w:color w:val="auto"/>
              </w:rPr>
            </w:pPr>
            <w:r>
              <w:rPr>
                <w:rFonts w:ascii="Arial" w:cs="Arial" w:eastAsia="Arial" w:hAnsi="Arial"/>
                <w:sz w:val="10"/>
                <w:szCs w:val="10"/>
                <w:b w:val="1"/>
                <w:bCs w:val="1"/>
                <w:color w:val="auto"/>
              </w:rPr>
              <w:t>Nine Months Ended</w:t>
            </w:r>
          </w:p>
        </w:tc>
      </w:tr>
      <w:tr>
        <w:trPr>
          <w:trHeight w:val="129"/>
        </w:trPr>
        <w:tc>
          <w:tcPr>
            <w:tcW w:w="4420" w:type="dxa"/>
            <w:vAlign w:val="bottom"/>
          </w:tcPr>
          <w:p>
            <w:pPr>
              <w:spacing w:after="0"/>
              <w:rPr>
                <w:sz w:val="11"/>
                <w:szCs w:val="11"/>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September 30, 2022</w:t>
            </w:r>
          </w:p>
        </w:tc>
        <w:tc>
          <w:tcPr>
            <w:tcW w:w="164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Pr>
          <w:p>
            <w:pPr>
              <w:spacing w:after="0"/>
              <w:rPr>
                <w:sz w:val="11"/>
                <w:szCs w:val="11"/>
                <w:color w:val="auto"/>
              </w:rPr>
            </w:pPr>
          </w:p>
        </w:tc>
        <w:tc>
          <w:tcPr>
            <w:tcW w:w="1740" w:type="dxa"/>
            <w:vAlign w:val="bottom"/>
            <w:tcBorders>
              <w:top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September 30, 2022</w:t>
            </w:r>
          </w:p>
        </w:tc>
        <w:tc>
          <w:tcPr>
            <w:tcW w:w="1640" w:type="dxa"/>
            <w:vAlign w:val="bottom"/>
            <w:tcBorders>
              <w:top w:val="single" w:sz="8" w:color="auto"/>
            </w:tcBorders>
          </w:tcPr>
          <w:p>
            <w:pPr>
              <w:jc w:val="right"/>
              <w:ind w:right="297"/>
              <w:spacing w:after="0"/>
              <w:rPr>
                <w:sz w:val="20"/>
                <w:szCs w:val="20"/>
                <w:color w:val="auto"/>
              </w:rPr>
            </w:pPr>
            <w:r>
              <w:rPr>
                <w:rFonts w:ascii="Arial" w:cs="Arial" w:eastAsia="Arial" w:hAnsi="Arial"/>
                <w:sz w:val="10"/>
                <w:szCs w:val="10"/>
                <w:b w:val="1"/>
                <w:bCs w:val="1"/>
                <w:color w:val="auto"/>
              </w:rPr>
              <w:t>September 30, 2021</w:t>
            </w:r>
          </w:p>
        </w:tc>
      </w:tr>
      <w:tr>
        <w:trPr>
          <w:trHeight w:val="151"/>
        </w:trPr>
        <w:tc>
          <w:tcPr>
            <w:tcW w:w="442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Chevrolet – Trucks</w:t>
            </w:r>
          </w:p>
        </w:tc>
        <w:tc>
          <w:tcPr>
            <w:tcW w:w="164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616</w:t>
            </w: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Cadillac</w:t>
            </w:r>
          </w:p>
        </w:tc>
        <w:tc>
          <w:tcPr>
            <w:tcW w:w="16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r>
      <w:tr>
        <w:trPr>
          <w:trHeight w:val="169"/>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r>
      <w:tr>
        <w:trPr>
          <w:trHeight w:val="16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w:t>
            </w:r>
          </w:p>
        </w:tc>
      </w:tr>
      <w:tr>
        <w:trPr>
          <w:trHeight w:val="16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2,062</w:t>
            </w:r>
          </w:p>
        </w:tc>
      </w:tr>
      <w:tr>
        <w:trPr>
          <w:trHeight w:val="149"/>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Asia/Pacific, Middle East and Africa</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Wuling</w:t>
            </w:r>
          </w:p>
        </w:tc>
        <w:tc>
          <w:tcPr>
            <w:tcW w:w="164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1,020</w:t>
            </w: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r>
      <w:tr>
        <w:trPr>
          <w:trHeight w:val="169"/>
        </w:trPr>
        <w:tc>
          <w:tcPr>
            <w:tcW w:w="4420" w:type="dxa"/>
            <w:vAlign w:val="bottom"/>
          </w:tcPr>
          <w:p>
            <w:pPr>
              <w:ind w:left="180"/>
              <w:spacing w:after="0"/>
              <w:rPr>
                <w:sz w:val="20"/>
                <w:szCs w:val="20"/>
                <w:color w:val="auto"/>
              </w:rPr>
            </w:pPr>
            <w:r>
              <w:rPr>
                <w:rFonts w:ascii="Arial" w:cs="Arial" w:eastAsia="Arial" w:hAnsi="Arial"/>
                <w:sz w:val="13"/>
                <w:szCs w:val="13"/>
                <w:color w:val="auto"/>
              </w:rPr>
              <w:t>Baojun</w:t>
            </w:r>
          </w:p>
        </w:tc>
        <w:tc>
          <w:tcPr>
            <w:tcW w:w="16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178</w:t>
            </w:r>
          </w:p>
        </w:tc>
      </w:tr>
      <w:tr>
        <w:trPr>
          <w:trHeight w:val="171"/>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r>
      <w:tr>
        <w:trPr>
          <w:trHeight w:val="169"/>
        </w:trPr>
        <w:tc>
          <w:tcPr>
            <w:tcW w:w="4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r>
      <w:tr>
        <w:trPr>
          <w:trHeight w:val="162"/>
        </w:trPr>
        <w:tc>
          <w:tcPr>
            <w:tcW w:w="4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2,475</w:t>
            </w:r>
          </w:p>
        </w:tc>
      </w:tr>
      <w:tr>
        <w:trPr>
          <w:trHeight w:val="16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w:t>
            </w:r>
          </w:p>
        </w:tc>
      </w:tr>
      <w:tr>
        <w:trPr>
          <w:trHeight w:val="16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4,384</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4,813</w:t>
            </w:r>
          </w:p>
        </w:tc>
      </w:tr>
      <w:tr>
        <w:trPr>
          <w:trHeight w:val="169"/>
        </w:trPr>
        <w:tc>
          <w:tcPr>
            <w:tcW w:w="442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7"/>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Chevrolet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3060" w:type="dxa"/>
            <w:vAlign w:val="bottom"/>
            <w:tcBorders>
              <w:bottom w:val="single" w:sz="8" w:color="auto"/>
            </w:tcBorders>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80" w:type="dxa"/>
            <w:vAlign w:val="bottom"/>
            <w:tcBorders>
              <w:bottom w:val="single" w:sz="8" w:color="auto"/>
            </w:tcBorders>
            <w:gridSpan w:val="4"/>
          </w:tcPr>
          <w:p>
            <w:pPr>
              <w:jc w:val="right"/>
              <w:ind w:right="1161"/>
              <w:spacing w:after="0"/>
              <w:rPr>
                <w:sz w:val="20"/>
                <w:szCs w:val="20"/>
                <w:color w:val="auto"/>
              </w:rPr>
            </w:pPr>
            <w:r>
              <w:rPr>
                <w:rFonts w:ascii="Arial" w:cs="Arial" w:eastAsia="Arial" w:hAnsi="Arial"/>
                <w:sz w:val="10"/>
                <w:szCs w:val="10"/>
                <w:b w:val="1"/>
                <w:bCs w:val="1"/>
                <w:color w:val="auto"/>
              </w:rPr>
              <w:t>Nine Months Ended</w:t>
            </w:r>
          </w:p>
        </w:tc>
      </w:tr>
      <w:tr>
        <w:trPr>
          <w:trHeight w:val="131"/>
        </w:trPr>
        <w:tc>
          <w:tcPr>
            <w:tcW w:w="442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2022</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September 30, 2022</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September 30, 2021</w:t>
            </w:r>
          </w:p>
        </w:tc>
      </w:tr>
      <w:tr>
        <w:trPr>
          <w:trHeight w:val="162"/>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974</w:t>
            </w:r>
          </w:p>
        </w:tc>
      </w:tr>
      <w:tr>
        <w:trPr>
          <w:trHeight w:val="167"/>
        </w:trPr>
        <w:tc>
          <w:tcPr>
            <w:tcW w:w="57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20" w:type="dxa"/>
            <w:vAlign w:val="bottom"/>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962</w:t>
            </w:r>
          </w:p>
        </w:tc>
        <w:tc>
          <w:tcPr>
            <w:tcW w:w="100" w:type="dxa"/>
            <w:vAlign w:val="bottom"/>
          </w:tcPr>
          <w:p>
            <w:pPr>
              <w:spacing w:after="0"/>
              <w:rPr>
                <w:sz w:val="14"/>
                <w:szCs w:val="14"/>
                <w:color w:val="auto"/>
              </w:rPr>
            </w:pPr>
          </w:p>
        </w:tc>
        <w:tc>
          <w:tcPr>
            <w:tcW w:w="1640" w:type="dxa"/>
            <w:vAlign w:val="bottom"/>
          </w:tcPr>
          <w:p>
            <w:pPr>
              <w:jc w:val="right"/>
              <w:ind w:right="1"/>
              <w:spacing w:after="0"/>
              <w:rPr>
                <w:sz w:val="20"/>
                <w:szCs w:val="20"/>
                <w:color w:val="auto"/>
              </w:rPr>
            </w:pPr>
            <w:r>
              <w:rPr>
                <w:rFonts w:ascii="Arial" w:cs="Arial" w:eastAsia="Arial" w:hAnsi="Arial"/>
                <w:sz w:val="13"/>
                <w:szCs w:val="13"/>
                <w:color w:val="auto"/>
              </w:rPr>
              <w:t>1,180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02"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00" w:type="dxa"/>
            <w:vAlign w:val="bottom"/>
          </w:tcPr>
          <w:p>
            <w:pPr>
              <w:spacing w:after="0"/>
              <w:rPr>
                <w:sz w:val="12"/>
                <w:szCs w:val="12"/>
                <w:color w:val="auto"/>
              </w:rPr>
            </w:pPr>
          </w:p>
        </w:tc>
        <w:tc>
          <w:tcPr>
            <w:tcW w:w="3600" w:type="dxa"/>
            <w:vAlign w:val="bottom"/>
            <w:gridSpan w:val="4"/>
          </w:tcPr>
          <w:p>
            <w:pPr>
              <w:ind w:left="1260"/>
              <w:spacing w:after="0"/>
              <w:rPr>
                <w:sz w:val="20"/>
                <w:szCs w:val="20"/>
                <w:color w:val="auto"/>
              </w:rPr>
            </w:pPr>
            <w:r>
              <w:rPr>
                <w:rFonts w:ascii="Arial" w:cs="Arial" w:eastAsia="Arial" w:hAnsi="Arial"/>
                <w:sz w:val="10"/>
                <w:szCs w:val="10"/>
                <w:b w:val="1"/>
                <w:bCs w:val="1"/>
                <w:color w:val="auto"/>
              </w:rPr>
              <w:t>Three Months Ended</w:t>
            </w:r>
          </w:p>
        </w:tc>
        <w:tc>
          <w:tcPr>
            <w:tcW w:w="3480" w:type="dxa"/>
            <w:vAlign w:val="bottom"/>
            <w:gridSpan w:val="3"/>
          </w:tcPr>
          <w:p>
            <w:pPr>
              <w:jc w:val="right"/>
              <w:ind w:right="1218"/>
              <w:spacing w:after="0"/>
              <w:rPr>
                <w:sz w:val="20"/>
                <w:szCs w:val="20"/>
                <w:color w:val="auto"/>
              </w:rPr>
            </w:pPr>
            <w:r>
              <w:rPr>
                <w:rFonts w:ascii="Arial" w:cs="Arial" w:eastAsia="Arial" w:hAnsi="Arial"/>
                <w:sz w:val="10"/>
                <w:szCs w:val="10"/>
                <w:b w:val="1"/>
                <w:bCs w:val="1"/>
                <w:color w:val="auto"/>
              </w:rPr>
              <w:t>Nine Months Ended</w:t>
            </w:r>
          </w:p>
        </w:tc>
      </w:tr>
      <w:tr>
        <w:trPr>
          <w:trHeight w:val="129"/>
        </w:trPr>
        <w:tc>
          <w:tcPr>
            <w:tcW w:w="4200" w:type="dxa"/>
            <w:vAlign w:val="bottom"/>
          </w:tcPr>
          <w:p>
            <w:pPr>
              <w:spacing w:after="0"/>
              <w:rPr>
                <w:sz w:val="11"/>
                <w:szCs w:val="11"/>
                <w:color w:val="auto"/>
              </w:rPr>
            </w:pPr>
          </w:p>
        </w:tc>
        <w:tc>
          <w:tcPr>
            <w:tcW w:w="1800" w:type="dxa"/>
            <w:vAlign w:val="bottom"/>
            <w:tcBorders>
              <w:top w:val="single" w:sz="8" w:color="auto"/>
            </w:tcBorders>
            <w:gridSpan w:val="2"/>
          </w:tcPr>
          <w:p>
            <w:pPr>
              <w:ind w:left="400"/>
              <w:spacing w:after="0"/>
              <w:rPr>
                <w:sz w:val="20"/>
                <w:szCs w:val="20"/>
                <w:color w:val="auto"/>
              </w:rPr>
            </w:pPr>
            <w:r>
              <w:rPr>
                <w:rFonts w:ascii="Arial" w:cs="Arial" w:eastAsia="Arial" w:hAnsi="Arial"/>
                <w:sz w:val="10"/>
                <w:szCs w:val="10"/>
                <w:b w:val="1"/>
                <w:bCs w:val="1"/>
                <w:color w:val="auto"/>
              </w:rPr>
              <w:t>September 30, 2022</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Pr>
          <w:p>
            <w:pPr>
              <w:spacing w:after="0"/>
              <w:rPr>
                <w:sz w:val="11"/>
                <w:szCs w:val="11"/>
                <w:color w:val="auto"/>
              </w:rPr>
            </w:pPr>
          </w:p>
        </w:tc>
        <w:tc>
          <w:tcPr>
            <w:tcW w:w="178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September 30, 2022</w:t>
            </w:r>
          </w:p>
        </w:tc>
        <w:tc>
          <w:tcPr>
            <w:tcW w:w="170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September 30, 2021</w:t>
            </w:r>
          </w:p>
        </w:tc>
      </w:tr>
      <w:tr>
        <w:trPr>
          <w:trHeight w:val="151"/>
        </w:trPr>
        <w:tc>
          <w:tcPr>
            <w:tcW w:w="420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r>
      <w:tr>
        <w:trPr>
          <w:trHeight w:val="171"/>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700" w:type="dxa"/>
            <w:vAlign w:val="bottom"/>
          </w:tcPr>
          <w:p>
            <w:pPr>
              <w:jc w:val="right"/>
              <w:spacing w:after="0"/>
              <w:rPr>
                <w:sz w:val="20"/>
                <w:szCs w:val="20"/>
                <w:color w:val="auto"/>
              </w:rPr>
            </w:pPr>
            <w:r>
              <w:rPr>
                <w:rFonts w:ascii="Arial" w:cs="Arial" w:eastAsia="Arial" w:hAnsi="Arial"/>
                <w:sz w:val="13"/>
                <w:szCs w:val="13"/>
                <w:color w:val="auto"/>
              </w:rPr>
              <w:t>30.0 %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29.4 %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31.2 %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30.6 %</w:t>
            </w:r>
          </w:p>
        </w:tc>
      </w:tr>
      <w:tr>
        <w:trPr>
          <w:trHeight w:val="171"/>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11.6 %</w:t>
            </w: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700" w:type="dxa"/>
            <w:vAlign w:val="bottom"/>
          </w:tcPr>
          <w:p>
            <w:pPr>
              <w:jc w:val="right"/>
              <w:spacing w:after="0"/>
              <w:rPr>
                <w:sz w:val="20"/>
                <w:szCs w:val="20"/>
                <w:color w:val="auto"/>
              </w:rPr>
            </w:pPr>
            <w:r>
              <w:rPr>
                <w:rFonts w:ascii="Arial" w:cs="Arial" w:eastAsia="Arial" w:hAnsi="Arial"/>
                <w:sz w:val="13"/>
                <w:szCs w:val="13"/>
                <w:color w:val="auto"/>
              </w:rPr>
              <w:t>15.9 %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12.8 %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15.7 %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14.8 %</w:t>
            </w:r>
          </w:p>
        </w:tc>
      </w:tr>
      <w:tr>
        <w:trPr>
          <w:trHeight w:val="171"/>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r>
      <w:tr>
        <w:trPr>
          <w:trHeight w:val="169"/>
        </w:trPr>
        <w:tc>
          <w:tcPr>
            <w:tcW w:w="420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700" w:type="dxa"/>
            <w:vAlign w:val="bottom"/>
          </w:tcPr>
          <w:p>
            <w:pPr>
              <w:jc w:val="right"/>
              <w:spacing w:after="0"/>
              <w:rPr>
                <w:sz w:val="20"/>
                <w:szCs w:val="20"/>
                <w:color w:val="auto"/>
              </w:rPr>
            </w:pPr>
            <w:r>
              <w:rPr>
                <w:rFonts w:ascii="Arial" w:cs="Arial" w:eastAsia="Arial" w:hAnsi="Arial"/>
                <w:sz w:val="13"/>
                <w:szCs w:val="13"/>
                <w:color w:val="auto"/>
              </w:rPr>
              <w:t>6.7 %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7.0 %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6.6 %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171"/>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10.3 %</w:t>
            </w:r>
          </w:p>
        </w:tc>
      </w:tr>
      <w:tr>
        <w:trPr>
          <w:trHeight w:val="169"/>
        </w:trPr>
        <w:tc>
          <w:tcPr>
            <w:tcW w:w="420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700" w:type="dxa"/>
            <w:vAlign w:val="bottom"/>
          </w:tcPr>
          <w:p>
            <w:pPr>
              <w:jc w:val="right"/>
              <w:spacing w:after="0"/>
              <w:rPr>
                <w:sz w:val="20"/>
                <w:szCs w:val="20"/>
                <w:color w:val="auto"/>
              </w:rPr>
            </w:pPr>
            <w:r>
              <w:rPr>
                <w:rFonts w:ascii="Arial" w:cs="Arial" w:eastAsia="Arial" w:hAnsi="Arial"/>
                <w:sz w:val="13"/>
                <w:szCs w:val="13"/>
                <w:color w:val="auto"/>
              </w:rPr>
              <w:t>9.4 %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8.4 %</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9.3 %</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9.5 %</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7.7 %</w:t>
            </w:r>
          </w:p>
        </w:tc>
      </w:tr>
      <w:tr>
        <w:trPr>
          <w:trHeight w:val="85"/>
        </w:trPr>
        <w:tc>
          <w:tcPr>
            <w:tcW w:w="4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r>
        <w:trPr>
          <w:trHeight w:val="85"/>
        </w:trPr>
        <w:tc>
          <w:tcPr>
            <w:tcW w:w="4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70"/>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two-shift utilization</w:t>
            </w: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60.4 %</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98.7 %</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702" w:right="319" w:bottom="1440" w:gutter="0" w:footer="0" w:header="0"/>
        </w:sectPr>
      </w:pPr>
    </w:p>
    <w:bookmarkStart w:id="19" w:name="page20"/>
    <w:bookmarkEnd w:id="19"/>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6"/>
          </w:tcPr>
          <w:p>
            <w:pPr>
              <w:ind w:left="420"/>
              <w:spacing w:after="0"/>
              <w:rPr>
                <w:sz w:val="20"/>
                <w:szCs w:val="20"/>
                <w:color w:val="auto"/>
              </w:rPr>
            </w:pPr>
            <w:r>
              <w:rPr>
                <w:rFonts w:ascii="Arial" w:cs="Arial" w:eastAsia="Arial" w:hAnsi="Arial"/>
                <w:sz w:val="8"/>
                <w:szCs w:val="8"/>
                <w:b w:val="1"/>
                <w:bCs w:val="1"/>
                <w:color w:val="auto"/>
              </w:rPr>
              <w:t>Three Months Ended September 30, 2022</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6"/>
          </w:tcPr>
          <w:p>
            <w:pPr>
              <w:ind w:left="380"/>
              <w:spacing w:after="0"/>
              <w:rPr>
                <w:sz w:val="20"/>
                <w:szCs w:val="20"/>
                <w:color w:val="auto"/>
              </w:rPr>
            </w:pPr>
            <w:r>
              <w:rPr>
                <w:rFonts w:ascii="Arial" w:cs="Arial" w:eastAsia="Arial" w:hAnsi="Arial"/>
                <w:sz w:val="8"/>
                <w:szCs w:val="8"/>
                <w:b w:val="1"/>
                <w:bCs w:val="1"/>
                <w:color w:val="auto"/>
              </w:rPr>
              <w:t>Three Months Ended September 30, 2021</w:t>
            </w: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60" w:type="dxa"/>
            <w:vAlign w:val="bottom"/>
          </w:tcPr>
          <w:p>
            <w:pPr>
              <w:spacing w:after="0"/>
              <w:rPr>
                <w:sz w:val="9"/>
                <w:szCs w:val="9"/>
                <w:color w:val="auto"/>
              </w:rPr>
            </w:pPr>
          </w:p>
        </w:tc>
        <w:tc>
          <w:tcPr>
            <w:tcW w:w="640" w:type="dxa"/>
            <w:vAlign w:val="bottom"/>
            <w:gridSpan w:val="2"/>
          </w:tcPr>
          <w:p>
            <w:pPr>
              <w:ind w:left="6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9"/>
                <w:szCs w:val="9"/>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40" w:type="dxa"/>
            <w:vAlign w:val="bottom"/>
            <w:gridSpan w:val="2"/>
          </w:tcPr>
          <w:p>
            <w:pPr>
              <w:ind w:left="2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2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40" w:type="dxa"/>
            <w:vAlign w:val="bottom"/>
          </w:tcPr>
          <w:p>
            <w:pPr>
              <w:jc w:val="right"/>
              <w:ind w:right="124"/>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38,703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38,703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23,426</w:t>
            </w:r>
          </w:p>
        </w:tc>
        <w:tc>
          <w:tcPr>
            <w:tcW w:w="0" w:type="dxa"/>
            <w:vAlign w:val="bottom"/>
          </w:tcPr>
          <w:p>
            <w:pPr>
              <w:spacing w:after="0"/>
              <w:rPr>
                <w:sz w:val="1"/>
                <w:szCs w:val="1"/>
                <w:color w:val="auto"/>
              </w:rPr>
            </w:pPr>
          </w:p>
        </w:tc>
      </w:tr>
      <w:tr>
        <w:trPr>
          <w:trHeight w:val="156"/>
        </w:trPr>
        <w:tc>
          <w:tcPr>
            <w:tcW w:w="216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3,187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3,185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3,354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3,353</w:t>
            </w:r>
          </w:p>
        </w:tc>
        <w:tc>
          <w:tcPr>
            <w:tcW w:w="0" w:type="dxa"/>
            <w:vAlign w:val="bottom"/>
          </w:tcPr>
          <w:p>
            <w:pPr>
              <w:spacing w:after="0"/>
              <w:rPr>
                <w:sz w:val="1"/>
                <w:szCs w:val="1"/>
                <w:color w:val="auto"/>
              </w:rPr>
            </w:pPr>
          </w:p>
        </w:tc>
      </w:tr>
      <w:tr>
        <w:trPr>
          <w:trHeight w:val="153"/>
        </w:trPr>
        <w:tc>
          <w:tcPr>
            <w:tcW w:w="21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38,703</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3,187</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41,889</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23,424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26</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3,354</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26,779</w:t>
            </w:r>
          </w:p>
        </w:tc>
        <w:tc>
          <w:tcPr>
            <w:tcW w:w="0" w:type="dxa"/>
            <w:vAlign w:val="bottom"/>
          </w:tcPr>
          <w:p>
            <w:pPr>
              <w:spacing w:after="0"/>
              <w:rPr>
                <w:sz w:val="1"/>
                <w:szCs w:val="1"/>
                <w:color w:val="auto"/>
              </w:rPr>
            </w:pPr>
          </w:p>
        </w:tc>
      </w:tr>
      <w:tr>
        <w:trPr>
          <w:trHeight w:val="137"/>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33,234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33,700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20,391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20,672</w:t>
            </w:r>
          </w:p>
        </w:tc>
        <w:tc>
          <w:tcPr>
            <w:tcW w:w="0" w:type="dxa"/>
            <w:vAlign w:val="bottom"/>
          </w:tcPr>
          <w:p>
            <w:pPr>
              <w:spacing w:after="0"/>
              <w:rPr>
                <w:sz w:val="1"/>
                <w:szCs w:val="1"/>
                <w:color w:val="auto"/>
              </w:rPr>
            </w:pPr>
          </w:p>
        </w:tc>
      </w:tr>
      <w:tr>
        <w:trPr>
          <w:trHeight w:val="95"/>
        </w:trPr>
        <w:tc>
          <w:tcPr>
            <w:tcW w:w="2160" w:type="dxa"/>
            <w:vAlign w:val="bottom"/>
          </w:tcPr>
          <w:p>
            <w:pPr>
              <w:ind w:left="120"/>
              <w:spacing w:after="0" w:line="96"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2,321</w:t>
            </w: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1"/>
                <w:szCs w:val="11"/>
                <w:color w:val="auto"/>
              </w:rPr>
              <w:t>2,320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2,314</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2,314</w:t>
            </w:r>
          </w:p>
        </w:tc>
        <w:tc>
          <w:tcPr>
            <w:tcW w:w="0" w:type="dxa"/>
            <w:vAlign w:val="bottom"/>
          </w:tcPr>
          <w:p>
            <w:pPr>
              <w:spacing w:after="0"/>
              <w:rPr>
                <w:sz w:val="1"/>
                <w:szCs w:val="1"/>
                <w:color w:val="auto"/>
              </w:rPr>
            </w:pPr>
          </w:p>
        </w:tc>
      </w:tr>
      <w:tr>
        <w:trPr>
          <w:trHeight w:val="145"/>
        </w:trPr>
        <w:tc>
          <w:tcPr>
            <w:tcW w:w="216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160" w:type="dxa"/>
            <w:vAlign w:val="bottom"/>
            <w:shd w:val="clear" w:color="auto" w:fill="CCEEFF"/>
          </w:tcPr>
          <w:p>
            <w:pPr>
              <w:ind w:left="120"/>
              <w:spacing w:after="0" w:line="99"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2,364</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2,477</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2,095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2,148</w:t>
            </w: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1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35,598</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580</w:t>
            </w:r>
          </w:p>
        </w:tc>
        <w:tc>
          <w:tcPr>
            <w:tcW w:w="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2,321</w:t>
            </w:r>
          </w:p>
        </w:tc>
        <w:tc>
          <w:tcPr>
            <w:tcW w:w="10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38,497</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22,486</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335</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2,314</w:t>
            </w: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25,134</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3,105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3,392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1,040</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1,645</w:t>
            </w:r>
          </w:p>
        </w:tc>
        <w:tc>
          <w:tcPr>
            <w:tcW w:w="0" w:type="dxa"/>
            <w:vAlign w:val="bottom"/>
          </w:tcPr>
          <w:p>
            <w:pPr>
              <w:spacing w:after="0"/>
              <w:rPr>
                <w:sz w:val="1"/>
                <w:szCs w:val="1"/>
                <w:color w:val="auto"/>
              </w:rPr>
            </w:pPr>
          </w:p>
        </w:tc>
      </w:tr>
      <w:tr>
        <w:trPr>
          <w:trHeight w:val="156"/>
        </w:trPr>
        <w:tc>
          <w:tcPr>
            <w:tcW w:w="216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3"/>
                <w:szCs w:val="13"/>
                <w:color w:val="auto"/>
              </w:rPr>
            </w:pP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259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4"/>
              <w:spacing w:after="0"/>
              <w:rPr>
                <w:sz w:val="20"/>
                <w:szCs w:val="20"/>
                <w:color w:val="auto"/>
              </w:rPr>
            </w:pPr>
            <w:r>
              <w:rPr>
                <w:rFonts w:ascii="Arial" w:cs="Arial" w:eastAsia="Arial" w:hAnsi="Arial"/>
                <w:sz w:val="11"/>
                <w:szCs w:val="11"/>
                <w:color w:val="auto"/>
              </w:rPr>
              <w:t>259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99"/>
        </w:trPr>
        <w:tc>
          <w:tcPr>
            <w:tcW w:w="2160" w:type="dxa"/>
            <w:vAlign w:val="bottom"/>
            <w:shd w:val="clear" w:color="auto" w:fill="CCEEFF"/>
          </w:tcPr>
          <w:p>
            <w:pPr>
              <w:ind w:left="20"/>
              <w:spacing w:after="0" w:line="99" w:lineRule="exact"/>
              <w:rPr>
                <w:sz w:val="20"/>
                <w:szCs w:val="20"/>
                <w:color w:val="auto"/>
              </w:rPr>
            </w:pPr>
            <w:r>
              <w:rPr>
                <w:rFonts w:ascii="Arial" w:cs="Arial" w:eastAsia="Arial" w:hAnsi="Arial"/>
                <w:sz w:val="10"/>
                <w:szCs w:val="10"/>
                <w:color w:val="auto"/>
                <w:w w:val="99"/>
              </w:rPr>
              <w:t>Interest income and other non-operating income</w:t>
            </w: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557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598</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(loss), net</w:t>
            </w: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323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3,725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4,097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1,093</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2,538</w:t>
            </w:r>
          </w:p>
        </w:tc>
        <w:tc>
          <w:tcPr>
            <w:tcW w:w="0" w:type="dxa"/>
            <w:vAlign w:val="bottom"/>
          </w:tcPr>
          <w:p>
            <w:pPr>
              <w:spacing w:after="0"/>
              <w:rPr>
                <w:sz w:val="1"/>
                <w:szCs w:val="1"/>
                <w:color w:val="auto"/>
              </w:rPr>
            </w:pPr>
          </w:p>
        </w:tc>
      </w:tr>
      <w:tr>
        <w:trPr>
          <w:trHeight w:val="156"/>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845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702" w:right="319" w:bottom="1440" w:gutter="0" w:footer="0" w:header="0"/>
        </w:sectPr>
      </w:pPr>
    </w:p>
    <w:p>
      <w:pPr>
        <w:ind w:left="140" w:hanging="126"/>
        <w:spacing w:after="0" w:line="232" w:lineRule="auto"/>
        <w:rPr>
          <w:sz w:val="20"/>
          <w:szCs w:val="20"/>
          <w:color w:val="auto"/>
        </w:rPr>
      </w:pPr>
      <w:r>
        <w:rPr>
          <w:rFonts w:ascii="Arial" w:cs="Arial" w:eastAsia="Arial" w:hAnsi="Arial"/>
          <w:sz w:val="10"/>
          <w:szCs w:val="10"/>
          <w:color w:val="auto"/>
        </w:rPr>
        <w:t>Net loss (income) attributable to noncontrolling interests</w:t>
      </w:r>
    </w:p>
    <w:p>
      <w:pPr>
        <w:spacing w:after="0" w:line="18" w:lineRule="exact"/>
        <w:rPr>
          <w:sz w:val="20"/>
          <w:szCs w:val="20"/>
          <w:color w:val="auto"/>
        </w:rPr>
      </w:pPr>
    </w:p>
    <w:p>
      <w:pPr>
        <w:ind w:left="140" w:right="520" w:hanging="126"/>
        <w:spacing w:after="0" w:line="242" w:lineRule="auto"/>
        <w:rPr>
          <w:sz w:val="20"/>
          <w:szCs w:val="20"/>
          <w:color w:val="auto"/>
        </w:rPr>
      </w:pPr>
      <w:r>
        <w:rPr>
          <w:rFonts w:ascii="Arial" w:cs="Arial" w:eastAsia="Arial" w:hAnsi="Arial"/>
          <w:sz w:val="10"/>
          <w:szCs w:val="10"/>
          <w:b w:val="1"/>
          <w:bCs w:val="1"/>
          <w:color w:val="auto"/>
        </w:rPr>
        <w:t>Net income (loss) attributable to stockholders</w:t>
      </w:r>
    </w:p>
    <w:p>
      <w:pPr>
        <w:spacing w:after="0" w:line="55" w:lineRule="exact"/>
        <w:rPr>
          <w:sz w:val="20"/>
          <w:szCs w:val="20"/>
          <w:color w:val="auto"/>
        </w:rPr>
      </w:pPr>
    </w:p>
    <w:p>
      <w:pPr>
        <w:ind w:left="140" w:right="80" w:hanging="126"/>
        <w:spacing w:after="0" w:line="242" w:lineRule="auto"/>
        <w:rPr>
          <w:sz w:val="20"/>
          <w:szCs w:val="20"/>
          <w:color w:val="auto"/>
        </w:rPr>
      </w:pPr>
      <w:r>
        <w:rPr>
          <w:rFonts w:ascii="Arial" w:cs="Arial" w:eastAsia="Arial" w:hAnsi="Arial"/>
          <w:sz w:val="10"/>
          <w:szCs w:val="10"/>
          <w:b w:val="1"/>
          <w:bCs w:val="1"/>
          <w:color w:val="auto"/>
        </w:rPr>
        <w:t>Net income (loss) attributable to common stockholders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53</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34</w:t>
            </w:r>
          </w:p>
        </w:tc>
      </w:tr>
      <w:tr>
        <w:trPr>
          <w:trHeight w:val="203"/>
        </w:trPr>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3,305</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jc w:val="right"/>
              <w:ind w:right="1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2,420</w:t>
            </w:r>
          </w:p>
        </w:tc>
      </w:tr>
      <w:tr>
        <w:trPr>
          <w:trHeight w:val="20"/>
        </w:trPr>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3,278</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jc w:val="right"/>
              <w:ind w:right="128"/>
              <w:spacing w:after="0"/>
              <w:rPr>
                <w:sz w:val="20"/>
                <w:szCs w:val="20"/>
                <w:color w:val="auto"/>
              </w:rPr>
            </w:pPr>
            <w:r>
              <w:rPr>
                <w:rFonts w:ascii="Arial" w:cs="Arial" w:eastAsia="Arial" w:hAnsi="Arial"/>
                <w:sz w:val="11"/>
                <w:szCs w:val="11"/>
                <w:color w:val="auto"/>
                <w:w w:val="97"/>
              </w:rPr>
              <w: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2,375</w:t>
            </w:r>
          </w:p>
        </w:tc>
      </w:tr>
      <w:tr>
        <w:trPr>
          <w:trHeight w:val="255"/>
        </w:trPr>
        <w:tc>
          <w:tcPr>
            <w:tcW w:w="8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8"/>
                <w:szCs w:val="8"/>
                <w:b w:val="1"/>
                <w:bCs w:val="1"/>
                <w:color w:val="auto"/>
              </w:rPr>
              <w:t>Nine Months Ended September 30, 2022</w:t>
            </w: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2"/>
          </w:tcPr>
          <w:p>
            <w:pPr>
              <w:ind w:left="60"/>
              <w:spacing w:after="0"/>
              <w:rPr>
                <w:sz w:val="20"/>
                <w:szCs w:val="20"/>
                <w:color w:val="auto"/>
              </w:rPr>
            </w:pPr>
            <w:r>
              <w:rPr>
                <w:rFonts w:ascii="Arial" w:cs="Arial" w:eastAsia="Arial" w:hAnsi="Arial"/>
                <w:sz w:val="8"/>
                <w:szCs w:val="8"/>
                <w:b w:val="1"/>
                <w:bCs w:val="1"/>
                <w:color w:val="auto"/>
              </w:rPr>
              <w:t>Nine Months Ended September 30, 2021</w:t>
            </w: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112"/>
        </w:trPr>
        <w:tc>
          <w:tcPr>
            <w:tcW w:w="840" w:type="dxa"/>
            <w:vAlign w:val="bottom"/>
          </w:tcPr>
          <w:p>
            <w:pPr>
              <w:ind w:left="160"/>
              <w:spacing w:after="0"/>
              <w:rPr>
                <w:sz w:val="20"/>
                <w:szCs w:val="20"/>
                <w:color w:val="auto"/>
              </w:rPr>
            </w:pPr>
            <w:r>
              <w:rPr>
                <w:rFonts w:ascii="Arial" w:cs="Arial" w:eastAsia="Arial" w:hAnsi="Arial"/>
                <w:sz w:val="8"/>
                <w:szCs w:val="8"/>
                <w:b w:val="1"/>
                <w:bCs w:val="1"/>
                <w:color w:val="auto"/>
              </w:rPr>
              <w:t>Automotive</w:t>
            </w:r>
          </w:p>
        </w:tc>
        <w:tc>
          <w:tcPr>
            <w:tcW w:w="560" w:type="dxa"/>
            <w:vAlign w:val="bottom"/>
          </w:tcPr>
          <w:p>
            <w:pPr>
              <w:ind w:left="240"/>
              <w:spacing w:after="0"/>
              <w:rPr>
                <w:sz w:val="20"/>
                <w:szCs w:val="20"/>
                <w:color w:val="auto"/>
              </w:rPr>
            </w:pPr>
            <w:r>
              <w:rPr>
                <w:rFonts w:ascii="Arial" w:cs="Arial" w:eastAsia="Arial" w:hAnsi="Arial"/>
                <w:sz w:val="8"/>
                <w:szCs w:val="8"/>
                <w:b w:val="1"/>
                <w:bCs w:val="1"/>
                <w:color w:val="auto"/>
              </w:rPr>
              <w:t>Cruise</w:t>
            </w:r>
          </w:p>
        </w:tc>
        <w:tc>
          <w:tcPr>
            <w:tcW w:w="920" w:type="dxa"/>
            <w:vAlign w:val="bottom"/>
          </w:tcPr>
          <w:p>
            <w:pPr>
              <w:ind w:left="300"/>
              <w:spacing w:after="0"/>
              <w:rPr>
                <w:sz w:val="20"/>
                <w:szCs w:val="20"/>
                <w:color w:val="auto"/>
              </w:rPr>
            </w:pPr>
            <w:r>
              <w:rPr>
                <w:rFonts w:ascii="Arial" w:cs="Arial" w:eastAsia="Arial" w:hAnsi="Arial"/>
                <w:sz w:val="8"/>
                <w:szCs w:val="8"/>
                <w:b w:val="1"/>
                <w:bCs w:val="1"/>
                <w:color w:val="auto"/>
              </w:rPr>
              <w:t>GM Financial</w:t>
            </w:r>
          </w:p>
        </w:tc>
        <w:tc>
          <w:tcPr>
            <w:tcW w:w="1600" w:type="dxa"/>
            <w:vAlign w:val="bottom"/>
            <w:gridSpan w:val="2"/>
          </w:tcPr>
          <w:p>
            <w:pPr>
              <w:jc w:val="right"/>
              <w:ind w:right="280"/>
              <w:spacing w:after="0"/>
              <w:rPr>
                <w:sz w:val="20"/>
                <w:szCs w:val="20"/>
                <w:color w:val="auto"/>
              </w:rPr>
            </w:pPr>
            <w:r>
              <w:rPr>
                <w:rFonts w:ascii="Arial" w:cs="Arial" w:eastAsia="Arial" w:hAnsi="Arial"/>
                <w:sz w:val="8"/>
                <w:szCs w:val="8"/>
                <w:b w:val="1"/>
                <w:bCs w:val="1"/>
                <w:color w:val="auto"/>
              </w:rPr>
              <w:t>Reclassifications/Eliminations</w:t>
            </w:r>
          </w:p>
        </w:tc>
        <w:tc>
          <w:tcPr>
            <w:tcW w:w="680" w:type="dxa"/>
            <w:vAlign w:val="bottom"/>
            <w:gridSpan w:val="2"/>
          </w:tcPr>
          <w:p>
            <w:pPr>
              <w:ind w:left="20"/>
              <w:spacing w:after="0"/>
              <w:rPr>
                <w:sz w:val="20"/>
                <w:szCs w:val="20"/>
                <w:color w:val="auto"/>
              </w:rPr>
            </w:pPr>
            <w:r>
              <w:rPr>
                <w:rFonts w:ascii="Arial" w:cs="Arial" w:eastAsia="Arial" w:hAnsi="Arial"/>
                <w:sz w:val="8"/>
                <w:szCs w:val="8"/>
                <w:b w:val="1"/>
                <w:bCs w:val="1"/>
                <w:color w:val="auto"/>
              </w:rPr>
              <w:t>Combined</w:t>
            </w:r>
          </w:p>
        </w:tc>
        <w:tc>
          <w:tcPr>
            <w:tcW w:w="40" w:type="dxa"/>
            <w:vAlign w:val="bottom"/>
          </w:tcPr>
          <w:p>
            <w:pPr>
              <w:spacing w:after="0"/>
              <w:rPr>
                <w:sz w:val="9"/>
                <w:szCs w:val="9"/>
                <w:color w:val="auto"/>
              </w:rPr>
            </w:pPr>
          </w:p>
        </w:tc>
        <w:tc>
          <w:tcPr>
            <w:tcW w:w="800" w:type="dxa"/>
            <w:vAlign w:val="bottom"/>
          </w:tcPr>
          <w:p>
            <w:pPr>
              <w:ind w:left="140"/>
              <w:spacing w:after="0"/>
              <w:rPr>
                <w:sz w:val="20"/>
                <w:szCs w:val="20"/>
                <w:color w:val="auto"/>
              </w:rPr>
            </w:pPr>
            <w:r>
              <w:rPr>
                <w:rFonts w:ascii="Arial" w:cs="Arial" w:eastAsia="Arial" w:hAnsi="Arial"/>
                <w:sz w:val="8"/>
                <w:szCs w:val="8"/>
                <w:b w:val="1"/>
                <w:bCs w:val="1"/>
                <w:color w:val="auto"/>
              </w:rPr>
              <w:t>Automotive</w:t>
            </w:r>
          </w:p>
        </w:tc>
        <w:tc>
          <w:tcPr>
            <w:tcW w:w="520" w:type="dxa"/>
            <w:vAlign w:val="bottom"/>
          </w:tcPr>
          <w:p>
            <w:pPr>
              <w:ind w:left="200"/>
              <w:spacing w:after="0"/>
              <w:rPr>
                <w:sz w:val="20"/>
                <w:szCs w:val="20"/>
                <w:color w:val="auto"/>
              </w:rPr>
            </w:pPr>
            <w:r>
              <w:rPr>
                <w:rFonts w:ascii="Arial" w:cs="Arial" w:eastAsia="Arial" w:hAnsi="Arial"/>
                <w:sz w:val="8"/>
                <w:szCs w:val="8"/>
                <w:b w:val="1"/>
                <w:bCs w:val="1"/>
                <w:color w:val="auto"/>
              </w:rPr>
              <w:t>Cruise</w:t>
            </w:r>
          </w:p>
        </w:tc>
        <w:tc>
          <w:tcPr>
            <w:tcW w:w="860" w:type="dxa"/>
            <w:vAlign w:val="bottom"/>
          </w:tcPr>
          <w:p>
            <w:pPr>
              <w:ind w:left="240"/>
              <w:spacing w:after="0"/>
              <w:rPr>
                <w:sz w:val="20"/>
                <w:szCs w:val="20"/>
                <w:color w:val="auto"/>
              </w:rPr>
            </w:pPr>
            <w:r>
              <w:rPr>
                <w:rFonts w:ascii="Arial" w:cs="Arial" w:eastAsia="Arial" w:hAnsi="Arial"/>
                <w:sz w:val="8"/>
                <w:szCs w:val="8"/>
                <w:b w:val="1"/>
                <w:bCs w:val="1"/>
                <w:color w:val="auto"/>
              </w:rPr>
              <w:t>GM Financial</w:t>
            </w:r>
          </w:p>
        </w:tc>
        <w:tc>
          <w:tcPr>
            <w:tcW w:w="1560" w:type="dxa"/>
            <w:vAlign w:val="bottom"/>
          </w:tcPr>
          <w:p>
            <w:pPr>
              <w:ind w:left="80"/>
              <w:spacing w:after="0"/>
              <w:rPr>
                <w:sz w:val="20"/>
                <w:szCs w:val="20"/>
                <w:color w:val="auto"/>
              </w:rPr>
            </w:pPr>
            <w:r>
              <w:rPr>
                <w:rFonts w:ascii="Arial" w:cs="Arial" w:eastAsia="Arial" w:hAnsi="Arial"/>
                <w:sz w:val="8"/>
                <w:szCs w:val="8"/>
                <w:b w:val="1"/>
                <w:bCs w:val="1"/>
                <w:color w:val="auto"/>
              </w:rPr>
              <w:t>Reclassifications/Eliminations</w:t>
            </w:r>
          </w:p>
        </w:tc>
        <w:tc>
          <w:tcPr>
            <w:tcW w:w="760" w:type="dxa"/>
            <w:vAlign w:val="bottom"/>
            <w:gridSpan w:val="3"/>
          </w:tcPr>
          <w:p>
            <w:pPr>
              <w:jc w:val="right"/>
              <w:ind w:right="320"/>
              <w:spacing w:after="0"/>
              <w:rPr>
                <w:sz w:val="20"/>
                <w:szCs w:val="20"/>
                <w:color w:val="auto"/>
              </w:rPr>
            </w:pPr>
            <w:r>
              <w:rPr>
                <w:rFonts w:ascii="Arial" w:cs="Arial" w:eastAsia="Arial" w:hAnsi="Arial"/>
                <w:sz w:val="8"/>
                <w:szCs w:val="8"/>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-577850</wp:posOffset>
            </wp:positionV>
            <wp:extent cx="7161530" cy="336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3365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60" w:space="80"/>
            <w:col w:w="9140"/>
          </w:cols>
          <w:pgMar w:left="300" w:top="702" w:right="319" w:bottom="1440" w:gutter="0" w:footer="0" w:header="0"/>
          <w:type w:val="continuous"/>
        </w:sectPr>
      </w:pPr>
    </w:p>
    <w:tbl>
      <w:tblPr>
        <w:tblLayout w:type="fixed"/>
        <w:tblInd w:w="20" w:type="dxa"/>
        <w:tblCellMar>
          <w:top w:w="0" w:type="dxa"/>
          <w:left w:w="0" w:type="dxa"/>
          <w:bottom w:w="0" w:type="dxa"/>
          <w:right w:w="0" w:type="dxa"/>
        </w:tblCellMar>
      </w:tblPr>
      <w:tr>
        <w:trPr>
          <w:trHeight w:val="130"/>
        </w:trPr>
        <w:tc>
          <w:tcPr>
            <w:tcW w:w="212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104,140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104,141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83,231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83,237</w:t>
            </w:r>
          </w:p>
        </w:tc>
        <w:tc>
          <w:tcPr>
            <w:tcW w:w="0" w:type="dxa"/>
            <w:vAlign w:val="bottom"/>
          </w:tcPr>
          <w:p>
            <w:pPr>
              <w:spacing w:after="0"/>
              <w:rPr>
                <w:sz w:val="1"/>
                <w:szCs w:val="1"/>
                <w:color w:val="auto"/>
              </w:rPr>
            </w:pPr>
          </w:p>
        </w:tc>
      </w:tr>
      <w:tr>
        <w:trPr>
          <w:trHeight w:val="156"/>
        </w:trPr>
        <w:tc>
          <w:tcPr>
            <w:tcW w:w="212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2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9,489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9,486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00" w:type="dxa"/>
            <w:vAlign w:val="bottom"/>
          </w:tcPr>
          <w:p>
            <w:pPr>
              <w:jc w:val="right"/>
              <w:ind w:right="3"/>
              <w:spacing w:after="0"/>
              <w:rPr>
                <w:sz w:val="20"/>
                <w:szCs w:val="20"/>
                <w:color w:val="auto"/>
              </w:rPr>
            </w:pPr>
            <w:r>
              <w:rPr>
                <w:rFonts w:ascii="Arial" w:cs="Arial" w:eastAsia="Arial" w:hAnsi="Arial"/>
                <w:sz w:val="11"/>
                <w:szCs w:val="11"/>
                <w:color w:val="auto"/>
              </w:rPr>
              <w:t>10,187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10,183</w:t>
            </w:r>
          </w:p>
        </w:tc>
        <w:tc>
          <w:tcPr>
            <w:tcW w:w="0" w:type="dxa"/>
            <w:vAlign w:val="bottom"/>
          </w:tcPr>
          <w:p>
            <w:pPr>
              <w:spacing w:after="0"/>
              <w:rPr>
                <w:sz w:val="1"/>
                <w:szCs w:val="1"/>
                <w:color w:val="auto"/>
              </w:rPr>
            </w:pPr>
          </w:p>
        </w:tc>
      </w:tr>
      <w:tr>
        <w:trPr>
          <w:trHeight w:val="153"/>
        </w:trPr>
        <w:tc>
          <w:tcPr>
            <w:tcW w:w="2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2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104,140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9,489</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113,627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83,231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10,187</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93,420</w:t>
            </w:r>
          </w:p>
        </w:tc>
        <w:tc>
          <w:tcPr>
            <w:tcW w:w="0" w:type="dxa"/>
            <w:vAlign w:val="bottom"/>
          </w:tcPr>
          <w:p>
            <w:pPr>
              <w:spacing w:after="0"/>
              <w:rPr>
                <w:sz w:val="1"/>
                <w:szCs w:val="1"/>
                <w:color w:val="auto"/>
              </w:rPr>
            </w:pPr>
          </w:p>
        </w:tc>
      </w:tr>
      <w:tr>
        <w:trPr>
          <w:trHeight w:val="137"/>
        </w:trPr>
        <w:tc>
          <w:tcPr>
            <w:tcW w:w="212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90,221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92,314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72,232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73,053</w:t>
            </w:r>
          </w:p>
        </w:tc>
        <w:tc>
          <w:tcPr>
            <w:tcW w:w="0" w:type="dxa"/>
            <w:vAlign w:val="bottom"/>
          </w:tcPr>
          <w:p>
            <w:pPr>
              <w:spacing w:after="0"/>
              <w:rPr>
                <w:sz w:val="1"/>
                <w:szCs w:val="1"/>
                <w:color w:val="auto"/>
              </w:rPr>
            </w:pPr>
          </w:p>
        </w:tc>
      </w:tr>
      <w:tr>
        <w:trPr>
          <w:trHeight w:val="104"/>
        </w:trPr>
        <w:tc>
          <w:tcPr>
            <w:tcW w:w="2120" w:type="dxa"/>
            <w:vAlign w:val="bottom"/>
          </w:tcPr>
          <w:p>
            <w:pPr>
              <w:ind w:left="120"/>
              <w:spacing w:after="0" w:line="104" w:lineRule="exact"/>
              <w:rPr>
                <w:sz w:val="20"/>
                <w:szCs w:val="20"/>
                <w:color w:val="auto"/>
              </w:rPr>
            </w:pPr>
            <w:r>
              <w:rPr>
                <w:rFonts w:ascii="Arial" w:cs="Arial" w:eastAsia="Arial" w:hAnsi="Arial"/>
                <w:sz w:val="10"/>
                <w:szCs w:val="10"/>
                <w:color w:val="auto"/>
              </w:rPr>
              <w:t>GM Financial interest, operating and other</w:t>
            </w:r>
          </w:p>
        </w:tc>
        <w:tc>
          <w:tcPr>
            <w:tcW w:w="2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460" w:type="dxa"/>
            <w:vAlign w:val="bottom"/>
            <w:vMerge w:val="restart"/>
          </w:tcPr>
          <w:p>
            <w:pPr>
              <w:jc w:val="right"/>
              <w:ind w:right="3"/>
              <w:spacing w:after="0"/>
              <w:rPr>
                <w:sz w:val="20"/>
                <w:szCs w:val="20"/>
                <w:color w:val="auto"/>
              </w:rPr>
            </w:pPr>
            <w:r>
              <w:rPr>
                <w:rFonts w:ascii="Arial" w:cs="Arial" w:eastAsia="Arial" w:hAnsi="Arial"/>
                <w:sz w:val="11"/>
                <w:szCs w:val="11"/>
                <w:color w:val="auto"/>
              </w:rPr>
              <w:t>6,336</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rPr>
              <w:t>6,335</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00" w:type="dxa"/>
            <w:vAlign w:val="bottom"/>
            <w:vMerge w:val="restart"/>
          </w:tcPr>
          <w:p>
            <w:pPr>
              <w:jc w:val="right"/>
              <w:ind w:right="3"/>
              <w:spacing w:after="0"/>
              <w:rPr>
                <w:sz w:val="20"/>
                <w:szCs w:val="20"/>
                <w:color w:val="auto"/>
              </w:rPr>
            </w:pPr>
            <w:r>
              <w:rPr>
                <w:rFonts w:ascii="Arial" w:cs="Arial" w:eastAsia="Arial" w:hAnsi="Arial"/>
                <w:sz w:val="11"/>
                <w:szCs w:val="11"/>
                <w:color w:val="auto"/>
              </w:rPr>
              <w:t>6,488</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6,487</w:t>
            </w:r>
          </w:p>
        </w:tc>
        <w:tc>
          <w:tcPr>
            <w:tcW w:w="0" w:type="dxa"/>
            <w:vAlign w:val="bottom"/>
          </w:tcPr>
          <w:p>
            <w:pPr>
              <w:spacing w:after="0"/>
              <w:rPr>
                <w:sz w:val="1"/>
                <w:szCs w:val="1"/>
                <w:color w:val="auto"/>
              </w:rPr>
            </w:pPr>
          </w:p>
        </w:tc>
      </w:tr>
      <w:tr>
        <w:trPr>
          <w:trHeight w:val="137"/>
        </w:trPr>
        <w:tc>
          <w:tcPr>
            <w:tcW w:w="2120" w:type="dxa"/>
            <w:vAlign w:val="bottom"/>
          </w:tcPr>
          <w:p>
            <w:pPr>
              <w:ind w:left="240"/>
              <w:spacing w:after="0"/>
              <w:rPr>
                <w:sz w:val="20"/>
                <w:szCs w:val="20"/>
                <w:color w:val="auto"/>
              </w:rPr>
            </w:pPr>
            <w:r>
              <w:rPr>
                <w:rFonts w:ascii="Arial" w:cs="Arial" w:eastAsia="Arial" w:hAnsi="Arial"/>
                <w:sz w:val="10"/>
                <w:szCs w:val="10"/>
                <w:color w:val="auto"/>
              </w:rPr>
              <w:t>expenses</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Automotive and other selling, general and</w:t>
            </w: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6,629</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645</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7,274</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5,886</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6,076</w:t>
            </w:r>
          </w:p>
        </w:tc>
        <w:tc>
          <w:tcPr>
            <w:tcW w:w="0" w:type="dxa"/>
            <w:vAlign w:val="bottom"/>
          </w:tcPr>
          <w:p>
            <w:pPr>
              <w:spacing w:after="0"/>
              <w:rPr>
                <w:sz w:val="1"/>
                <w:szCs w:val="1"/>
                <w:color w:val="auto"/>
              </w:rPr>
            </w:pPr>
          </w:p>
        </w:tc>
      </w:tr>
      <w:tr>
        <w:trPr>
          <w:trHeight w:val="137"/>
        </w:trPr>
        <w:tc>
          <w:tcPr>
            <w:tcW w:w="21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20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96,850</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6,336</w:t>
            </w:r>
          </w:p>
        </w:tc>
        <w:tc>
          <w:tcPr>
            <w:tcW w:w="1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105,922</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78,118</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1,012</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6,488</w:t>
            </w:r>
          </w:p>
        </w:tc>
        <w:tc>
          <w:tcPr>
            <w:tcW w:w="100" w:type="dxa"/>
            <w:vAlign w:val="bottom"/>
            <w:tcBorders>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85,616</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Operating income (loss)</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7,289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3,153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3,699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7,804</w:t>
            </w: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20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Arial" w:cs="Arial" w:eastAsia="Arial" w:hAnsi="Arial"/>
                <w:sz w:val="11"/>
                <w:szCs w:val="11"/>
                <w:color w:val="auto"/>
              </w:rPr>
              <w:t>719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723</w:t>
            </w:r>
          </w:p>
        </w:tc>
        <w:tc>
          <w:tcPr>
            <w:tcW w:w="0" w:type="dxa"/>
            <w:vAlign w:val="bottom"/>
          </w:tcPr>
          <w:p>
            <w:pPr>
              <w:spacing w:after="0"/>
              <w:rPr>
                <w:sz w:val="1"/>
                <w:szCs w:val="1"/>
                <w:color w:val="auto"/>
              </w:rPr>
            </w:pPr>
          </w:p>
        </w:tc>
      </w:tr>
      <w:tr>
        <w:trPr>
          <w:trHeight w:val="107"/>
        </w:trPr>
        <w:tc>
          <w:tcPr>
            <w:tcW w:w="2120" w:type="dxa"/>
            <w:vAlign w:val="bottom"/>
            <w:shd w:val="clear" w:color="auto" w:fill="CCEEFF"/>
          </w:tcPr>
          <w:p>
            <w:pPr>
              <w:ind w:left="20"/>
              <w:spacing w:after="0" w:line="107" w:lineRule="exact"/>
              <w:rPr>
                <w:sz w:val="20"/>
                <w:szCs w:val="20"/>
                <w:color w:val="auto"/>
              </w:rPr>
            </w:pPr>
            <w:r>
              <w:rPr>
                <w:rFonts w:ascii="Arial" w:cs="Arial" w:eastAsia="Arial" w:hAnsi="Arial"/>
                <w:sz w:val="10"/>
                <w:szCs w:val="10"/>
                <w:color w:val="auto"/>
              </w:rPr>
              <w:t>Interest income and other non-operating</w:t>
            </w: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1,311</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1,410</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2,303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2,383</w:t>
            </w:r>
          </w:p>
        </w:tc>
        <w:tc>
          <w:tcPr>
            <w:tcW w:w="0" w:type="dxa"/>
            <w:vAlign w:val="bottom"/>
          </w:tcPr>
          <w:p>
            <w:pPr>
              <w:spacing w:after="0"/>
              <w:rPr>
                <w:sz w:val="1"/>
                <w:szCs w:val="1"/>
                <w:color w:val="auto"/>
              </w:rPr>
            </w:pPr>
          </w:p>
        </w:tc>
      </w:tr>
      <w:tr>
        <w:trPr>
          <w:trHeight w:val="140"/>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(loss), net</w:t>
            </w:r>
          </w:p>
        </w:tc>
        <w:tc>
          <w:tcPr>
            <w:tcW w:w="20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 (loss)</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467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148</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157</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1,015</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8,347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3,301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3,856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10,479</w:t>
            </w: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 (benefit)</w:t>
            </w:r>
          </w:p>
        </w:tc>
        <w:tc>
          <w:tcPr>
            <w:tcW w:w="2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1,308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2,300</w:t>
            </w:r>
          </w:p>
        </w:tc>
        <w:tc>
          <w:tcPr>
            <w:tcW w:w="0" w:type="dxa"/>
            <w:vAlign w:val="bottom"/>
          </w:tcPr>
          <w:p>
            <w:pPr>
              <w:spacing w:after="0"/>
              <w:rPr>
                <w:sz w:val="1"/>
                <w:szCs w:val="1"/>
                <w:color w:val="auto"/>
              </w:rPr>
            </w:pPr>
          </w:p>
        </w:tc>
      </w:tr>
      <w:tr>
        <w:trPr>
          <w:trHeight w:val="153"/>
        </w:trPr>
        <w:tc>
          <w:tcPr>
            <w:tcW w:w="2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(loss)</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7,701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8,179</w:t>
            </w:r>
          </w:p>
        </w:tc>
        <w:tc>
          <w:tcPr>
            <w:tcW w:w="0" w:type="dxa"/>
            <w:vAlign w:val="bottom"/>
          </w:tcPr>
          <w:p>
            <w:pPr>
              <w:spacing w:after="0"/>
              <w:rPr>
                <w:sz w:val="1"/>
                <w:szCs w:val="1"/>
                <w:color w:val="auto"/>
              </w:rPr>
            </w:pPr>
          </w:p>
        </w:tc>
      </w:tr>
      <w:tr>
        <w:trPr>
          <w:trHeight w:val="104"/>
        </w:trPr>
        <w:tc>
          <w:tcPr>
            <w:tcW w:w="2120" w:type="dxa"/>
            <w:vAlign w:val="bottom"/>
          </w:tcPr>
          <w:p>
            <w:pPr>
              <w:ind w:left="20"/>
              <w:spacing w:after="0" w:line="104" w:lineRule="exact"/>
              <w:rPr>
                <w:sz w:val="20"/>
                <w:szCs w:val="20"/>
                <w:color w:val="auto"/>
              </w:rPr>
            </w:pPr>
            <w:r>
              <w:rPr>
                <w:rFonts w:ascii="Arial" w:cs="Arial" w:eastAsia="Arial" w:hAnsi="Arial"/>
                <w:sz w:val="10"/>
                <w:szCs w:val="10"/>
                <w:color w:val="auto"/>
              </w:rPr>
              <w:t>Net loss (income) attributable to noncontrolling</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restart"/>
          </w:tcPr>
          <w:p>
            <w:pPr>
              <w:jc w:val="right"/>
              <w:ind w:right="3"/>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37"/>
        </w:trPr>
        <w:tc>
          <w:tcPr>
            <w:tcW w:w="21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interests</w:t>
            </w:r>
          </w:p>
        </w:tc>
        <w:tc>
          <w:tcPr>
            <w:tcW w:w="2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120" w:type="dxa"/>
            <w:vAlign w:val="bottom"/>
            <w:shd w:val="clear" w:color="auto" w:fill="CCEEFF"/>
          </w:tcPr>
          <w:p>
            <w:pPr>
              <w:ind w:left="20"/>
              <w:spacing w:after="0" w:line="85" w:lineRule="exact"/>
              <w:rPr>
                <w:sz w:val="20"/>
                <w:szCs w:val="20"/>
                <w:color w:val="auto"/>
              </w:rPr>
            </w:pPr>
            <w:r>
              <w:rPr>
                <w:rFonts w:ascii="Arial" w:cs="Arial" w:eastAsia="Arial" w:hAnsi="Arial"/>
                <w:sz w:val="9"/>
                <w:szCs w:val="9"/>
                <w:b w:val="1"/>
                <w:bCs w:val="1"/>
                <w:color w:val="auto"/>
              </w:rPr>
              <w:t>Net income (loss) attributable to</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7,935</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8,278</w:t>
            </w:r>
          </w:p>
        </w:tc>
        <w:tc>
          <w:tcPr>
            <w:tcW w:w="0" w:type="dxa"/>
            <w:vAlign w:val="bottom"/>
          </w:tcPr>
          <w:p>
            <w:pPr>
              <w:spacing w:after="0"/>
              <w:rPr>
                <w:sz w:val="1"/>
                <w:szCs w:val="1"/>
                <w:color w:val="auto"/>
              </w:rPr>
            </w:pPr>
          </w:p>
        </w:tc>
      </w:tr>
      <w:tr>
        <w:trPr>
          <w:trHeight w:val="141"/>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shd w:val="clear" w:color="auto" w:fill="CCEEFF"/>
          </w:tcPr>
          <w:p>
            <w:pPr>
              <w:ind w:left="20"/>
              <w:spacing w:after="0" w:line="86" w:lineRule="exact"/>
              <w:rPr>
                <w:sz w:val="20"/>
                <w:szCs w:val="20"/>
                <w:color w:val="auto"/>
              </w:rPr>
            </w:pPr>
            <w:r>
              <w:rPr>
                <w:rFonts w:ascii="Arial" w:cs="Arial" w:eastAsia="Arial" w:hAnsi="Arial"/>
                <w:sz w:val="9"/>
                <w:szCs w:val="9"/>
                <w:b w:val="1"/>
                <w:bCs w:val="1"/>
                <w:color w:val="auto"/>
              </w:rPr>
              <w:t>Net income (loss) attributable to common</w:t>
            </w:r>
          </w:p>
        </w:tc>
        <w:tc>
          <w:tcPr>
            <w:tcW w:w="2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6,931</w:t>
            </w: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8,141</w:t>
            </w: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80"/>
          </w:cols>
          <w:pgMar w:left="300" w:top="702" w:right="319" w:bottom="1440" w:gutter="0" w:footer="0" w:header="0"/>
          <w:type w:val="continuous"/>
        </w:sectPr>
      </w:pPr>
    </w:p>
    <w:bookmarkStart w:id="20" w:name="page21"/>
    <w:bookmarkEnd w:id="20"/>
    <w:p>
      <w:pPr>
        <w:ind w:left="442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3"/>
          <w:szCs w:val="13"/>
          <w:i w:val="1"/>
          <w:iCs w:val="1"/>
          <w:color w:val="auto"/>
        </w:rPr>
        <w:t>(Unaudited)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gridSpan w:val="5"/>
          </w:tcPr>
          <w:p>
            <w:pPr>
              <w:ind w:left="88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2"/>
                <w:szCs w:val="12"/>
                <w:color w:val="auto"/>
              </w:rPr>
            </w:pPr>
          </w:p>
        </w:tc>
        <w:tc>
          <w:tcPr>
            <w:tcW w:w="2960" w:type="dxa"/>
            <w:vAlign w:val="bottom"/>
            <w:gridSpan w:val="4"/>
          </w:tcPr>
          <w:p>
            <w:pPr>
              <w:jc w:val="right"/>
              <w:ind w:right="1058"/>
              <w:spacing w:after="0"/>
              <w:rPr>
                <w:sz w:val="20"/>
                <w:szCs w:val="20"/>
                <w:color w:val="auto"/>
              </w:rPr>
            </w:pPr>
            <w:r>
              <w:rPr>
                <w:rFonts w:ascii="Arial" w:cs="Arial" w:eastAsia="Arial" w:hAnsi="Arial"/>
                <w:sz w:val="10"/>
                <w:szCs w:val="10"/>
                <w:b w:val="1"/>
                <w:bCs w:val="1"/>
                <w:color w:val="auto"/>
              </w:rPr>
              <w:t>Nine Months Ended</w:t>
            </w:r>
          </w:p>
        </w:tc>
      </w:tr>
      <w:tr>
        <w:trPr>
          <w:trHeight w:val="129"/>
        </w:trPr>
        <w:tc>
          <w:tcPr>
            <w:tcW w:w="48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September 30, 2022</w:t>
            </w: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September 30, 2021</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September 30, 2022</w:t>
            </w: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238"/>
              <w:spacing w:after="0"/>
              <w:rPr>
                <w:sz w:val="20"/>
                <w:szCs w:val="20"/>
                <w:color w:val="auto"/>
              </w:rPr>
            </w:pPr>
            <w:r>
              <w:rPr>
                <w:rFonts w:ascii="Arial" w:cs="Arial" w:eastAsia="Arial" w:hAnsi="Arial"/>
                <w:sz w:val="10"/>
                <w:szCs w:val="10"/>
                <w:b w:val="1"/>
                <w:bCs w:val="1"/>
                <w:color w:val="auto"/>
              </w:rPr>
              <w:t>September 30, 2021</w:t>
            </w:r>
          </w:p>
        </w:tc>
      </w:tr>
      <w:tr>
        <w:trPr>
          <w:trHeight w:val="141"/>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stockholders</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3,305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8,278</w:t>
            </w:r>
          </w:p>
        </w:tc>
      </w:tr>
      <w:tr>
        <w:trPr>
          <w:trHeight w:val="169"/>
        </w:trPr>
        <w:tc>
          <w:tcPr>
            <w:tcW w:w="48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cumulative dividends on subsidiary preferred stock(a)</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r>
      <w:tr>
        <w:trPr>
          <w:trHeight w:val="187"/>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3,278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8,141</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r>
      <w:tr>
        <w:trPr>
          <w:trHeight w:val="85"/>
        </w:trPr>
        <w:tc>
          <w:tcPr>
            <w:tcW w:w="4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 earnings per common share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r>
      <w:tr>
        <w:trPr>
          <w:trHeight w:val="159"/>
        </w:trPr>
        <w:tc>
          <w:tcPr>
            <w:tcW w:w="4880" w:type="dxa"/>
            <w:vAlign w:val="bottom"/>
          </w:tcPr>
          <w:p>
            <w:pPr>
              <w:ind w:left="20"/>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(loss) attributable to common stockholders – diluted</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3,278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8,141</w:t>
            </w:r>
          </w:p>
        </w:tc>
      </w:tr>
      <w:tr>
        <w:trPr>
          <w:trHeight w:val="85"/>
        </w:trPr>
        <w:tc>
          <w:tcPr>
            <w:tcW w:w="4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1,457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1,467</w:t>
            </w:r>
          </w:p>
        </w:tc>
      </w:tr>
      <w:tr>
        <w:trPr>
          <w:trHeight w:val="85"/>
        </w:trPr>
        <w:tc>
          <w:tcPr>
            <w:tcW w:w="4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8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r>
      <w:tr>
        <w:trPr>
          <w:trHeight w:val="167"/>
        </w:trPr>
        <w:tc>
          <w:tcPr>
            <w:tcW w:w="4880" w:type="dxa"/>
            <w:vAlign w:val="bottom"/>
          </w:tcPr>
          <w:p>
            <w:pPr>
              <w:ind w:left="100"/>
              <w:spacing w:after="0"/>
              <w:rPr>
                <w:sz w:val="20"/>
                <w:szCs w:val="20"/>
                <w:color w:val="auto"/>
              </w:rPr>
            </w:pPr>
            <w:r>
              <w:rPr>
                <w:rFonts w:ascii="Arial" w:cs="Arial" w:eastAsia="Arial" w:hAnsi="Arial"/>
                <w:sz w:val="11"/>
                <w:szCs w:val="11"/>
                <w:color w:val="auto"/>
              </w:rPr>
              <w:t>Potentially dilutive securities(b)</w:t>
            </w:r>
          </w:p>
        </w:tc>
        <w:tc>
          <w:tcPr>
            <w:tcW w:w="200" w:type="dxa"/>
            <w:vAlign w:val="bottom"/>
          </w:tcPr>
          <w:p>
            <w:pPr>
              <w:spacing w:after="0"/>
              <w:rPr>
                <w:sz w:val="14"/>
                <w:szCs w:val="14"/>
                <w:color w:val="auto"/>
              </w:rPr>
            </w:pPr>
          </w:p>
        </w:tc>
        <w:tc>
          <w:tcPr>
            <w:tcW w:w="1340" w:type="dxa"/>
            <w:vAlign w:val="bottom"/>
          </w:tcPr>
          <w:p>
            <w:pPr>
              <w:jc w:val="right"/>
              <w:ind w:right="19"/>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320" w:hanging="235"/>
        <w:spacing w:after="0"/>
        <w:tabs>
          <w:tab w:leader="none" w:pos="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a $909 million deemed dividend related to the redemption of Cruise preferred shares from SoftBank in the nine months ended September 30, 2022.</w:t>
      </w:r>
    </w:p>
    <w:p>
      <w:pPr>
        <w:spacing w:after="0" w:line="11" w:lineRule="exact"/>
        <w:rPr>
          <w:rFonts w:ascii="Arial" w:cs="Arial" w:eastAsia="Arial" w:hAnsi="Arial"/>
          <w:sz w:val="11"/>
          <w:szCs w:val="11"/>
          <w:color w:val="auto"/>
        </w:rPr>
      </w:pPr>
    </w:p>
    <w:p>
      <w:pPr>
        <w:ind w:left="340" w:hanging="255"/>
        <w:spacing w:after="0" w:line="284" w:lineRule="auto"/>
        <w:tabs>
          <w:tab w:leader="none" w:pos="329" w:val="left"/>
        </w:tabs>
        <w:numPr>
          <w:ilvl w:val="0"/>
          <w:numId w:val="9"/>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RSUs at September 30, 2022 and 2021 were excluded from the computation of diluted earnings per share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60"/>
          </w:cols>
          <w:pgMar w:left="220" w:top="702" w:right="319" w:bottom="1440" w:gutter="0" w:footer="0" w:header="0"/>
        </w:sectPr>
      </w:pPr>
    </w:p>
    <w:bookmarkStart w:id="21" w:name="page22"/>
    <w:bookmarkEnd w:id="21"/>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Combining Balance Sheet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September 30, 2022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2021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8"/>
                <w:szCs w:val="8"/>
                <w:b w:val="1"/>
                <w:bCs w:val="1"/>
                <w:color w:val="auto"/>
              </w:rPr>
              <w:t>Combined</w:t>
            </w:r>
          </w:p>
        </w:tc>
        <w:tc>
          <w:tcPr>
            <w:tcW w:w="120" w:type="dxa"/>
            <w:vAlign w:val="bottom"/>
          </w:tcPr>
          <w:p>
            <w:pPr>
              <w:spacing w:after="0"/>
              <w:rPr>
                <w:sz w:val="9"/>
                <w:szCs w:val="9"/>
                <w:color w:val="auto"/>
              </w:rPr>
            </w:pPr>
          </w:p>
        </w:tc>
        <w:tc>
          <w:tcPr>
            <w:tcW w:w="76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20" w:type="dxa"/>
            <w:vAlign w:val="bottom"/>
          </w:tcPr>
          <w:p>
            <w:pPr>
              <w:spacing w:after="0"/>
              <w:rPr>
                <w:sz w:val="9"/>
                <w:szCs w:val="9"/>
                <w:color w:val="auto"/>
              </w:rPr>
            </w:pPr>
          </w:p>
        </w:tc>
        <w:tc>
          <w:tcPr>
            <w:tcW w:w="56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40" w:type="dxa"/>
            <w:vAlign w:val="bottom"/>
            <w:gridSpan w:val="2"/>
          </w:tcPr>
          <w:p>
            <w:pPr>
              <w:ind w:left="20"/>
              <w:spacing w:after="0"/>
              <w:rPr>
                <w:sz w:val="20"/>
                <w:szCs w:val="20"/>
                <w:color w:val="auto"/>
              </w:rPr>
            </w:pPr>
            <w:r>
              <w:rPr>
                <w:rFonts w:ascii="Arial" w:cs="Arial" w:eastAsia="Arial" w:hAnsi="Arial"/>
                <w:sz w:val="8"/>
                <w:szCs w:val="8"/>
                <w:b w:val="1"/>
                <w:bCs w:val="1"/>
                <w:color w:val="auto"/>
              </w:rPr>
              <w:t>GM Financial</w:t>
            </w:r>
          </w:p>
        </w:tc>
        <w:tc>
          <w:tcPr>
            <w:tcW w:w="136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00" w:type="dxa"/>
            <w:vAlign w:val="bottom"/>
          </w:tcPr>
          <w:p>
            <w:pPr>
              <w:spacing w:after="0"/>
              <w:rPr>
                <w:sz w:val="9"/>
                <w:szCs w:val="9"/>
                <w:color w:val="auto"/>
              </w:rPr>
            </w:pPr>
          </w:p>
        </w:tc>
        <w:tc>
          <w:tcPr>
            <w:tcW w:w="62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0" w:type="dxa"/>
            <w:vAlign w:val="bottom"/>
          </w:tcPr>
          <w:p>
            <w:pPr>
              <w:spacing w:after="0"/>
              <w:rPr>
                <w:sz w:val="1"/>
                <w:szCs w:val="1"/>
                <w:color w:val="auto"/>
              </w:rPr>
            </w:pPr>
          </w:p>
        </w:tc>
      </w:tr>
      <w:tr>
        <w:trPr>
          <w:trHeight w:val="121"/>
        </w:trPr>
        <w:tc>
          <w:tcPr>
            <w:tcW w:w="2260" w:type="dxa"/>
            <w:vAlign w:val="bottom"/>
          </w:tcPr>
          <w:p>
            <w:pPr>
              <w:ind w:left="940"/>
              <w:spacing w:after="0"/>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4,079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20,745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14,541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20,067</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7,997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1,569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9,566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7,076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8,609</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Accounts and notes receivable, net(a)</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2,119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14,021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7,553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7,394</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31,227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31,049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26,812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26,649</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16,367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12,988</w:t>
            </w:r>
          </w:p>
        </w:tc>
        <w:tc>
          <w:tcPr>
            <w:tcW w:w="0" w:type="dxa"/>
            <w:vAlign w:val="bottom"/>
          </w:tcPr>
          <w:p>
            <w:pPr>
              <w:spacing w:after="0"/>
              <w:rPr>
                <w:sz w:val="1"/>
                <w:szCs w:val="1"/>
                <w:color w:val="auto"/>
              </w:rPr>
            </w:pPr>
          </w:p>
        </w:tc>
      </w:tr>
      <w:tr>
        <w:trPr>
          <w:trHeight w:val="13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281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4,660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6,524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2,167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53,978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42,085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98,271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44,326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35,592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82,103</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39,618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39,551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w w:val="99"/>
              </w:rPr>
              <w:t>Equity in net assets of nonconsolidated affiliates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8,205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1,705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9,910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7,960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1,717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9,677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42,795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40,858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41,115</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2,908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721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4,968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3,012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5,087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33,778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33,778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20,386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(814)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20,572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21,653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21,152</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10,684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10,358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11,488</w:t>
            </w:r>
          </w:p>
        </w:tc>
        <w:tc>
          <w:tcPr>
            <w:tcW w:w="0" w:type="dxa"/>
            <w:vAlign w:val="bottom"/>
          </w:tcPr>
          <w:p>
            <w:pPr>
              <w:spacing w:after="0"/>
              <w:rPr>
                <w:sz w:val="1"/>
                <w:szCs w:val="1"/>
                <w:color w:val="auto"/>
              </w:rPr>
            </w:pPr>
          </w:p>
        </w:tc>
      </w:tr>
      <w:tr>
        <w:trPr>
          <w:trHeight w:val="12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assets</w:t>
            </w: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83,353</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2,141</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76,832</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(67)</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162,259</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83,842</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1,180</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77,615</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162,615</w:t>
            </w:r>
          </w:p>
        </w:tc>
        <w:tc>
          <w:tcPr>
            <w:tcW w:w="0" w:type="dxa"/>
            <w:vAlign w:val="bottom"/>
          </w:tcPr>
          <w:p>
            <w:pPr>
              <w:spacing w:after="0"/>
              <w:rPr>
                <w:sz w:val="1"/>
                <w:szCs w:val="1"/>
                <w:color w:val="auto"/>
              </w:rPr>
            </w:pPr>
          </w:p>
        </w:tc>
      </w:tr>
      <w:tr>
        <w:trPr>
          <w:trHeight w:val="15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137,331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5,669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118,917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260,529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2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Accounts payable (principally trade)(a)</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26,808</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124</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728</w:t>
            </w:r>
          </w:p>
        </w:tc>
        <w:tc>
          <w:tcPr>
            <w:tcW w:w="10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(775)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26,886</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20,065</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855</w:t>
            </w:r>
          </w:p>
        </w:tc>
        <w:tc>
          <w:tcPr>
            <w:tcW w:w="10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(669)</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20,391</w:t>
            </w:r>
          </w:p>
        </w:tc>
        <w:tc>
          <w:tcPr>
            <w:tcW w:w="0" w:type="dxa"/>
            <w:vAlign w:val="bottom"/>
          </w:tcPr>
          <w:p>
            <w:pPr>
              <w:spacing w:after="0"/>
              <w:rPr>
                <w:sz w:val="1"/>
                <w:szCs w:val="1"/>
                <w:color w:val="auto"/>
              </w:rPr>
            </w:pPr>
          </w:p>
        </w:tc>
      </w:tr>
      <w:tr>
        <w:trPr>
          <w:trHeight w:val="100"/>
        </w:trPr>
        <w:tc>
          <w:tcPr>
            <w:tcW w:w="2260" w:type="dxa"/>
            <w:vAlign w:val="bottom"/>
            <w:shd w:val="clear" w:color="auto" w:fill="CCEEFF"/>
          </w:tcPr>
          <w:p>
            <w:pPr>
              <w:ind w:left="120"/>
              <w:spacing w:after="0" w:line="100" w:lineRule="exact"/>
              <w:rPr>
                <w:sz w:val="20"/>
                <w:szCs w:val="20"/>
                <w:color w:val="auto"/>
              </w:rPr>
            </w:pPr>
            <w:r>
              <w:rPr>
                <w:rFonts w:ascii="Arial" w:cs="Arial" w:eastAsia="Arial" w:hAnsi="Arial"/>
                <w:sz w:val="10"/>
                <w:szCs w:val="10"/>
                <w:color w:val="auto"/>
                <w:w w:val="99"/>
              </w:rPr>
              <w:t>Short-term debt and current portion of long-term</w:t>
            </w: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debt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34,634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34,634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0" w:type="dxa"/>
            <w:vAlign w:val="bottom"/>
          </w:tcPr>
          <w:p>
            <w:pPr>
              <w:spacing w:after="0"/>
              <w:rPr>
                <w:sz w:val="1"/>
                <w:szCs w:val="1"/>
                <w:color w:val="auto"/>
              </w:rPr>
            </w:pPr>
          </w:p>
        </w:tc>
      </w:tr>
      <w:tr>
        <w:trPr>
          <w:trHeight w:val="13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17,205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794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6,386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24,034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16,879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3,439</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20,297</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current liabilities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44,639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41,747</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86,003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37,568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37,550</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74,408</w:t>
            </w:r>
          </w:p>
        </w:tc>
        <w:tc>
          <w:tcPr>
            <w:tcW w:w="0" w:type="dxa"/>
            <w:vAlign w:val="bottom"/>
          </w:tcPr>
          <w:p>
            <w:pPr>
              <w:spacing w:after="0"/>
              <w:rPr>
                <w:sz w:val="1"/>
                <w:szCs w:val="1"/>
                <w:color w:val="auto"/>
              </w:rPr>
            </w:pPr>
          </w:p>
        </w:tc>
      </w:tr>
      <w:tr>
        <w:trPr>
          <w:trHeight w:val="137"/>
        </w:trPr>
        <w:tc>
          <w:tcPr>
            <w:tcW w:w="226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18,326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18,333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16,348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16,355</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59,190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59,190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0" w:type="dxa"/>
            <w:vAlign w:val="bottom"/>
          </w:tcPr>
          <w:p>
            <w:pPr>
              <w:spacing w:after="0"/>
              <w:rPr>
                <w:sz w:val="1"/>
                <w:szCs w:val="1"/>
                <w:color w:val="auto"/>
              </w:rPr>
            </w:pPr>
          </w:p>
        </w:tc>
      </w:tr>
      <w:tr>
        <w:trPr>
          <w:trHeight w:val="134"/>
        </w:trPr>
        <w:tc>
          <w:tcPr>
            <w:tcW w:w="2260" w:type="dxa"/>
            <w:vAlign w:val="bottom"/>
          </w:tcPr>
          <w:p>
            <w:pPr>
              <w:ind w:left="240"/>
              <w:spacing w:after="0"/>
              <w:rPr>
                <w:sz w:val="20"/>
                <w:szCs w:val="20"/>
                <w:color w:val="auto"/>
              </w:rPr>
            </w:pPr>
            <w:r>
              <w:rPr>
                <w:rFonts w:ascii="Arial" w:cs="Arial" w:eastAsia="Arial" w:hAnsi="Arial"/>
                <w:sz w:val="10"/>
                <w:szCs w:val="10"/>
                <w:color w:val="auto"/>
              </w:rPr>
              <w:t>Cruise</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5,743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5,743</w:t>
            </w:r>
          </w:p>
        </w:tc>
        <w:tc>
          <w:tcPr>
            <w:tcW w:w="0" w:type="dxa"/>
            <w:vAlign w:val="bottom"/>
          </w:tcPr>
          <w:p>
            <w:pPr>
              <w:spacing w:after="0"/>
              <w:rPr>
                <w:sz w:val="1"/>
                <w:szCs w:val="1"/>
                <w:color w:val="auto"/>
              </w:rPr>
            </w:pPr>
          </w:p>
        </w:tc>
      </w:tr>
      <w:tr>
        <w:trPr>
          <w:trHeight w:val="134"/>
        </w:trPr>
        <w:tc>
          <w:tcPr>
            <w:tcW w:w="2260" w:type="dxa"/>
            <w:vAlign w:val="bottom"/>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6,922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6,928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8,002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8,008</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liabilities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2,372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14,795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12,560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15,085</w:t>
            </w:r>
          </w:p>
        </w:tc>
        <w:tc>
          <w:tcPr>
            <w:tcW w:w="0" w:type="dxa"/>
            <w:vAlign w:val="bottom"/>
          </w:tcPr>
          <w:p>
            <w:pPr>
              <w:spacing w:after="0"/>
              <w:rPr>
                <w:sz w:val="1"/>
                <w:szCs w:val="1"/>
                <w:color w:val="auto"/>
              </w:rPr>
            </w:pPr>
          </w:p>
        </w:tc>
      </w:tr>
      <w:tr>
        <w:trPr>
          <w:trHeight w:val="124"/>
        </w:trPr>
        <w:tc>
          <w:tcPr>
            <w:tcW w:w="22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42,711</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547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61,568</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(67)</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104,759</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42,654</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495</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61,368</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104,495</w:t>
            </w:r>
          </w:p>
        </w:tc>
        <w:tc>
          <w:tcPr>
            <w:tcW w:w="0" w:type="dxa"/>
            <w:vAlign w:val="bottom"/>
          </w:tcPr>
          <w:p>
            <w:pPr>
              <w:spacing w:after="0"/>
              <w:rPr>
                <w:sz w:val="1"/>
                <w:szCs w:val="1"/>
                <w:color w:val="auto"/>
              </w:rPr>
            </w:pPr>
          </w:p>
        </w:tc>
      </w:tr>
      <w:tr>
        <w:trPr>
          <w:trHeight w:val="133"/>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87,350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103,315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190,762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80,222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98,918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178,903</w:t>
            </w:r>
          </w:p>
        </w:tc>
        <w:tc>
          <w:tcPr>
            <w:tcW w:w="0" w:type="dxa"/>
            <w:vAlign w:val="bottom"/>
          </w:tcPr>
          <w:p>
            <w:pPr>
              <w:spacing w:after="0"/>
              <w:rPr>
                <w:sz w:val="1"/>
                <w:szCs w:val="1"/>
                <w:color w:val="auto"/>
              </w:rPr>
            </w:pPr>
          </w:p>
        </w:tc>
      </w:tr>
      <w:tr>
        <w:trPr>
          <w:trHeight w:val="95"/>
        </w:trPr>
        <w:tc>
          <w:tcPr>
            <w:tcW w:w="2260" w:type="dxa"/>
            <w:vAlign w:val="bottom"/>
          </w:tcPr>
          <w:p>
            <w:pPr>
              <w:ind w:left="120"/>
              <w:spacing w:after="0" w:line="96" w:lineRule="exact"/>
              <w:rPr>
                <w:sz w:val="20"/>
                <w:szCs w:val="20"/>
                <w:color w:val="auto"/>
              </w:rPr>
            </w:pPr>
            <w:r>
              <w:rPr>
                <w:rFonts w:ascii="Arial" w:cs="Arial" w:eastAsia="Arial" w:hAnsi="Arial"/>
                <w:sz w:val="10"/>
                <w:szCs w:val="10"/>
                <w:color w:val="auto"/>
              </w:rPr>
              <w:t>Noncontrolling interest - Cruise Stock Incentive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40"/>
              <w:spacing w:after="0"/>
              <w:rPr>
                <w:sz w:val="20"/>
                <w:szCs w:val="20"/>
                <w:color w:val="auto"/>
              </w:rPr>
            </w:pPr>
            <w:r>
              <w:rPr>
                <w:rFonts w:ascii="Arial" w:cs="Arial" w:eastAsia="Arial" w:hAnsi="Arial"/>
                <w:sz w:val="10"/>
                <w:szCs w:val="10"/>
                <w:color w:val="auto"/>
              </w:rPr>
              <w:t>Awards</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228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22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60" w:type="dxa"/>
            <w:vAlign w:val="bottom"/>
          </w:tcPr>
          <w:p>
            <w:pPr>
              <w:ind w:left="80"/>
              <w:spacing w:after="0"/>
              <w:rPr>
                <w:sz w:val="20"/>
                <w:szCs w:val="20"/>
                <w:color w:val="auto"/>
              </w:rPr>
            </w:pPr>
            <w:r>
              <w:rPr>
                <w:rFonts w:ascii="Arial" w:cs="Arial" w:eastAsia="Arial" w:hAnsi="Arial"/>
                <w:sz w:val="10"/>
                <w:szCs w:val="10"/>
                <w:color w:val="auto"/>
              </w:rPr>
              <w:t>Common stock, $0.01 par value</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capital(b)</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1,492</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26,657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27,065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27,061</w:t>
            </w:r>
          </w:p>
        </w:tc>
        <w:tc>
          <w:tcPr>
            <w:tcW w:w="0" w:type="dxa"/>
            <w:vAlign w:val="bottom"/>
          </w:tcPr>
          <w:p>
            <w:pPr>
              <w:spacing w:after="0"/>
              <w:rPr>
                <w:sz w:val="1"/>
                <w:szCs w:val="1"/>
                <w:color w:val="auto"/>
              </w:rPr>
            </w:pPr>
          </w:p>
        </w:tc>
      </w:tr>
      <w:tr>
        <w:trPr>
          <w:trHeight w:val="134"/>
        </w:trPr>
        <w:tc>
          <w:tcPr>
            <w:tcW w:w="226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30,561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1,862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15,486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47,910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27,920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13,985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41,937</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(9,313)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(9,269)</w:t>
            </w:r>
          </w:p>
        </w:tc>
        <w:tc>
          <w:tcPr>
            <w:tcW w:w="0" w:type="dxa"/>
            <w:vAlign w:val="bottom"/>
          </w:tcPr>
          <w:p>
            <w:pPr>
              <w:spacing w:after="0"/>
              <w:rPr>
                <w:sz w:val="1"/>
                <w:szCs w:val="1"/>
                <w:color w:val="auto"/>
              </w:rPr>
            </w:pPr>
          </w:p>
        </w:tc>
      </w:tr>
      <w:tr>
        <w:trPr>
          <w:trHeight w:val="124"/>
        </w:trPr>
        <w:tc>
          <w:tcPr>
            <w:tcW w:w="226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49,273</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1,861</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15,602</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(1,467)</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65,268</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46,974</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14,288</w:t>
            </w: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(1,620)</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59,744</w:t>
            </w: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interests(b)</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6,071</w:t>
            </w:r>
          </w:p>
        </w:tc>
        <w:tc>
          <w:tcPr>
            <w:tcW w:w="0" w:type="dxa"/>
            <w:vAlign w:val="bottom"/>
          </w:tcPr>
          <w:p>
            <w:pPr>
              <w:spacing w:after="0"/>
              <w:rPr>
                <w:sz w:val="1"/>
                <w:szCs w:val="1"/>
                <w:color w:val="auto"/>
              </w:rPr>
            </w:pPr>
          </w:p>
        </w:tc>
      </w:tr>
      <w:tr>
        <w:trPr>
          <w:trHeight w:val="125"/>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49,982</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3,957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15,602</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69,540</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47,945</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3,597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14,289</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65,815</w:t>
            </w:r>
          </w:p>
        </w:tc>
        <w:tc>
          <w:tcPr>
            <w:tcW w:w="0" w:type="dxa"/>
            <w:vAlign w:val="bottom"/>
          </w:tcPr>
          <w:p>
            <w:pPr>
              <w:spacing w:after="0"/>
              <w:rPr>
                <w:sz w:val="1"/>
                <w:szCs w:val="1"/>
                <w:color w:val="auto"/>
              </w:rPr>
            </w:pPr>
          </w:p>
        </w:tc>
      </w:tr>
      <w:tr>
        <w:trPr>
          <w:trHeight w:val="157"/>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137,331</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5,669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118,917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260,529</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19" w:lineRule="exact"/>
        <w:rPr>
          <w:sz w:val="20"/>
          <w:szCs w:val="20"/>
          <w:color w:val="auto"/>
        </w:rPr>
      </w:pPr>
    </w:p>
    <w:p>
      <w:pPr>
        <w:ind w:left="260" w:hanging="255"/>
        <w:spacing w:after="0" w:line="267" w:lineRule="auto"/>
        <w:tabs>
          <w:tab w:leader="none" w:pos="257"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from Automotive of $506 million offset by Automotive accounts payable and Automotive accounts receivable from GM Financial of $213 million offset by GM Financial accounts payable at September 30, 2022; and GM Financial accounts and notes receivable of $301 million offset by Automotive accounts payable and Automotive accounts receivable of $313 million offset by GM Financial accounts payable at December 31, 2021.</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702" w:right="319" w:bottom="1440" w:gutter="0" w:footer="0" w:header="0"/>
        </w:sectPr>
      </w:pPr>
    </w:p>
    <w:bookmarkStart w:id="22" w:name="page23"/>
    <w:bookmarkEnd w:id="22"/>
    <w:p>
      <w:pPr>
        <w:ind w:left="43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05" w:lineRule="exact"/>
        <w:rPr>
          <w:sz w:val="20"/>
          <w:szCs w:val="20"/>
          <w:color w:val="auto"/>
        </w:rPr>
      </w:pPr>
    </w:p>
    <w:p>
      <w:pPr>
        <w:ind w:left="4600"/>
        <w:spacing w:after="0"/>
        <w:rPr>
          <w:sz w:val="20"/>
          <w:szCs w:val="20"/>
          <w:color w:val="auto"/>
        </w:rPr>
      </w:pPr>
      <w:r>
        <w:rPr>
          <w:rFonts w:ascii="Arial" w:cs="Arial" w:eastAsia="Arial" w:hAnsi="Arial"/>
          <w:sz w:val="13"/>
          <w:szCs w:val="13"/>
          <w:b w:val="1"/>
          <w:bCs w:val="1"/>
          <w:color w:val="auto"/>
        </w:rPr>
        <w:t>Combining Cash Flow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25" w:lineRule="exact"/>
        <w:rPr>
          <w:sz w:val="20"/>
          <w:szCs w:val="20"/>
          <w:color w:val="auto"/>
        </w:rPr>
      </w:pPr>
    </w:p>
    <w:tbl>
      <w:tblPr>
        <w:tblLayout w:type="fixed"/>
        <w:tblInd w:w="2380" w:type="dxa"/>
        <w:tblCellMar>
          <w:top w:w="0" w:type="dxa"/>
          <w:left w:w="0" w:type="dxa"/>
          <w:bottom w:w="0" w:type="dxa"/>
          <w:right w:w="0" w:type="dxa"/>
        </w:tblCellMar>
      </w:tblPr>
      <w:tr>
        <w:trPr>
          <w:trHeight w:val="139"/>
        </w:trPr>
        <w:tc>
          <w:tcPr>
            <w:tcW w:w="82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2"/>
          </w:tcPr>
          <w:p>
            <w:pPr>
              <w:ind w:left="420"/>
              <w:spacing w:after="0"/>
              <w:rPr>
                <w:sz w:val="20"/>
                <w:szCs w:val="20"/>
                <w:color w:val="auto"/>
              </w:rPr>
            </w:pPr>
            <w:r>
              <w:rPr>
                <w:rFonts w:ascii="Arial" w:cs="Arial" w:eastAsia="Arial" w:hAnsi="Arial"/>
                <w:sz w:val="10"/>
                <w:szCs w:val="10"/>
                <w:b w:val="1"/>
                <w:bCs w:val="1"/>
                <w:color w:val="auto"/>
              </w:rPr>
              <w:t>Nine Months Ended September 30, 2022</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Nine Months Ended September 30, 2021</w:t>
            </w:r>
          </w:p>
        </w:tc>
        <w:tc>
          <w:tcPr>
            <w:tcW w:w="720" w:type="dxa"/>
            <w:vAlign w:val="bottom"/>
            <w:tcBorders>
              <w:bottom w:val="single" w:sz="8" w:color="auto"/>
            </w:tcBorders>
          </w:tcPr>
          <w:p>
            <w:pPr>
              <w:spacing w:after="0"/>
              <w:rPr>
                <w:sz w:val="12"/>
                <w:szCs w:val="12"/>
                <w:color w:val="auto"/>
              </w:rPr>
            </w:pPr>
          </w:p>
        </w:tc>
      </w:tr>
      <w:tr>
        <w:trPr>
          <w:trHeight w:val="109"/>
        </w:trPr>
        <w:tc>
          <w:tcPr>
            <w:tcW w:w="820" w:type="dxa"/>
            <w:vAlign w:val="bottom"/>
          </w:tcPr>
          <w:p>
            <w:pPr>
              <w:ind w:left="140"/>
              <w:spacing w:after="0"/>
              <w:rPr>
                <w:sz w:val="20"/>
                <w:szCs w:val="20"/>
                <w:color w:val="auto"/>
              </w:rPr>
            </w:pPr>
            <w:r>
              <w:rPr>
                <w:rFonts w:ascii="Arial" w:cs="Arial" w:eastAsia="Arial" w:hAnsi="Arial"/>
                <w:sz w:val="8"/>
                <w:szCs w:val="8"/>
                <w:b w:val="1"/>
                <w:bCs w:val="1"/>
                <w:color w:val="auto"/>
              </w:rPr>
              <w:t>Automotive</w:t>
            </w:r>
          </w:p>
        </w:tc>
        <w:tc>
          <w:tcPr>
            <w:tcW w:w="640" w:type="dxa"/>
            <w:vAlign w:val="bottom"/>
          </w:tcPr>
          <w:p>
            <w:pPr>
              <w:ind w:left="200"/>
              <w:spacing w:after="0"/>
              <w:rPr>
                <w:sz w:val="20"/>
                <w:szCs w:val="20"/>
                <w:color w:val="auto"/>
              </w:rPr>
            </w:pPr>
            <w:r>
              <w:rPr>
                <w:rFonts w:ascii="Arial" w:cs="Arial" w:eastAsia="Arial" w:hAnsi="Arial"/>
                <w:sz w:val="8"/>
                <w:szCs w:val="8"/>
                <w:b w:val="1"/>
                <w:bCs w:val="1"/>
                <w:color w:val="auto"/>
              </w:rPr>
              <w:t>Cruise</w:t>
            </w:r>
          </w:p>
        </w:tc>
        <w:tc>
          <w:tcPr>
            <w:tcW w:w="2220" w:type="dxa"/>
            <w:vAlign w:val="bottom"/>
          </w:tcPr>
          <w:p>
            <w:pPr>
              <w:ind w:left="160"/>
              <w:spacing w:after="0"/>
              <w:rPr>
                <w:sz w:val="20"/>
                <w:szCs w:val="20"/>
                <w:color w:val="auto"/>
              </w:rPr>
            </w:pPr>
            <w:r>
              <w:rPr>
                <w:rFonts w:ascii="Arial" w:cs="Arial" w:eastAsia="Arial" w:hAnsi="Arial"/>
                <w:sz w:val="8"/>
                <w:szCs w:val="8"/>
                <w:b w:val="1"/>
                <w:bCs w:val="1"/>
                <w:color w:val="auto"/>
              </w:rPr>
              <w:t>GM FinancialReclassifications/Eliminations</w:t>
            </w:r>
          </w:p>
        </w:tc>
        <w:tc>
          <w:tcPr>
            <w:tcW w:w="800" w:type="dxa"/>
            <w:vAlign w:val="bottom"/>
            <w:gridSpan w:val="2"/>
          </w:tcPr>
          <w:p>
            <w:pPr>
              <w:ind w:left="140"/>
              <w:spacing w:after="0"/>
              <w:rPr>
                <w:sz w:val="20"/>
                <w:szCs w:val="20"/>
                <w:color w:val="auto"/>
              </w:rPr>
            </w:pPr>
            <w:r>
              <w:rPr>
                <w:rFonts w:ascii="Arial" w:cs="Arial" w:eastAsia="Arial" w:hAnsi="Arial"/>
                <w:sz w:val="8"/>
                <w:szCs w:val="8"/>
                <w:b w:val="1"/>
                <w:bCs w:val="1"/>
                <w:color w:val="auto"/>
              </w:rPr>
              <w:t>Combined</w:t>
            </w:r>
          </w:p>
        </w:tc>
        <w:tc>
          <w:tcPr>
            <w:tcW w:w="820" w:type="dxa"/>
            <w:vAlign w:val="bottom"/>
          </w:tcPr>
          <w:p>
            <w:pPr>
              <w:ind w:left="140"/>
              <w:spacing w:after="0"/>
              <w:rPr>
                <w:sz w:val="20"/>
                <w:szCs w:val="20"/>
                <w:color w:val="auto"/>
              </w:rPr>
            </w:pPr>
            <w:r>
              <w:rPr>
                <w:rFonts w:ascii="Arial" w:cs="Arial" w:eastAsia="Arial" w:hAnsi="Arial"/>
                <w:sz w:val="8"/>
                <w:szCs w:val="8"/>
                <w:b w:val="1"/>
                <w:bCs w:val="1"/>
                <w:color w:val="auto"/>
              </w:rPr>
              <w:t>Automotive</w:t>
            </w:r>
          </w:p>
        </w:tc>
        <w:tc>
          <w:tcPr>
            <w:tcW w:w="640" w:type="dxa"/>
            <w:vAlign w:val="bottom"/>
          </w:tcPr>
          <w:p>
            <w:pPr>
              <w:ind w:left="200"/>
              <w:spacing w:after="0"/>
              <w:rPr>
                <w:sz w:val="20"/>
                <w:szCs w:val="20"/>
                <w:color w:val="auto"/>
              </w:rPr>
            </w:pPr>
            <w:r>
              <w:rPr>
                <w:rFonts w:ascii="Arial" w:cs="Arial" w:eastAsia="Arial" w:hAnsi="Arial"/>
                <w:sz w:val="8"/>
                <w:szCs w:val="8"/>
                <w:b w:val="1"/>
                <w:bCs w:val="1"/>
                <w:color w:val="auto"/>
              </w:rPr>
              <w:t>Cruise</w:t>
            </w:r>
          </w:p>
        </w:tc>
        <w:tc>
          <w:tcPr>
            <w:tcW w:w="800" w:type="dxa"/>
            <w:vAlign w:val="bottom"/>
          </w:tcPr>
          <w:p>
            <w:pPr>
              <w:ind w:left="180"/>
              <w:spacing w:after="0"/>
              <w:rPr>
                <w:sz w:val="20"/>
                <w:szCs w:val="20"/>
                <w:color w:val="auto"/>
              </w:rPr>
            </w:pPr>
            <w:r>
              <w:rPr>
                <w:rFonts w:ascii="Arial" w:cs="Arial" w:eastAsia="Arial" w:hAnsi="Arial"/>
                <w:sz w:val="8"/>
                <w:szCs w:val="8"/>
                <w:b w:val="1"/>
                <w:bCs w:val="1"/>
                <w:color w:val="auto"/>
              </w:rPr>
              <w:t>GM Financial</w:t>
            </w:r>
          </w:p>
        </w:tc>
        <w:tc>
          <w:tcPr>
            <w:tcW w:w="1440" w:type="dxa"/>
            <w:vAlign w:val="bottom"/>
          </w:tcPr>
          <w:p>
            <w:pPr>
              <w:ind w:left="80"/>
              <w:spacing w:after="0"/>
              <w:rPr>
                <w:sz w:val="20"/>
                <w:szCs w:val="20"/>
                <w:color w:val="auto"/>
              </w:rPr>
            </w:pPr>
            <w:r>
              <w:rPr>
                <w:rFonts w:ascii="Arial" w:cs="Arial" w:eastAsia="Arial" w:hAnsi="Arial"/>
                <w:sz w:val="8"/>
                <w:szCs w:val="8"/>
                <w:b w:val="1"/>
                <w:bCs w:val="1"/>
                <w:color w:val="auto"/>
              </w:rPr>
              <w:t>Reclassifications/Eliminations</w:t>
            </w:r>
          </w:p>
        </w:tc>
        <w:tc>
          <w:tcPr>
            <w:tcW w:w="720" w:type="dxa"/>
            <w:vAlign w:val="bottom"/>
          </w:tcPr>
          <w:p>
            <w:pPr>
              <w:ind w:left="140"/>
              <w:spacing w:after="0"/>
              <w:rPr>
                <w:sz w:val="20"/>
                <w:szCs w:val="20"/>
                <w:color w:val="auto"/>
              </w:rPr>
            </w:pPr>
            <w:r>
              <w:rPr>
                <w:rFonts w:ascii="Arial" w:cs="Arial" w:eastAsia="Arial" w:hAnsi="Arial"/>
                <w:sz w:val="8"/>
                <w:szCs w:val="8"/>
                <w:b w:val="1"/>
                <w:bCs w:val="1"/>
                <w:color w:val="auto"/>
              </w:rPr>
              <w:t>Combined</w:t>
            </w:r>
          </w:p>
        </w:tc>
      </w:tr>
    </w:tbl>
    <w:p>
      <w:pPr>
        <w:spacing w:after="0" w:line="8" w:lineRule="exact"/>
        <w:rPr>
          <w:sz w:val="20"/>
          <w:szCs w:val="20"/>
          <w:color w:val="auto"/>
        </w:rPr>
      </w:pPr>
    </w:p>
    <w:p>
      <w:pPr>
        <w:sectPr>
          <w:pgSz w:w="11900" w:h="16838" w:orient="portrait"/>
          <w:cols w:equalWidth="0" w:num="1">
            <w:col w:w="11280"/>
          </w:cols>
          <w:pgMar w:left="300" w:top="702" w:right="319" w:bottom="1440" w:gutter="0" w:footer="0" w:header="0"/>
        </w:sectPr>
      </w:pPr>
    </w:p>
    <w:p>
      <w:pPr>
        <w:ind w:left="20"/>
        <w:spacing w:after="0"/>
        <w:rPr>
          <w:sz w:val="20"/>
          <w:szCs w:val="20"/>
          <w:color w:val="auto"/>
        </w:rPr>
      </w:pPr>
      <w:r>
        <w:rPr>
          <w:rFonts w:ascii="Arial" w:cs="Arial" w:eastAsia="Arial" w:hAnsi="Arial"/>
          <w:sz w:val="10"/>
          <w:szCs w:val="10"/>
          <w:b w:val="1"/>
          <w:bCs w:val="1"/>
          <w:color w:val="auto"/>
        </w:rPr>
        <w:t>Cash flows from operating activities</w:t>
      </w:r>
    </w:p>
    <w:p>
      <w:pPr>
        <w:spacing w:after="0" w:line="25" w:lineRule="exact"/>
        <w:rPr>
          <w:sz w:val="20"/>
          <w:szCs w:val="20"/>
          <w:color w:val="auto"/>
        </w:rPr>
      </w:pPr>
    </w:p>
    <w:p>
      <w:pPr>
        <w:ind w:left="100"/>
        <w:spacing w:after="0"/>
        <w:tabs>
          <w:tab w:leader="none" w:pos="2360" w:val="left"/>
        </w:tabs>
        <w:rPr>
          <w:sz w:val="20"/>
          <w:szCs w:val="20"/>
          <w:color w:val="auto"/>
        </w:rPr>
      </w:pPr>
      <w:r>
        <w:rPr>
          <w:rFonts w:ascii="Arial" w:cs="Arial" w:eastAsia="Arial" w:hAnsi="Arial"/>
          <w:sz w:val="10"/>
          <w:szCs w:val="10"/>
          <w:color w:val="auto"/>
        </w:rPr>
        <w:t>Net income (loss)</w:t>
      </w:r>
      <w:r>
        <w:rPr>
          <w:sz w:val="20"/>
          <w:szCs w:val="20"/>
          <w:color w:val="auto"/>
        </w:rPr>
        <w:tab/>
      </w:r>
      <w:r>
        <w:rPr>
          <w:rFonts w:ascii="Arial" w:cs="Arial" w:eastAsia="Arial" w:hAnsi="Arial"/>
          <w:sz w:val="10"/>
          <w:szCs w:val="10"/>
          <w:color w:val="auto"/>
        </w:rPr>
        <w:t>$</w:t>
      </w:r>
    </w:p>
    <w:p>
      <w:pPr>
        <w:spacing w:after="0" w:line="23" w:lineRule="exact"/>
        <w:rPr>
          <w:sz w:val="20"/>
          <w:szCs w:val="20"/>
          <w:color w:val="auto"/>
        </w:rPr>
      </w:pPr>
    </w:p>
    <w:p>
      <w:pPr>
        <w:ind w:left="240" w:right="320" w:hanging="126"/>
        <w:spacing w:after="0" w:line="234" w:lineRule="auto"/>
        <w:rPr>
          <w:sz w:val="20"/>
          <w:szCs w:val="20"/>
          <w:color w:val="auto"/>
        </w:rPr>
      </w:pPr>
      <w:r>
        <w:rPr>
          <w:rFonts w:ascii="Arial" w:cs="Arial" w:eastAsia="Arial" w:hAnsi="Arial"/>
          <w:sz w:val="10"/>
          <w:szCs w:val="10"/>
          <w:color w:val="auto"/>
        </w:rPr>
        <w:t>Depreciation and impairment of Equipment on operating leases, net</w:t>
      </w:r>
    </w:p>
    <w:p>
      <w:pPr>
        <w:spacing w:after="0" w:line="20" w:lineRule="exact"/>
        <w:rPr>
          <w:sz w:val="20"/>
          <w:szCs w:val="20"/>
          <w:color w:val="auto"/>
        </w:rPr>
      </w:pPr>
    </w:p>
    <w:p>
      <w:pPr>
        <w:ind w:left="240" w:right="80" w:hanging="126"/>
        <w:spacing w:after="0" w:line="234" w:lineRule="auto"/>
        <w:rPr>
          <w:sz w:val="20"/>
          <w:szCs w:val="20"/>
          <w:color w:val="auto"/>
        </w:rPr>
      </w:pPr>
      <w:r>
        <w:rPr>
          <w:rFonts w:ascii="Arial" w:cs="Arial" w:eastAsia="Arial" w:hAnsi="Arial"/>
          <w:sz w:val="10"/>
          <w:szCs w:val="10"/>
          <w:color w:val="auto"/>
        </w:rPr>
        <w:t>Depreciation, amortization and impairment charges on Property, net</w:t>
      </w:r>
    </w:p>
    <w:p>
      <w:pPr>
        <w:spacing w:after="0" w:line="20" w:lineRule="exact"/>
        <w:rPr>
          <w:sz w:val="20"/>
          <w:szCs w:val="20"/>
          <w:color w:val="auto"/>
        </w:rPr>
      </w:pPr>
    </w:p>
    <w:p>
      <w:pPr>
        <w:ind w:left="240" w:right="160" w:hanging="126"/>
        <w:spacing w:after="0" w:line="234" w:lineRule="auto"/>
        <w:rPr>
          <w:sz w:val="20"/>
          <w:szCs w:val="20"/>
          <w:color w:val="auto"/>
        </w:rPr>
      </w:pPr>
      <w:r>
        <w:rPr>
          <w:rFonts w:ascii="Arial" w:cs="Arial" w:eastAsia="Arial" w:hAnsi="Arial"/>
          <w:sz w:val="10"/>
          <w:szCs w:val="10"/>
          <w:color w:val="auto"/>
        </w:rPr>
        <w:t>Foreign currency remeasurement and transaction (gains) losses</w:t>
      </w:r>
    </w:p>
    <w:p>
      <w:pPr>
        <w:spacing w:after="0" w:line="20" w:lineRule="exact"/>
        <w:rPr>
          <w:sz w:val="20"/>
          <w:szCs w:val="20"/>
          <w:color w:val="auto"/>
        </w:rPr>
      </w:pPr>
    </w:p>
    <w:p>
      <w:pPr>
        <w:ind w:left="240" w:right="480" w:hanging="126"/>
        <w:spacing w:after="0" w:line="234" w:lineRule="auto"/>
        <w:rPr>
          <w:sz w:val="20"/>
          <w:szCs w:val="20"/>
          <w:color w:val="auto"/>
        </w:rPr>
      </w:pPr>
      <w:r>
        <w:rPr>
          <w:rFonts w:ascii="Arial" w:cs="Arial" w:eastAsia="Arial" w:hAnsi="Arial"/>
          <w:sz w:val="10"/>
          <w:szCs w:val="10"/>
          <w:color w:val="auto"/>
        </w:rPr>
        <w:t>Undistributed earnings of nonconsolidated affiliates, net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Pension contributions and OPEB payments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Pension and OPEB income, net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Provision (benefit) for deferred taxes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Change in other operating assets and liabilities(a)</w:t>
      </w:r>
    </w:p>
    <w:p>
      <w:pPr>
        <w:ind w:left="240"/>
        <w:spacing w:after="0"/>
        <w:rPr>
          <w:sz w:val="20"/>
          <w:szCs w:val="20"/>
          <w:color w:val="auto"/>
        </w:rPr>
      </w:pPr>
      <w:r>
        <w:rPr>
          <w:rFonts w:ascii="Arial" w:cs="Arial" w:eastAsia="Arial" w:hAnsi="Arial"/>
          <w:sz w:val="10"/>
          <w:szCs w:val="10"/>
          <w:color w:val="auto"/>
        </w:rPr>
        <w:t>(c)</w:t>
      </w:r>
    </w:p>
    <w:p>
      <w:pPr>
        <w:spacing w:after="0" w:line="24" w:lineRule="exact"/>
        <w:rPr>
          <w:sz w:val="20"/>
          <w:szCs w:val="20"/>
          <w:color w:val="auto"/>
        </w:rPr>
      </w:pPr>
    </w:p>
    <w:p>
      <w:pPr>
        <w:ind w:left="140" w:right="500" w:hanging="126"/>
        <w:spacing w:after="0" w:line="242" w:lineRule="auto"/>
        <w:rPr>
          <w:sz w:val="20"/>
          <w:szCs w:val="20"/>
          <w:color w:val="auto"/>
        </w:rPr>
      </w:pPr>
      <w:r>
        <w:rPr>
          <w:rFonts w:ascii="Arial" w:cs="Arial" w:eastAsia="Arial" w:hAnsi="Arial"/>
          <w:sz w:val="10"/>
          <w:szCs w:val="10"/>
          <w:b w:val="1"/>
          <w:bCs w:val="1"/>
          <w:color w:val="auto"/>
        </w:rPr>
        <w:t>Net cash provided by (used in) operating activities</w:t>
      </w:r>
    </w:p>
    <w:p>
      <w:pPr>
        <w:spacing w:after="0" w:line="12" w:lineRule="exact"/>
        <w:rPr>
          <w:sz w:val="20"/>
          <w:szCs w:val="20"/>
          <w:color w:val="auto"/>
        </w:rPr>
      </w:pPr>
    </w:p>
    <w:p>
      <w:pPr>
        <w:ind w:left="120" w:right="740" w:hanging="94"/>
        <w:spacing w:after="0" w:line="289" w:lineRule="auto"/>
        <w:rPr>
          <w:sz w:val="20"/>
          <w:szCs w:val="20"/>
          <w:color w:val="auto"/>
        </w:rPr>
      </w:pPr>
      <w:r>
        <w:rPr>
          <w:rFonts w:ascii="Arial" w:cs="Arial" w:eastAsia="Arial" w:hAnsi="Arial"/>
          <w:sz w:val="10"/>
          <w:szCs w:val="10"/>
          <w:b w:val="1"/>
          <w:bCs w:val="1"/>
          <w:color w:val="auto"/>
        </w:rPr>
        <w:t xml:space="preserve">Cash flows from investing activities </w:t>
      </w:r>
      <w:r>
        <w:rPr>
          <w:rFonts w:ascii="Arial" w:cs="Arial" w:eastAsia="Arial" w:hAnsi="Arial"/>
          <w:sz w:val="10"/>
          <w:szCs w:val="10"/>
          <w:color w:val="auto"/>
        </w:rPr>
        <w:t>Expenditures for property</w:t>
      </w:r>
    </w:p>
    <w:p>
      <w:pPr>
        <w:spacing w:after="0" w:line="1" w:lineRule="exact"/>
        <w:rPr>
          <w:sz w:val="20"/>
          <w:szCs w:val="20"/>
          <w:color w:val="auto"/>
        </w:rPr>
      </w:pPr>
    </w:p>
    <w:p>
      <w:pPr>
        <w:ind w:left="240" w:right="580" w:hanging="126"/>
        <w:spacing w:after="0" w:line="234" w:lineRule="auto"/>
        <w:rPr>
          <w:sz w:val="20"/>
          <w:szCs w:val="20"/>
          <w:color w:val="auto"/>
        </w:rPr>
      </w:pPr>
      <w:r>
        <w:rPr>
          <w:rFonts w:ascii="Arial" w:cs="Arial" w:eastAsia="Arial" w:hAnsi="Arial"/>
          <w:sz w:val="10"/>
          <w:szCs w:val="10"/>
          <w:color w:val="auto"/>
        </w:rPr>
        <w:t>Available-for-sale marketable securities, acquisitions</w:t>
      </w:r>
    </w:p>
    <w:p>
      <w:pPr>
        <w:spacing w:after="0" w:line="20" w:lineRule="exact"/>
        <w:rPr>
          <w:sz w:val="20"/>
          <w:szCs w:val="20"/>
          <w:color w:val="auto"/>
        </w:rPr>
      </w:pPr>
    </w:p>
    <w:p>
      <w:pPr>
        <w:ind w:left="240" w:right="580" w:hanging="126"/>
        <w:spacing w:after="0" w:line="234" w:lineRule="auto"/>
        <w:rPr>
          <w:sz w:val="20"/>
          <w:szCs w:val="20"/>
          <w:color w:val="auto"/>
        </w:rPr>
      </w:pPr>
      <w:r>
        <w:rPr>
          <w:rFonts w:ascii="Arial" w:cs="Arial" w:eastAsia="Arial" w:hAnsi="Arial"/>
          <w:sz w:val="10"/>
          <w:szCs w:val="10"/>
          <w:color w:val="auto"/>
        </w:rPr>
        <w:t>Available-for-sale marketable securities, liquidations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Purchases of finance receivables, net(a)</w:t>
      </w:r>
    </w:p>
    <w:p>
      <w:pPr>
        <w:spacing w:after="0" w:line="23" w:lineRule="exact"/>
        <w:rPr>
          <w:sz w:val="20"/>
          <w:szCs w:val="20"/>
          <w:color w:val="auto"/>
        </w:rPr>
      </w:pPr>
    </w:p>
    <w:p>
      <w:pPr>
        <w:ind w:left="240" w:right="300" w:hanging="126"/>
        <w:spacing w:after="0" w:line="234" w:lineRule="auto"/>
        <w:rPr>
          <w:sz w:val="20"/>
          <w:szCs w:val="20"/>
          <w:color w:val="auto"/>
        </w:rPr>
      </w:pPr>
      <w:r>
        <w:rPr>
          <w:rFonts w:ascii="Arial" w:cs="Arial" w:eastAsia="Arial" w:hAnsi="Arial"/>
          <w:sz w:val="10"/>
          <w:szCs w:val="10"/>
          <w:color w:val="auto"/>
        </w:rPr>
        <w:t>Principal collections and recoveries on finance receivables(a)</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Purchases of leased vehicles, net</w:t>
      </w:r>
    </w:p>
    <w:p>
      <w:pPr>
        <w:spacing w:after="0" w:line="23" w:lineRule="exact"/>
        <w:rPr>
          <w:sz w:val="20"/>
          <w:szCs w:val="20"/>
          <w:color w:val="auto"/>
        </w:rPr>
      </w:pPr>
    </w:p>
    <w:p>
      <w:pPr>
        <w:ind w:left="120" w:right="360"/>
        <w:spacing w:after="0" w:line="285" w:lineRule="auto"/>
        <w:rPr>
          <w:sz w:val="20"/>
          <w:szCs w:val="20"/>
          <w:color w:val="auto"/>
        </w:rPr>
      </w:pPr>
      <w:r>
        <w:rPr>
          <w:rFonts w:ascii="Arial" w:cs="Arial" w:eastAsia="Arial" w:hAnsi="Arial"/>
          <w:sz w:val="10"/>
          <w:szCs w:val="10"/>
          <w:color w:val="auto"/>
        </w:rPr>
        <w:t>Proceeds from termination of leased vehicles Other investing activities(b)</w:t>
      </w:r>
    </w:p>
    <w:p>
      <w:pPr>
        <w:spacing w:after="0" w:line="1" w:lineRule="exact"/>
        <w:rPr>
          <w:sz w:val="20"/>
          <w:szCs w:val="20"/>
          <w:color w:val="auto"/>
        </w:rPr>
      </w:pPr>
    </w:p>
    <w:p>
      <w:pPr>
        <w:ind w:left="140" w:right="520" w:hanging="126"/>
        <w:spacing w:after="0" w:line="242" w:lineRule="auto"/>
        <w:rPr>
          <w:sz w:val="20"/>
          <w:szCs w:val="20"/>
          <w:color w:val="auto"/>
        </w:rPr>
      </w:pPr>
      <w:r>
        <w:rPr>
          <w:rFonts w:ascii="Arial" w:cs="Arial" w:eastAsia="Arial" w:hAnsi="Arial"/>
          <w:sz w:val="10"/>
          <w:szCs w:val="10"/>
          <w:b w:val="1"/>
          <w:bCs w:val="1"/>
          <w:color w:val="auto"/>
        </w:rPr>
        <w:t>Net cash provided by (used in) investing activities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6,747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(1,546)</w:t>
            </w:r>
          </w:p>
        </w:tc>
        <w:tc>
          <w:tcPr>
            <w:tcW w:w="100" w:type="dxa"/>
            <w:vAlign w:val="bottom"/>
          </w:tcPr>
          <w:p>
            <w:pPr>
              <w:spacing w:after="0"/>
              <w:rPr>
                <w:sz w:val="11"/>
                <w:szCs w:val="11"/>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2,495</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7,701</w:t>
            </w:r>
          </w:p>
        </w:tc>
        <w:tc>
          <w:tcPr>
            <w:tcW w:w="100" w:type="dxa"/>
            <w:vAlign w:val="bottom"/>
          </w:tcPr>
          <w:p>
            <w:pPr>
              <w:spacing w:after="0"/>
              <w:rPr>
                <w:sz w:val="11"/>
                <w:szCs w:val="11"/>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6,522</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(1,236)</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2,900</w:t>
            </w:r>
          </w:p>
        </w:tc>
        <w:tc>
          <w:tcPr>
            <w:tcW w:w="100" w:type="dxa"/>
            <w:vAlign w:val="bottom"/>
          </w:tcPr>
          <w:p>
            <w:pPr>
              <w:spacing w:after="0"/>
              <w:rPr>
                <w:sz w:val="11"/>
                <w:szCs w:val="11"/>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8,179</w:t>
            </w:r>
          </w:p>
        </w:tc>
      </w:tr>
      <w:tr>
        <w:trPr>
          <w:trHeight w:val="244"/>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3,628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3,628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4,757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4,757</w:t>
            </w:r>
          </w:p>
        </w:tc>
      </w:tr>
      <w:tr>
        <w:trPr>
          <w:trHeight w:val="244"/>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4,815</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4,892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4,272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4,357</w:t>
            </w:r>
          </w:p>
        </w:tc>
      </w:tr>
      <w:tr>
        <w:trPr>
          <w:trHeight w:val="244"/>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27</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244"/>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(2)</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(306)</w:t>
            </w:r>
          </w:p>
        </w:tc>
      </w:tr>
      <w:tr>
        <w:trPr>
          <w:trHeight w:val="138"/>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(585)</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(586)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(624)</w:t>
            </w:r>
          </w:p>
        </w:tc>
      </w:tr>
      <w:tr>
        <w:trPr>
          <w:trHeight w:val="138"/>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(902)</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(901)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(1,206)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(1,205)</w:t>
            </w:r>
          </w:p>
        </w:tc>
      </w:tr>
      <w:tr>
        <w:trPr>
          <w:trHeight w:val="138"/>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1,264</w:t>
            </w:r>
          </w:p>
        </w:tc>
        <w:tc>
          <w:tcPr>
            <w:tcW w:w="1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504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1,532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316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115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1,963</w:t>
            </w:r>
          </w:p>
        </w:tc>
      </w:tr>
      <w:tr>
        <w:trPr>
          <w:trHeight w:val="249"/>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242</w:t>
            </w:r>
          </w:p>
        </w:tc>
        <w:tc>
          <w:tcPr>
            <w:tcW w:w="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(3,706)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(9,980)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133</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(2,029)</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3,193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(8,683)</w:t>
            </w:r>
          </w:p>
        </w:tc>
      </w:tr>
      <w:tr>
        <w:trPr>
          <w:trHeight w:val="219"/>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11,606</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3,830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10,419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309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5,628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8,379</w:t>
            </w:r>
          </w:p>
        </w:tc>
      </w:tr>
      <w:tr>
        <w:trPr>
          <w:trHeight w:val="276"/>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(5,771)</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(5,933)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(4,235)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(4,310)</w:t>
            </w:r>
          </w:p>
        </w:tc>
      </w:tr>
      <w:tr>
        <w:trPr>
          <w:trHeight w:val="244"/>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(5,019)</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(2,430)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(2,307)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(3,477)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(5,784)</w:t>
            </w:r>
          </w:p>
        </w:tc>
      </w:tr>
      <w:tr>
        <w:trPr>
          <w:trHeight w:val="244"/>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3,743</w:t>
            </w: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2,416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5,597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0"/>
                <w:szCs w:val="10"/>
                <w:color w:val="auto"/>
              </w:rPr>
              <w:t>2,656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8,236</w:t>
            </w:r>
          </w:p>
        </w:tc>
      </w:tr>
      <w:tr>
        <w:trPr>
          <w:trHeight w:val="138"/>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(29,212)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2,768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(26,444)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(25,470)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(25,518)</w:t>
            </w:r>
          </w:p>
        </w:tc>
      </w:tr>
      <w:tr>
        <w:trPr>
          <w:trHeight w:val="244"/>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20,604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23,446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(5,149)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18,297</w:t>
            </w:r>
          </w:p>
        </w:tc>
      </w:tr>
      <w:tr>
        <w:trPr>
          <w:trHeight w:val="138"/>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(9,062)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(9,062)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(16,698)</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(16,698)</w:t>
            </w:r>
          </w:p>
        </w:tc>
      </w:tr>
      <w:tr>
        <w:trPr>
          <w:trHeight w:val="138"/>
        </w:trPr>
        <w:tc>
          <w:tcPr>
            <w:tcW w:w="4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11,052</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11,052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15,513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15,513</w:t>
            </w:r>
          </w:p>
        </w:tc>
      </w:tr>
      <w:tr>
        <w:trPr>
          <w:trHeight w:val="143"/>
        </w:trPr>
        <w:tc>
          <w:tcPr>
            <w:tcW w:w="480" w:type="dxa"/>
            <w:vAlign w:val="bottom"/>
          </w:tcPr>
          <w:p>
            <w:pPr>
              <w:jc w:val="right"/>
              <w:ind w:right="71"/>
              <w:spacing w:after="0"/>
              <w:rPr>
                <w:sz w:val="20"/>
                <w:szCs w:val="20"/>
                <w:color w:val="auto"/>
              </w:rPr>
            </w:pPr>
            <w:r>
              <w:rPr>
                <w:rFonts w:ascii="Arial" w:cs="Arial" w:eastAsia="Arial" w:hAnsi="Arial"/>
                <w:sz w:val="10"/>
                <w:szCs w:val="10"/>
                <w:color w:val="auto"/>
              </w:rPr>
              <w:t>(4,020)</w:t>
            </w:r>
          </w:p>
        </w:tc>
        <w:tc>
          <w:tcPr>
            <w:tcW w:w="1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4,299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(1,739)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(675)</w:t>
            </w:r>
          </w:p>
        </w:tc>
      </w:tr>
      <w:tr>
        <w:trPr>
          <w:trHeight w:val="219"/>
        </w:trPr>
        <w:tc>
          <w:tcPr>
            <w:tcW w:w="480" w:type="dxa"/>
            <w:vAlign w:val="bottom"/>
          </w:tcPr>
          <w:p>
            <w:pPr>
              <w:jc w:val="right"/>
              <w:ind w:right="71"/>
              <w:spacing w:after="0"/>
              <w:rPr>
                <w:sz w:val="20"/>
                <w:szCs w:val="20"/>
                <w:color w:val="auto"/>
              </w:rPr>
            </w:pPr>
            <w:r>
              <w:rPr>
                <w:rFonts w:ascii="Arial" w:cs="Arial" w:eastAsia="Arial" w:hAnsi="Arial"/>
                <w:sz w:val="10"/>
                <w:szCs w:val="10"/>
                <w:color w:val="auto"/>
                <w:w w:val="91"/>
              </w:rPr>
              <w:t>(11,067)</w:t>
            </w: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(6,726)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6,976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(10,971)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(2,684)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(882)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(3,242)</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(4,131)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(10,939)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-2418080</wp:posOffset>
            </wp:positionV>
            <wp:extent cx="7161530" cy="87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-2175510</wp:posOffset>
            </wp:positionV>
            <wp:extent cx="7161530" cy="154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-1865630</wp:posOffset>
            </wp:positionV>
            <wp:extent cx="7161530" cy="15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-1623060</wp:posOffset>
            </wp:positionV>
            <wp:extent cx="7161530" cy="87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-1447800</wp:posOffset>
            </wp:positionV>
            <wp:extent cx="7161530" cy="1543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54305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-2505710</wp:posOffset>
            </wp:positionV>
            <wp:extent cx="565912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120" cy="698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2440" w:space="300"/>
            <w:col w:w="8540"/>
          </w:cols>
          <w:pgMar w:left="300" w:top="702" w:right="319" w:bottom="1440" w:gutter="0" w:footer="0" w:header="0"/>
          <w:type w:val="continuous"/>
        </w:sectPr>
      </w:pPr>
    </w:p>
    <w:p>
      <w:pPr>
        <w:ind w:left="120"/>
        <w:spacing w:after="0"/>
        <w:rPr>
          <w:sz w:val="20"/>
          <w:szCs w:val="20"/>
          <w:color w:val="auto"/>
        </w:rPr>
      </w:pPr>
      <w:r>
        <w:rPr>
          <w:rFonts w:ascii="Arial" w:cs="Arial" w:eastAsia="Arial" w:hAnsi="Arial"/>
          <w:sz w:val="10"/>
          <w:szCs w:val="10"/>
          <w:color w:val="auto"/>
        </w:rPr>
        <w:t>Net increase (decrease) in short-term debt</w:t>
      </w:r>
    </w:p>
    <w:p>
      <w:pPr>
        <w:spacing w:after="0" w:line="23" w:lineRule="exact"/>
        <w:rPr>
          <w:sz w:val="20"/>
          <w:szCs w:val="20"/>
          <w:color w:val="auto"/>
        </w:rPr>
      </w:pPr>
    </w:p>
    <w:p>
      <w:pPr>
        <w:ind w:left="240" w:right="100" w:hanging="126"/>
        <w:spacing w:after="0" w:line="234" w:lineRule="auto"/>
        <w:rPr>
          <w:sz w:val="20"/>
          <w:szCs w:val="20"/>
          <w:color w:val="auto"/>
        </w:rPr>
      </w:pPr>
      <w:r>
        <w:rPr>
          <w:rFonts w:ascii="Arial" w:cs="Arial" w:eastAsia="Arial" w:hAnsi="Arial"/>
          <w:sz w:val="10"/>
          <w:szCs w:val="10"/>
          <w:color w:val="auto"/>
        </w:rPr>
        <w:t>Proceeds from issuance of debt (original maturities greater than three months)</w:t>
      </w:r>
    </w:p>
    <w:p>
      <w:pPr>
        <w:spacing w:after="0" w:line="20" w:lineRule="exact"/>
        <w:rPr>
          <w:sz w:val="20"/>
          <w:szCs w:val="20"/>
          <w:color w:val="auto"/>
        </w:rPr>
      </w:pPr>
    </w:p>
    <w:p>
      <w:pPr>
        <w:ind w:left="240" w:right="140" w:hanging="126"/>
        <w:spacing w:after="0" w:line="234" w:lineRule="auto"/>
        <w:rPr>
          <w:sz w:val="20"/>
          <w:szCs w:val="20"/>
          <w:color w:val="auto"/>
        </w:rPr>
      </w:pPr>
      <w:r>
        <w:rPr>
          <w:rFonts w:ascii="Arial" w:cs="Arial" w:eastAsia="Arial" w:hAnsi="Arial"/>
          <w:sz w:val="10"/>
          <w:szCs w:val="10"/>
          <w:color w:val="auto"/>
        </w:rPr>
        <w:t>Payments on debt (original maturities greater than three months)</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Payment to purchase common stock</w:t>
      </w:r>
    </w:p>
    <w:p>
      <w:pPr>
        <w:spacing w:after="0" w:line="23" w:lineRule="exact"/>
        <w:rPr>
          <w:sz w:val="20"/>
          <w:szCs w:val="20"/>
          <w:color w:val="auto"/>
        </w:rPr>
      </w:pPr>
    </w:p>
    <w:p>
      <w:pPr>
        <w:ind w:left="240" w:right="280" w:hanging="126"/>
        <w:spacing w:after="0" w:line="234" w:lineRule="auto"/>
        <w:rPr>
          <w:sz w:val="20"/>
          <w:szCs w:val="20"/>
          <w:color w:val="auto"/>
        </w:rPr>
      </w:pPr>
      <w:r>
        <w:rPr>
          <w:rFonts w:ascii="Arial" w:cs="Arial" w:eastAsia="Arial" w:hAnsi="Arial"/>
          <w:sz w:val="10"/>
          <w:szCs w:val="10"/>
          <w:color w:val="auto"/>
        </w:rPr>
        <w:t>Issuance (redemptions) of subsidiary preferred stock(b)</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0"/>
          <w:szCs w:val="10"/>
          <w:color w:val="auto"/>
        </w:rPr>
        <w:t>Dividends paid(c)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Other financing activities</w:t>
      </w:r>
    </w:p>
    <w:p>
      <w:pPr>
        <w:spacing w:after="0" w:line="21" w:lineRule="exact"/>
        <w:rPr>
          <w:sz w:val="20"/>
          <w:szCs w:val="20"/>
          <w:color w:val="auto"/>
        </w:rPr>
      </w:pPr>
    </w:p>
    <w:p>
      <w:pPr>
        <w:ind w:left="140" w:right="520" w:hanging="126"/>
        <w:spacing w:after="0" w:line="242" w:lineRule="auto"/>
        <w:rPr>
          <w:sz w:val="20"/>
          <w:szCs w:val="20"/>
          <w:color w:val="auto"/>
        </w:rPr>
      </w:pPr>
      <w:r>
        <w:rPr>
          <w:rFonts w:ascii="Arial" w:cs="Arial" w:eastAsia="Arial" w:hAnsi="Arial"/>
          <w:sz w:val="10"/>
          <w:szCs w:val="10"/>
          <w:b w:val="1"/>
          <w:bCs w:val="1"/>
          <w:color w:val="auto"/>
        </w:rPr>
        <w:t>Net cash provided by (used in) financing activities</w:t>
      </w:r>
    </w:p>
    <w:p>
      <w:pPr>
        <w:spacing w:after="0" w:line="14" w:lineRule="exact"/>
        <w:rPr>
          <w:sz w:val="20"/>
          <w:szCs w:val="20"/>
          <w:color w:val="auto"/>
        </w:rPr>
      </w:pPr>
    </w:p>
    <w:p>
      <w:pPr>
        <w:ind w:left="240" w:right="260" w:hanging="126"/>
        <w:spacing w:after="0" w:line="234" w:lineRule="auto"/>
        <w:rPr>
          <w:sz w:val="20"/>
          <w:szCs w:val="20"/>
          <w:color w:val="auto"/>
        </w:rPr>
      </w:pPr>
      <w:r>
        <w:rPr>
          <w:rFonts w:ascii="Arial" w:cs="Arial" w:eastAsia="Arial" w:hAnsi="Arial"/>
          <w:sz w:val="10"/>
          <w:szCs w:val="10"/>
          <w:color w:val="auto"/>
        </w:rPr>
        <w:t>Effect of exchange rate changes on cash, cash equivalents and restricted cash</w:t>
      </w:r>
    </w:p>
    <w:p>
      <w:pPr>
        <w:spacing w:after="0" w:line="20" w:lineRule="exact"/>
        <w:rPr>
          <w:sz w:val="20"/>
          <w:szCs w:val="20"/>
          <w:color w:val="auto"/>
        </w:rPr>
      </w:pPr>
    </w:p>
    <w:p>
      <w:pPr>
        <w:ind w:left="240" w:right="140" w:hanging="126"/>
        <w:spacing w:after="0" w:line="234" w:lineRule="auto"/>
        <w:rPr>
          <w:sz w:val="20"/>
          <w:szCs w:val="20"/>
          <w:color w:val="auto"/>
        </w:rPr>
      </w:pPr>
      <w:r>
        <w:rPr>
          <w:rFonts w:ascii="Arial" w:cs="Arial" w:eastAsia="Arial" w:hAnsi="Arial"/>
          <w:sz w:val="10"/>
          <w:szCs w:val="10"/>
          <w:color w:val="auto"/>
        </w:rPr>
        <w:t>Net increase (decrease) in cash, cash equivalents and restricted cash</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0"/>
          <w:szCs w:val="10"/>
          <w:color w:val="auto"/>
        </w:rPr>
        <w:t>Cash, cash equivalents and restricted cash at</w:t>
      </w:r>
    </w:p>
    <w:tbl>
      <w:tblPr>
        <w:tblLayout w:type="fixed"/>
        <w:tblInd w:w="0" w:type="dxa"/>
        <w:tblCellMar>
          <w:top w:w="0" w:type="dxa"/>
          <w:left w:w="0" w:type="dxa"/>
          <w:bottom w:w="0" w:type="dxa"/>
          <w:right w:w="0" w:type="dxa"/>
        </w:tblCellMar>
      </w:tblPr>
      <w:tr>
        <w:trPr>
          <w:trHeight w:val="130"/>
        </w:trPr>
        <w:tc>
          <w:tcPr>
            <w:tcW w:w="2280" w:type="dxa"/>
            <w:vAlign w:val="bottom"/>
          </w:tcPr>
          <w:p>
            <w:pPr>
              <w:ind w:left="140"/>
              <w:spacing w:after="0"/>
              <w:rPr>
                <w:sz w:val="20"/>
                <w:szCs w:val="20"/>
                <w:color w:val="auto"/>
              </w:rPr>
            </w:pPr>
            <w:r>
              <w:rPr>
                <w:rFonts w:ascii="Arial" w:cs="Arial" w:eastAsia="Arial" w:hAnsi="Arial"/>
                <w:sz w:val="10"/>
                <w:szCs w:val="10"/>
                <w:color w:val="auto"/>
              </w:rPr>
              <w:t>beginning of period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80" w:type="dxa"/>
            <w:vAlign w:val="bottom"/>
          </w:tcPr>
          <w:p>
            <w:pPr>
              <w:ind w:left="20"/>
              <w:spacing w:after="0" w:line="109" w:lineRule="exact"/>
              <w:rPr>
                <w:sz w:val="20"/>
                <w:szCs w:val="20"/>
                <w:color w:val="auto"/>
              </w:rPr>
            </w:pPr>
            <w:r>
              <w:rPr>
                <w:rFonts w:ascii="Arial" w:cs="Arial" w:eastAsia="Arial" w:hAnsi="Arial"/>
                <w:sz w:val="10"/>
                <w:szCs w:val="10"/>
                <w:b w:val="1"/>
                <w:bCs w:val="1"/>
                <w:color w:val="auto"/>
              </w:rPr>
              <w:t>Cash, cash equivalents and restricted cash at</w:t>
            </w:r>
          </w:p>
        </w:tc>
        <w:tc>
          <w:tcPr>
            <w:tcW w:w="16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280" w:type="dxa"/>
            <w:vAlign w:val="bottom"/>
          </w:tcPr>
          <w:p>
            <w:pPr>
              <w:ind w:left="140"/>
              <w:spacing w:after="0"/>
              <w:rPr>
                <w:sz w:val="20"/>
                <w:szCs w:val="20"/>
                <w:color w:val="auto"/>
              </w:rPr>
            </w:pPr>
            <w:r>
              <w:rPr>
                <w:rFonts w:ascii="Arial" w:cs="Arial" w:eastAsia="Arial" w:hAnsi="Arial"/>
                <w:sz w:val="10"/>
                <w:szCs w:val="10"/>
                <w:b w:val="1"/>
                <w:bCs w:val="1"/>
                <w:color w:val="auto"/>
              </w:rPr>
              <w:t>end of period</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280" w:type="dxa"/>
            <w:vAlign w:val="bottom"/>
          </w:tcPr>
          <w:p>
            <w:pPr>
              <w:jc w:val="right"/>
              <w:ind w:right="1812"/>
              <w:spacing w:after="0"/>
              <w:rPr>
                <w:sz w:val="20"/>
                <w:szCs w:val="20"/>
                <w:color w:val="auto"/>
              </w:rPr>
            </w:pPr>
            <w:r>
              <w:rPr>
                <w:rFonts w:ascii="Arial" w:cs="Arial" w:eastAsia="Arial" w:hAnsi="Arial"/>
                <w:sz w:val="8"/>
                <w:szCs w:val="8"/>
                <w:color w:val="auto"/>
                <w:w w:val="99"/>
              </w:rPr>
              <w:t>_________</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20</w:t>
            </w:r>
          </w:p>
        </w:tc>
        <w:tc>
          <w:tcPr>
            <w:tcW w:w="2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1,189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1,208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3,205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3,203</w:t>
            </w:r>
          </w:p>
        </w:tc>
      </w:tr>
      <w:tr>
        <w:trPr>
          <w:trHeight w:val="244"/>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2,248</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33,805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36,053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367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34,476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34,843</w:t>
            </w:r>
          </w:p>
        </w:tc>
      </w:tr>
      <w:tr>
        <w:trPr>
          <w:trHeight w:val="244"/>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(286)</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(31,336)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(31,649)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(37,197)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(38,266)</w:t>
            </w:r>
          </w:p>
        </w:tc>
      </w:tr>
      <w:tr>
        <w:trPr>
          <w:trHeight w:val="138"/>
        </w:trPr>
        <w:tc>
          <w:tcPr>
            <w:tcW w:w="440" w:type="dxa"/>
            <w:vAlign w:val="bottom"/>
          </w:tcPr>
          <w:p>
            <w:pPr>
              <w:jc w:val="right"/>
              <w:ind w:right="71"/>
              <w:spacing w:after="0"/>
              <w:rPr>
                <w:sz w:val="20"/>
                <w:szCs w:val="20"/>
                <w:color w:val="auto"/>
              </w:rPr>
            </w:pPr>
            <w:r>
              <w:rPr>
                <w:rFonts w:ascii="Arial" w:cs="Arial" w:eastAsia="Arial" w:hAnsi="Arial"/>
                <w:sz w:val="10"/>
                <w:szCs w:val="10"/>
                <w:color w:val="auto"/>
                <w:w w:val="94"/>
              </w:rPr>
              <w:t>(1,514)</w:t>
            </w:r>
          </w:p>
        </w:tc>
        <w:tc>
          <w:tcPr>
            <w:tcW w:w="2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(1,500)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44"/>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(4,261)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2,736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1,736</w:t>
            </w:r>
          </w:p>
        </w:tc>
      </w:tr>
      <w:tr>
        <w:trPr>
          <w:trHeight w:val="138"/>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(138)</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(1,144)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(1,920)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(170)</w:t>
            </w:r>
          </w:p>
        </w:tc>
      </w:tr>
      <w:tr>
        <w:trPr>
          <w:trHeight w:val="143"/>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(332)</w:t>
            </w: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(134)</w:t>
            </w:r>
          </w:p>
        </w:tc>
      </w:tr>
      <w:tr>
        <w:trPr>
          <w:trHeight w:val="219"/>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(3)</w:t>
            </w:r>
          </w:p>
        </w:tc>
        <w:tc>
          <w:tcPr>
            <w:tcW w:w="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1,569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2,408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(3,275)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699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(863)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2,698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(1,568)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945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1,212</w:t>
            </w:r>
          </w:p>
        </w:tc>
      </w:tr>
      <w:tr>
        <w:trPr>
          <w:trHeight w:val="249"/>
        </w:trPr>
        <w:tc>
          <w:tcPr>
            <w:tcW w:w="440" w:type="dxa"/>
            <w:vAlign w:val="bottom"/>
          </w:tcPr>
          <w:p>
            <w:pPr>
              <w:jc w:val="right"/>
              <w:ind w:right="71"/>
              <w:spacing w:after="0"/>
              <w:rPr>
                <w:sz w:val="20"/>
                <w:szCs w:val="20"/>
                <w:color w:val="auto"/>
              </w:rPr>
            </w:pPr>
            <w:r>
              <w:rPr>
                <w:rFonts w:ascii="Arial" w:cs="Arial" w:eastAsia="Arial" w:hAnsi="Arial"/>
                <w:sz w:val="10"/>
                <w:szCs w:val="10"/>
                <w:color w:val="auto"/>
              </w:rPr>
              <w:t>(179)</w:t>
            </w: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r>
      <w:tr>
        <w:trPr>
          <w:trHeight w:val="219"/>
        </w:trPr>
        <w:tc>
          <w:tcPr>
            <w:tcW w:w="440" w:type="dxa"/>
            <w:vAlign w:val="bottom"/>
          </w:tcPr>
          <w:p>
            <w:pPr>
              <w:jc w:val="right"/>
              <w:ind w:right="91"/>
              <w:spacing w:after="0"/>
              <w:rPr>
                <w:sz w:val="20"/>
                <w:szCs w:val="20"/>
                <w:color w:val="auto"/>
              </w:rPr>
            </w:pPr>
            <w:r>
              <w:rPr>
                <w:rFonts w:ascii="Arial" w:cs="Arial" w:eastAsia="Arial" w:hAnsi="Arial"/>
                <w:sz w:val="10"/>
                <w:szCs w:val="10"/>
                <w:color w:val="auto"/>
              </w:rPr>
              <w:t>358</w:t>
            </w: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1,071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775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(1,466)</w:t>
            </w:r>
          </w:p>
        </w:tc>
      </w:tr>
      <w:tr>
        <w:trPr>
          <w:trHeight w:val="249"/>
        </w:trPr>
        <w:tc>
          <w:tcPr>
            <w:tcW w:w="440" w:type="dxa"/>
            <w:vAlign w:val="bottom"/>
          </w:tcPr>
          <w:p>
            <w:pPr>
              <w:jc w:val="right"/>
              <w:ind w:right="91"/>
              <w:spacing w:after="0"/>
              <w:rPr>
                <w:sz w:val="20"/>
                <w:szCs w:val="20"/>
                <w:color w:val="auto"/>
              </w:rPr>
            </w:pPr>
            <w:r>
              <w:rPr>
                <w:rFonts w:ascii="Arial" w:cs="Arial" w:eastAsia="Arial" w:hAnsi="Arial"/>
                <w:sz w:val="10"/>
                <w:szCs w:val="10"/>
                <w:color w:val="auto"/>
                <w:w w:val="91"/>
              </w:rPr>
              <w:t>14,774</w:t>
            </w: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7,183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23,542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14,225</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23,117</w:t>
            </w:r>
          </w:p>
        </w:tc>
      </w:tr>
      <w:tr>
        <w:trPr>
          <w:trHeight w:val="203"/>
        </w:trPr>
        <w:tc>
          <w:tcPr>
            <w:tcW w:w="440" w:type="dxa"/>
            <w:vAlign w:val="bottom"/>
          </w:tcPr>
          <w:p>
            <w:pPr>
              <w:jc w:val="right"/>
              <w:ind w:right="91"/>
              <w:spacing w:after="0"/>
              <w:rPr>
                <w:sz w:val="20"/>
                <w:szCs w:val="20"/>
                <w:color w:val="auto"/>
              </w:rPr>
            </w:pPr>
            <w:r>
              <w:rPr>
                <w:rFonts w:ascii="Arial" w:cs="Arial" w:eastAsia="Arial" w:hAnsi="Arial"/>
                <w:sz w:val="10"/>
                <w:szCs w:val="10"/>
                <w:color w:val="auto"/>
                <w:w w:val="91"/>
              </w:rPr>
              <w:t>15,132</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1,683</w:t>
            </w:r>
          </w:p>
        </w:tc>
        <w:tc>
          <w:tcPr>
            <w:tcW w:w="100" w:type="dxa"/>
            <w:vAlign w:val="bottom"/>
          </w:tcPr>
          <w:p>
            <w:pPr>
              <w:spacing w:after="0"/>
              <w:rPr>
                <w:sz w:val="17"/>
                <w:szCs w:val="17"/>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6,684</w:t>
            </w:r>
          </w:p>
        </w:tc>
        <w:tc>
          <w:tcPr>
            <w:tcW w:w="100" w:type="dxa"/>
            <w:vAlign w:val="bottom"/>
          </w:tcPr>
          <w:p>
            <w:pPr>
              <w:spacing w:after="0"/>
              <w:rPr>
                <w:sz w:val="17"/>
                <w:szCs w:val="17"/>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1060" w:type="dxa"/>
            <w:vAlign w:val="bottom"/>
            <w:gridSpan w:val="3"/>
          </w:tcPr>
          <w:p>
            <w:pPr>
              <w:ind w:left="620"/>
              <w:spacing w:after="0"/>
              <w:rPr>
                <w:sz w:val="20"/>
                <w:szCs w:val="20"/>
                <w:color w:val="auto"/>
              </w:rPr>
            </w:pPr>
            <w:r>
              <w:rPr>
                <w:rFonts w:ascii="Arial" w:cs="Arial" w:eastAsia="Arial" w:hAnsi="Arial"/>
                <w:sz w:val="10"/>
                <w:szCs w:val="10"/>
                <w:color w:val="auto"/>
              </w:rPr>
              <w:t>—   $</w:t>
            </w:r>
          </w:p>
        </w:tc>
        <w:tc>
          <w:tcPr>
            <w:tcW w:w="520" w:type="dxa"/>
            <w:vAlign w:val="bottom"/>
          </w:tcPr>
          <w:p>
            <w:pPr>
              <w:jc w:val="right"/>
              <w:spacing w:after="0"/>
              <w:rPr>
                <w:sz w:val="20"/>
                <w:szCs w:val="20"/>
                <w:color w:val="auto"/>
              </w:rPr>
            </w:pPr>
            <w:r>
              <w:rPr>
                <w:rFonts w:ascii="Arial" w:cs="Arial" w:eastAsia="Arial" w:hAnsi="Arial"/>
                <w:sz w:val="10"/>
                <w:szCs w:val="10"/>
                <w:color w:val="auto"/>
              </w:rPr>
              <w:t>23,499</w:t>
            </w:r>
          </w:p>
        </w:tc>
        <w:tc>
          <w:tcPr>
            <w:tcW w:w="100" w:type="dxa"/>
            <w:vAlign w:val="bottom"/>
          </w:tcPr>
          <w:p>
            <w:pPr>
              <w:spacing w:after="0"/>
              <w:rPr>
                <w:sz w:val="17"/>
                <w:szCs w:val="17"/>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10,913</w:t>
            </w:r>
          </w:p>
        </w:tc>
        <w:tc>
          <w:tcPr>
            <w:tcW w:w="80" w:type="dxa"/>
            <w:vAlign w:val="bottom"/>
          </w:tcPr>
          <w:p>
            <w:pPr>
              <w:spacing w:after="0"/>
              <w:rPr>
                <w:sz w:val="17"/>
                <w:szCs w:val="17"/>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1,838</w:t>
            </w:r>
          </w:p>
        </w:tc>
        <w:tc>
          <w:tcPr>
            <w:tcW w:w="80" w:type="dxa"/>
            <w:vAlign w:val="bottom"/>
          </w:tcPr>
          <w:p>
            <w:pPr>
              <w:spacing w:after="0"/>
              <w:rPr>
                <w:sz w:val="17"/>
                <w:szCs w:val="17"/>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11"/>
              <w:spacing w:after="0"/>
              <w:rPr>
                <w:sz w:val="20"/>
                <w:szCs w:val="20"/>
                <w:color w:val="auto"/>
              </w:rPr>
            </w:pPr>
            <w:r>
              <w:rPr>
                <w:rFonts w:ascii="Arial" w:cs="Arial" w:eastAsia="Arial" w:hAnsi="Arial"/>
                <w:sz w:val="10"/>
                <w:szCs w:val="10"/>
                <w:color w:val="auto"/>
              </w:rPr>
              <w:t>8,901</w:t>
            </w:r>
          </w:p>
        </w:tc>
        <w:tc>
          <w:tcPr>
            <w:tcW w:w="100" w:type="dxa"/>
            <w:vAlign w:val="bottom"/>
          </w:tcPr>
          <w:p>
            <w:pPr>
              <w:spacing w:after="0"/>
              <w:rPr>
                <w:sz w:val="17"/>
                <w:szCs w:val="17"/>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1080" w:type="dxa"/>
            <w:vAlign w:val="bottom"/>
            <w:gridSpan w:val="3"/>
          </w:tcPr>
          <w:p>
            <w:pPr>
              <w:ind w:left="620"/>
              <w:spacing w:after="0"/>
              <w:rPr>
                <w:sz w:val="20"/>
                <w:szCs w:val="20"/>
                <w:color w:val="auto"/>
              </w:rPr>
            </w:pPr>
            <w:r>
              <w:rPr>
                <w:rFonts w:ascii="Arial" w:cs="Arial" w:eastAsia="Arial" w:hAnsi="Arial"/>
                <w:sz w:val="10"/>
                <w:szCs w:val="10"/>
                <w:color w:val="auto"/>
              </w:rPr>
              <w:t>—   $</w:t>
            </w:r>
          </w:p>
        </w:tc>
        <w:tc>
          <w:tcPr>
            <w:tcW w:w="520" w:type="dxa"/>
            <w:vAlign w:val="bottom"/>
          </w:tcPr>
          <w:p>
            <w:pPr>
              <w:jc w:val="right"/>
              <w:spacing w:after="0"/>
              <w:rPr>
                <w:sz w:val="20"/>
                <w:szCs w:val="20"/>
                <w:color w:val="auto"/>
              </w:rPr>
            </w:pPr>
            <w:r>
              <w:rPr>
                <w:rFonts w:ascii="Arial" w:cs="Arial" w:eastAsia="Arial" w:hAnsi="Arial"/>
                <w:sz w:val="10"/>
                <w:szCs w:val="10"/>
                <w:color w:val="auto"/>
              </w:rPr>
              <w:t>21,651</w:t>
            </w:r>
          </w:p>
        </w:tc>
      </w:tr>
      <w:tr>
        <w:trPr>
          <w:trHeight w:val="20"/>
        </w:trPr>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-1515110</wp:posOffset>
            </wp:positionV>
            <wp:extent cx="7161530" cy="154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-1205230</wp:posOffset>
            </wp:positionV>
            <wp:extent cx="7161530" cy="87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-962660</wp:posOffset>
            </wp:positionV>
            <wp:extent cx="7161530" cy="87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-167640</wp:posOffset>
            </wp:positionV>
            <wp:extent cx="716153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-477520</wp:posOffset>
            </wp:positionV>
            <wp:extent cx="7161530" cy="154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-1761490</wp:posOffset>
            </wp:positionH>
            <wp:positionV relativeFrom="paragraph">
              <wp:posOffset>-787400</wp:posOffset>
            </wp:positionV>
            <wp:extent cx="7161530" cy="154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2440" w:space="340"/>
            <w:col w:w="8500"/>
          </w:cols>
          <w:pgMar w:left="300" w:top="702" w:right="319" w:bottom="1440" w:gutter="0" w:footer="0" w:header="0"/>
          <w:type w:val="continuous"/>
        </w:sect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Includes reclassifications of $2.7 billion and $4.9 billion in the nine months ended September 30, 2022 and 2021 for purchases/collections of wholesale finance receivables resulting from vehicles sold by GM to dealers that have arranged their inventory floor plan financing through GM Financial.</w:t>
      </w:r>
    </w:p>
    <w:p>
      <w:pPr>
        <w:spacing w:after="0" w:line="14"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Includes reclassification of $2.1 billion redemption of Cruise preferred shares from SoftBank in the nine months ended September 30, 2022, and $2.1 billion and $1.0 billion in the nine months ended September 30, 2022 and 2021 for Automotive investment in Cruise.</w:t>
      </w:r>
    </w:p>
    <w:p>
      <w:pPr>
        <w:spacing w:after="0" w:line="6"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200" w:lineRule="exact"/>
        <w:rPr>
          <w:sz w:val="20"/>
          <w:szCs w:val="20"/>
          <w:color w:val="auto"/>
        </w:rPr>
      </w:pPr>
    </w:p>
    <w:p>
      <w:pPr>
        <w:spacing w:after="0" w:line="284" w:lineRule="exact"/>
        <w:rPr>
          <w:sz w:val="20"/>
          <w:szCs w:val="20"/>
          <w:color w:val="auto"/>
        </w:rPr>
      </w:pPr>
    </w:p>
    <w:p>
      <w:pPr>
        <w:jc w:val="center"/>
        <w:ind w:left="48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70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2022-10-25T06:39:21Z</dcterms:created>
  <dcterms:modified xsi:type="dcterms:W3CDTF">2022-10-25T06:39:21Z</dcterms:modified>
</cp:coreProperties>
</file>