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3936365</wp:posOffset>
            </wp:positionH>
            <wp:positionV relativeFrom="paragraph">
              <wp:posOffset>-612775</wp:posOffset>
            </wp:positionV>
            <wp:extent cx="57150" cy="626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725805</wp:posOffset>
            </wp:positionV>
            <wp:extent cx="6996430" cy="508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DIXTON GRANT MICHAEL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1240 WOODWARD AVENUE M/C: 482-22381-1003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3" w:right="700" w:firstLine="3"/>
        <w:spacing w:after="0" w:line="249" w:lineRule="auto"/>
        <w:tabs>
          <w:tab w:leader="none" w:pos="13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9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7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Executive Vice President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ind w:right="198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gridSpan w:val="9"/>
          </w:tcPr>
          <w:p>
            <w:pPr>
              <w:ind w:left="20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DETROIT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MI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48265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02/04/2026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9,759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3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53,835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02/04/2026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2,919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86.29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50,916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17,939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17,939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17,939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9,759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19,516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-2087245</wp:posOffset>
            </wp:positionV>
            <wp:extent cx="28575" cy="20929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9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converts into common stock on a one-for-one basis.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are awarded pursuant to the Company's 2020 Long-Term Incentive Plan.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conversion or exercise price. Upon vesting, they will be settled in shares of the Company's common stock on a one-for-one basis.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these RSUs, one-third will vest on February 3, 2027, one-third will vest on February 3, 2028, and one-third will vest on February 3, 2029.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date on which they will expire.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hanging="1"/>
        <w:spacing w:after="0" w:line="246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awarded on February 4, 2025. One-third of the RSUs vested on February 4, 2026, and the remaining two-thirds will vest on February 4, 2027 and February 4, 2028. Each RSU represents a right to receive one share of the Company's common stock upon settlement.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Tia Y. Turk, Attorney-In-Fact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02/05/2026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for Mr. Dixton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102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-79375</wp:posOffset>
            </wp:positionV>
            <wp:extent cx="4743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6710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2026-02-05T15:45:15Z</dcterms:created>
  <dcterms:modified xsi:type="dcterms:W3CDTF">2026-02-05T15:45:15Z</dcterms:modified>
</cp:coreProperties>
</file>