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11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112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675"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Neumann Karl-Thomas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492-C23-D24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675"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9"/>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jc w:val="center"/>
              <w:ind w:left="605"/>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8"/>
                <w:szCs w:val="18"/>
                <w:color w:val="0000FF"/>
                <w:w w:val="88"/>
              </w:rPr>
              <w:t>02/13/2017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3"/>
              <w:spacing w:after="0"/>
              <w:rPr>
                <w:sz w:val="20"/>
                <w:szCs w:val="20"/>
                <w:color w:val="auto"/>
              </w:rPr>
            </w:pPr>
            <w:r>
              <w:rPr>
                <w:rFonts w:ascii="Arial" w:cs="Arial" w:eastAsia="Arial" w:hAnsi="Arial"/>
                <w:sz w:val="18"/>
                <w:szCs w:val="18"/>
                <w:color w:val="0000FF"/>
                <w:w w:val="88"/>
              </w:rPr>
              <w:t>6,229</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15,755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6"/>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05"/>
              <w:spacing w:after="0"/>
              <w:rPr>
                <w:sz w:val="20"/>
                <w:szCs w:val="20"/>
                <w:color w:val="auto"/>
              </w:rPr>
            </w:pPr>
            <w:r>
              <w:rPr>
                <w:rFonts w:ascii="Arial" w:cs="Arial" w:eastAsia="Arial" w:hAnsi="Arial"/>
                <w:sz w:val="18"/>
                <w:szCs w:val="18"/>
                <w:color w:val="0000FF"/>
                <w:w w:val="88"/>
              </w:rPr>
              <w:t>02/13/2017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37"/>
              <w:spacing w:after="0"/>
              <w:rPr>
                <w:sz w:val="20"/>
                <w:szCs w:val="20"/>
                <w:color w:val="auto"/>
              </w:rPr>
            </w:pPr>
            <w:r>
              <w:rPr>
                <w:rFonts w:ascii="Arial" w:cs="Arial" w:eastAsia="Arial" w:hAnsi="Arial"/>
                <w:sz w:val="12"/>
                <w:szCs w:val="12"/>
                <w:color w:val="0000FF"/>
                <w:w w:val="81"/>
              </w:rPr>
              <w:t>F</w:t>
            </w:r>
          </w:p>
        </w:tc>
        <w:tc>
          <w:tcPr>
            <w:tcW w:w="180" w:type="dxa"/>
            <w:vAlign w:val="bottom"/>
          </w:tcPr>
          <w:p>
            <w:pPr>
              <w:spacing w:after="0"/>
              <w:rPr>
                <w:sz w:val="23"/>
                <w:szCs w:val="23"/>
                <w:color w:val="auto"/>
              </w:rPr>
            </w:pPr>
          </w:p>
        </w:tc>
        <w:tc>
          <w:tcPr>
            <w:tcW w:w="620" w:type="dxa"/>
            <w:vAlign w:val="bottom"/>
          </w:tcPr>
          <w:p>
            <w:pPr>
              <w:jc w:val="center"/>
              <w:ind w:left="103"/>
              <w:spacing w:after="0"/>
              <w:rPr>
                <w:sz w:val="20"/>
                <w:szCs w:val="20"/>
                <w:color w:val="auto"/>
              </w:rPr>
            </w:pPr>
            <w:r>
              <w:rPr>
                <w:rFonts w:ascii="Arial" w:cs="Arial" w:eastAsia="Arial" w:hAnsi="Arial"/>
                <w:sz w:val="18"/>
                <w:szCs w:val="18"/>
                <w:color w:val="0000FF"/>
                <w:w w:val="88"/>
              </w:rPr>
              <w:t>2,958</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35.52</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12,797</w:t>
            </w:r>
          </w:p>
        </w:tc>
        <w:tc>
          <w:tcPr>
            <w:tcW w:w="280" w:type="dxa"/>
            <w:vAlign w:val="bottom"/>
          </w:tcPr>
          <w:p>
            <w:pPr>
              <w:spacing w:after="0"/>
              <w:rPr>
                <w:sz w:val="23"/>
                <w:szCs w:val="23"/>
                <w:color w:val="auto"/>
              </w:rPr>
            </w:pPr>
          </w:p>
        </w:tc>
        <w:tc>
          <w:tcPr>
            <w:tcW w:w="700" w:type="dxa"/>
            <w:vAlign w:val="bottom"/>
          </w:tcPr>
          <w:p>
            <w:pPr>
              <w:jc w:val="right"/>
              <w:ind w:right="386"/>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8"/>
                <w:szCs w:val="18"/>
                <w:color w:val="0000FF"/>
                <w:w w:val="88"/>
              </w:rPr>
              <w:t>02/13/2017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7"/>
              <w:spacing w:after="0"/>
              <w:rPr>
                <w:sz w:val="20"/>
                <w:szCs w:val="20"/>
                <w:color w:val="auto"/>
              </w:rPr>
            </w:pPr>
            <w:r>
              <w:rPr>
                <w:rFonts w:ascii="Arial" w:cs="Arial" w:eastAsia="Arial" w:hAnsi="Arial"/>
                <w:sz w:val="12"/>
                <w:szCs w:val="12"/>
                <w:color w:val="0000FF"/>
                <w:w w:val="74"/>
              </w:rPr>
              <w:t>S</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3"/>
              <w:spacing w:after="0"/>
              <w:rPr>
                <w:sz w:val="20"/>
                <w:szCs w:val="20"/>
                <w:color w:val="auto"/>
              </w:rPr>
            </w:pPr>
            <w:r>
              <w:rPr>
                <w:rFonts w:ascii="Arial" w:cs="Arial" w:eastAsia="Arial" w:hAnsi="Arial"/>
                <w:sz w:val="18"/>
                <w:szCs w:val="18"/>
                <w:color w:val="0000FF"/>
                <w:w w:val="88"/>
              </w:rPr>
              <w:t>1,379</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35.38</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11,418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6"/>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8"/>
                <w:szCs w:val="18"/>
                <w:color w:val="0000FF"/>
                <w:w w:val="88"/>
              </w:rPr>
              <w:t>02/13/2017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23"/>
              <w:spacing w:after="0"/>
              <w:rPr>
                <w:sz w:val="20"/>
                <w:szCs w:val="20"/>
                <w:color w:val="auto"/>
              </w:rPr>
            </w:pPr>
            <w:r>
              <w:rPr>
                <w:rFonts w:ascii="Arial" w:cs="Arial" w:eastAsia="Arial" w:hAnsi="Arial"/>
                <w:sz w:val="18"/>
                <w:szCs w:val="18"/>
                <w:color w:val="0000FF"/>
                <w:w w:val="86"/>
              </w:rPr>
              <w:t>112,128</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123,546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6"/>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05"/>
              <w:spacing w:after="0"/>
              <w:rPr>
                <w:sz w:val="20"/>
                <w:szCs w:val="20"/>
                <w:color w:val="auto"/>
              </w:rPr>
            </w:pPr>
            <w:r>
              <w:rPr>
                <w:rFonts w:ascii="Arial" w:cs="Arial" w:eastAsia="Arial" w:hAnsi="Arial"/>
                <w:sz w:val="18"/>
                <w:szCs w:val="18"/>
                <w:color w:val="0000FF"/>
                <w:w w:val="88"/>
              </w:rPr>
              <w:t>02/13/2017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37"/>
              <w:spacing w:after="0"/>
              <w:rPr>
                <w:sz w:val="20"/>
                <w:szCs w:val="20"/>
                <w:color w:val="auto"/>
              </w:rPr>
            </w:pPr>
            <w:r>
              <w:rPr>
                <w:rFonts w:ascii="Arial" w:cs="Arial" w:eastAsia="Arial" w:hAnsi="Arial"/>
                <w:sz w:val="12"/>
                <w:szCs w:val="12"/>
                <w:color w:val="0000FF"/>
                <w:w w:val="81"/>
              </w:rPr>
              <w:t>F</w:t>
            </w:r>
          </w:p>
        </w:tc>
        <w:tc>
          <w:tcPr>
            <w:tcW w:w="180" w:type="dxa"/>
            <w:vAlign w:val="bottom"/>
          </w:tcPr>
          <w:p>
            <w:pPr>
              <w:spacing w:after="0"/>
              <w:rPr>
                <w:sz w:val="23"/>
                <w:szCs w:val="23"/>
                <w:color w:val="auto"/>
              </w:rPr>
            </w:pPr>
          </w:p>
        </w:tc>
        <w:tc>
          <w:tcPr>
            <w:tcW w:w="700" w:type="dxa"/>
            <w:vAlign w:val="bottom"/>
            <w:gridSpan w:val="2"/>
          </w:tcPr>
          <w:p>
            <w:pPr>
              <w:jc w:val="center"/>
              <w:ind w:left="23"/>
              <w:spacing w:after="0"/>
              <w:rPr>
                <w:sz w:val="20"/>
                <w:szCs w:val="20"/>
                <w:color w:val="auto"/>
              </w:rPr>
            </w:pPr>
            <w:r>
              <w:rPr>
                <w:rFonts w:ascii="Arial" w:cs="Arial" w:eastAsia="Arial" w:hAnsi="Arial"/>
                <w:sz w:val="18"/>
                <w:szCs w:val="18"/>
                <w:color w:val="0000FF"/>
                <w:w w:val="87"/>
              </w:rPr>
              <w:t>53,239</w:t>
            </w: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35.52</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70,307</w:t>
            </w:r>
          </w:p>
        </w:tc>
        <w:tc>
          <w:tcPr>
            <w:tcW w:w="280" w:type="dxa"/>
            <w:vAlign w:val="bottom"/>
          </w:tcPr>
          <w:p>
            <w:pPr>
              <w:spacing w:after="0"/>
              <w:rPr>
                <w:sz w:val="23"/>
                <w:szCs w:val="23"/>
                <w:color w:val="auto"/>
              </w:rPr>
            </w:pPr>
          </w:p>
        </w:tc>
        <w:tc>
          <w:tcPr>
            <w:tcW w:w="700" w:type="dxa"/>
            <w:vAlign w:val="bottom"/>
          </w:tcPr>
          <w:p>
            <w:pPr>
              <w:jc w:val="right"/>
              <w:ind w:right="386"/>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8"/>
                <w:szCs w:val="18"/>
                <w:color w:val="0000FF"/>
                <w:w w:val="88"/>
              </w:rPr>
              <w:t>02/14/2017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7"/>
              <w:spacing w:after="0"/>
              <w:rPr>
                <w:sz w:val="20"/>
                <w:szCs w:val="20"/>
                <w:color w:val="auto"/>
              </w:rPr>
            </w:pPr>
            <w:r>
              <w:rPr>
                <w:rFonts w:ascii="Arial" w:cs="Arial" w:eastAsia="Arial" w:hAnsi="Arial"/>
                <w:sz w:val="12"/>
                <w:szCs w:val="12"/>
                <w:color w:val="0000FF"/>
                <w:w w:val="74"/>
              </w:rPr>
              <w:t>S</w:t>
            </w: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23"/>
              <w:spacing w:after="0"/>
              <w:rPr>
                <w:sz w:val="20"/>
                <w:szCs w:val="20"/>
                <w:color w:val="auto"/>
              </w:rPr>
            </w:pPr>
            <w:r>
              <w:rPr>
                <w:rFonts w:ascii="Arial" w:cs="Arial" w:eastAsia="Arial" w:hAnsi="Arial"/>
                <w:sz w:val="18"/>
                <w:szCs w:val="18"/>
                <w:color w:val="0000FF"/>
                <w:w w:val="87"/>
              </w:rPr>
              <w:t>31,079</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36.71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39,228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6"/>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6"/>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6,229</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02/13/2017</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6,229</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80" w:type="dxa"/>
            <w:vAlign w:val="bottom"/>
          </w:tcPr>
          <w:p>
            <w:pPr>
              <w:spacing w:after="0"/>
              <w:rPr>
                <w:sz w:val="7"/>
                <w:szCs w:val="7"/>
                <w:color w:val="auto"/>
              </w:rPr>
            </w:pPr>
          </w:p>
        </w:tc>
        <w:tc>
          <w:tcPr>
            <w:tcW w:w="620" w:type="dxa"/>
            <w:vAlign w:val="bottom"/>
            <w:vMerge w:val="restart"/>
          </w:tcPr>
          <w:p>
            <w:pPr>
              <w:jc w:val="right"/>
              <w:ind w:right="283"/>
              <w:spacing w:after="0"/>
              <w:rPr>
                <w:sz w:val="20"/>
                <w:szCs w:val="20"/>
                <w:color w:val="auto"/>
              </w:rPr>
            </w:pPr>
            <w:r>
              <w:rPr>
                <w:rFonts w:ascii="Arial" w:cs="Arial" w:eastAsia="Arial" w:hAnsi="Arial"/>
                <w:sz w:val="11"/>
                <w:szCs w:val="11"/>
                <w:color w:val="008000"/>
              </w:rPr>
              <w:t>(5)</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6"/>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and delivered upon the vesting of a grant of Restricted Stock Units ("RSUs") awarded on June 11, 2014, pursuant to the Company's 2014 Long-Term Incentive Plan (the "GMLTIP"). This is the final installment of this delivery. Each RSU represents a right to receive one share of the Company's Common Stock upon settlement.</w:t>
      </w:r>
    </w:p>
    <w:p>
      <w:pPr>
        <w:ind w:left="40" w:right="7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a Rule 10b5-1 trading plan adopted by the reporting person in November 2015. Upon entry into the plan, the Reporting Person provided instructions to his broker to sell shares in quantities and at prices determined at that time. Pursuant to the terms of the plan, the Reporting Person has no discretion to modify those instructions.</w:t>
      </w:r>
    </w:p>
    <w:p>
      <w:pPr>
        <w:ind w:left="40" w:right="2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11, 2014, the Reporting Person received a grant of Performance Stock Units (PSUs). Under the grant, PSUs could be earned based on the achievement of performance conditions relating to ROIC-adjusted and Global Market Share from January 1, 2014 to December 31, 2016. PSUs vested and settled in shares of common stock on February 13, 2017.</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in this item were granted on June 11, 2014 and were settled on February 13, 2017.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are exercisable or expire.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02/15/2017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Dr. Neumann</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6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2019-12-04T01:58:49Z</dcterms:created>
  <dcterms:modified xsi:type="dcterms:W3CDTF">2019-12-04T01:58:49Z</dcterms:modified>
</cp:coreProperties>
</file>