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280035</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302260</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294005</wp:posOffset>
            </wp:positionV>
            <wp:extent cx="1431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GENERAL MOTORS COMPANY</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278765</wp:posOffset>
            </wp:positionV>
            <wp:extent cx="1431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(State or other</w:t>
      </w:r>
    </w:p>
    <w:p>
      <w:pPr>
        <w:spacing w:after="0" w:line="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001-34960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1265" w:right="339" w:bottom="1440" w:gutter="0" w:footer="0" w:header="0"/>
          <w:type w:val="continuous"/>
        </w:sectPr>
      </w:pPr>
    </w:p>
    <w:p>
      <w:pPr>
        <w:spacing w:after="0" w:line="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300 Renaissance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Detroit, Michigan</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020"/>
          </w:cols>
          <w:pgMar w:left="320" w:top="126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280035</wp:posOffset>
            </wp:positionV>
            <wp:extent cx="1431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180" w:type="dxa"/>
            <w:vAlign w:val="bottom"/>
          </w:tcPr>
          <w:p>
            <w:pPr>
              <w:spacing w:after="0"/>
              <w:rPr>
                <w:sz w:val="20"/>
                <w:szCs w:val="20"/>
                <w:color w:val="auto"/>
              </w:rPr>
            </w:pPr>
          </w:p>
        </w:tc>
      </w:tr>
      <w:tr>
        <w:trPr>
          <w:trHeight w:val="468"/>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33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2"/>
        </w:trPr>
        <w:tc>
          <w:tcPr>
            <w:tcW w:w="330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8, 2020, General Motors Company (“GM”) and Nikola Corporation (“Nikola”) announced GM’s strategic investment in Nikola. Under the terms of the investment agreements, GM will receive $2 billion in Nikola common stock, representing an 11% ownership stake, in exchange for certain in-kind contributions to Nikola, including engineering and manufacturing services and providing Nikola with access to GM’s global safety-tested and validated parts and components. GM will also have the right to nominate one director to Nikola’s board of directors beginning at Nikola’s 2021 annual meeting of stockholders.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GM will be responsible for engineering, homologating, validating, and manufacturing the Nikola Badger. Nikola will be responsible for the sales and marketing for the Badger and will retain the Nikola Badger brand. In addition, GM will provide engineering services to integrate its hydrogen fuel cell system into Nikola’s Class 7/8 semi trucks. GM will also be the exclusive hydrogen fuel cell system supplier to Nikola for Class 7/8 semi trucks outside of Europe, subject to certain time and performance requirements. The investment is subject to customary regulatory approvals. A copy of the related press release is attached hereto as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and the attached press release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such as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 may differ materially due to a variety of important factors, both positive and negative. Many of these factors are described in our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“partnership” in the attached press release and related comments by management are intended to refer only to the strategic alliance between the parties and are not intended to and do not indicate the formation of a common law partnership or similar legal construct or the duties (fiduciary or otherwise) that may be implied by the formation of such a partnership or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600" w:type="dxa"/>
            <w:vAlign w:val="bottom"/>
          </w:tcPr>
          <w:p>
            <w:pPr>
              <w:spacing w:after="0"/>
              <w:rPr>
                <w:sz w:val="17"/>
                <w:szCs w:val="17"/>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0"/>
                <w:szCs w:val="20"/>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Joint Press Release, dated September 8, 2020</w:t>
              </w:r>
            </w:hyperlink>
          </w:p>
        </w:tc>
      </w:tr>
      <w:tr>
        <w:trPr>
          <w:trHeight w:val="1870"/>
        </w:trPr>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1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1120" w:type="dxa"/>
            <w:vAlign w:val="bottom"/>
          </w:tcPr>
          <w:p>
            <w:pPr>
              <w:spacing w:after="0"/>
              <w:rPr>
                <w:sz w:val="20"/>
                <w:szCs w:val="20"/>
                <w:color w:val="auto"/>
              </w:rPr>
            </w:pPr>
          </w:p>
        </w:tc>
      </w:tr>
      <w:tr>
        <w:trPr>
          <w:trHeight w:val="648"/>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Rick E. Hansen</w:t>
            </w:r>
          </w:p>
        </w:tc>
        <w:tc>
          <w:tcPr>
            <w:tcW w:w="1120" w:type="dxa"/>
            <w:vAlign w:val="bottom"/>
          </w:tcPr>
          <w:p>
            <w:pPr>
              <w:spacing w:after="0"/>
              <w:rPr>
                <w:sz w:val="24"/>
                <w:szCs w:val="24"/>
                <w:color w:val="auto"/>
              </w:rPr>
            </w:pP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 September 8, 2020</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Rick E. Hansen</w:t>
            </w:r>
          </w:p>
        </w:tc>
        <w:tc>
          <w:tcPr>
            <w:tcW w:w="11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Assistant General Counsel and Corporate Secretary</w:t>
            </w:r>
          </w:p>
        </w:tc>
        <w:tc>
          <w:tcPr>
            <w:tcW w:w="1120" w:type="dxa"/>
            <w:vAlign w:val="bottom"/>
          </w:tcPr>
          <w:p>
            <w:pPr>
              <w:spacing w:after="0"/>
              <w:rPr>
                <w:sz w:val="20"/>
                <w:szCs w:val="20"/>
                <w:color w:val="auto"/>
              </w:rPr>
            </w:pPr>
          </w:p>
        </w:tc>
      </w:tr>
      <w:tr>
        <w:trPr>
          <w:trHeight w:val="1519"/>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188595</wp:posOffset>
            </wp:positionV>
            <wp:extent cx="4294505" cy="1379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9450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NIKOLA AND GENERAL MOTORS FORM STRATEGIC PARTNERSHIP;</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NIKOLA BADGER TO BE ENGINEERED AND MANUFACTURED BY GENERAL MOTORS</w:t>
      </w:r>
    </w:p>
    <w:p>
      <w:pPr>
        <w:spacing w:after="0" w:line="257" w:lineRule="exact"/>
        <w:rPr>
          <w:sz w:val="20"/>
          <w:szCs w:val="20"/>
          <w:color w:val="auto"/>
        </w:rPr>
      </w:pPr>
    </w:p>
    <w:p>
      <w:pPr>
        <w:jc w:val="center"/>
        <w:ind w:left="340" w:right="200"/>
        <w:spacing w:after="0" w:line="281" w:lineRule="auto"/>
        <w:rPr>
          <w:sz w:val="20"/>
          <w:szCs w:val="20"/>
          <w:color w:val="auto"/>
        </w:rPr>
      </w:pPr>
      <w:r>
        <w:rPr>
          <w:rFonts w:ascii="Arial" w:cs="Arial" w:eastAsia="Arial" w:hAnsi="Arial"/>
          <w:sz w:val="22"/>
          <w:szCs w:val="22"/>
          <w:b w:val="1"/>
          <w:bCs w:val="1"/>
          <w:color w:val="auto"/>
        </w:rPr>
        <w:t>General Motors receives 11 percent ownership of Nikola and right to nominate one director; General Motors seizes growth opportunity with Nikola to boldly move into broader markets with Hydrotec fuel cell and Ultium battery systems</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to receive $2 billion equity stake in Nikola in exchange for certain in-kind contributions</w:t>
      </w:r>
    </w:p>
    <w:p>
      <w:pPr>
        <w:spacing w:after="0" w:line="17" w:lineRule="exact"/>
        <w:rPr>
          <w:rFonts w:ascii="Arial" w:cs="Arial" w:eastAsia="Arial" w:hAnsi="Arial"/>
          <w:sz w:val="18"/>
          <w:szCs w:val="18"/>
          <w:color w:val="auto"/>
        </w:rPr>
      </w:pPr>
    </w:p>
    <w:p>
      <w:pPr>
        <w:ind w:left="660" w:right="58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to engineer, validate, homologate and build the Nikola Badger for both the battery electric vehicle and fuel cell electric vehicle variants as part of the in-kind services</w:t>
      </w:r>
    </w:p>
    <w:p>
      <w:pPr>
        <w:spacing w:after="0" w:line="1" w:lineRule="exact"/>
        <w:rPr>
          <w:rFonts w:ascii="Arial" w:cs="Arial" w:eastAsia="Arial" w:hAnsi="Arial"/>
          <w:sz w:val="18"/>
          <w:szCs w:val="18"/>
          <w:color w:val="auto"/>
        </w:rPr>
      </w:pPr>
    </w:p>
    <w:p>
      <w:pPr>
        <w:ind w:left="660" w:right="7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Nikola anticipates saving over $4 billion in battery and powertrain costs over 10 years and over $1 billion in engineering and validation costs</w:t>
      </w:r>
    </w:p>
    <w:p>
      <w:pPr>
        <w:spacing w:after="0" w:line="1" w:lineRule="exact"/>
        <w:rPr>
          <w:rFonts w:ascii="Arial" w:cs="Arial" w:eastAsia="Arial" w:hAnsi="Arial"/>
          <w:sz w:val="18"/>
          <w:szCs w:val="18"/>
          <w:color w:val="auto"/>
        </w:rPr>
      </w:pPr>
    </w:p>
    <w:p>
      <w:pPr>
        <w:ind w:left="660" w:right="14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expects to receive in excess of $4 billion of benefits between the equity value of the shares, contract manufacturing of the Badger, supply contracts for batteries and fuel cells, and EV credits retained over the life of the contract</w:t>
      </w:r>
    </w:p>
    <w:p>
      <w:pPr>
        <w:spacing w:after="0" w:line="1" w:lineRule="exact"/>
        <w:rPr>
          <w:rFonts w:ascii="Arial" w:cs="Arial" w:eastAsia="Arial" w:hAnsi="Arial"/>
          <w:sz w:val="18"/>
          <w:szCs w:val="18"/>
          <w:color w:val="auto"/>
        </w:rPr>
      </w:pPr>
    </w:p>
    <w:p>
      <w:pPr>
        <w:ind w:left="660" w:right="2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to be exclusive supplier of fuel cells globally (outside of Europe) to Nikola for Class 7/8 trucks, providing validation and scale in a multi-billion dollar total addressable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Badger is anticipated to enter production by year-end 2022</w:t>
      </w:r>
    </w:p>
    <w:p>
      <w:pPr>
        <w:spacing w:after="0" w:line="245" w:lineRule="exact"/>
        <w:rPr>
          <w:sz w:val="20"/>
          <w:szCs w:val="20"/>
          <w:color w:val="auto"/>
        </w:rPr>
      </w:pPr>
    </w:p>
    <w:p>
      <w:pPr>
        <w:ind w:right="180"/>
        <w:spacing w:after="0" w:line="265" w:lineRule="auto"/>
        <w:rPr>
          <w:sz w:val="20"/>
          <w:szCs w:val="20"/>
          <w:color w:val="auto"/>
        </w:rPr>
      </w:pPr>
      <w:r>
        <w:rPr>
          <w:rFonts w:ascii="Arial" w:cs="Arial" w:eastAsia="Arial" w:hAnsi="Arial"/>
          <w:sz w:val="22"/>
          <w:szCs w:val="22"/>
          <w:color w:val="auto"/>
        </w:rPr>
        <w:t>PHOENIX/DETROIT, Sept. 08, 2020 — Nikola Corporation (NASDAQ: NKLA) and General Motors Co. (NYSE: GM) today announced a strategic partnership that begins with the Nikola Badger and carries cost reductions through Nikola’s programs, including: Nikola Badger, Nikola Tre, Nikola One, Nikola Two and NZT. As part of the agreement, Nikola will utilize General Motors’ Ultium battery system and Hydrotec fuel cell technology, representing a key commercialization milestone for General Motors.</w:t>
      </w:r>
    </w:p>
    <w:p>
      <w:pPr>
        <w:spacing w:after="0" w:line="223" w:lineRule="exact"/>
        <w:rPr>
          <w:sz w:val="20"/>
          <w:szCs w:val="20"/>
          <w:color w:val="auto"/>
        </w:rPr>
      </w:pPr>
    </w:p>
    <w:p>
      <w:pPr>
        <w:ind w:right="180"/>
        <w:spacing w:after="0" w:line="268" w:lineRule="auto"/>
        <w:rPr>
          <w:sz w:val="20"/>
          <w:szCs w:val="20"/>
          <w:color w:val="auto"/>
        </w:rPr>
      </w:pPr>
      <w:r>
        <w:rPr>
          <w:rFonts w:ascii="Arial" w:cs="Arial" w:eastAsia="Arial" w:hAnsi="Arial"/>
          <w:sz w:val="22"/>
          <w:szCs w:val="22"/>
          <w:color w:val="auto"/>
        </w:rPr>
        <w:t>Nikola will exchange $2 billion in newly issued common stock for the in-kind services and access to General Motors’ global safety-tested and validated parts and components. General Motors will be subject to a staged lock-up provision beginning in one year and ending in June 2025. General Motors will engineer, homologate, validate and manufacture the Nikola Badger battery electric and fuel cell versions.</w:t>
      </w:r>
    </w:p>
    <w:p>
      <w:pPr>
        <w:spacing w:after="0" w:line="220" w:lineRule="exact"/>
        <w:rPr>
          <w:sz w:val="20"/>
          <w:szCs w:val="20"/>
          <w:color w:val="auto"/>
        </w:rPr>
      </w:pPr>
    </w:p>
    <w:p>
      <w:pPr>
        <w:ind w:right="60"/>
        <w:spacing w:after="0" w:line="268" w:lineRule="auto"/>
        <w:rPr>
          <w:sz w:val="20"/>
          <w:szCs w:val="20"/>
          <w:color w:val="auto"/>
        </w:rPr>
      </w:pPr>
      <w:r>
        <w:rPr>
          <w:rFonts w:ascii="Arial" w:cs="Arial" w:eastAsia="Arial" w:hAnsi="Arial"/>
          <w:sz w:val="22"/>
          <w:szCs w:val="22"/>
          <w:color w:val="auto"/>
        </w:rPr>
        <w:t>“Nikola is one of the most innovative companies in the world. General Motors is one of the top engineering and manufacturing companies in the world. You couldn’t dream of a better partnership than this,” said Nikola Founder and Executive Chairman Trevor Milton. “By joining together, we get access to their validated parts for all of our programs, General Motors’ Ultium battery technology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p>
      <w:pPr>
        <w:spacing w:after="0" w:line="265" w:lineRule="auto"/>
        <w:rPr>
          <w:sz w:val="20"/>
          <w:szCs w:val="20"/>
          <w:color w:val="auto"/>
        </w:rPr>
      </w:pPr>
      <w:r>
        <w:rPr>
          <w:rFonts w:ascii="Arial" w:cs="Arial" w:eastAsia="Arial" w:hAnsi="Arial"/>
          <w:sz w:val="22"/>
          <w:szCs w:val="22"/>
          <w:color w:val="auto"/>
        </w:rPr>
        <w:t>multi-billion dollar fuel cell program ready for production. Nikola immediately gets decades of supplier and manufacturing knowledge, validated and tested production-ready EV propulsion, world-class engineering and investor confidence. Most importantly, General Motors has a vested interest to see Nikola succeed. We made three promises to our stakeholders and have now fulfilled two out of three promises ahead of schedule. What an exciting announcement.”</w:t>
      </w:r>
    </w:p>
    <w:p>
      <w:pPr>
        <w:spacing w:after="0" w:line="291" w:lineRule="exact"/>
        <w:rPr>
          <w:sz w:val="20"/>
          <w:szCs w:val="20"/>
          <w:color w:val="auto"/>
        </w:rPr>
      </w:pPr>
    </w:p>
    <w:p>
      <w:pPr>
        <w:ind w:right="40"/>
        <w:spacing w:after="0" w:line="280" w:lineRule="auto"/>
        <w:rPr>
          <w:sz w:val="20"/>
          <w:szCs w:val="20"/>
          <w:color w:val="auto"/>
        </w:rPr>
      </w:pPr>
      <w:r>
        <w:rPr>
          <w:rFonts w:ascii="Arial" w:cs="Arial" w:eastAsia="Arial" w:hAnsi="Arial"/>
          <w:sz w:val="21"/>
          <w:szCs w:val="21"/>
          <w:color w:val="auto"/>
        </w:rPr>
        <w:t>“This strategic partnership with Nikola, an industry leading disrupter, continues the broader deployment of General Motors’ all-new Ultium battery and Hydrotec fuel cell systems,” said General Motors Chairman and CEO Mary Barra. “We are growing our presence in multiple high-volume EV segments while building scale to lower battery and fuel cell costs and increase profitability. In addition, applying General Motors’ electrified technology solutions to the heavy-duty class of commercial vehicles is another important step in fulfilling our vision of a zero-emissions future.”</w:t>
      </w:r>
    </w:p>
    <w:p>
      <w:pPr>
        <w:spacing w:after="0" w:line="292" w:lineRule="exact"/>
        <w:rPr>
          <w:sz w:val="20"/>
          <w:szCs w:val="20"/>
          <w:color w:val="auto"/>
        </w:rPr>
      </w:pPr>
    </w:p>
    <w:p>
      <w:pPr>
        <w:spacing w:after="0" w:line="265" w:lineRule="auto"/>
        <w:rPr>
          <w:sz w:val="20"/>
          <w:szCs w:val="20"/>
          <w:color w:val="auto"/>
        </w:rPr>
      </w:pPr>
      <w:r>
        <w:rPr>
          <w:rFonts w:ascii="Arial" w:cs="Arial" w:eastAsia="Arial" w:hAnsi="Arial"/>
          <w:sz w:val="22"/>
          <w:szCs w:val="22"/>
          <w:color w:val="auto"/>
        </w:rPr>
        <w:t>The agreement with Nikola extends General Motors’ utilization of its fuel cell technology to the Class 7/8 semi-truck market and represents a high-volume commercialization of its leading Hydrotec fuel cell system and complements the company’s battery-electric propulsion. Fuel cells will become increasingly important to the semi-truck market because they are more efficient than gas or diesel. General Motors sees additional growth opportunities in multiple transportation, stationary and mobile-power end markets.</w:t>
      </w:r>
    </w:p>
    <w:p>
      <w:pPr>
        <w:spacing w:after="0" w:line="291" w:lineRule="exact"/>
        <w:rPr>
          <w:sz w:val="20"/>
          <w:szCs w:val="20"/>
          <w:color w:val="auto"/>
        </w:rPr>
      </w:pPr>
    </w:p>
    <w:p>
      <w:pPr>
        <w:jc w:val="both"/>
        <w:ind w:right="80"/>
        <w:spacing w:after="0" w:line="274" w:lineRule="auto"/>
        <w:rPr>
          <w:sz w:val="20"/>
          <w:szCs w:val="20"/>
          <w:color w:val="auto"/>
        </w:rPr>
      </w:pPr>
      <w:r>
        <w:rPr>
          <w:rFonts w:ascii="Arial" w:cs="Arial" w:eastAsia="Arial" w:hAnsi="Arial"/>
          <w:sz w:val="22"/>
          <w:szCs w:val="22"/>
          <w:color w:val="auto"/>
        </w:rPr>
        <w:t>General Motors’ battery development work is ongoing. Its Ultium battery technology roadmap includes silicon anodes and lithium metal anodes, which will improve vehicle range, affordability, and reduced dependence on rare and costly metals. It is already demonstrating automotive-grade durability and significantly higher energy density.</w:t>
      </w:r>
    </w:p>
    <w:p>
      <w:pPr>
        <w:spacing w:after="0" w:line="281" w:lineRule="exact"/>
        <w:rPr>
          <w:sz w:val="20"/>
          <w:szCs w:val="20"/>
          <w:color w:val="auto"/>
        </w:rPr>
      </w:pPr>
    </w:p>
    <w:p>
      <w:pPr>
        <w:ind w:right="100"/>
        <w:spacing w:after="0" w:line="284" w:lineRule="auto"/>
        <w:rPr>
          <w:sz w:val="20"/>
          <w:szCs w:val="20"/>
          <w:color w:val="auto"/>
        </w:rPr>
      </w:pPr>
      <w:r>
        <w:rPr>
          <w:rFonts w:ascii="Arial" w:cs="Arial" w:eastAsia="Arial" w:hAnsi="Arial"/>
          <w:sz w:val="21"/>
          <w:szCs w:val="21"/>
          <w:color w:val="auto"/>
        </w:rPr>
        <w:t xml:space="preserve">Nikola will be responsible for the sales and marketing for the Badger and will retain the Nikola Badger brand. The Badger was first announced on Feb. 10, 2020 and will make its public debut Dec. 3-5, at Nikola World 2020 in Arizona. Badger production is expected to start in late 2022 at a location to be announced at a later date. In celebration of this announcement, $100 Badger pre-order reservations are now available at </w:t>
      </w:r>
      <w:r>
        <w:rPr>
          <w:rFonts w:ascii="Arial" w:cs="Arial" w:eastAsia="Arial" w:hAnsi="Arial"/>
          <w:sz w:val="21"/>
          <w:szCs w:val="21"/>
          <w:u w:val="single" w:color="auto"/>
          <w:color w:val="0000FF"/>
        </w:rPr>
        <w:t>nikolamotor.com/badger</w:t>
      </w:r>
      <w:r>
        <w:rPr>
          <w:rFonts w:ascii="Arial" w:cs="Arial" w:eastAsia="Arial" w:hAnsi="Arial"/>
          <w:sz w:val="21"/>
          <w:szCs w:val="21"/>
          <w:color w:val="auto"/>
        </w:rPr>
        <w:t>.</w:t>
      </w:r>
    </w:p>
    <w:p>
      <w:pPr>
        <w:spacing w:after="0" w:line="207" w:lineRule="exact"/>
        <w:rPr>
          <w:sz w:val="20"/>
          <w:szCs w:val="20"/>
          <w:color w:val="auto"/>
        </w:rPr>
      </w:pPr>
    </w:p>
    <w:p>
      <w:pPr>
        <w:ind w:right="320"/>
        <w:spacing w:after="0" w:line="292" w:lineRule="auto"/>
        <w:rPr>
          <w:sz w:val="20"/>
          <w:szCs w:val="20"/>
          <w:color w:val="auto"/>
        </w:rPr>
      </w:pPr>
      <w:r>
        <w:rPr>
          <w:rFonts w:ascii="Arial" w:cs="Arial" w:eastAsia="Arial" w:hAnsi="Arial"/>
          <w:sz w:val="22"/>
          <w:szCs w:val="22"/>
          <w:color w:val="auto"/>
        </w:rPr>
        <w:t>Nikola remains an independent company. The investment is subject to customary antitrust regulatory approval and closing conditions. The parties anticipate closing the transaction prior to Sept. 30, 2020.</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Nikola Corporation</w:t>
      </w:r>
    </w:p>
    <w:p>
      <w:pPr>
        <w:spacing w:after="0" w:line="47" w:lineRule="exact"/>
        <w:rPr>
          <w:sz w:val="20"/>
          <w:szCs w:val="20"/>
          <w:color w:val="auto"/>
        </w:rPr>
      </w:pPr>
    </w:p>
    <w:p>
      <w:pPr>
        <w:ind w:right="380"/>
        <w:spacing w:after="0" w:line="258" w:lineRule="auto"/>
        <w:rPr>
          <w:sz w:val="20"/>
          <w:szCs w:val="20"/>
          <w:color w:val="auto"/>
        </w:rPr>
      </w:pPr>
      <w:r>
        <w:rPr>
          <w:rFonts w:ascii="Arial" w:cs="Arial" w:eastAsia="Arial" w:hAnsi="Arial"/>
          <w:sz w:val="22"/>
          <w:szCs w:val="22"/>
          <w:color w:val="auto"/>
        </w:rPr>
        <w:t>Nikola Corporation is globally transforming the transportation industry. As a designer and manufacturer of zero-emission battery-electric and hydrogen-electric vehicles, electric vehicle drivetrains, vehicle components, energy storage systems, and hydrogen station infrastructure, Nikola is driven to revolutionize the economic and environmental impact of commerce as we know it today. Founded in 2015, Nikola Corporation is headquartered in Phoenix, Arizona. For more information, visit www.nikolamotor.com or Twitter @nikolamotor.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 Looking Statements</w:t>
      </w:r>
    </w:p>
    <w:p>
      <w:pPr>
        <w:spacing w:after="0" w:line="47"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Certain statements included in this press release that are not historical facts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the company’s expectations regarding its projected refuse truck build and related specifications; the company’s expectations for its trucks and market acceptance of electric refuse trucks; and market opportunity. These statements are based on various assumptions, whether or not identified in this press release, and on the current expectations of Nikola’s management and are not predictions of actual performance. Forward-looking statements are subject to a number of risks and uncertainties that could cause actual results to differ materially from the forward-looking statements, including but not limited to general economic, financial, legal, political and business conditions and changes in domestic and foreign markets; the potential effects of COVID-19; the outcome of judicial proceedings to which Nikola is, or may become a party; failure to realize the anticipated benefits of the recently completed business combination; the conversion of pre-orders into binding orders; risks related to the rollout of Nikola’s business and the timing of expected business milestones; the effects of competition on Nikola’s future business; the availability of capital; and the other risks discussed under the heading "Risk Factors" in the definitive proxy statement/prospectus/information statement filed by VectoIQ on May 8, 2020 and other documents Nikola’s files with the SEC. If any of these risks materialize or our assumptions prove incorrect, actual results could differ materially from the results implied by these forward-looking statements. These forward-looking statements speak only as of the date hereof and Nikola specifically disclaims any obligation to update these forward-looking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General Motors</w:t>
      </w:r>
    </w:p>
    <w:p>
      <w:pPr>
        <w:spacing w:after="0" w:line="47" w:lineRule="exact"/>
        <w:rPr>
          <w:sz w:val="20"/>
          <w:szCs w:val="20"/>
          <w:color w:val="auto"/>
        </w:rPr>
      </w:pPr>
    </w:p>
    <w:p>
      <w:pPr>
        <w:spacing w:after="0" w:line="253" w:lineRule="auto"/>
        <w:rPr>
          <w:sz w:val="20"/>
          <w:szCs w:val="20"/>
          <w:color w:val="auto"/>
        </w:rPr>
      </w:pPr>
      <w:r>
        <w:rPr>
          <w:rFonts w:ascii="Arial" w:cs="Arial" w:eastAsia="Arial" w:hAnsi="Arial"/>
          <w:sz w:val="22"/>
          <w:szCs w:val="22"/>
          <w:b w:val="1"/>
          <w:bCs w:val="1"/>
          <w:color w:val="auto"/>
        </w:rPr>
        <w:t xml:space="preserve">General Motors </w:t>
      </w:r>
      <w:r>
        <w:rPr>
          <w:rFonts w:ascii="Arial" w:cs="Arial" w:eastAsia="Arial" w:hAnsi="Arial"/>
          <w:sz w:val="22"/>
          <w:szCs w:val="22"/>
          <w:color w:val="auto"/>
        </w:rPr>
        <w:t>(NYSE:GM) is a global company committed to delivering safer, better and more sustainable ways for</w:t>
      </w:r>
      <w:r>
        <w:rPr>
          <w:rFonts w:ascii="Arial" w:cs="Arial" w:eastAsia="Arial" w:hAnsi="Arial"/>
          <w:sz w:val="22"/>
          <w:szCs w:val="22"/>
          <w:b w:val="1"/>
          <w:bCs w:val="1"/>
          <w:color w:val="auto"/>
        </w:rPr>
        <w:t xml:space="preserve"> </w:t>
      </w:r>
      <w:r>
        <w:rPr>
          <w:rFonts w:ascii="Arial" w:cs="Arial" w:eastAsia="Arial" w:hAnsi="Arial"/>
          <w:sz w:val="22"/>
          <w:szCs w:val="22"/>
          <w:color w:val="auto"/>
        </w:rPr>
        <w:t>people to get around. General Motors, its subsidiaries and its joint venture entities sell vehicles under</w:t>
      </w:r>
    </w:p>
    <w:p>
      <w:pPr>
        <w:ind w:right="300"/>
        <w:spacing w:after="0" w:line="264"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954F72"/>
        </w:rPr>
        <w:t>Chevrolet, Buick, GMC, Cadillac</w:t>
      </w:r>
      <w:r>
        <w:rPr>
          <w:rFonts w:ascii="Arial" w:cs="Arial" w:eastAsia="Arial" w:hAnsi="Arial"/>
          <w:sz w:val="22"/>
          <w:szCs w:val="22"/>
          <w:color w:val="auto"/>
        </w:rPr>
        <w:t xml:space="preserve">, </w:t>
      </w:r>
      <w:r>
        <w:rPr>
          <w:rFonts w:ascii="Arial" w:cs="Arial" w:eastAsia="Arial" w:hAnsi="Arial"/>
          <w:sz w:val="22"/>
          <w:szCs w:val="22"/>
          <w:u w:val="single" w:color="auto"/>
          <w:color w:val="954F72"/>
        </w:rPr>
        <w:t>Holden, Baojun</w:t>
      </w:r>
      <w:r>
        <w:rPr>
          <w:rFonts w:ascii="Arial" w:cs="Arial" w:eastAsia="Arial" w:hAnsi="Arial"/>
          <w:sz w:val="22"/>
          <w:szCs w:val="22"/>
          <w:color w:val="auto"/>
        </w:rPr>
        <w:t xml:space="preserve"> and </w:t>
      </w:r>
      <w:r>
        <w:rPr>
          <w:rFonts w:ascii="Arial" w:cs="Arial" w:eastAsia="Arial" w:hAnsi="Arial"/>
          <w:sz w:val="22"/>
          <w:szCs w:val="22"/>
          <w:u w:val="single" w:color="auto"/>
          <w:color w:val="954F72"/>
        </w:rPr>
        <w:t>Wuling</w:t>
      </w:r>
      <w:r>
        <w:rPr>
          <w:rFonts w:ascii="Arial" w:cs="Arial" w:eastAsia="Arial" w:hAnsi="Arial"/>
          <w:sz w:val="22"/>
          <w:szCs w:val="22"/>
          <w:color w:val="auto"/>
        </w:rPr>
        <w:t xml:space="preserve"> brands. More information on the company and its subsidiaries, including </w:t>
      </w:r>
      <w:r>
        <w:rPr>
          <w:rFonts w:ascii="Arial" w:cs="Arial" w:eastAsia="Arial" w:hAnsi="Arial"/>
          <w:sz w:val="22"/>
          <w:szCs w:val="22"/>
          <w:u w:val="single" w:color="auto"/>
          <w:color w:val="800080"/>
        </w:rPr>
        <w:t>OnStar</w:t>
      </w:r>
      <w:r>
        <w:rPr>
          <w:rFonts w:ascii="Arial" w:cs="Arial" w:eastAsia="Arial" w:hAnsi="Arial"/>
          <w:sz w:val="22"/>
          <w:szCs w:val="22"/>
          <w:color w:val="auto"/>
        </w:rPr>
        <w:t xml:space="preserve">, a global leader in vehicle safety and security services, can be found at </w:t>
      </w:r>
      <w:r>
        <w:rPr>
          <w:rFonts w:ascii="Arial" w:cs="Arial" w:eastAsia="Arial" w:hAnsi="Arial"/>
          <w:sz w:val="22"/>
          <w:szCs w:val="22"/>
          <w:u w:val="single" w:color="auto"/>
          <w:color w:val="800080"/>
        </w:rPr>
        <w:t>http://www.gm.com</w:t>
      </w:r>
      <w:r>
        <w:rPr>
          <w:rFonts w:ascii="Arial" w:cs="Arial" w:eastAsia="Arial" w:hAnsi="Arial"/>
          <w:sz w:val="22"/>
          <w:szCs w:val="22"/>
          <w:color w:val="auto"/>
        </w:rPr>
        <w:t>.</w:t>
      </w:r>
    </w:p>
    <w:p>
      <w:pPr>
        <w:spacing w:after="0" w:line="224"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b w:val="1"/>
          <w:bCs w:val="1"/>
          <w:i w:val="1"/>
          <w:iCs w:val="1"/>
          <w:color w:val="auto"/>
        </w:rPr>
        <w:t xml:space="preserve">Cautionary Note on Forward-Looking Statements: </w:t>
      </w:r>
      <w:r>
        <w:rPr>
          <w:rFonts w:ascii="Arial" w:cs="Arial" w:eastAsia="Arial" w:hAnsi="Arial"/>
          <w:sz w:val="22"/>
          <w:szCs w:val="22"/>
          <w:color w:val="auto"/>
        </w:rPr>
        <w:t>This press release may include “forward-looking statements”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within the meaning of the U.S. federal securities laws. Forward-looking statements are any statements other than statements of historical fact. Forward-looking statements represent our current judgment about possible future events and are often identified by words such as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 may differ materially due to a variety of important factors, both positive and negative. Many of these factors are described in our Annual Report on Form 10-K and our other filings with the U.S. Securities and Exchange Commission. We caution readers not to place undue reliance on forward-looking statements. Forward-looking statements speak only as of the date they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74" w:lineRule="auto"/>
        <w:rPr>
          <w:sz w:val="20"/>
          <w:szCs w:val="20"/>
          <w:color w:val="auto"/>
        </w:rPr>
      </w:pPr>
      <w:r>
        <w:rPr>
          <w:rFonts w:ascii="Arial" w:cs="Arial" w:eastAsia="Arial" w:hAnsi="Arial"/>
          <w:sz w:val="22"/>
          <w:szCs w:val="22"/>
          <w:color w:val="auto"/>
        </w:rPr>
        <w:t>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14" w:lineRule="exact"/>
        <w:rPr>
          <w:sz w:val="20"/>
          <w:szCs w:val="20"/>
          <w:color w:val="auto"/>
        </w:rPr>
      </w:pPr>
    </w:p>
    <w:p>
      <w:pPr>
        <w:ind w:right="420"/>
        <w:spacing w:after="0" w:line="268" w:lineRule="auto"/>
        <w:rPr>
          <w:sz w:val="20"/>
          <w:szCs w:val="20"/>
          <w:color w:val="auto"/>
        </w:rPr>
      </w:pPr>
      <w:r>
        <w:rPr>
          <w:rFonts w:ascii="Arial" w:cs="Arial" w:eastAsia="Arial" w:hAnsi="Arial"/>
          <w:sz w:val="22"/>
          <w:szCs w:val="22"/>
          <w:color w:val="auto"/>
        </w:rPr>
        <w:t>Additional Information: References to “partnership” in this document and related comments by management are intended to refer only to the strategic alliance between the parties and are not intended to and do not indicate the formation of a common law partnership or similar legal construct or the duties (fiduciary or otherwise) that may be implied by the formation of such a partnership or construct.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CONTACTS</w:t>
      </w: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Nikola Corporation</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Nicole Rose, nicole.rose@nikolamotor.com, 602-499-4795</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Colleen Robar, crobar@robarpr.com, 313-207-5960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Motors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Juli Huston-Rough, julie.huston-rough@gm.com, 313-549-6977</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David Barnas, david.barnas@gm.com, 248-918-8946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2020-09-08T06:32:22Z</dcterms:created>
  <dcterms:modified xsi:type="dcterms:W3CDTF">2020-09-08T06:32:22Z</dcterms:modified>
</cp:coreProperties>
</file>