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771525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44" w:lineRule="exact"/>
        <w:rPr>
          <w:sz w:val="24"/>
          <w:szCs w:val="24"/>
          <w:color w:val="auto"/>
        </w:rPr>
      </w:pPr>
    </w:p>
    <w:p>
      <w:pPr>
        <w:ind w:left="660" w:right="2180" w:hanging="635"/>
        <w:spacing w:after="0" w:line="239"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144" w:lineRule="exact"/>
        <w:rPr>
          <w:sz w:val="24"/>
          <w:szCs w:val="24"/>
          <w:color w:val="auto"/>
        </w:rPr>
      </w:pPr>
    </w:p>
    <w:p>
      <w:pPr>
        <w:ind w:left="660" w:right="2160" w:hanging="635"/>
        <w:spacing w:after="0" w:line="239"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2" w:lineRule="exact"/>
        <w:rPr>
          <w:sz w:val="24"/>
          <w:szCs w:val="24"/>
          <w:color w:val="auto"/>
        </w:rPr>
      </w:pPr>
    </w:p>
    <w:p>
      <w:pPr>
        <w:ind w:left="460"/>
        <w:spacing w:after="0"/>
        <w:tabs>
          <w:tab w:leader="none" w:pos="3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3340735</wp:posOffset>
            </wp:positionH>
            <wp:positionV relativeFrom="paragraph">
              <wp:posOffset>121920</wp:posOffset>
            </wp:positionV>
            <wp:extent cx="469265" cy="443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9265" cy="443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GENERAL MOTORS COMPANY</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18" w:lineRule="exact"/>
        <w:rPr>
          <w:sz w:val="24"/>
          <w:szCs w:val="24"/>
          <w:color w:val="auto"/>
        </w:rPr>
      </w:pPr>
    </w:p>
    <w:tbl>
      <w:tblPr>
        <w:tblLayout w:type="fixed"/>
        <w:tblInd w:w="1700" w:type="dxa"/>
        <w:tblCellMar>
          <w:top w:w="0" w:type="dxa"/>
          <w:left w:w="0" w:type="dxa"/>
          <w:bottom w:w="0" w:type="dxa"/>
          <w:right w:w="0" w:type="dxa"/>
        </w:tblCellMar>
      </w:tblPr>
      <w:tr>
        <w:trPr>
          <w:trHeight w:val="238"/>
        </w:trPr>
        <w:tc>
          <w:tcPr>
            <w:tcW w:w="508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27-0756180</w:t>
            </w:r>
          </w:p>
        </w:tc>
      </w:tr>
      <w:tr>
        <w:trPr>
          <w:trHeight w:val="215"/>
        </w:trPr>
        <w:tc>
          <w:tcPr>
            <w:tcW w:w="5080" w:type="dxa"/>
            <w:vAlign w:val="bottom"/>
          </w:tcPr>
          <w:p>
            <w:pPr>
              <w:jc w:val="center"/>
              <w:ind w:right="157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w w:val="98"/>
              </w:rPr>
              <w:t>(I.R.S. Employer</w:t>
            </w:r>
          </w:p>
        </w:tc>
      </w:tr>
      <w:tr>
        <w:trPr>
          <w:trHeight w:val="236"/>
        </w:trPr>
        <w:tc>
          <w:tcPr>
            <w:tcW w:w="5080" w:type="dxa"/>
            <w:vAlign w:val="bottom"/>
          </w:tcPr>
          <w:p>
            <w:pPr>
              <w:jc w:val="center"/>
              <w:ind w:right="15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322"/>
        </w:trPr>
        <w:tc>
          <w:tcPr>
            <w:tcW w:w="50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300 Renaissance Center, Detroit, Michigan</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48265 -3000</w:t>
            </w:r>
          </w:p>
        </w:tc>
      </w:tr>
      <w:tr>
        <w:trPr>
          <w:trHeight w:val="276"/>
        </w:trPr>
        <w:tc>
          <w:tcPr>
            <w:tcW w:w="5080" w:type="dxa"/>
            <w:vAlign w:val="bottom"/>
          </w:tcPr>
          <w:p>
            <w:pPr>
              <w:jc w:val="center"/>
              <w:ind w:right="159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309"/>
        </w:trPr>
        <w:tc>
          <w:tcPr>
            <w:tcW w:w="50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(313) 667-1500</w:t>
            </w:r>
          </w:p>
        </w:tc>
        <w:tc>
          <w:tcPr>
            <w:tcW w:w="194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140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2420" w:type="dxa"/>
            <w:vAlign w:val="bottom"/>
            <w:gridSpan w:val="2"/>
          </w:tcPr>
          <w:p>
            <w:pPr>
              <w:jc w:val="center"/>
              <w:ind w:right="1180"/>
              <w:spacing w:after="0"/>
              <w:rPr>
                <w:sz w:val="20"/>
                <w:szCs w:val="20"/>
                <w:color w:val="auto"/>
              </w:rPr>
            </w:pPr>
            <w:r>
              <w:rPr>
                <w:rFonts w:ascii="Times New Roman" w:cs="Times New Roman" w:eastAsia="Times New Roman" w:hAnsi="Times New Roman"/>
                <w:sz w:val="17"/>
                <w:szCs w:val="17"/>
                <w:color w:val="auto"/>
              </w:rPr>
              <w:t>Title of each class</w:t>
            </w:r>
          </w:p>
        </w:tc>
        <w:tc>
          <w:tcPr>
            <w:tcW w:w="2480" w:type="dxa"/>
            <w:vAlign w:val="bottom"/>
            <w:gridSpan w:val="3"/>
          </w:tcPr>
          <w:p>
            <w:pPr>
              <w:jc w:val="center"/>
              <w:ind w:left="94"/>
              <w:spacing w:after="0"/>
              <w:rPr>
                <w:sz w:val="20"/>
                <w:szCs w:val="20"/>
                <w:color w:val="auto"/>
              </w:rPr>
            </w:pPr>
            <w:r>
              <w:rPr>
                <w:rFonts w:ascii="Times New Roman" w:cs="Times New Roman" w:eastAsia="Times New Roman" w:hAnsi="Times New Roman"/>
                <w:sz w:val="17"/>
                <w:szCs w:val="17"/>
                <w:color w:val="auto"/>
              </w:rPr>
              <w:t>Trading Symbol(s)</w:t>
            </w:r>
          </w:p>
        </w:tc>
        <w:tc>
          <w:tcPr>
            <w:tcW w:w="3520" w:type="dxa"/>
            <w:vAlign w:val="bottom"/>
            <w:gridSpan w:val="2"/>
          </w:tcPr>
          <w:p>
            <w:pPr>
              <w:jc w:val="center"/>
              <w:ind w:left="394"/>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47"/>
        </w:trPr>
        <w:tc>
          <w:tcPr>
            <w:tcW w:w="2920" w:type="dxa"/>
            <w:vAlign w:val="bottom"/>
            <w:gridSpan w:val="3"/>
          </w:tcPr>
          <w:p>
            <w:pPr>
              <w:jc w:val="center"/>
              <w:ind w:right="680"/>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680" w:type="dxa"/>
            <w:vAlign w:val="bottom"/>
          </w:tcPr>
          <w:p>
            <w:pPr>
              <w:spacing w:after="0"/>
              <w:rPr>
                <w:sz w:val="21"/>
                <w:szCs w:val="21"/>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GM</w:t>
            </w:r>
          </w:p>
        </w:tc>
        <w:tc>
          <w:tcPr>
            <w:tcW w:w="480" w:type="dxa"/>
            <w:vAlign w:val="bottom"/>
          </w:tcPr>
          <w:p>
            <w:pPr>
              <w:spacing w:after="0"/>
              <w:rPr>
                <w:sz w:val="21"/>
                <w:szCs w:val="21"/>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40" w:lineRule="exact"/>
        <w:rPr>
          <w:sz w:val="24"/>
          <w:szCs w:val="24"/>
          <w:color w:val="auto"/>
        </w:rPr>
      </w:pPr>
    </w:p>
    <w:p>
      <w:pPr>
        <w:jc w:val="both"/>
        <w:ind w:firstLine="81"/>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9" w:lineRule="exact"/>
        <w:rPr>
          <w:sz w:val="24"/>
          <w:szCs w:val="24"/>
          <w:color w:val="auto"/>
        </w:rPr>
      </w:pPr>
    </w:p>
    <w:p>
      <w:pPr>
        <w:jc w:val="both"/>
        <w:ind w:firstLine="81"/>
        <w:spacing w:after="0" w:line="25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26" w:lineRule="exact"/>
        <w:rPr>
          <w:sz w:val="24"/>
          <w:szCs w:val="24"/>
          <w:color w:val="auto"/>
        </w:rPr>
      </w:pPr>
    </w:p>
    <w:p>
      <w:pPr>
        <w:jc w:val="both"/>
        <w:ind w:firstLine="81"/>
        <w:spacing w:after="0" w:line="27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p>
      <w:pPr>
        <w:ind w:left="80"/>
        <w:spacing w:after="0" w:line="196"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7"/>
          <w:szCs w:val="17"/>
          <w:color w:val="auto"/>
        </w:rPr>
        <w:t>☐</w:t>
      </w:r>
    </w:p>
    <w:p>
      <w:pPr>
        <w:spacing w:after="0" w:line="154" w:lineRule="exact"/>
        <w:rPr>
          <w:sz w:val="24"/>
          <w:szCs w:val="24"/>
          <w:color w:val="auto"/>
        </w:rPr>
      </w:pPr>
    </w:p>
    <w:p>
      <w:pPr>
        <w:jc w:val="both"/>
        <w:ind w:firstLine="81"/>
        <w:spacing w:after="0" w:line="23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4" w:lineRule="exact"/>
        <w:rPr>
          <w:sz w:val="24"/>
          <w:szCs w:val="24"/>
          <w:color w:val="auto"/>
        </w:rPr>
      </w:pPr>
    </w:p>
    <w:p>
      <w:pPr>
        <w:ind w:left="80" w:right="2220"/>
        <w:spacing w:after="0" w:line="29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April 12, 2024 there were 1,140,958,039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739775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130175</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2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720" w:type="dxa"/>
            <w:vAlign w:val="bottom"/>
            <w:vMerge w:val="restart"/>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720" w:type="dxa"/>
            <w:vAlign w:val="bottom"/>
            <w:vMerge w:val="continue"/>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Income Statements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Comprehensive Income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Equity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Nature of Operations and Basis of Presentation</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2.</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3.</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Marketable and Other Securities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4.</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GM Financial Receivables and Transactions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5.</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6.</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Equipment on Operating Leases</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FF"/>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7.</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Equity in Net Assets of Nonconsolidated Affiliates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8.</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Variable Interest Entities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9.</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Debt</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10.</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Derivative Financial Instruments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11.</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Product Warranty and Related Liabilities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12.</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Pensions and Other Postretirement Benefits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13.</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14.</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Income Taxes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15.</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Restructuring and Other Initiatives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16.</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Stockholders' Equity and Noncontrolling Interests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17.</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Earnings Per Share</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18.</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Segment Reporting</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720" w:type="dxa"/>
            <w:vAlign w:val="bottom"/>
            <w:shd w:val="clear" w:color="auto" w:fill="CCEEFF"/>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11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8720" w:type="dxa"/>
            <w:vAlign w:val="bottom"/>
            <w:shd w:val="clear" w:color="auto" w:fill="CCEEFF"/>
          </w:tcPr>
          <w:p>
            <w:pPr>
              <w:spacing w:after="0"/>
              <w:rPr>
                <w:sz w:val="16"/>
                <w:szCs w:val="16"/>
                <w:color w:val="auto"/>
              </w:rPr>
            </w:pP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1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Exhibits</w:t>
            </w: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Signature</w:t>
            </w:r>
          </w:p>
        </w:tc>
        <w:tc>
          <w:tcPr>
            <w:tcW w:w="1120" w:type="dxa"/>
            <w:vAlign w:val="bottom"/>
            <w:shd w:val="clear" w:color="auto" w:fill="CCEEFF"/>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3"/>
        </w:trPr>
        <w:tc>
          <w:tcPr>
            <w:tcW w:w="860" w:type="dxa"/>
            <w:vAlign w:val="bottom"/>
            <w:tcBorders>
              <w:top w:val="single" w:sz="8" w:color="CCEEFF"/>
              <w:bottom w:val="single" w:sz="8" w:color="9A9A9A"/>
            </w:tcBorders>
          </w:tcPr>
          <w:p>
            <w:pPr>
              <w:spacing w:after="0"/>
              <w:rPr>
                <w:sz w:val="24"/>
                <w:szCs w:val="24"/>
                <w:color w:val="auto"/>
              </w:rPr>
            </w:pPr>
          </w:p>
        </w:tc>
        <w:tc>
          <w:tcPr>
            <w:tcW w:w="1120" w:type="dxa"/>
            <w:vAlign w:val="bottom"/>
            <w:tcBorders>
              <w:top w:val="single" w:sz="8" w:color="CCEEFF"/>
              <w:bottom w:val="single" w:sz="8" w:color="9A9A9A"/>
            </w:tcBorders>
          </w:tcPr>
          <w:p>
            <w:pPr>
              <w:spacing w:after="0"/>
              <w:rPr>
                <w:sz w:val="24"/>
                <w:szCs w:val="24"/>
                <w:color w:val="auto"/>
              </w:rPr>
            </w:pPr>
          </w:p>
        </w:tc>
        <w:tc>
          <w:tcPr>
            <w:tcW w:w="87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8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8"/>
        </w:trPr>
        <w:tc>
          <w:tcPr>
            <w:tcW w:w="8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9"/>
        </w:trPr>
        <w:tc>
          <w:tcPr>
            <w:tcW w:w="8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sales and revenue</w:t>
            </w: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18"/>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Automotive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36,646</w:t>
            </w:r>
          </w:p>
        </w:tc>
      </w:tr>
      <w:tr>
        <w:trPr>
          <w:trHeight w:val="212"/>
        </w:trPr>
        <w:tc>
          <w:tcPr>
            <w:tcW w:w="8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GM Financial</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3,339</w:t>
            </w:r>
          </w:p>
        </w:tc>
      </w:tr>
      <w:tr>
        <w:trPr>
          <w:trHeight w:val="211"/>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net sales and revenue (Note 2)</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39,985</w:t>
            </w:r>
          </w:p>
        </w:tc>
      </w:tr>
      <w:tr>
        <w:trPr>
          <w:trHeight w:val="193"/>
        </w:trPr>
        <w:tc>
          <w:tcPr>
            <w:tcW w:w="8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7"/>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Automotive and other cost of sales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32,247</w:t>
            </w:r>
          </w:p>
        </w:tc>
      </w:tr>
      <w:tr>
        <w:trPr>
          <w:trHeight w:val="212"/>
        </w:trPr>
        <w:tc>
          <w:tcPr>
            <w:tcW w:w="8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GM Financial interest, operating and other expenses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w:t>
            </w:r>
          </w:p>
        </w:tc>
      </w:tr>
      <w:tr>
        <w:trPr>
          <w:trHeight w:val="218"/>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Automotive and other selling, general and administrative expense</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w:t>
            </w:r>
          </w:p>
        </w:tc>
      </w:tr>
      <w:tr>
        <w:trPr>
          <w:trHeight w:val="206"/>
        </w:trPr>
        <w:tc>
          <w:tcPr>
            <w:tcW w:w="8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39,277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37,407</w:t>
            </w:r>
          </w:p>
        </w:tc>
      </w:tr>
      <w:tr>
        <w:trPr>
          <w:trHeight w:val="211"/>
        </w:trPr>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income (loss)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w:t>
            </w:r>
          </w:p>
        </w:tc>
      </w:tr>
      <w:tr>
        <w:trPr>
          <w:trHeight w:val="212"/>
        </w:trPr>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Automotive interest expense</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218"/>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 and other non-operating income,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12"/>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Equity income (loss) (Note 7)</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1"/>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w:t>
            </w:r>
          </w:p>
        </w:tc>
      </w:tr>
      <w:tr>
        <w:trPr>
          <w:trHeight w:val="212"/>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expense (benefit) (Note 14)</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11"/>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r>
      <w:tr>
        <w:trPr>
          <w:trHeight w:val="212"/>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36"/>
        </w:trPr>
        <w:tc>
          <w:tcPr>
            <w:tcW w:w="8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 attributable to common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w:t>
            </w:r>
          </w:p>
        </w:tc>
      </w:tr>
      <w:tr>
        <w:trPr>
          <w:trHeight w:val="54"/>
        </w:trPr>
        <w:tc>
          <w:tcPr>
            <w:tcW w:w="8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15"/>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Earnings per share (Note 17)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2"/>
        </w:trPr>
        <w:tc>
          <w:tcPr>
            <w:tcW w:w="8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18"/>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r>
      <w:tr>
        <w:trPr>
          <w:trHeight w:val="212"/>
        </w:trPr>
        <w:tc>
          <w:tcPr>
            <w:tcW w:w="8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18"/>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r>
      <w:tr>
        <w:trPr>
          <w:trHeight w:val="54"/>
        </w:trPr>
        <w:tc>
          <w:tcPr>
            <w:tcW w:w="8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15"/>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Dividends declared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r>
    </w:tbl>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4"/>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8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8"/>
        </w:trPr>
        <w:tc>
          <w:tcPr>
            <w:tcW w:w="8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2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15"/>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2,346</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 (Note 16)</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 and other</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148</w:t>
            </w:r>
          </w:p>
        </w:tc>
      </w:tr>
      <w:tr>
        <w:trPr>
          <w:trHeight w:val="212"/>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Defined benefit plans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1"/>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w:t>
            </w: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2,460</w:t>
            </w:r>
          </w:p>
        </w:tc>
      </w:tr>
      <w:tr>
        <w:trPr>
          <w:trHeight w:val="215"/>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Comprehensive loss (income) attributable to 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w:t>
            </w:r>
          </w:p>
        </w:tc>
      </w:tr>
      <w:tr>
        <w:trPr>
          <w:trHeight w:val="21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2,518</w:t>
            </w:r>
          </w:p>
        </w:tc>
      </w:tr>
      <w:tr>
        <w:trPr>
          <w:trHeight w:val="20"/>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48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7820" w:type="dxa"/>
            <w:vAlign w:val="bottom"/>
            <w:vMerge w:val="restart"/>
          </w:tcPr>
          <w:p>
            <w:pPr>
              <w:ind w:left="36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debt securities (Note 3)</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7,613</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and notes receivable, net of allowance of $270 and $298</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12,378</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GM Financial receivables, net of allowance of $913 and $906 (Note 4; Note 8 at VIEs)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39,076</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(Note 5)</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16,461</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 (Note 3; Note 8 at VIEs)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7,238</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101,618</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GM Financial receivables, net of allowance of $1,442 and $1,438 (Note 4; Note 8 at VIEs)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net assets of nonconsolidated affiliates (Note 7)</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10,613</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50,321</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on operating leases, net (Note 6; Note 8 at VIEs)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30,582</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(Note 3; Note 8 at VIEs)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7,686</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170,121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171,446</w:t>
            </w:r>
          </w:p>
        </w:tc>
        <w:tc>
          <w:tcPr>
            <w:tcW w:w="0" w:type="dxa"/>
            <w:vAlign w:val="bottom"/>
          </w:tcPr>
          <w:p>
            <w:pPr>
              <w:spacing w:after="0"/>
              <w:rPr>
                <w:sz w:val="1"/>
                <w:szCs w:val="1"/>
                <w:color w:val="auto"/>
              </w:rPr>
            </w:pP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273,064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88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(principally trade)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28,114</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debt and current portion of long-term debt (Note 9)</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Automotive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2"/>
        </w:trPr>
        <w:tc>
          <w:tcPr>
            <w:tcW w:w="7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GM Financial (Note 8 at VIEs)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38,540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27,364</w:t>
            </w:r>
          </w:p>
        </w:tc>
        <w:tc>
          <w:tcPr>
            <w:tcW w:w="0" w:type="dxa"/>
            <w:vAlign w:val="bottom"/>
          </w:tcPr>
          <w:p>
            <w:pPr>
              <w:spacing w:after="0"/>
              <w:rPr>
                <w:sz w:val="1"/>
                <w:szCs w:val="1"/>
                <w:color w:val="auto"/>
              </w:rPr>
            </w:pPr>
          </w:p>
        </w:tc>
      </w:tr>
      <w:tr>
        <w:trPr>
          <w:trHeight w:val="206"/>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94,445</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(Note 9)</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Automotive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15,985</w:t>
            </w:r>
          </w:p>
        </w:tc>
        <w:tc>
          <w:tcPr>
            <w:tcW w:w="0" w:type="dxa"/>
            <w:vAlign w:val="bottom"/>
          </w:tcPr>
          <w:p>
            <w:pPr>
              <w:spacing w:after="0"/>
              <w:rPr>
                <w:sz w:val="1"/>
                <w:szCs w:val="1"/>
                <w:color w:val="auto"/>
              </w:rPr>
            </w:pPr>
          </w:p>
        </w:tc>
      </w:tr>
      <w:tr>
        <w:trPr>
          <w:trHeight w:val="212"/>
        </w:trPr>
        <w:tc>
          <w:tcPr>
            <w:tcW w:w="7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GM Financial (Note 8 at VIEs)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66,788</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Postretirement benefits other than pensions (Note 12)</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Pensions (Note 12)</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16,515</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114,213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110,312</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204,757</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 - Cruise stock incentive awards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 (Note 16)</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55,391</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(10,247)</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64,286</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70,426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68,189</w:t>
            </w: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276,591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273,064</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ectPr>
          <w:pgSz w:w="11900" w:h="16838" w:orient="portrait"/>
          <w:cols w:equalWidth="0" w:num="1">
            <w:col w:w="11240"/>
          </w:cols>
          <w:pgMar w:left="320" w:top="121" w:right="3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240665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4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impairment of Equipment on operating leases,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impairment charges on Property,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remeasurement and transaction (gains) losses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Undistributed earnings of nonconsolidated affiliates,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contributions and OPEB payments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OPEB income,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deferred taxes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other operating assets and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w:t>
            </w: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Expenditures for property</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acquisitions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liquidations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2,947</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finance receivables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(8,963)</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collections and recoveries on finance receivables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7,282</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leased vehicles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termination of leased vehicles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w:t>
            </w: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(decrease) in short-term debt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 (original maturities greater than three months)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11,487</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debt (original maturities greater than three months)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(12,127)</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to purchase common stock</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6"/>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21,948</w:t>
            </w: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21,141</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74"/>
        </w:trPr>
        <w:tc>
          <w:tcPr>
            <w:tcW w:w="78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Activity</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property additions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w:t>
            </w: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Stockholders’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00" w:type="dxa"/>
            <w:vAlign w:val="bottom"/>
          </w:tcPr>
          <w:p>
            <w:pPr>
              <w:spacing w:after="0"/>
              <w:rPr>
                <w:sz w:val="11"/>
                <w:szCs w:val="11"/>
                <w:color w:val="auto"/>
              </w:rPr>
            </w:pPr>
          </w:p>
        </w:tc>
        <w:tc>
          <w:tcPr>
            <w:tcW w:w="1340" w:type="dxa"/>
            <w:vAlign w:val="bottom"/>
          </w:tcPr>
          <w:p>
            <w:pPr>
              <w:jc w:val="center"/>
              <w:ind w:right="8"/>
              <w:spacing w:after="0" w:line="130"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0" w:type="dxa"/>
            <w:vAlign w:val="bottom"/>
          </w:tcPr>
          <w:p>
            <w:pPr>
              <w:spacing w:after="0"/>
              <w:rPr>
                <w:sz w:val="1"/>
                <w:szCs w:val="1"/>
                <w:color w:val="auto"/>
              </w:rPr>
            </w:pPr>
          </w:p>
        </w:tc>
      </w:tr>
      <w:tr>
        <w:trPr>
          <w:trHeight w:val="146"/>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4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Cruise Stock Incentive</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100" w:type="dxa"/>
            <w:vAlign w:val="bottom"/>
          </w:tcPr>
          <w:p>
            <w:pPr>
              <w:spacing w:after="0"/>
              <w:rPr>
                <w:sz w:val="12"/>
                <w:szCs w:val="12"/>
                <w:color w:val="auto"/>
              </w:rPr>
            </w:pPr>
          </w:p>
        </w:tc>
        <w:tc>
          <w:tcPr>
            <w:tcW w:w="1340" w:type="dxa"/>
            <w:vAlign w:val="bottom"/>
          </w:tcPr>
          <w:p>
            <w:pPr>
              <w:jc w:val="center"/>
              <w:ind w:right="8"/>
              <w:spacing w:after="0" w:line="148"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95"/>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13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(Temporary Equity)</w:t>
            </w:r>
          </w:p>
        </w:tc>
        <w:tc>
          <w:tcPr>
            <w:tcW w:w="0" w:type="dxa"/>
            <w:vAlign w:val="bottom"/>
          </w:tcPr>
          <w:p>
            <w:pPr>
              <w:spacing w:after="0"/>
              <w:rPr>
                <w:sz w:val="1"/>
                <w:szCs w:val="1"/>
                <w:color w:val="auto"/>
              </w:rPr>
            </w:pPr>
          </w:p>
        </w:tc>
      </w:tr>
      <w:tr>
        <w:trPr>
          <w:trHeight w:val="202"/>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71,927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9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26,323</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51,318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4,084</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73,961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55,391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68,189</w:t>
            </w: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21"/>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5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General Motors Company (sometimes referred to in this Quarterly Report on Form 10-Q as we, our, us, ourselves, the Company, General Motors or GM) designs, builds and sells trucks, crossovers, cars and automobile parts and provides software-enabled services and subscriptions worldwide. Additionally, we are investing in an autonomous vehicle (AV) business. We also provide automotive financing services through General Motors Financial Company, Inc. (GM Financial). We analyze the results of our operations through the following segments: GM North America (GMNA), GM International (GMI), Cruise and GM Financial. Cruise is our global segment responsible for the development and commercialization of AV technology. Corporate includes certain centrally recorded income and costs such as interest, income taxes, corporate expenditures and certain revenues and expenses that are not part of a reportable segment.</w:t>
      </w:r>
    </w:p>
    <w:p>
      <w:pPr>
        <w:spacing w:after="0" w:line="213"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conformity with U.S. generally accepted accounting principles (GAAP) pursuant to the rules and regulations of the Securities and Exchange Commission (SEC) for interim financial information. Accordingly, they do not include all of the information and notes required by U.S. GAAP for complete financial statements. The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2023 Form 10-K. Except for per share amounts or as otherwise specified, amounts presented within tables are stated in millions. Certain columns and rows may not add due to rounding.</w:t>
      </w:r>
    </w:p>
    <w:p>
      <w:pPr>
        <w:spacing w:after="0" w:line="21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Throughout this report, we refer to General Motors Company and its consolidated subsidiaries in a simplified manner and on a collective basis, using words like "we," "our," "us" and "the Company." This drafting style is suggested by the SEC and is not meant to indicate that General Motors Company, the publicly traded parent company, or any particular subsidiary of the parent company, owns or operates any particular asset, business or property. The operations and businesses described in this report are owned and operated by distinct subsidiaries of General Motors Company.</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We consolidate entities that we control due to ownership of a majority voting interest and we consolidate variable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GM Financial </w:t>
      </w:r>
      <w:r>
        <w:rPr>
          <w:rFonts w:ascii="Times New Roman" w:cs="Times New Roman" w:eastAsia="Times New Roman" w:hAnsi="Times New Roman"/>
          <w:sz w:val="18"/>
          <w:szCs w:val="18"/>
          <w:color w:val="auto"/>
        </w:rPr>
        <w:t>The amounts presented for GM Financial are adjusted to reflect the impact on GM Financial's deferred tax positions and provision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taxes resulting from the inclusion of GM Financial in our consolidated tax returns and to eliminate the effect of transactions between GM Financial and the other members of the consolidated group. Accordingly, the amounts presented will differ from those presented by GM Financial on a stand-alone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9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37,663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37,663</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36,099</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39,212</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39,212</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3,811</w:t>
            </w:r>
          </w:p>
        </w:tc>
        <w:tc>
          <w:tcPr>
            <w:tcW w:w="1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39,212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43,014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9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35,227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35,227</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32,889</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36,646</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36,646</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3,343</w:t>
            </w:r>
          </w:p>
        </w:tc>
        <w:tc>
          <w:tcPr>
            <w:tcW w:w="1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3,339</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36,646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39,985</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transferring goods or providing services. Adjustments to sales incentives for previously recognized sales increased revenue by an insignificant amount in the three months ended March 31, 2024 and 2023.</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Contract liabilities in our Automotive segments primarily consist of vehicle connectivity, customer rewards programs, maintenance, extended warranty and other contracts of $5.4 billion and $5.0 billion at March 31, 2024 and December 31, 2023, which are included in Accrued liabilities and Other liabilities. We recognized revenue of $490 million and $408 million related to contract liabilities in the three months ended March 31, 2024 and 2023. We expect to recognize revenue of $1.4 billion in the nine months ending December 31, 2024 and $1.5 billion, $1.2 billion and $1.3 billion in the years ending December 31, 2025, 2026 and thereafter related to contract liabilities at March 31, 2024.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and Other Securities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fair value of cash equivalents and marketable debt securities, which approximates cost:</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3"/>
                <w:szCs w:val="13"/>
                <w:color w:val="auto"/>
              </w:rPr>
            </w:pPr>
          </w:p>
        </w:tc>
        <w:tc>
          <w:tcPr>
            <w:tcW w:w="142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67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time deposits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18,853</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Marketable debt securities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and other</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Mortgage and asset-backed</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 marketable securities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78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restricted cash</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 included above with contractual maturities(a)</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between one and five years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with contractual maturities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Excludes mortgage and asset-backed securities of $578 million at March 31, 2024 as these securities are not due at a single maturity date.</w:t>
      </w:r>
    </w:p>
    <w:p>
      <w:pPr>
        <w:spacing w:after="0" w:line="23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Proceeds from the sale of available-for-sale debt securities sold prior to maturity were $470 million and $380 million in the three months ended March 31, 2024 and 2023. Net unrealized losses and gains on available-for-sale debt securities were insignificant in the three months ended March 31, 2024 and 2023. Cumulative unrealized losses on available-for-sale debt securities were $158 million and $160 million at March 31, 2024 and December 31, 2023.</w:t>
      </w:r>
    </w:p>
    <w:p>
      <w:pPr>
        <w:spacing w:after="0" w:line="2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 to the total shown in the condensed consolidated statement of cash flows: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5"/>
        </w:trPr>
        <w:tc>
          <w:tcPr>
            <w:tcW w:w="450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17,635</w:t>
            </w: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5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50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2"/>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080" w:type="dxa"/>
            <w:vAlign w:val="bottom"/>
            <w:vMerge w:val="restart"/>
          </w:tcPr>
          <w:p>
            <w:pPr>
              <w:jc w:val="right"/>
              <w:ind w:right="38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9"/>
        </w:trPr>
        <w:tc>
          <w:tcPr>
            <w:tcW w:w="450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5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GM Financial Receivables and Transactions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8"/>
        </w:trPr>
        <w:tc>
          <w:tcPr>
            <w:tcW w:w="4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73,230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87,547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72,729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86,463</w:t>
            </w:r>
          </w:p>
        </w:tc>
      </w:tr>
      <w:tr>
        <w:trPr>
          <w:trHeight w:val="228"/>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8"/>
              </w:rPr>
              <w:t>(2,320)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8"/>
              </w:rPr>
              <w:t>(2,355)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8"/>
              </w:rPr>
              <w:t>(2,308)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8"/>
              </w:rPr>
              <w:t>(2,344)</w:t>
            </w:r>
          </w:p>
        </w:tc>
      </w:tr>
      <w:tr>
        <w:trPr>
          <w:trHeight w:val="247"/>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70,911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85,193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70,421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84,119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42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Fair value of GM Financial receivables utilizing Level 2</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33"/>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14,282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13,698</w:t>
            </w:r>
          </w:p>
        </w:tc>
      </w:tr>
      <w:tr>
        <w:trPr>
          <w:trHeight w:val="183"/>
        </w:trPr>
        <w:tc>
          <w:tcPr>
            <w:tcW w:w="42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Fair value of GM Financial receivables utilizing Level 3</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4"/>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71,427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70,911</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hanging="333"/>
        <w:spacing w:after="0" w:line="260" w:lineRule="auto"/>
        <w:tabs>
          <w:tab w:leader="none" w:pos="3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finance receivables include dealer financing of $13.9 billion and $13.3 billion, and other financing of $378 million and $476 million at March 31, 2024 and December 31, 2023. Commercial finance receivables are presented net of dealer cash management balances of $2.8 billion and $2.6 billion at March 31, 2024 and December 31, 2023. Under the cash management program, subject to certain conditions, a dealer may choose to reduce the amount of interest on its floorplan line by making principal payments to GM Financial in advance.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7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8"/>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13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28"/>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at beginning of period</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28"/>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8"/>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2"/>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 at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w:t>
            </w: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allowance for loan losses as a percentage of finance receivables was 2.7% at March 31, 2024 and December 31, 2023.</w:t>
      </w:r>
    </w:p>
    <w:p>
      <w:pPr>
        <w:spacing w:after="0" w:line="246"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Retail Finance Receivables </w:t>
      </w:r>
      <w:r>
        <w:rPr>
          <w:rFonts w:ascii="Times New Roman" w:cs="Times New Roman" w:eastAsia="Times New Roman" w:hAnsi="Times New Roman"/>
          <w:sz w:val="18"/>
          <w:szCs w:val="18"/>
          <w:color w:val="auto"/>
        </w:rPr>
        <w:t>GM Financial's retail finance receivable portfolio includes loans made to consumers and businesses to finance the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vehicles for personal and commercial use. The following tables are consolidated summaries of the retail finance receivables by FICO score or its equivalent, determined at origination, for each vintage of the retail finance receivables portfolio at March 31, 2024 and December 31,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5"/>
        </w:trPr>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188"/>
        </w:trPr>
        <w:tc>
          <w:tcPr>
            <w:tcW w:w="37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 FICO score 680 and greater</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75.6 %</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Near-prime – FICO score 620 to 679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Sub-prime – FICO score less than 620</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2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18,308</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11,329</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73,230</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19"/>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188"/>
        </w:trPr>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 FICO score 680 and greater</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75.5 %</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Near-prime – FICO score 620 to 679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Sub-prime – FICO score less than 620</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2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2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72,729</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94"/>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6"/>
        </w:trPr>
        <w:tc>
          <w:tcPr>
            <w:tcW w:w="3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$721 million and $809 million at March 31, 2024 and December 31, 2023. The following tables are consolidated summaries of the delinquency status of the outstanding amortized cost of retail finance receivables for each vintage of the portfolio at March 31, 2024 and December 31, 2023, as well as summary totals for March 31, 2023: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7"/>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5"/>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5"/>
        </w:trPr>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4"/>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15"/>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7,973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10,856</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71,225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66,109</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97.6 %</w:t>
            </w: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155"/>
        </w:trPr>
        <w:tc>
          <w:tcPr>
            <w:tcW w:w="21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39"/>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than 30 days delinquent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3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1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155"/>
        </w:trPr>
        <w:tc>
          <w:tcPr>
            <w:tcW w:w="21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5"/>
        </w:trPr>
        <w:tc>
          <w:tcPr>
            <w:tcW w:w="2160" w:type="dxa"/>
            <w:vAlign w:val="bottom"/>
          </w:tcPr>
          <w:p>
            <w:pPr>
              <w:ind w:left="180"/>
              <w:spacing w:after="0" w:line="175" w:lineRule="exact"/>
              <w:rPr>
                <w:sz w:val="20"/>
                <w:szCs w:val="20"/>
                <w:color w:val="auto"/>
              </w:rPr>
            </w:pPr>
            <w:r>
              <w:rPr>
                <w:rFonts w:ascii="Times New Roman" w:cs="Times New Roman" w:eastAsia="Times New Roman" w:hAnsi="Times New Roman"/>
                <w:sz w:val="18"/>
                <w:szCs w:val="18"/>
                <w:color w:val="auto"/>
              </w:rPr>
              <w:t>than 30 days delinquent or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9"/>
        </w:trPr>
        <w:tc>
          <w:tcPr>
            <w:tcW w:w="2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 repossession</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1,595</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36"/>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11,329</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73,230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67,704</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567"/>
        </w:trPr>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15"/>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29,816</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19,602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12,098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6,533</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599</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70,472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96.9 %</w:t>
            </w: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470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1,637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42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559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155"/>
        </w:trPr>
        <w:tc>
          <w:tcPr>
            <w:tcW w:w="23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39"/>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days delinquent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637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2,196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3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155"/>
        </w:trPr>
        <w:tc>
          <w:tcPr>
            <w:tcW w:w="23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3"/>
        </w:trPr>
        <w:tc>
          <w:tcPr>
            <w:tcW w:w="2160" w:type="dxa"/>
            <w:vAlign w:val="bottom"/>
          </w:tcPr>
          <w:p>
            <w:pPr>
              <w:ind w:left="180"/>
              <w:spacing w:after="0" w:line="183" w:lineRule="exact"/>
              <w:rPr>
                <w:sz w:val="20"/>
                <w:szCs w:val="20"/>
                <w:color w:val="auto"/>
              </w:rPr>
            </w:pPr>
            <w:r>
              <w:rPr>
                <w:rFonts w:ascii="Times New Roman" w:cs="Times New Roman" w:eastAsia="Times New Roman" w:hAnsi="Times New Roman"/>
                <w:sz w:val="18"/>
                <w:szCs w:val="18"/>
                <w:color w:val="auto"/>
              </w:rPr>
              <w:t>30 days delinquent or in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3"/>
        </w:trPr>
        <w:tc>
          <w:tcPr>
            <w:tcW w:w="2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repossession</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657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108</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33"/>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20,259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12,670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707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72,729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Finance Receivables </w:t>
      </w:r>
      <w:r>
        <w:rPr>
          <w:rFonts w:ascii="Times New Roman" w:cs="Times New Roman" w:eastAsia="Times New Roman" w:hAnsi="Times New Roman"/>
          <w:sz w:val="18"/>
          <w:szCs w:val="18"/>
          <w:color w:val="auto"/>
        </w:rPr>
        <w:t>GM Financial's commercial finance receivables consist of dealer financing, primarily for dealer inventory purchases,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financing, which includes loans to commercial vehicle upfitters. For dealer financing, proprietary models are used to assign a risk rating to each dealer. GM Financial performs periodic credit reviews of each dealership and adjusts the dealership's risk rating, if necessary. The credit risk associated with other financing is limited due to the structure of the business relationships.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3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GM Financial's dealer risk model and risk rating categories are as follows:</w:t>
      </w:r>
    </w:p>
    <w:p>
      <w:pPr>
        <w:sectPr>
          <w:pgSz w:w="11900" w:h="16838" w:orient="portrait"/>
          <w:cols w:equalWidth="0" w:num="1">
            <w:col w:w="11240"/>
          </w:cols>
          <w:pgMar w:left="320" w:top="121"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Rating</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III</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19050</wp:posOffset>
            </wp:positionV>
            <wp:extent cx="7132955" cy="153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Performing accounts with strong to acceptable financial metrics with at least satisfactory capacity to meet financial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20955</wp:posOffset>
            </wp:positionV>
            <wp:extent cx="7132955" cy="2647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spacing w:after="0" w:line="13" w:lineRule="exact"/>
        <w:rPr>
          <w:sz w:val="20"/>
          <w:szCs w:val="20"/>
          <w:color w:val="auto"/>
        </w:rPr>
      </w:pPr>
    </w:p>
    <w:p>
      <w:pPr>
        <w:ind w:left="160" w:right="560" w:hanging="160"/>
        <w:spacing w:after="0" w:line="233"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have the distinct possibility of creating a loss if deficiencies are not corrected.</w:t>
      </w:r>
    </w:p>
    <w:p>
      <w:pPr>
        <w:spacing w:after="0" w:line="9" w:lineRule="exact"/>
        <w:rPr>
          <w:sz w:val="20"/>
          <w:szCs w:val="20"/>
          <w:color w:val="auto"/>
        </w:rPr>
      </w:pPr>
    </w:p>
    <w:p>
      <w:pPr>
        <w:ind w:left="160" w:right="780" w:hanging="160"/>
        <w:spacing w:after="0" w:line="236"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1900" w:h="16838" w:orient="portrait"/>
          <w:cols w:equalWidth="0" w:num="2">
            <w:col w:w="540" w:space="540"/>
            <w:col w:w="10160"/>
          </w:cols>
          <w:pgMar w:left="320" w:top="121" w:right="339" w:bottom="1440" w:gutter="0" w:footer="0" w:header="0"/>
          <w:type w:val="continuous"/>
        </w:sectPr>
      </w:pPr>
    </w:p>
    <w:p>
      <w:pPr>
        <w:spacing w:after="0" w:line="119"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Dealers with III and IV risk ratings are subject to additional monitoring and restrictions on funding, including suspension of lines of credit and liquidation of assets. The following tables summarize the dealer credit risk profile by dealer risk rating at March 31, 2024 and December 31, 2023: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Origination(a)</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3"/>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Dealer Risk Rating</w:t>
            </w: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04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1"/>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13,395</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96.1 %</w:t>
            </w:r>
          </w:p>
        </w:tc>
        <w:tc>
          <w:tcPr>
            <w:tcW w:w="0" w:type="dxa"/>
            <w:vAlign w:val="bottom"/>
          </w:tcPr>
          <w:p>
            <w:pPr>
              <w:spacing w:after="0"/>
              <w:rPr>
                <w:sz w:val="1"/>
                <w:szCs w:val="1"/>
                <w:color w:val="auto"/>
              </w:rPr>
            </w:pPr>
          </w:p>
        </w:tc>
      </w:tr>
      <w:tr>
        <w:trPr>
          <w:trHeight w:val="212"/>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II</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III</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2"/>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IV</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6"/>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13,939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0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36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(a)  Floorplan advances comprise 99.1% of the total revolving balance. Dealer term loans are presented by year of origination.</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Origination(a)</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3"/>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Dealer Risk Rating</w:t>
            </w: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04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1"/>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12,879</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97.1 %</w:t>
            </w:r>
          </w:p>
        </w:tc>
        <w:tc>
          <w:tcPr>
            <w:tcW w:w="0" w:type="dxa"/>
            <w:vAlign w:val="bottom"/>
          </w:tcPr>
          <w:p>
            <w:pPr>
              <w:spacing w:after="0"/>
              <w:rPr>
                <w:sz w:val="1"/>
                <w:szCs w:val="1"/>
                <w:color w:val="auto"/>
              </w:rPr>
            </w:pPr>
          </w:p>
        </w:tc>
      </w:tr>
      <w:tr>
        <w:trPr>
          <w:trHeight w:val="212"/>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II</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III</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2"/>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IV</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6"/>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13,257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Floorplan advances comprise 99.7% of the total revolving balance. Dealer term loans are presented by year of origination.</w:t>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There were no commercial finance receivables on nonaccrual status at March 31, 2024 and December 31, 2023.</w:t>
      </w:r>
    </w:p>
    <w:p>
      <w:pPr>
        <w:spacing w:after="0" w:line="246"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GM Financial </w:t>
      </w:r>
      <w:r>
        <w:rPr>
          <w:rFonts w:ascii="Times New Roman" w:cs="Times New Roman" w:eastAsia="Times New Roman" w:hAnsi="Times New Roman"/>
          <w:sz w:val="18"/>
          <w:szCs w:val="18"/>
          <w:color w:val="auto"/>
        </w:rPr>
        <w:t>The following tables show transactions between our Automotive segments, Cruise and GM Financial. These amounts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presented in GM Financial's condensed consolidated balance sheets and statements of income.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Sheets(a)</w:t>
            </w:r>
          </w:p>
        </w:tc>
        <w:tc>
          <w:tcPr>
            <w:tcW w:w="2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vMerge w:val="continue"/>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finance receivables due from GM consolidated dealers</w:t>
            </w:r>
          </w:p>
        </w:tc>
        <w:tc>
          <w:tcPr>
            <w:tcW w:w="2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finance receivables due from Cruise</w:t>
            </w:r>
          </w:p>
        </w:tc>
        <w:tc>
          <w:tcPr>
            <w:tcW w:w="2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Subvention receivable from GM(b)</w:t>
            </w:r>
          </w:p>
        </w:tc>
        <w:tc>
          <w:tcPr>
            <w:tcW w:w="2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 funding payable to GM</w:t>
            </w:r>
          </w:p>
        </w:tc>
        <w:tc>
          <w:tcPr>
            <w:tcW w:w="2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64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4"/>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7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8"/>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4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1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subvention earned on finance receivables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vehicle subvention earned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20" w:hanging="313"/>
        <w:spacing w:after="0"/>
        <w:tabs>
          <w:tab w:leader="none" w:pos="3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balance sheet amounts are eliminated upon consolidation.</w:t>
      </w:r>
    </w:p>
    <w:p>
      <w:pPr>
        <w:spacing w:after="0" w:line="1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Automotive segments made cash payments to GM Financial for subvention of $777 million and $749 million in the three months ended March 31, 2024 and 2023.</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GM Financial's Board of Directors declared and paid dividends of $450 million on its common stock in the three months ended March 31, 2024 and 2023.</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productive material, supplies and work in process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9,039</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Inventories are reflected net of allowances totaling $2.4 billion and $2.2 billion, of which $2.0 billion and $1.9 billion are electric vehicle (EV)-related, to remeasure inventory on-hand to net realizable value at March 31, 2024 and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Equipment on Operating Leases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Equipment on operating leases consists of leases to retail customers of GM Financial.</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on operating leases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37,119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37,921</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98"/>
              </w:rPr>
              <w:t>(7,013)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8"/>
              </w:rPr>
              <w:t>(7,338)</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on operating leases,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30,106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30,582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estimated residual value of our leased assets at the end of the lease term was $22.4 billion and $22.7 billion at March 31, 2024 and December 31, 2023.</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Depreciation expense related to Equipment on operating leases, net was $1.2 billion in the three months ended March 31, 2024 and 2023.</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lease payments due to GM Financial on leases to retail customers: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3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8"/>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receipts under operating leases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w:t>
            </w:r>
          </w:p>
        </w:tc>
      </w:tr>
      <w:tr>
        <w:trPr>
          <w:trHeight w:val="887"/>
        </w:trPr>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6"/>
        </w:trPr>
        <w:tc>
          <w:tcPr>
            <w:tcW w:w="3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Equity in Net Assets of Nonconsolidated Affiliates</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 (loss) or Automotive and other cost of sales.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8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8"/>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28"/>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joint ventures equity income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83</w:t>
            </w:r>
          </w:p>
        </w:tc>
      </w:tr>
      <w:tr>
        <w:trPr>
          <w:trHeight w:val="228"/>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Ultium Cells Holding LLC and other joint ventures equity income (loss)(a)</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(8)</w:t>
            </w:r>
          </w:p>
        </w:tc>
      </w:tr>
      <w:tr>
        <w:trPr>
          <w:trHeight w:val="24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jc w:val="both"/>
        <w:ind w:left="340" w:hanging="333"/>
        <w:spacing w:after="0" w:line="261" w:lineRule="auto"/>
        <w:tabs>
          <w:tab w:leader="none" w:pos="33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earnings related to Ultium Cells Holdings LLC, an equally owned joint venture with LG Energy Solution (LGES), are presented in Automotive and other cost of sales as this entity is integral to the operations of our business by providing battery cells for our EVs. Equity earnings related to Ultium Cells Holdings LLC were $156 million and insignificant in the three months ended March 31, 2024 and 2023.</w:t>
      </w:r>
    </w:p>
    <w:p>
      <w:pPr>
        <w:spacing w:after="0" w:line="201"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There have been no significant ownership changes in our Automotive China joint ventures (Automotive China JVs) or Ultium Cells Holdings LLC since December 31, 2023.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8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8"/>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2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15"/>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Operating Data of Automotive China JVs</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JVs' 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China JVs' 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bl>
    <w:p>
      <w:pPr>
        <w:spacing w:after="0" w:line="31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Dividends declared but not paid from our nonconsolidated affiliates were an insignificant amount at March 31, 2024 and December 31, 2023. Dividends received from our nonconsolidated affiliates were insignificant in the three months ended March 31, 2024 and 2023. Undistributed earnings from our nonconsolidated affiliates were $1.7 billion at March 31, 2024 and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Variable Interest Entities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Automotive Financing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GM Financial</w:t>
      </w:r>
    </w:p>
    <w:p>
      <w:pPr>
        <w:spacing w:after="0" w:line="119"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condensed consolidated financial statements, they are separate legal entities and the finance receivables, lease-related assets and cash held by them are legally owned by them and are not available to GM Financial's creditors or creditors of GM Financial's other subsidiaries.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related to GM Financial's consolidated VIEs: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 current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 current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22,990</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 receivables – non-current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23,535</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equipment on operating leases,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15,794</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 short-term debt and current portion of long-term debt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22,088</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long-term debt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23,210</w:t>
            </w: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VIEs</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Automotive</w:t>
      </w:r>
    </w:p>
    <w:p>
      <w:pPr>
        <w:spacing w:after="0" w:line="11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Nonconsolidated VIEs principally include automotive related operating entities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 arrangements. The carrying amounts of assets were approximately $2.7 billion and $2.4 billion and liabilities were insignificant related to our nonconsolidated VIEs at March 31, 2024 and December 31, 2023. Our maximum exposure to loss as a result of our involvement with these VIEs was approximately $3.5 billion, inclusive of approximately $0.6 billion and $0.8 billion in committed capital contributions to Ultium Cells Holdings LLC, at March 31, 2024 and December 31, 2023. Our maximum exposure to loss, and required capital contributions, could vary depending on Ultium Cells Holdings LLC's requirements and access to capital. We currently lack the power through voting or similar rights to direct the activities of these entities that most significantly affect their economic performance.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The following table presents debt in our automotive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292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8"/>
        </w:trPr>
        <w:tc>
          <w:tcPr>
            <w:tcW w:w="50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w:t>
            </w: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debt(a)</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15,911</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447</w:t>
            </w:r>
          </w:p>
        </w:tc>
      </w:tr>
      <w:tr>
        <w:trPr>
          <w:trHeight w:val="222"/>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automotive debt(b)</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16,315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16,490</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6"/>
        </w:trPr>
        <w:tc>
          <w:tcPr>
            <w:tcW w:w="5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utilizing Level 1 inputs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15,357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15,457</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1,033</w:t>
            </w:r>
          </w:p>
        </w:tc>
      </w:tr>
      <w:tr>
        <w:trPr>
          <w:trHeight w:val="269"/>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facility agreements(c)</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16,446</w:t>
            </w: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short-term debt(d)</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long-term debt(d)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senior notes.</w:t>
      </w:r>
    </w:p>
    <w:p>
      <w:pPr>
        <w:spacing w:after="0" w:line="1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discount and debt issuance costs of $505 million and $527 million at March 31, 2024 and December 31, 2023.</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our 364-day, $2.0 billion facility allocated for exclusive use by GM Financial.</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coupon rates on debt denominated in various foreign currencies and interest free loans.</w:t>
      </w:r>
    </w:p>
    <w:p>
      <w:pPr>
        <w:spacing w:after="0" w:line="237"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March 2024, we renewed our 364-day, $2.0 billion revolving credit facility allocated for the exclusive use of GM Financial, which now matures March 27, 2025. Interest rates on obligations under the renewed credit facility are based on Term Secured Overnight Financing Rate (SOFR).</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March 2024, we terminated our unsecured 364-day delayed draw term loan credit agreement that permitted the Company to borrow up to $3.0 billion executed in November 2023, resulting in an insignificant loss.</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The following table presents debt of GM Financial: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284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44,971</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Unsecured debt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59,651</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102,262</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utilizing Level 3 inputs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r>
    </w:tbl>
    <w:p>
      <w:pPr>
        <w:spacing w:after="0" w:line="29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Secured debt consists of revolving credit facilities and securitization notes payable. Most of the secured debt was issued by VIEs and is repayable only from proceeds related to the underlying pledged assets. Refer to Note 8 to our condensed consolidated financial statements for additional information on GM Financial's involvement with VIEs. In the three months ended March 31, 2024, GM Financial renewed revolving credit facilities with total borrowing capacity of $2.4 billion and issued $7.3 billion in aggregate principal amount of securitization notes payable with an initial weighted-average interest rate of 5.4% and maturity dates ranging from 2024 to 2036.</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Unsecured debt consists of senior notes, credit facilities and other unsecured debt. In the three months ended March 31, 2024, GM Financial issued $4.4 billion in aggregate principal amount of senior notes with an initial weighted-average interest rate of 5.3% and maturity dates ranging from 2027 to 2031.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the gross fair value amounts of GM Financial's derivative financial instruments and the associated notional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7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20" w:type="dxa"/>
            <w:vAlign w:val="bottom"/>
            <w:tcBorders>
              <w:top w:val="single" w:sz="8" w:color="auto"/>
            </w:tcBorders>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5"/>
              <w:spacing w:after="0" w:line="135"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5"/>
              <w:spacing w:after="0" w:line="135"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8"/>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swaps(b)</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 financial instruments(c)</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157,689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163,446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1" w:lineRule="auto"/>
        <w:tabs>
          <w:tab w:leader="none" w:pos="3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gains/losses included in our condensed consolidated income statements and statements of comprehensive income for the three months ended March 31, 2024 and 2023 were insignificant, unless otherwise noted. Amounts accrued for interest payments in a net receivable position are included in Other assets. Amounts accrued for interest payments in a net payable position are included in Other liabilities.</w:t>
      </w:r>
    </w:p>
    <w:p>
      <w:pPr>
        <w:jc w:val="both"/>
        <w:ind w:left="340" w:hanging="333"/>
        <w:spacing w:after="0" w:line="255"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foreign currency cash flow hedges in the condensed consolidated statements of comprehensive income includes losses of $141 million and an insignificant gain recognized in Accumulated other comprehensive loss, and losses of $163 million and an insignificant gain reclassified from Accumulated other comprehensive loss into income for the three months ended March 31, 2024 and 2023.</w:t>
      </w:r>
    </w:p>
    <w:p>
      <w:pPr>
        <w:spacing w:after="0" w:line="1" w:lineRule="exact"/>
        <w:rPr>
          <w:rFonts w:ascii="Times New Roman" w:cs="Times New Roman" w:eastAsia="Times New Roman" w:hAnsi="Times New Roman"/>
          <w:sz w:val="16"/>
          <w:szCs w:val="16"/>
          <w:color w:val="auto"/>
        </w:rPr>
      </w:pPr>
    </w:p>
    <w:p>
      <w:pPr>
        <w:ind w:left="340" w:hanging="333"/>
        <w:spacing w:after="0" w:line="255" w:lineRule="auto"/>
        <w:tabs>
          <w:tab w:leader="none" w:pos="3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GM Financial held $447 million and $457 million of collateral from counterparties available for netting against GM Financial's asset positions and posted $1.2 billion of collateral to counterparties available for netting against GM Financial's liability positions at March 31, 2024 and December 31, 2023.</w:t>
      </w:r>
    </w:p>
    <w:p>
      <w:pPr>
        <w:spacing w:after="0" w:line="218"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89"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amounts were recorded in the condensed consolidated balance sheets related to items designated and qualifying as hedged items in fair value hedging relationships: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20" w:type="dxa"/>
            <w:vAlign w:val="bottom"/>
            <w:gridSpan w:val="5"/>
          </w:tcPr>
          <w:p>
            <w:pPr>
              <w:ind w:left="1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20" w:type="dxa"/>
            <w:vAlign w:val="bottom"/>
          </w:tcPr>
          <w:p>
            <w:pPr>
              <w:spacing w:after="0"/>
              <w:rPr>
                <w:sz w:val="16"/>
                <w:szCs w:val="16"/>
                <w:color w:val="auto"/>
              </w:rPr>
            </w:pPr>
          </w:p>
        </w:tc>
        <w:tc>
          <w:tcPr>
            <w:tcW w:w="3620" w:type="dxa"/>
            <w:vAlign w:val="bottom"/>
            <w:gridSpan w:val="4"/>
          </w:tcPr>
          <w:p>
            <w:pPr>
              <w:jc w:val="right"/>
              <w:ind w:right="136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304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121"/>
        </w:trPr>
        <w:tc>
          <w:tcPr>
            <w:tcW w:w="304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center"/>
              <w:ind w:right="61"/>
              <w:spacing w:after="0" w:line="121" w:lineRule="exact"/>
              <w:rPr>
                <w:sz w:val="20"/>
                <w:szCs w:val="20"/>
                <w:color w:val="auto"/>
              </w:rPr>
            </w:pPr>
            <w:r>
              <w:rPr>
                <w:rFonts w:ascii="Times New Roman" w:cs="Times New Roman" w:eastAsia="Times New Roman" w:hAnsi="Times New Roman"/>
                <w:sz w:val="13"/>
                <w:szCs w:val="13"/>
                <w:b w:val="1"/>
                <w:bCs w:val="1"/>
                <w:color w:val="auto"/>
                <w:w w:val="95"/>
              </w:rPr>
              <w:t>Cumulative Amount of Fair Value</w:t>
            </w:r>
          </w:p>
        </w:tc>
        <w:tc>
          <w:tcPr>
            <w:tcW w:w="10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right"/>
              <w:ind w:right="101"/>
              <w:spacing w:after="0" w:line="121" w:lineRule="exact"/>
              <w:rPr>
                <w:sz w:val="20"/>
                <w:szCs w:val="20"/>
                <w:color w:val="auto"/>
              </w:rPr>
            </w:pPr>
            <w:r>
              <w:rPr>
                <w:rFonts w:ascii="Times New Roman" w:cs="Times New Roman" w:eastAsia="Times New Roman" w:hAnsi="Times New Roman"/>
                <w:sz w:val="13"/>
                <w:szCs w:val="13"/>
                <w:b w:val="1"/>
                <w:bCs w:val="1"/>
                <w:color w:val="auto"/>
                <w:w w:val="96"/>
              </w:rPr>
              <w:t>Cumulative Amount of Fair Value</w:t>
            </w:r>
          </w:p>
        </w:tc>
      </w:tr>
      <w:tr>
        <w:trPr>
          <w:trHeight w:val="175"/>
        </w:trPr>
        <w:tc>
          <w:tcPr>
            <w:tcW w:w="3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5"/>
                <w:szCs w:val="15"/>
                <w:color w:val="auto"/>
              </w:rPr>
            </w:pP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Hedging Adjustments(a)</w:t>
            </w:r>
          </w:p>
        </w:tc>
        <w:tc>
          <w:tcPr>
            <w:tcW w:w="42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5"/>
                <w:szCs w:val="15"/>
                <w:color w:val="auto"/>
              </w:rPr>
            </w:pPr>
          </w:p>
        </w:tc>
        <w:tc>
          <w:tcPr>
            <w:tcW w:w="2040" w:type="dxa"/>
            <w:vAlign w:val="bottom"/>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Hedging Adjustments(a)</w:t>
            </w:r>
          </w:p>
        </w:tc>
      </w:tr>
      <w:tr>
        <w:trPr>
          <w:trHeight w:val="228"/>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unsecured debt</w:t>
            </w: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8"/>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unsecured debt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1,037</w:t>
            </w: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unsecured debt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1,029</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$865 million and $872 million of unamortized losses remaining on hedged items for which hedge accounting has been discontinued at March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Product Warranty and Related Liabilities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8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8"/>
        </w:trPr>
        <w:tc>
          <w:tcPr>
            <w:tcW w:w="8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15"/>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and Related Liabilities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2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w:t>
            </w:r>
          </w:p>
        </w:tc>
      </w:tr>
      <w:tr>
        <w:trPr>
          <w:trHeight w:val="228"/>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recall campaigns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product warranty</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8"/>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2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pre-existing warranties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8"/>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end of period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w:t>
            </w:r>
          </w:p>
        </w:tc>
      </w:tr>
      <w:tr>
        <w:trPr>
          <w:trHeight w:val="228"/>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Supplier recoveries balance at end of period(a)</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47"/>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net of supplier recoveries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The current portion of supplier recoveries is recorded in Accounts and notes receivable, net of allowance and the non-current portion is recorded in Other assets.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8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8"/>
        </w:trPr>
        <w:tc>
          <w:tcPr>
            <w:tcW w:w="8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15"/>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Expense, Net of Recoveries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2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726</w:t>
            </w:r>
          </w:p>
        </w:tc>
      </w:tr>
      <w:tr>
        <w:trPr>
          <w:trHeight w:val="255"/>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recoveries accrued in period</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(44)</w:t>
            </w:r>
          </w:p>
        </w:tc>
      </w:tr>
      <w:tr>
        <w:trPr>
          <w:trHeight w:val="22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and other</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284</w:t>
            </w:r>
          </w:p>
        </w:tc>
      </w:tr>
      <w:tr>
        <w:trPr>
          <w:trHeight w:val="222"/>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expense, net of supplier recoveries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966</w:t>
            </w: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estimate our reasonably possible loss in excess of amounts accrued for recall campaigns to be insignificant at March 31, 2024. Refer to Note 13 to our condensed consolidated financial statements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Pensions and Other Postretirement Benefits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1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260" w:type="dxa"/>
            <w:vAlign w:val="bottom"/>
          </w:tcPr>
          <w:p>
            <w:pPr>
              <w:spacing w:after="0"/>
              <w:rPr>
                <w:sz w:val="18"/>
                <w:szCs w:val="18"/>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6"/>
        </w:trPr>
        <w:tc>
          <w:tcPr>
            <w:tcW w:w="4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3"/>
                <w:szCs w:val="3"/>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14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3"/>
                <w:szCs w:val="3"/>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(gains) losses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The non-service cost components of net periodic pension and other postretirement benefits (OPEB) income of $49 million and $86 million in the three months ended March 31, 2024 and 2023 are presented in Interest income and other non-operating income, net.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Litigation-Related Liability and Tax Administrative Matters </w:t>
      </w:r>
      <w:r>
        <w:rPr>
          <w:rFonts w:ascii="Times New Roman" w:cs="Times New Roman" w:eastAsia="Times New Roman" w:hAnsi="Times New Roman"/>
          <w:sz w:val="18"/>
          <w:szCs w:val="18"/>
          <w:color w:val="auto"/>
        </w:rPr>
        <w:t>In the normal course of our business, we are named from time to time as a defendant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March 31, 2024 and December 31, 2023, we had accruals of $1.1 billion and $1.2 billion in Accrued liabilities and Other liabilities. In many matters, it is inherently difficult to determine whether a loss is probable or reasonably possible or to estimate the size or range of the potential loss. Some matters may involve compensatory, punitive or other treble damage claims, environmental remediation programs or sanctions that, if granted, could require us to pay damages or make other expenditures in amounts that cannot be reasonably estimated. Accordingly, while we believe that appropriate accruals have been established for losses that are probable and can be reasonably estimated, it is possible that adverse outcomes from such proceedings could exceed the amounts accrued by an amount that could be material to our results of operations or cash flows in any particular reporting period.</w:t>
      </w:r>
    </w:p>
    <w:p>
      <w:pPr>
        <w:spacing w:after="0" w:line="213"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Korea Subcontract Workers Litigation </w:t>
      </w:r>
      <w:r>
        <w:rPr>
          <w:rFonts w:ascii="Times New Roman" w:cs="Times New Roman" w:eastAsia="Times New Roman" w:hAnsi="Times New Roman"/>
          <w:sz w:val="18"/>
          <w:szCs w:val="18"/>
          <w:color w:val="auto"/>
        </w:rPr>
        <w:t>GM Korea Company (GM Korea) is party to litigation with current and former subcontract workers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allegations that they are entitled to the same wages and benefits provided to full-time employees, and to be hired as full-time employees. In May 2018 and September 2020, the Korean labor authorities issued adverse administrative orders finding that GM Korea must hire certain current subcontract workers as full-time employees. GM Korea appealed the May 2018 and September 2020 orders. Since June 2020, the Seoul High Court (an intermediate-level appellate court) ruled against GM Korea in eight subcontract worker claims. Although GM Korea has appealed these decisions to the Supreme Court of the Republic of Korea, GM Korea has since hired certain of its subcontract workers as full-time employees. At March 31, 2024, our accrual covering certain asserted claims and claims that we believe are probable of assertion and for which liability is probable was approximately $133 million. We estimate the reasonably possible loss in excess of amounts accrued for other current subcontract workers who may assert similar claims to be approximately $66 million at March 31, 2024. We are currently unable to estimate any reasonably possible material loss or range of loss that may result from additional claims that may be asserted by former subcontract workers.</w:t>
      </w:r>
    </w:p>
    <w:p>
      <w:pPr>
        <w:spacing w:after="0" w:line="210"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Litigation-Related Liability and Tax Administrative Matters </w:t>
      </w:r>
      <w:r>
        <w:rPr>
          <w:rFonts w:ascii="Times New Roman" w:cs="Times New Roman" w:eastAsia="Times New Roman" w:hAnsi="Times New Roman"/>
          <w:sz w:val="18"/>
          <w:szCs w:val="18"/>
          <w:color w:val="auto"/>
        </w:rPr>
        <w:t>Various other legal actions, including class actions, governmental investigations,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claims and proceedings are pending against us or our related companies or joint ventures, including, but not limited to, matters arising out of alleged product defects; employment-related matters; product and workplace safety, vehicle emissions and fuel economy regulations; product warranties; financial services; dealer, supplier and other contractual relationships;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 We also from time to time receive subpoenas and other inquiries or requests for information from agencies or other representatives of U.S. federal, state and foreign governments on a variety of issues.</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There are several putative class actions pending against GM in the U.S. and Canada alleging that various vehicles sold, including model year 2011–2016 Duramax Diesel Chevrolet Silverado and GMC Sierra vehicles, violate federal, state and foreign emission standards. In July 2023, the putative class actions pending in the U.S. were dismissed with prejudice and judgment entered in favor of GM, and plaintiffs appealed the dismissal. We are currently unable to estimate any reasonably possible material loss or range of loss that may result from these actions. GM has also faced a series of additional lawsuits in the U.S. based on these allegations, including a shareholder demand lawsuit that remains pending.</w:t>
      </w:r>
    </w:p>
    <w:p>
      <w:pPr>
        <w:spacing w:after="0" w:line="21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There are several putative class actions and three certified class actions pending against GM in the U.S. alleging that various 2011–2014 model year vehicles are defective because they excessively consume oil. While many of these proceedings have been dismissed or have been settled for insignificant amounts, several remain outstanding, and in October 2022, we received an adverse jury verdict in the certified class action proceeding involving three states. We do not believe that the verdict is supported by the evidence and plan to appeal. We are currently unable to estimate any reasonably possible material loss or range of loss that may result from the putative class action proceedings and have previously accrued an immaterial amount related to one of the certified class action proceedings.</w:t>
      </w:r>
    </w:p>
    <w:p>
      <w:pPr>
        <w:spacing w:after="0" w:line="21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There is one putative class action and one certified class action pending against GM in the U.S. alleging that various 2015–2022 model year vehicles are defective because they are equipped with faulty 8-speed transmissions. In March 2023, the judge overseeing the class action concerning 2015–2019 model year vehicles certified 26 state subclasses. The Sixth Circuit has agreed to hear our appeal of this class certification order. The putative class action concerning 2020–2022 model year vehicles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is pending in front of a different judge that has not yet addressed class certification. We have similar cases pending in Canada concerning these vehicles. We are currently unable to estimate any reasonably possible or probable material loss or range of loss that may result from these proceedings in excess of amounts accrued.</w:t>
      </w:r>
    </w:p>
    <w:p>
      <w:pPr>
        <w:spacing w:after="0" w:line="204"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There is a class action pending against GM in the U.S., and a putative class action in Canada, alleging that 2011–2016 model year Duramax Diesel Chevrolet Silverado and GMC Sierra vehicles are equipped with defective fuel pumps that are prone to failure. In March 2023, the U.S. court certified seven state subclasses. In the three months ended March 31, 2024, we reached an agreement in principle to settle this matter on terms consistent with our accrual.</w:t>
      </w:r>
    </w:p>
    <w:p>
      <w:pPr>
        <w:spacing w:after="0" w:line="18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are currently in discussions with the Environmental Protection Agency (EPA) and other regulators regarding potential adjustments to certain prior year greenhouse gas (GHG) and Corporate Average Fuel Economy (CAFE) accounting balances. Based on progress made in these discussions, in the three months ended March 31, 2024, we accrued an insignificant amount, which brought the total costs expensed in connection with these matters to approximately $490 million through March 31, 2024. We currently expect to resolve these matters on terms generally consistent with our accrual.</w:t>
      </w:r>
    </w:p>
    <w:p>
      <w:pPr>
        <w:spacing w:after="0" w:line="20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Indirect tax-related matters are being evaluated globally pertaining to value added taxes, customs, duties, sales tax, property taxes and other non-income tax-related tax exposures. Certain administrative proceedings are indirect tax-related and may require that we deposit funds in escrow or provide an alternative form of security. For indirect tax-related matters, we estimate our reasonably possible loss in excess of amounts accrued to be up to approximately $2.1 billion at March 31, 2024.</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Takata Matters </w:t>
      </w:r>
      <w:r>
        <w:rPr>
          <w:rFonts w:ascii="Times New Roman" w:cs="Times New Roman" w:eastAsia="Times New Roman" w:hAnsi="Times New Roman"/>
          <w:sz w:val="18"/>
          <w:szCs w:val="18"/>
          <w:color w:val="auto"/>
        </w:rPr>
        <w:t>In November 2020, the National Highway Traffic Safety Administration (NHTSA) directed that we replace the Takata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(Takata) airbag inflators in our GMT900 vehicles, which are full-size pickup trucks and sport utility vehicles (SUVs), and we decided not to contest NHTSA's decision. While we have already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At March 31, 2024, our remaining accrual for these matters was $594 million, and we believe the currently accrued amount remains reasonable.</w:t>
      </w:r>
    </w:p>
    <w:p>
      <w:pPr>
        <w:spacing w:after="0" w:line="211"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spacing w:after="0" w:line="18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There are several putative class actions that have been filed against GM, including in the U.S. and Canada, arising out of allegations that airbag inflators manufactured by Takata are defective. In March 2023, a U.S. court overseeing one of the putative class actions issued a final judgment in favor of GM on all claims in eight states at issue in that proceeding. Plaintiffs have appealed this decision. In August 2023, the U.S. court granted class certification as to a Louisiana claim, but denied certification as to seven other states. At this stage of these proceedings, we are unable to provide an estimate of the amounts or range of reasonably possible material loss.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ARC Matters </w:t>
      </w:r>
      <w:r>
        <w:rPr>
          <w:rFonts w:ascii="Times New Roman" w:cs="Times New Roman" w:eastAsia="Times New Roman" w:hAnsi="Times New Roman"/>
          <w:sz w:val="18"/>
          <w:szCs w:val="18"/>
          <w:color w:val="auto"/>
        </w:rPr>
        <w:t>In May 2023, we initiated a voluntary recall covering nearly one million 2014–2017 model year Buick Enclave, Chevrolet Traverse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GMC Acadia SUVs equipped with driver front airbag inflators manufactured by ARC Automotive, Inc. (ARC), and accrued an insignificant amount for the expected costs of the recall. As part of its ongoing investigation into ARC airbag inflators, on September 5, 2023, NHTSA issued an initial decision that approximately 52 million frontal driver and passenger airbag inflators manufactured by ARC and Delphi Automotive Systems LLC over a roughly 20-year period contain a safety-related defect and must be recalled. NHTSA’s initial decision is based on the occurrence of seven field ruptures involving ARC-manufactured frontal airbag inflators. We are continuing to investigate the cause of the ruptures in GM vehicles in connection with our existing recalls. The administrative record for NHTSA’s investigation closed on December 18, 2023, and we are waiting for NHTSA to issue its final decision. As indicated in GM's filed comment in the record, we do not believe that further GM vehicle recalls are necessary or appropriate at this time. However, depending on the outcome of the dispute between NHTSA and ARC, and the possibility of additional recalls, the cost of which may not be fully recoverable, it is reasonably possible that the costs associated with these matters in excess of amounts accrued could be material, but we are unable to provide an estimate of the amounts or range of reasonably possible material loss at this time.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37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There are several putative class actions that have been filed against GM, including in the U.S., Canada and Israel, arising out of allegations that airbag inflators manufactured by ARC are defective. At this stage of these proceedings, we are unable to provide an estimate of the amounts or range of reasonably possible material loss.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Chevrolet Bolt Recall </w:t>
      </w:r>
      <w:r>
        <w:rPr>
          <w:rFonts w:ascii="Times New Roman" w:cs="Times New Roman" w:eastAsia="Times New Roman" w:hAnsi="Times New Roman"/>
          <w:sz w:val="18"/>
          <w:szCs w:val="18"/>
          <w:color w:val="auto"/>
        </w:rPr>
        <w:t>In July 2021, we initiated a voluntary recall for certain 2017–2019 model year Chevrolet Bolt EVs due to the risk that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defects present in the same battery cell could cause a high voltage battery fire in certain of these vehicles. After further investigation into the manufacturing processes at our battery supplier, LGES, and disassembling battery packs, we determined that the risk of battery cell defects was not confined to the initial recall population. As a result, in August 2021, we expanded the recall to include all 2017–2022 model year Chevrolet Bolt EV and Chevrolet Bolt Electric Utility Vehicles (EUVs). LG Electronics, Inc. (LGE) and LGES (collectively, LG), have agreed to reimburse GM for certain costs and expenses associated with the recall. The commercial negotiations with LG also resolved other commercial matters associated with our Ultium Cells Holdings LLC joint venture with LGES. Accordingly, as of December 31, 2023, we had accrued a total of $2.6 billion and recognized receivables totaling $1.6 billion in connection with these matters. At March 31, 2024, our remaining accrual for these matters was $0.5 billion. These charges reflect our current best estimate for the cost of the recall remedy, which includes non-traditional recall remedies provided by GM to enhance customer satisfaction. The actual costs of the recall could be materially higher or lower.</w:t>
      </w:r>
    </w:p>
    <w:p>
      <w:pPr>
        <w:spacing w:after="0" w:line="214"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In addition, putative class actions have been filed against GM in the U.S. and Canada alleging that the batteries contained in the Bolt EVs and EUVs included in the recall population are defective. GM has reached an agreement in principle to settle the U.S. class actions for an immaterial amount.</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Opel/Vauxhall Sale </w:t>
      </w:r>
      <w:r>
        <w:rPr>
          <w:rFonts w:ascii="Times New Roman" w:cs="Times New Roman" w:eastAsia="Times New Roman" w:hAnsi="Times New Roman"/>
          <w:sz w:val="18"/>
          <w:szCs w:val="18"/>
          <w:color w:val="auto"/>
        </w:rPr>
        <w:t>In 2017, we sold the Opel and Vauxhall businesses and certain other assets in Europe (the Opel/Vauxhall Business) to PSA Group,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Stellantis N.V. (Stellantis), under a Master Agreement (the Agreement). We also sold the European financing subsidiaries and branches to Banque PSA Finance S.A. and BNP Paribas Personal Finance S.A. Although the sale reduced our new vehicle presence in Europe, we may still be impacted by actions taken by regulators related to vehicles sold before the sale. General Motors Holdings LLC agreed, on behalf of our wholly owned subsidiary (the Seller), to indemnify Stellantis for certain losses resulting from any inaccuracy of the representations and warranties or breaches of our covenants included in the Agreement and for certain other liabilities, including costs related to certain emissions claims, product liabilities and recalls. We are unable to estimate any reasonably possible material loss or range of loss that may result from these actions either directly or through an indemnification claim from Stellantis. Certain of these indemnification obligations are subject to time limitations, thresholds and/or caps as to the amount of required payments.</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Currently, various consumer lawsuits have been filed against the Seller and Stellantis in Germany, the United Kingdom (UK), Austria and the Netherlands alleging that Opel and Vauxhall vehicles sold by the Seller violated applicable emissions standards. In addition, we indemnified Stellantis for an immaterial amount for certain recalls that Stellantis has conducted or will conduct, including recalls in certain geographic locations that Stellantis intends to conduct related to Takata inflators in legacy Opel vehicles. We may in the future be required to further indemnify Stellantis relating to its Takata recalls, but we believe such further indemnification to be remote at this time.</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European Commission and UK Competition and Markets Authority Matter </w:t>
      </w:r>
      <w:r>
        <w:rPr>
          <w:rFonts w:ascii="Times New Roman" w:cs="Times New Roman" w:eastAsia="Times New Roman" w:hAnsi="Times New Roman"/>
          <w:sz w:val="18"/>
          <w:szCs w:val="18"/>
          <w:color w:val="auto"/>
        </w:rPr>
        <w:t>In March 2022, the European Commission and UK Competition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Authority (CMA) conducted inspections at the premises of, and sent out formal requests for information to several companies and associations active in the automotive sector. The investigations concern conduct related to coordination regarding the collection, treatment and recovery of end-of-life cars and vans (ELVs), which are considered waste. GM was not the subject of the inspections but has since received requests for information related to activities conducted by Opel, a former subsidiary business we sold to Stellantis in 2017. GM has replied to the European Commission’s and CMA’s requests for information. The inspections and requests for information are preliminary investigatory steps and do not prejudge the outcome of the investigations. If an infringement is established as to Opel’s conduct, there are a range of possible outcomes, including a fine, which could be material. We cannot currently predict the outcome or what remedies, if any, may be required.</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Product Liability </w:t>
      </w:r>
      <w:r>
        <w:rPr>
          <w:rFonts w:ascii="Times New Roman" w:cs="Times New Roman" w:eastAsia="Times New Roman" w:hAnsi="Times New Roman"/>
          <w:sz w:val="18"/>
          <w:szCs w:val="18"/>
          <w:color w:val="auto"/>
        </w:rPr>
        <w:t>We recorded liabilities of $636 million and $615 million in Accrued liabilities and Other liabilities at March 31, 2024 and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3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We enter into indemnification agreements for liability claims involving products manufactured primarily by certain joint ventures.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guarantees terminate in years ranging from 2024 to 2029, or upon the occurrence of specific events or are ongoing. We believe that the related potential costs incurred are adequately covered by our recorded accruals, which are insignificant. The maximum future undiscounted payments mainly based on royalties received associated with vehicles sold to date were $3.5 billion for these guarantees at March 31, 2024 and December 31, 2023, the majority of which relates to the indemnification agreements.</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Supplier Finance Programs </w:t>
      </w:r>
      <w:r>
        <w:rPr>
          <w:rFonts w:ascii="Times New Roman" w:cs="Times New Roman" w:eastAsia="Times New Roman" w:hAnsi="Times New Roman"/>
          <w:sz w:val="18"/>
          <w:szCs w:val="18"/>
          <w:color w:val="auto"/>
        </w:rPr>
        <w:t>Third-party finance providers offer certain suppliers the option for payment in advance of their invoice due date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programs that we established. We retain our obligation to the participating suppliers, and we make payments directly to the third-party finance providers on the original invoice due date pursuant to the original invoice terms. There are no assets pledged as security or other forms of guarantees provided for committed payments. Our outstanding eligible balances under our supplier finance programs were $1.3 billion at March 31, 2024 and December 31, 2023, which are recorded in Accounts payable (principally trade).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25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three months ended March 31, 2024 and 2023, Income tax expense of $762 million and $428 million was primarily due to tax expense attributable to entities included in our effective tax rate calculation.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Restructuring and Other Initiatives</w:t>
      </w:r>
    </w:p>
    <w:p>
      <w:pPr>
        <w:spacing w:after="0" w:line="25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12"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reserves and charges related to restructuring and other initiatives, including postemployment benefit reserves and charges: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28"/>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three months ended March 31, 2024, restructuring and other initiatives included strategic activities in GMNA related to Buick dealerships. We recorded charges of $96 million in the three months ended March 31, 2024, which are included in the table above, and incurred $162 million in net cash outflows resulting from these dealer restructurings. Cumulatively, we have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incurred charges of approximately $1.2 billion and net cash outflows of $956 million related to this initiative. The remaining $220 million is expected to be paid by the end of 2024.</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March 2023, we announced a voluntary separation program (VSP) to accelerate attrition related to the cost reduction program announced in January 2023. We recorded charges in GMNA of $1.0 billion in the year ended December 31, 2023, primarily related to employee separation charges of $905 million, which are reflected in the table above, and non-cash pension curtailment and settlement charges of approximately $130 million, not reflected in the table above. As of March 31, 2024, we have incurred $878 million of cash outflows resulting from the VSP. This program was substantially complete at March 31, 2024.</w:t>
      </w:r>
    </w:p>
    <w:p>
      <w:pPr>
        <w:spacing w:after="0" w:line="21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October 2023, Cruise voluntarily paused all of its driverless, supervised and manual AV operations in the U.S. while it examines its processes, systems and tools. In conjunction with these actions, Cruise recorded charges before noncontrolling interest of $529 million in the year ended December 31, 2023, primarily related to supplier related charges of $212 million and employee separation charges of $67 million, both of which are included in the table above. Additionally, Cruise recorded non-cash restructuring charges of $250 million primarily related to impairments, which are not reflected in the table above. As of March 31, 2024, we have incurred $70 million of cash outflows resulting from these restructuring activities. We expect the remaining cash outflows related to these activities of approximately $209 million to be complete by the end of 2024.</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Stockholders' Equity and Noncontrolling Interests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have 2.0 billion shares of preferred stock and 5.0 billion shares of common stock authorized for issuance. We had no shares of preferred stock issued and outstanding at March 31, 2024 and December 31, 2023. We had 1.1 billion and 1.2 billion shares of common stock issued and outstanding at March 31, 2024 and December 31, 2023.</w:t>
      </w:r>
    </w:p>
    <w:p>
      <w:pPr>
        <w:spacing w:after="0" w:line="200"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Holders of our common stock are entitled to dividends at the sole discretion of our Board of Directors. Our total dividends paid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were $139 million and $126 million for the three months ended March 31, 2024 and 2023.</w:t>
      </w:r>
    </w:p>
    <w:p>
      <w:pPr>
        <w:spacing w:after="0" w:line="186"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In November 2023, our Board of Directors increased the capacity under the share repurchase program by $10.0 billion to an aggregate of $11.4 billion and approved an accelerated share repurchase (ASR) program to repurchase an aggregate amount of $10.0 billion of our common stock. In December 2023, pursuant to the agreements entered into in connection with the ASR (collectively, the ASR Agreements), we advanced $10.0 billion and received approximately 215 million shares of our common stock with a value of $6.8 billion, which were immediately retired. In March 2024, upon the first settlement of the transactions contemplated under the ASR Agreements, we received approximately 4 million additional shares, which were immediately retired. The final number of shares ultimately to be purchased will be based on the average of the daily volume-weighted average prices of our common stock during the term of the ASR Agreements, less a discount and subject to adjustments pursuant to the terms and conditions of the ASR Agreements. Upon final settlement, we may receive additional shares of common stock, or, under certain circumstances, we may be required to deliver shares of common stock or to make a cash payment, at our election. The final settlement of the transactions contemplated under the ASR Agreements in connection with the ASR program is expected to occur no later than the three months ending December 31, 2024.</w:t>
      </w:r>
    </w:p>
    <w:p>
      <w:pPr>
        <w:spacing w:after="0" w:line="21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the three months ended March 31, 2024, in addition to shares received under the ASR program, we purchased approximately 8 million shares of our outstanding common stock for $331 million, including an insignificant amount related to purchases initiated in March 2024 that settled in April 2024, as part of the share repurchase program. In the three months ended March 31, 2023, we purchased 9 million shares of our outstanding common stock for $369 million.</w:t>
      </w:r>
    </w:p>
    <w:p>
      <w:pPr>
        <w:spacing w:after="0" w:line="204"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Common Shares </w:t>
      </w:r>
      <w:r>
        <w:rPr>
          <w:rFonts w:ascii="Times New Roman" w:cs="Times New Roman" w:eastAsia="Times New Roman" w:hAnsi="Times New Roman"/>
          <w:sz w:val="18"/>
          <w:szCs w:val="18"/>
          <w:color w:val="auto"/>
        </w:rPr>
        <w:t>During the three months ended March 31, 2024 and 2023, GM Cruise Holdings LLC (Cruise Holdings) issued an insignificant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Class B Common Shares to net settle vested awards under Cruise's 2018 Employee Incentive Plan and to fund the payment of statutory tax withholding obligations resulting from the settlement or exercise of vested awards. The Class B Common Shares are classified as noncontrolling interests in our condensed consolidated financial statements except for certain shares that are liability classified that have an insignificant recorded value at March 31, 2024 and December 31,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significant components of Accumulated other comprehensive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4"/>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5"/>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1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r>
        <w:trPr>
          <w:trHeight w:val="175"/>
        </w:trPr>
        <w:tc>
          <w:tcPr>
            <w:tcW w:w="78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Other comprehensive income (loss) and noncontrolling interests, net of reclassification adjustment and</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tax(a)(b)(c)</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7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0" w:type="dxa"/>
            <w:vAlign w:val="bottom"/>
          </w:tcPr>
          <w:p>
            <w:pPr>
              <w:spacing w:after="0"/>
              <w:rPr>
                <w:sz w:val="1"/>
                <w:szCs w:val="1"/>
                <w:color w:val="auto"/>
              </w:rPr>
            </w:pP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 adjustment, net of tax(c)</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net of tax(c)</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2"/>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tax(c)</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noncontrolling interests were insignificant in the three months ended March 31, 2024 and 2023.</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reclassification adjustment was insignificant in the three months ended March 31, 2024 and 2023.</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effect was insignificant in the three months ended March 31, 2024 and 2023.</w:t>
      </w:r>
    </w:p>
    <w:p>
      <w:pPr>
        <w:spacing w:after="0" w:line="7" w:lineRule="exact"/>
        <w:rPr>
          <w:rFonts w:ascii="Times New Roman" w:cs="Times New Roman" w:eastAsia="Times New Roman" w:hAnsi="Times New Roman"/>
          <w:sz w:val="16"/>
          <w:szCs w:val="16"/>
          <w:color w:val="auto"/>
        </w:rPr>
      </w:pPr>
    </w:p>
    <w:p>
      <w:pPr>
        <w:ind w:left="340" w:hanging="333"/>
        <w:spacing w:after="0" w:line="268"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unamortized actuarial loss on our defined benefit plans. Refer to Note 2. Significant Accounting Policies of our 2023 Form 10-K for additional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Earnings Per Share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4"/>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1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cumulative dividends on subsidiary preferred stock(a)</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7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107"/>
        </w:trPr>
        <w:tc>
          <w:tcPr>
            <w:tcW w:w="7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 diluted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r>
      <w:tr>
        <w:trPr>
          <w:trHeight w:val="107"/>
        </w:trPr>
        <w:tc>
          <w:tcPr>
            <w:tcW w:w="7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awards under stock incentive plans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7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Potentially dilutive securities(b)</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20" w:hanging="313"/>
        <w:spacing w:after="0"/>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insignificant amount in participating securities income from a subsidiary for the three months ended March 31, 2024.</w:t>
      </w:r>
    </w:p>
    <w:p>
      <w:pPr>
        <w:spacing w:after="0" w:line="7" w:lineRule="exact"/>
        <w:rPr>
          <w:rFonts w:ascii="Times New Roman" w:cs="Times New Roman" w:eastAsia="Times New Roman" w:hAnsi="Times New Roman"/>
          <w:sz w:val="16"/>
          <w:szCs w:val="16"/>
          <w:color w:val="auto"/>
        </w:rPr>
      </w:pPr>
    </w:p>
    <w:p>
      <w:pPr>
        <w:ind w:left="340" w:hanging="333"/>
        <w:spacing w:after="0" w:line="268"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dilutive securities attributable to outstanding stock options, Restricted Stock Units (RSUs) and Performance Stock Units (PSUs) at March 31, 2024 and 2023 were excluded from the computation of diluted earnings per share (EPS) because the securities would have had an antidilutive effect.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Reporting</w:t>
      </w:r>
    </w:p>
    <w:p>
      <w:pPr>
        <w:spacing w:after="0" w:line="254"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We analyze the results of our business through the following reportable segments: GMNA, GMI, Cruise and GM Financial. The chief operating decision-maker evaluates the operating results and performance of our automotive segments and Cruise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earnings before interest and income taxes (EBIT)-adjusted, which is presented net of noncontrolling interests. The chief operating decision-maker evaluates GM Financial through earnings before income taxes (EBT)-adjusted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those vehicles attract customers to dealer showrooms and help maintain sales volumes for other, more profitable vehicles and contribute towards our commitment to an all-electric future and meeting required fuel efficiency standards. As a result of these and other factors, we do not manage our business on an individual brand or vehicle basis.</w:t>
      </w:r>
    </w:p>
    <w:p>
      <w:pPr>
        <w:spacing w:after="0" w:line="212"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GMNA meets the demands of customers in North America and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 Cruise is our global segment responsible for the development and commercialization of AV technology, and includes AV-related engineering and other costs. We provide automotive financing services through our GM Financial segment.</w:t>
      </w:r>
    </w:p>
    <w:p>
      <w:pPr>
        <w:spacing w:after="0" w:line="213"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Our automotive interest income and interest expense, legacy costs from the Opel/Vauxhall Business (primarily pension costs), corporate expenditures and certain revenues and expenses that are not part of a reportable segment are recorded centrally in Corporate. Corporate assets primarily consist of cash and cash equivalents, marketable debt securities and intersegment balances. All intersegment balances and transactions have been eliminated in consolidation.</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summarize key financial information by segment: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400"/>
              <w:spacing w:after="0"/>
              <w:rPr>
                <w:sz w:val="20"/>
                <w:szCs w:val="20"/>
                <w:color w:val="auto"/>
              </w:rPr>
            </w:pPr>
            <w:r>
              <w:rPr>
                <w:rFonts w:ascii="Times New Roman" w:cs="Times New Roman" w:eastAsia="Times New Roman" w:hAnsi="Times New Roman"/>
                <w:sz w:val="13"/>
                <w:szCs w:val="13"/>
                <w:b w:val="1"/>
                <w:bCs w:val="1"/>
                <w:color w:val="auto"/>
              </w:rPr>
              <w:t>At and For the Three Months Ended March 31, 2024</w:t>
            </w: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80" w:type="dxa"/>
            <w:vAlign w:val="bottom"/>
          </w:tcPr>
          <w:p>
            <w:pPr>
              <w:spacing w:after="0"/>
              <w:rPr>
                <w:sz w:val="15"/>
                <w:szCs w:val="15"/>
                <w:color w:val="auto"/>
              </w:rPr>
            </w:pP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36,099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39,212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3,811</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43,014</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w w:val="98"/>
              </w:rPr>
              <w:t>Earnings (loss) before interest and taxes-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3,585</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10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3,871</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3,715</w:t>
            </w:r>
          </w:p>
        </w:tc>
        <w:tc>
          <w:tcPr>
            <w:tcW w:w="0" w:type="dxa"/>
            <w:vAlign w:val="bottom"/>
          </w:tcPr>
          <w:p>
            <w:pPr>
              <w:spacing w:after="0"/>
              <w:rPr>
                <w:sz w:val="1"/>
                <w:szCs w:val="1"/>
                <w:color w:val="auto"/>
              </w:rPr>
            </w:pPr>
          </w:p>
        </w:tc>
      </w:tr>
      <w:tr>
        <w:trPr>
          <w:trHeight w:val="169"/>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(762)</w:t>
            </w: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2,953</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07"/>
        </w:trPr>
        <w:tc>
          <w:tcPr>
            <w:tcW w:w="214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2,980</w:t>
            </w:r>
          </w:p>
        </w:tc>
        <w:tc>
          <w:tcPr>
            <w:tcW w:w="0" w:type="dxa"/>
            <w:vAlign w:val="bottom"/>
          </w:tcPr>
          <w:p>
            <w:pPr>
              <w:spacing w:after="0"/>
              <w:rPr>
                <w:sz w:val="1"/>
                <w:szCs w:val="1"/>
                <w:color w:val="auto"/>
              </w:rPr>
            </w:pPr>
          </w:p>
        </w:tc>
      </w:tr>
      <w:tr>
        <w:trPr>
          <w:trHeight w:val="181"/>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stockholders</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Equity in net assets of nonconsolidated</w:t>
            </w: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affiliates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9,069</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10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10,740</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4,823</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158,677</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25,777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38,991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98"/>
              </w:rPr>
              <w:t>(79,334)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144,111</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131,998</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(3,496)</w:t>
            </w:r>
          </w:p>
        </w:tc>
        <w:tc>
          <w:tcPr>
            <w:tcW w:w="1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276,591</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2,798</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income (loss)(b)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w:t>
      </w:r>
    </w:p>
    <w:p>
      <w:pPr>
        <w:spacing w:after="0" w:line="11" w:lineRule="exact"/>
        <w:rPr>
          <w:sz w:val="20"/>
          <w:szCs w:val="20"/>
          <w:color w:val="auto"/>
        </w:rPr>
      </w:pPr>
    </w:p>
    <w:p>
      <w:pPr>
        <w:ind w:left="280" w:hanging="273"/>
        <w:spacing w:after="0"/>
        <w:tabs>
          <w:tab w:leader="none" w:pos="2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strategic activities related to Buick dealerships in GMNA.</w:t>
      </w:r>
    </w:p>
    <w:p>
      <w:pPr>
        <w:ind w:left="340" w:right="20" w:hanging="333"/>
        <w:spacing w:after="0" w:line="238" w:lineRule="auto"/>
        <w:tabs>
          <w:tab w:leader="none" w:pos="309"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is integral to the operations of our business by providing battery cells for our EVs. In the three months ended March 31, 2024, equity earnings related to Ultium Cells Holdings LLC were $156 million.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400"/>
              <w:spacing w:after="0"/>
              <w:rPr>
                <w:sz w:val="20"/>
                <w:szCs w:val="20"/>
                <w:color w:val="auto"/>
              </w:rPr>
            </w:pPr>
            <w:r>
              <w:rPr>
                <w:rFonts w:ascii="Times New Roman" w:cs="Times New Roman" w:eastAsia="Times New Roman" w:hAnsi="Times New Roman"/>
                <w:sz w:val="13"/>
                <w:szCs w:val="13"/>
                <w:b w:val="1"/>
                <w:bCs w:val="1"/>
                <w:color w:val="auto"/>
              </w:rPr>
              <w:t>At and For the Three Months Ended March 31, 2023</w:t>
            </w: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80" w:type="dxa"/>
            <w:vAlign w:val="bottom"/>
          </w:tcPr>
          <w:p>
            <w:pPr>
              <w:spacing w:after="0"/>
              <w:rPr>
                <w:sz w:val="15"/>
                <w:szCs w:val="15"/>
                <w:color w:val="auto"/>
              </w:rPr>
            </w:pP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32,889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36,646</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3,343</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39,985</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w w:val="98"/>
              </w:rPr>
              <w:t>Earnings (loss) before interest and taxes-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3,576</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3,596</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w:t>
            </w:r>
          </w:p>
        </w:tc>
        <w:tc>
          <w:tcPr>
            <w:tcW w:w="10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3,803</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2,775</w:t>
            </w:r>
          </w:p>
        </w:tc>
        <w:tc>
          <w:tcPr>
            <w:tcW w:w="0" w:type="dxa"/>
            <w:vAlign w:val="bottom"/>
          </w:tcPr>
          <w:p>
            <w:pPr>
              <w:spacing w:after="0"/>
              <w:rPr>
                <w:sz w:val="1"/>
                <w:szCs w:val="1"/>
                <w:color w:val="auto"/>
              </w:rPr>
            </w:pPr>
          </w:p>
        </w:tc>
      </w:tr>
      <w:tr>
        <w:trPr>
          <w:trHeight w:val="169"/>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2,346</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07"/>
        </w:trPr>
        <w:tc>
          <w:tcPr>
            <w:tcW w:w="214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2,395</w:t>
            </w:r>
          </w:p>
        </w:tc>
        <w:tc>
          <w:tcPr>
            <w:tcW w:w="0" w:type="dxa"/>
            <w:vAlign w:val="bottom"/>
          </w:tcPr>
          <w:p>
            <w:pPr>
              <w:spacing w:after="0"/>
              <w:rPr>
                <w:sz w:val="1"/>
                <w:szCs w:val="1"/>
                <w:color w:val="auto"/>
              </w:rPr>
            </w:pPr>
          </w:p>
        </w:tc>
      </w:tr>
      <w:tr>
        <w:trPr>
          <w:trHeight w:val="181"/>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stockholders</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Equity in net assets of nonconsolidated</w:t>
            </w: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affiliates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8,818</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1,725</w:t>
            </w:r>
          </w:p>
        </w:tc>
        <w:tc>
          <w:tcPr>
            <w:tcW w:w="10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10,542</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4,968</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144,903</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24,992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40,880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98"/>
              </w:rPr>
              <w:t>(69,676)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141,098</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122,789</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(2,099)</w:t>
            </w:r>
          </w:p>
        </w:tc>
        <w:tc>
          <w:tcPr>
            <w:tcW w:w="1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267,004</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2,810</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income (loss)(b)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w:t>
      </w:r>
    </w:p>
    <w:p>
      <w:pPr>
        <w:spacing w:after="0" w:line="11" w:lineRule="exact"/>
        <w:rPr>
          <w:sz w:val="20"/>
          <w:szCs w:val="20"/>
          <w:color w:val="auto"/>
        </w:rPr>
      </w:pPr>
    </w:p>
    <w:p>
      <w:pPr>
        <w:ind w:left="280" w:hanging="273"/>
        <w:spacing w:after="0"/>
        <w:tabs>
          <w:tab w:leader="none" w:pos="2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strategic activities related to Buick dealerships and charges related to the VSP in GMNA.</w:t>
      </w:r>
    </w:p>
    <w:p>
      <w:pPr>
        <w:ind w:left="340" w:hanging="333"/>
        <w:spacing w:after="0" w:line="238" w:lineRule="auto"/>
        <w:tabs>
          <w:tab w:leader="none" w:pos="309"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is integral to the operations of our business by providing battery cells for our EVs. In the three months ended March 31, 2023, equity earnings related to Ultium Cells Holdings LLC were insignificant.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This Management's Discussion and Analysis of Financial Condition and Results of Operations (MD&amp;A) should be read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conjunction with the accompanying condensed consolidated financial statements and the notes thereto, and the audited consolidated financial statements and notes thereto included in our 2023 Form 10-K.</w:t>
      </w:r>
    </w:p>
    <w:p>
      <w:pPr>
        <w:spacing w:after="0" w:line="20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Part 1, Item 1A. Risk Factors of our 2023 Form 10-K for a discussion of these risks and uncertainties. Except for per share amounts or as otherwise specified, dollar amounts presented within tables are stated in millions. Certain columns and rows may not add due to rounding.</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Our vision for the future is a world with zero crashes, zero emissions and zero congestion. We will adapt to customer preferences while executing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growth-focused strategy to invest in EVs, hybrids, AVs, software-enabled services and other new business opportunities. To support strong margins and cash flow during this transition, we are strengthening our market position in profitable internal combustion engine (ICE) vehicles, such as trucks and SUVs. We plan to execute our strategy with a steadfast commitment to good corporate citizenship through more sustainable operations and a leading health and safety culture.</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financial performance continues to be driven by the strength of our vehicle portfolio including high margin full-size pickup trucks and SUVs, strong consumer demand for our products and the execution of our core business strategy. We remain focused on reducing fixed costs and maintaining pricing discipline. We are monitoring industry pricing pressures, higher interest rates, inflation and consumer demand trends. We continue to prioritize driving down costs and building scale in our EV portfolio to improve profitability. Cruise has also resumed operations with a focused and more capital efficient operating plan.</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As we continue to assess our performance and the needs of our evolving business, additional restructuring and rationalization actions could be required. These actions could give rise to future asset impairments or other charges, which may have a material impact on our operating results. Refer to the Consolidated Results and regional sections of this MD&amp;A for additional information.</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face continuing market, operating and regulatory challenges in several countries across the globe due to, among other factors, competitive pressures, our product portfolio offerings, heightened emission standards, labor disruptions, foreign exchange volatility, evolving trade policy and political uncertainty. Refer to Part I, Item 1A. Risk Factors in our 2023 Form 10-K for a discussion of these challenges.</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For the year ending December 31, 2024, we expect Net income attributable to stockholders of between $10.1 billion and $11.5 billion, EBIT-adjusted of between $12.5 billion and $14.5 billion, EPS-diluted of between $8.94 and $9.94 and EPS-diluted-adjusted of between $9.00 and $10.00. Refer to the "Non-GAAP Measures" section of this MD&amp;A for additional information.</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expected Net income attributable to stockholders under U.S. GAAP to expected EBIT-adjusted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60" w:type="dxa"/>
            <w:vAlign w:val="bottom"/>
          </w:tcPr>
          <w:p>
            <w:pPr>
              <w:spacing w:after="0"/>
              <w:rPr>
                <w:sz w:val="16"/>
                <w:szCs w:val="16"/>
                <w:color w:val="auto"/>
              </w:rPr>
            </w:pPr>
          </w:p>
        </w:tc>
        <w:tc>
          <w:tcPr>
            <w:tcW w:w="32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Year Ending December 31, 2024</w:t>
            </w:r>
          </w:p>
        </w:tc>
      </w:tr>
      <w:tr>
        <w:trPr>
          <w:trHeight w:val="25"/>
        </w:trPr>
        <w:tc>
          <w:tcPr>
            <w:tcW w:w="796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$ 10.1-11.5</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2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 net</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$ 12.5-14.5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w:t>
      </w:r>
    </w:p>
    <w:p>
      <w:pPr>
        <w:spacing w:after="0" w:line="26" w:lineRule="exact"/>
        <w:rPr>
          <w:sz w:val="20"/>
          <w:szCs w:val="20"/>
          <w:color w:val="auto"/>
        </w:rPr>
      </w:pPr>
    </w:p>
    <w:p>
      <w:pPr>
        <w:ind w:left="340" w:hanging="333"/>
        <w:spacing w:after="0" w:line="268" w:lineRule="auto"/>
        <w:tabs>
          <w:tab w:leader="none" w:pos="33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the MD&amp;A for adjustment details. These expected financial results do not include the potential impact of future adjustments related to special items.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expected EPS-diluted under U.S. GAAP to expected EPS-diluted-adjusted</w:t>
      </w:r>
      <w:r>
        <w:rPr>
          <w:rFonts w:ascii="Times New Roman" w:cs="Times New Roman" w:eastAsia="Times New Roman" w:hAnsi="Times New Roman"/>
          <w:sz w:val="16"/>
          <w:szCs w:val="16"/>
          <w:color w:val="auto"/>
        </w:rPr>
        <w:t>:</w:t>
      </w:r>
    </w:p>
    <w:p>
      <w:pPr>
        <w:spacing w:after="0" w:line="284"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2955" cy="1536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Diluted earnings per common share</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Adjustments(a)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708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EPS-diluted-adjusted</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220" w:hanging="138"/>
        <w:spacing w:after="0"/>
        <w:tabs>
          <w:tab w:leader="none" w:pos="2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8.94-9.94</w:t>
      </w:r>
    </w:p>
    <w:p>
      <w:pPr>
        <w:spacing w:after="0" w:line="38"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0.06</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$ 9.00-10.00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49530</wp:posOffset>
            </wp:positionV>
            <wp:extent cx="20821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82165" cy="825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9600" w:space="720"/>
            <w:col w:w="92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________</w:t>
      </w:r>
    </w:p>
    <w:p>
      <w:pPr>
        <w:spacing w:after="0" w:line="22" w:lineRule="exact"/>
        <w:rPr>
          <w:sz w:val="20"/>
          <w:szCs w:val="20"/>
          <w:color w:val="auto"/>
        </w:rPr>
      </w:pPr>
    </w:p>
    <w:p>
      <w:pPr>
        <w:ind w:left="340" w:right="20" w:hanging="333"/>
        <w:spacing w:after="0" w:line="255" w:lineRule="auto"/>
        <w:tabs>
          <w:tab w:leader="none" w:pos="33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diluted earnings per common share under U.S. GAAP to EPS-diluted-adjusted within the MD&amp;A for adjustment details. These expected financial results do not include the potential impact of future adjustments related to special items.</w:t>
      </w:r>
    </w:p>
    <w:p>
      <w:pPr>
        <w:spacing w:after="0" w:line="214"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w:t>
      </w:r>
      <w:r>
        <w:rPr>
          <w:rFonts w:ascii="Times New Roman" w:cs="Times New Roman" w:eastAsia="Times New Roman" w:hAnsi="Times New Roman"/>
          <w:sz w:val="18"/>
          <w:szCs w:val="18"/>
          <w:color w:val="auto"/>
        </w:rPr>
        <w:t>Industry sales in North America were 4.8 million units in the three months ended March 31, 2024, representing an increase of 6.2%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corresponding period in 2023. U.S. industry sales were 3.9 million units in the three months ended March 31, 2024, representing an increase of 4.8% compared to the corresponding period in 2023.</w:t>
      </w:r>
    </w:p>
    <w:p>
      <w:pPr>
        <w:spacing w:after="0" w:line="20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total vehicle sales in the U.S., our largest market in North America, were 0.6 million units for market share of 15.4% in the three months ended March 31, 2024, representing a decrease of 1.0 percentage point compared to the corresponding period in 2023.</w:t>
      </w:r>
    </w:p>
    <w:p>
      <w:pPr>
        <w:spacing w:after="0" w:line="18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expect to sustain relatively strong EBIT-adjusted margins in 2024 on the continued strength of our product portfolio, improved EV margins and ongoing fixed cost reduction efforts, partially offset by pricing moderation with increased incentives. While we expect EV margins to improve in 2024, it is possible that we will continue to recognize losses to adjust inventory to net realizable value. Our outlook is dependent on the resiliency of the U.S. economy, continuing improvement of supply chain availability, EV-related cost reduction and overall economic conditions.</w:t>
      </w:r>
    </w:p>
    <w:p>
      <w:pPr>
        <w:spacing w:after="0" w:line="20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w:t>
      </w:r>
      <w:r>
        <w:rPr>
          <w:rFonts w:ascii="Times New Roman" w:cs="Times New Roman" w:eastAsia="Times New Roman" w:hAnsi="Times New Roman"/>
          <w:sz w:val="18"/>
          <w:szCs w:val="18"/>
          <w:color w:val="auto"/>
        </w:rPr>
        <w:t>Industry sales in China were 5.6 million units in the three months ended March 31, 2024, representing an increase of 10.1%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in 2023. Our total vehicle sales in China were 0.4 million units for a market share of 7.9% in the three months ended March 31, 2024, representing a decrease of 1.2 percentage points compared to the corresponding period in 2023. The domestic macro-economic environment and ongoing geopolitical tensions continue to place pressure on China's automotive industry and our vehicle sales in China. Our Automotive China JVs generated an equity loss of $0.1 billion in the three months ended March 31, 2024, driven primarily by reduced production in an effort to balance dealer inventory levels. Price competition, growing customer acceptance of domestic brands and demand for New Energy Vehicles (NEVs), and a more challenging regulatory environment related to emissions, fuel consumption and NEVs continue to place pressure on our operations in China.</w:t>
      </w:r>
    </w:p>
    <w:p>
      <w:pPr>
        <w:spacing w:after="0" w:line="21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Outside of China, industry sales were 6.3 million units in the three months ended March 31, 2024, representing a decrease of 1.2% compared to the corresponding period in 2023. Our total vehicle sales outside of China were 0.2 million units for market share of 3.1% in the three months ended March 31, 2024, which represents a decrease of 0.2 percentage points compared to the corresponding period in 2023.</w:t>
      </w:r>
    </w:p>
    <w:p>
      <w:pPr>
        <w:spacing w:after="0" w:line="200"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w:t>
      </w:r>
      <w:r>
        <w:rPr>
          <w:rFonts w:ascii="Times New Roman" w:cs="Times New Roman" w:eastAsia="Times New Roman" w:hAnsi="Times New Roman"/>
          <w:sz w:val="18"/>
          <w:szCs w:val="18"/>
          <w:color w:val="auto"/>
        </w:rPr>
        <w:t>Cruise Holdings, our majority-owned subsidiary, is pursuing the development and commercialization of AV technology. In October 2023, a hit-and-run accident involving a pedestrian and a third-party vehicle occurred, which resulted in the pedestrian being thrown into the path of a Cruise AV. During the resulting investigation, regulators perceived that Cruise representatives were not explicit about a secondary movement of the Cruise AV and, as a result, the California Department of Motor Vehicles (DMV) suspended Cruise's permits to operate AVs in California without a safety driver. Shortly thereafter, Cruise voluntarily paused all of its driverless, supervised and manual AV operations in the U.S. while it examines its processes, systems and tools. This orderly pause is designed to rebuild public trust while Cruise undertakes a comprehensive safety review. In addition, certain federal and state agencies, including the California DMV, the California Public Utilities Commission, NHTSA, the U.S. Department of Justice and the SEC, have opened investigations or made inquiries to us and Cruise in connection with the incident. We and Cruise are investigating these matters internally and are actively cooperating with all government regulators and agencies in connection with these matters. In April 2024, Cruise announced plans to resume manual driving to create maps and gather road information, starting in Phoenix, Arizona. At this time, we are not able to predict when Cruise will resume driverless operations or commercial AV operations. Refer to Part I, Item 1A. Risk Factors of our 2023 Form 10-K for a further discussion of the risks associated with our AV strategy.</w:t>
      </w:r>
    </w:p>
    <w:p>
      <w:pPr>
        <w:spacing w:after="0" w:line="214"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Vehicle Sales </w:t>
      </w:r>
      <w:r>
        <w:rPr>
          <w:rFonts w:ascii="Times New Roman" w:cs="Times New Roman" w:eastAsia="Times New Roman" w:hAnsi="Times New Roman"/>
          <w:sz w:val="18"/>
          <w:szCs w:val="18"/>
          <w:color w:val="auto"/>
        </w:rPr>
        <w:t>The principal factors that determine consumer vehicle preferences in the markets in which we operate include overall vehicle design,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quality, available options, safety, reliability, fuel economy or range and functionality. Market leadership in individual countries in which we compete varies widely.</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present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three months ended March 31, 2024, 26.0% of our wholesale vehicle sales volume was generated outside the U.S. The following table summarizes wholesale vehicle sales by automotive segment (vehicles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
        </w:trPr>
        <w:tc>
          <w:tcPr>
            <w:tcW w:w="4220" w:type="dxa"/>
            <w:vAlign w:val="bottom"/>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8"/>
        </w:trPr>
        <w:tc>
          <w:tcPr>
            <w:tcW w:w="422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940" w:type="dxa"/>
            <w:vAlign w:val="bottom"/>
            <w:tcBorders>
              <w:bottom w:val="single" w:sz="8" w:color="auto"/>
            </w:tcBorders>
          </w:tcPr>
          <w:p>
            <w:pPr>
              <w:spacing w:after="0"/>
              <w:rPr>
                <w:sz w:val="16"/>
                <w:szCs w:val="16"/>
                <w:color w:val="auto"/>
              </w:rPr>
            </w:pPr>
          </w:p>
        </w:tc>
      </w:tr>
      <w:tr>
        <w:trPr>
          <w:trHeight w:val="228"/>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160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83.7 %</w:t>
            </w:r>
          </w:p>
        </w:tc>
      </w:tr>
      <w:tr>
        <w:trPr>
          <w:trHeight w:val="228"/>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16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47"/>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industry and GM total vehicle sales and our related competitive position by geographic region (vehicles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4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0" w:type="dxa"/>
            <w:vAlign w:val="bottom"/>
          </w:tcPr>
          <w:p>
            <w:pPr>
              <w:spacing w:after="0"/>
              <w:rPr>
                <w:sz w:val="16"/>
                <w:szCs w:val="16"/>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1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GM</w:t>
            </w:r>
          </w:p>
        </w:tc>
        <w:tc>
          <w:tcPr>
            <w:tcW w:w="100" w:type="dxa"/>
            <w:vAlign w:val="bottom"/>
          </w:tcPr>
          <w:p>
            <w:pPr>
              <w:spacing w:after="0"/>
              <w:rPr>
                <w:sz w:val="16"/>
                <w:szCs w:val="16"/>
                <w:color w:val="auto"/>
              </w:rPr>
            </w:pPr>
          </w:p>
        </w:tc>
        <w:tc>
          <w:tcPr>
            <w:tcW w:w="130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Market Share</w:t>
            </w:r>
          </w:p>
        </w:tc>
        <w:tc>
          <w:tcPr>
            <w:tcW w:w="100" w:type="dxa"/>
            <w:vAlign w:val="bottom"/>
          </w:tcPr>
          <w:p>
            <w:pPr>
              <w:spacing w:after="0"/>
              <w:rPr>
                <w:sz w:val="16"/>
                <w:szCs w:val="16"/>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1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GM</w:t>
            </w:r>
          </w:p>
        </w:tc>
        <w:tc>
          <w:tcPr>
            <w:tcW w:w="120" w:type="dxa"/>
            <w:vAlign w:val="bottom"/>
          </w:tcPr>
          <w:p>
            <w:pPr>
              <w:spacing w:after="0"/>
              <w:rPr>
                <w:sz w:val="16"/>
                <w:szCs w:val="16"/>
                <w:color w:val="auto"/>
              </w:rPr>
            </w:pPr>
          </w:p>
        </w:tc>
        <w:tc>
          <w:tcPr>
            <w:tcW w:w="130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Market Share</w:t>
            </w:r>
          </w:p>
        </w:tc>
        <w:tc>
          <w:tcPr>
            <w:tcW w:w="0" w:type="dxa"/>
            <w:vAlign w:val="bottom"/>
          </w:tcPr>
          <w:p>
            <w:pPr>
              <w:spacing w:after="0"/>
              <w:rPr>
                <w:sz w:val="1"/>
                <w:szCs w:val="1"/>
                <w:color w:val="auto"/>
              </w:rPr>
            </w:pPr>
          </w:p>
        </w:tc>
      </w:tr>
      <w:tr>
        <w:trPr>
          <w:trHeight w:val="199"/>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North America</w:t>
            </w: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0" w:type="dxa"/>
            <w:vAlign w:val="bottom"/>
          </w:tcPr>
          <w:p>
            <w:pPr>
              <w:spacing w:after="0"/>
              <w:rPr>
                <w:sz w:val="1"/>
                <w:szCs w:val="1"/>
                <w:color w:val="auto"/>
              </w:rPr>
            </w:pPr>
          </w:p>
        </w:tc>
      </w:tr>
      <w:tr>
        <w:trPr>
          <w:trHeight w:val="212"/>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0" w:type="dxa"/>
            <w:vAlign w:val="bottom"/>
          </w:tcPr>
          <w:p>
            <w:pPr>
              <w:spacing w:after="0"/>
              <w:rPr>
                <w:sz w:val="1"/>
                <w:szCs w:val="1"/>
                <w:color w:val="auto"/>
              </w:rPr>
            </w:pPr>
          </w:p>
        </w:tc>
      </w:tr>
      <w:tr>
        <w:trPr>
          <w:trHeight w:val="21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North America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4,752</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0" w:type="dxa"/>
            <w:vAlign w:val="bottom"/>
          </w:tcPr>
          <w:p>
            <w:pPr>
              <w:spacing w:after="0"/>
              <w:rPr>
                <w:sz w:val="1"/>
                <w:szCs w:val="1"/>
                <w:color w:val="auto"/>
              </w:rPr>
            </w:pPr>
          </w:p>
        </w:tc>
      </w:tr>
      <w:tr>
        <w:trPr>
          <w:trHeight w:val="19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Asia/Pacific, Middle East and Africa</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China(a)</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12"/>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Asia/Pacific, Middle East and Africa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11,117</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10,646</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19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South America</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0" w:type="dxa"/>
            <w:vAlign w:val="bottom"/>
          </w:tcPr>
          <w:p>
            <w:pPr>
              <w:spacing w:after="0"/>
              <w:rPr>
                <w:sz w:val="1"/>
                <w:szCs w:val="1"/>
                <w:color w:val="auto"/>
              </w:rPr>
            </w:pPr>
          </w:p>
        </w:tc>
      </w:tr>
      <w:tr>
        <w:trPr>
          <w:trHeight w:val="212"/>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1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South America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0" w:type="dxa"/>
            <w:vAlign w:val="bottom"/>
          </w:tcPr>
          <w:p>
            <w:pPr>
              <w:spacing w:after="0"/>
              <w:rPr>
                <w:sz w:val="1"/>
                <w:szCs w:val="1"/>
                <w:color w:val="auto"/>
              </w:rPr>
            </w:pPr>
          </w:p>
        </w:tc>
      </w:tr>
      <w:tr>
        <w:trPr>
          <w:trHeight w:val="206"/>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 GM markets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16,692</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15,974</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0" w:type="dxa"/>
            <w:vAlign w:val="bottom"/>
          </w:tcPr>
          <w:p>
            <w:pPr>
              <w:spacing w:after="0"/>
              <w:rPr>
                <w:sz w:val="1"/>
                <w:szCs w:val="1"/>
                <w:color w:val="auto"/>
              </w:rPr>
            </w:pPr>
          </w:p>
        </w:tc>
      </w:tr>
      <w:tr>
        <w:trPr>
          <w:trHeight w:val="21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Europe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4,294</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8"/>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Worldwide(b)</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20,986</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20,063</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United States</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0" w:type="dxa"/>
            <w:vAlign w:val="bottom"/>
          </w:tcPr>
          <w:p>
            <w:pPr>
              <w:spacing w:after="0"/>
              <w:rPr>
                <w:sz w:val="1"/>
                <w:szCs w:val="1"/>
                <w:color w:val="auto"/>
              </w:rPr>
            </w:pPr>
          </w:p>
        </w:tc>
      </w:tr>
      <w:tr>
        <w:trPr>
          <w:trHeight w:val="21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Trucks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29.8 %</w:t>
            </w:r>
          </w:p>
        </w:tc>
        <w:tc>
          <w:tcPr>
            <w:tcW w:w="0" w:type="dxa"/>
            <w:vAlign w:val="bottom"/>
          </w:tcPr>
          <w:p>
            <w:pPr>
              <w:spacing w:after="0"/>
              <w:rPr>
                <w:sz w:val="1"/>
                <w:szCs w:val="1"/>
                <w:color w:val="auto"/>
              </w:rPr>
            </w:pPr>
          </w:p>
        </w:tc>
      </w:tr>
      <w:tr>
        <w:trPr>
          <w:trHeight w:val="212"/>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Crossovers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0" w:type="dxa"/>
            <w:vAlign w:val="bottom"/>
          </w:tcPr>
          <w:p>
            <w:pPr>
              <w:spacing w:after="0"/>
              <w:rPr>
                <w:sz w:val="1"/>
                <w:szCs w:val="1"/>
                <w:color w:val="auto"/>
              </w:rPr>
            </w:pPr>
          </w:p>
        </w:tc>
      </w:tr>
      <w:tr>
        <w:trPr>
          <w:trHeight w:val="236"/>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United States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3,860</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China(a)</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SGMS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SGMW</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China</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5,617</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20" w:hanging="313"/>
        <w:spacing w:after="0"/>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sales by the Automotive China JVs: SAIC General Motors Sales Co., Ltd. (SGMS) and SAIC GM Wuling Automobile Co., Ltd. (SGMW).</w:t>
      </w:r>
    </w:p>
    <w:p>
      <w:pPr>
        <w:spacing w:after="0" w:line="14" w:lineRule="exact"/>
        <w:rPr>
          <w:rFonts w:ascii="Times New Roman" w:cs="Times New Roman" w:eastAsia="Times New Roman" w:hAnsi="Times New Roman"/>
          <w:sz w:val="16"/>
          <w:szCs w:val="16"/>
          <w:color w:val="auto"/>
        </w:rPr>
      </w:pPr>
    </w:p>
    <w:p>
      <w:pPr>
        <w:ind w:left="340" w:hanging="333"/>
        <w:spacing w:after="0" w:line="255"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Cuba, Iran, North Korea, Sudan and Syria are subject to broad economic sanctions. Accordingly, these countries are excluded from industry sales data and corresponding calculation of market share.</w:t>
      </w:r>
    </w:p>
    <w:p>
      <w:pPr>
        <w:spacing w:after="0" w:line="2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500" w:type="dxa"/>
            <w:vAlign w:val="bottom"/>
            <w:gridSpan w:val="3"/>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
        </w:trPr>
        <w:tc>
          <w:tcPr>
            <w:tcW w:w="44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8"/>
        </w:trPr>
        <w:tc>
          <w:tcPr>
            <w:tcW w:w="44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8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7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28"/>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326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177</w:t>
            </w:r>
          </w:p>
        </w:tc>
      </w:tr>
      <w:tr>
        <w:trPr>
          <w:trHeight w:val="22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49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7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90</w:t>
            </w:r>
          </w:p>
        </w:tc>
      </w:tr>
      <w:tr>
        <w:trPr>
          <w:trHeight w:val="247"/>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fleet sales</w:t>
            </w:r>
          </w:p>
        </w:tc>
        <w:tc>
          <w:tcPr>
            <w:tcW w:w="326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267</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Fleet sales as a percentage of total vehicle sales</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645"/>
        </w:trPr>
        <w:tc>
          <w:tcPr>
            <w:tcW w:w="4480" w:type="dxa"/>
            <w:vAlign w:val="bottom"/>
          </w:tcPr>
          <w:p>
            <w:pPr>
              <w:spacing w:after="0"/>
              <w:rPr>
                <w:sz w:val="24"/>
                <w:szCs w:val="24"/>
                <w:color w:val="auto"/>
              </w:rPr>
            </w:pPr>
          </w:p>
        </w:tc>
        <w:tc>
          <w:tcPr>
            <w:tcW w:w="326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28</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56"/>
        </w:trPr>
        <w:tc>
          <w:tcPr>
            <w:tcW w:w="44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We believe that offering a comprehensive suite of financing products will generate incremental sales of our vehicles, drive incremental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GM Financial earnings and help support our sales throughout various economic cycles. GM Financial's penetration of our retail sales in the U.S. was 40% in the three months ended March 31, 2024 and 46% in the corresponding period in 2023. Penetration levels vary depending on incentive financing programs available and competing third-party financing products in the market. GM Financial's prime loan originations as a percentage of total loan originations in North America decreased to 79% in the three months ended March 31, 2024 from 83% in the corresponding period in 2023. In the three months ended March 31, 2024, GM Financial's revenue consisted of leased vehicle income of 47%, retail finance charge income of 39% and commercial finance charge income of 7%.</w:t>
      </w:r>
    </w:p>
    <w:p>
      <w:pPr>
        <w:spacing w:after="0" w:line="21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GM Financial's leasing program is exposed to residual values, which are heavily dependent on used vehicle prices. Gains on terminations of leased vehicles of $0.2 billion were included in GM Financial interest, operating and other expenses for the three months ended March 31, 2024 and 2023. The following table summarizes the estimated residual value based on GM Financial's most recent estimates and the number of units included in GM Financial Equipment on operating leases, net by vehicle type (units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40" w:type="dxa"/>
            <w:vAlign w:val="bottom"/>
          </w:tcPr>
          <w:p>
            <w:pPr>
              <w:spacing w:after="0"/>
              <w:rPr>
                <w:sz w:val="16"/>
                <w:szCs w:val="16"/>
                <w:color w:val="auto"/>
              </w:rPr>
            </w:pPr>
          </w:p>
        </w:tc>
      </w:tr>
      <w:tr>
        <w:trPr>
          <w:trHeight w:val="25"/>
        </w:trPr>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188"/>
        </w:trPr>
        <w:tc>
          <w:tcPr>
            <w:tcW w:w="2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46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46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4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28"/>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Crossovers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12,659</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Trucks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r>
      <w:tr>
        <w:trPr>
          <w:trHeight w:val="22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SUVs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8"/>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Cars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47"/>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Consolidated Results </w:t>
      </w:r>
      <w:r>
        <w:rPr>
          <w:rFonts w:ascii="Times New Roman" w:cs="Times New Roman" w:eastAsia="Times New Roman" w:hAnsi="Times New Roman"/>
          <w:sz w:val="18"/>
          <w:szCs w:val="18"/>
          <w:color w:val="auto"/>
        </w:rPr>
        <w:t>We review changes in our results of operations under five categories: Volume, Mix, Price, Cost and Other. Volume measures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Total Net Sales and Revenue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196"/>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20" w:type="dxa"/>
            <w:vAlign w:val="bottom"/>
          </w:tcPr>
          <w:p>
            <w:pPr>
              <w:spacing w:after="0"/>
              <w:rPr>
                <w:sz w:val="17"/>
                <w:szCs w:val="17"/>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17"/>
                <w:szCs w:val="17"/>
                <w:color w:val="auto"/>
              </w:rPr>
            </w:pPr>
          </w:p>
        </w:tc>
        <w:tc>
          <w:tcPr>
            <w:tcW w:w="6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Mix</w:t>
            </w:r>
          </w:p>
        </w:tc>
        <w:tc>
          <w:tcPr>
            <w:tcW w:w="240" w:type="dxa"/>
            <w:vAlign w:val="bottom"/>
          </w:tcPr>
          <w:p>
            <w:pPr>
              <w:spacing w:after="0"/>
              <w:rPr>
                <w:sz w:val="17"/>
                <w:szCs w:val="17"/>
                <w:color w:val="auto"/>
              </w:rPr>
            </w:pPr>
          </w:p>
        </w:tc>
        <w:tc>
          <w:tcPr>
            <w:tcW w:w="6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7"/>
                <w:szCs w:val="17"/>
                <w:color w:val="auto"/>
              </w:rPr>
            </w:pP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4"/>
        </w:trPr>
        <w:tc>
          <w:tcPr>
            <w:tcW w:w="2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r>
      <w:tr>
        <w:trPr>
          <w:trHeight w:val="22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ind w:left="141"/>
              <w:spacing w:after="0"/>
              <w:rPr>
                <w:sz w:val="20"/>
                <w:szCs w:val="20"/>
                <w:color w:val="auto"/>
              </w:rPr>
            </w:pPr>
            <w:r>
              <w:rPr>
                <w:rFonts w:ascii="Times New Roman" w:cs="Times New Roman" w:eastAsia="Times New Roman" w:hAnsi="Times New Roman"/>
                <w:sz w:val="16"/>
                <w:szCs w:val="16"/>
                <w:color w:val="auto"/>
                <w:w w:val="99"/>
              </w:rPr>
              <w:t>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121"/>
              <w:spacing w:after="0"/>
              <w:rPr>
                <w:sz w:val="20"/>
                <w:szCs w:val="20"/>
                <w:color w:val="auto"/>
              </w:rPr>
            </w:pPr>
            <w:r>
              <w:rPr>
                <w:rFonts w:ascii="Times New Roman" w:cs="Times New Roman" w:eastAsia="Times New Roman" w:hAnsi="Times New Roman"/>
                <w:sz w:val="16"/>
                <w:szCs w:val="16"/>
                <w:color w:val="auto"/>
                <w:w w:val="97"/>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9"/>
              </w:rPr>
              <w:t>2.0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 Financial</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Eliminations/reclassifications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43,014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39,985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9"/>
              </w:rPr>
              <w:t>2.0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bl>
    <w:p>
      <w:pPr>
        <w:spacing w:after="0" w:line="2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the regional sections of this MD&amp;A for additional information on Volume, Mix, Price and Other.</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Cost of Sales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40" w:type="dxa"/>
            <w:vAlign w:val="bottom"/>
          </w:tcPr>
          <w:p>
            <w:pPr>
              <w:spacing w:after="0"/>
              <w:rPr>
                <w:sz w:val="16"/>
                <w:szCs w:val="16"/>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16"/>
                <w:szCs w:val="16"/>
                <w:color w:val="auto"/>
              </w:rPr>
            </w:pPr>
          </w:p>
        </w:tc>
        <w:tc>
          <w:tcPr>
            <w:tcW w:w="6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16"/>
                <w:szCs w:val="16"/>
                <w:color w:val="auto"/>
              </w:rPr>
            </w:pPr>
          </w:p>
        </w:tc>
        <w:tc>
          <w:tcPr>
            <w:tcW w:w="6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28,421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9"/>
              </w:rPr>
              <w:t>0.6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4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automotive and other cost of</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33,996</w:t>
            </w:r>
          </w:p>
        </w:tc>
        <w:tc>
          <w:tcPr>
            <w:tcW w:w="12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32,247</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center"/>
              <w:ind w:left="102"/>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w:t>
            </w:r>
          </w:p>
        </w:tc>
        <w:tc>
          <w:tcPr>
            <w:tcW w:w="18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47"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the three months ended March 31, 2024, decreased Cost was primarily due to: (1) the absence of charges of $0.7 billion related to the VSP; (2) decreased engineering costs of $0.2 billion; and (3) decreased material and freight costs of $0.2 billion; partially offset by (4) increased manufacturing labor costs of $0.2 billion; (5) increased campaigns and other warranty-related costs of $0.1 billion; and (6) increased costs of $0.3 billion due to other individually insignificant items.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the regional sections of this MD&amp;A for additional information on Volume and Mix.</w:t>
      </w: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Selling, General and Administrative Expense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4"/>
          </w:tcPr>
          <w:p>
            <w:pPr>
              <w:jc w:val="right"/>
              <w:ind w:right="94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94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42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and other selling, general and administrative expense</w:t>
            </w: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2,547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three months ended March 31, 2024, Automotive and other selling, general and administrative expense decreased primarily due to decreased advertising costs of $0.2 billion and the absence of charges of $0.2 billion related to the VSP.</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Non-operating Income,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60" w:type="dxa"/>
            <w:vAlign w:val="bottom"/>
          </w:tcPr>
          <w:p>
            <w:pPr>
              <w:spacing w:after="0"/>
              <w:rPr>
                <w:sz w:val="16"/>
                <w:szCs w:val="16"/>
                <w:color w:val="auto"/>
              </w:rPr>
            </w:pPr>
          </w:p>
        </w:tc>
        <w:tc>
          <w:tcPr>
            <w:tcW w:w="3040" w:type="dxa"/>
            <w:vAlign w:val="bottom"/>
            <w:gridSpan w:val="4"/>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55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non-operating income, net</w:t>
            </w:r>
          </w:p>
        </w:tc>
        <w:tc>
          <w:tcPr>
            <w:tcW w:w="1300" w:type="dxa"/>
            <w:vAlign w:val="bottom"/>
            <w:tcBorders>
              <w:top w:val="single" w:sz="8" w:color="auto"/>
            </w:tcBorders>
            <w:shd w:val="clear" w:color="auto" w:fill="CCEEFF"/>
          </w:tcPr>
          <w:p>
            <w:pPr>
              <w:jc w:val="right"/>
              <w:ind w:right="112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302</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44"/>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409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538"/>
        </w:trPr>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560" w:type="dxa"/>
            <w:vAlign w:val="bottom"/>
          </w:tcPr>
          <w:p>
            <w:pPr>
              <w:spacing w:after="0"/>
              <w:rPr>
                <w:sz w:val="24"/>
                <w:szCs w:val="24"/>
                <w:color w:val="auto"/>
              </w:rPr>
            </w:pPr>
          </w:p>
        </w:tc>
        <w:tc>
          <w:tcPr>
            <w:tcW w:w="3040" w:type="dxa"/>
            <w:vAlign w:val="bottom"/>
            <w:gridSpan w:val="4"/>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5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300" w:type="dxa"/>
            <w:vAlign w:val="bottom"/>
            <w:tcBorders>
              <w:top w:val="single" w:sz="8" w:color="auto"/>
            </w:tcBorders>
            <w:shd w:val="clear" w:color="auto" w:fill="CCEEFF"/>
          </w:tcPr>
          <w:p>
            <w:pPr>
              <w:jc w:val="right"/>
              <w:ind w:right="112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762</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44"/>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428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(78.0)%</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 three months ended March 31, 2024, Income tax expense increased primarily due to a higher effective tax rate and higher pre-tax income.</w:t>
      </w:r>
    </w:p>
    <w:p>
      <w:pPr>
        <w:spacing w:after="0" w:line="250"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For the three months ended March 31, 2024, our effective tax rate-adjusted (ETR-adjusted) was 20.6%. We expect our adjusted effective tax rate to be between 18% and 20% for the year ending December 31, 2024.</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Note 14 to our condensed consolidated financial statements for additional information related to Income tax expense.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North America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195"/>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22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Mix</w:t>
            </w:r>
          </w:p>
        </w:tc>
        <w:tc>
          <w:tcPr>
            <w:tcW w:w="180" w:type="dxa"/>
            <w:vAlign w:val="bottom"/>
          </w:tcPr>
          <w:p>
            <w:pPr>
              <w:spacing w:after="0"/>
              <w:rPr>
                <w:sz w:val="16"/>
                <w:szCs w:val="16"/>
                <w:color w:val="auto"/>
              </w:rPr>
            </w:pPr>
          </w:p>
        </w:tc>
        <w:tc>
          <w:tcPr>
            <w:tcW w:w="5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4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00" w:type="dxa"/>
            <w:vAlign w:val="bottom"/>
          </w:tcPr>
          <w:p>
            <w:pPr>
              <w:spacing w:after="0"/>
              <w:rPr>
                <w:sz w:val="16"/>
                <w:szCs w:val="16"/>
                <w:color w:val="auto"/>
              </w:rPr>
            </w:pP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4"/>
              </w:rPr>
              <w:t>Other</w:t>
            </w:r>
          </w:p>
        </w:tc>
      </w:tr>
      <w:tr>
        <w:trPr>
          <w:trHeight w:val="195"/>
        </w:trPr>
        <w:tc>
          <w:tcPr>
            <w:tcW w:w="2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4"/>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4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r>
      <w:tr>
        <w:trPr>
          <w:trHeight w:val="235"/>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36,099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32,889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3,840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3,576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195"/>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5"/>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792</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723</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r>
    </w:tbl>
    <w:p>
      <w:pPr>
        <w:spacing w:after="0" w:line="327"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Total Net Sales and Revenue </w:t>
      </w:r>
      <w:r>
        <w:rPr>
          <w:rFonts w:ascii="Times New Roman" w:cs="Times New Roman" w:eastAsia="Times New Roman" w:hAnsi="Times New Roman"/>
          <w:sz w:val="18"/>
          <w:szCs w:val="18"/>
          <w:color w:val="auto"/>
        </w:rPr>
        <w:t>In the three months ended March 31, 2024, Total net sales and revenue increased primarily due to: (1) increased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wholesale volumes primarily due to increased sales of mid-size pickup trucks and full-size pickup trucks, partially offset by decreased sales of crossover vehicles; (2) favorable Other due to increased sales of parts and accessories; and (3) favorable Mix due to increased sales of full-size pickup trucks and full-size SUVs, partially offset by decreased sales of crossover vehicles and increased sales of mid-size pickup trucks and passenger cars; partially offset by (4) unfavorable pricing for carryover vehicles.</w:t>
      </w:r>
    </w:p>
    <w:p>
      <w:pPr>
        <w:spacing w:after="0" w:line="2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EBIT-Adjusted </w:t>
      </w:r>
      <w:r>
        <w:rPr>
          <w:rFonts w:ascii="Times New Roman" w:cs="Times New Roman" w:eastAsia="Times New Roman" w:hAnsi="Times New Roman"/>
          <w:sz w:val="18"/>
          <w:szCs w:val="18"/>
          <w:color w:val="auto"/>
        </w:rPr>
        <w:t>In the three months ended March 31, 2024, EBIT-adjusted increased primarily due to: (1) increased net wholesale volumes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increased sales of full-size pickup trucks and mid-size pickup trucks, partially offset by decreased sales of crossover vehicles; and (2) favorable Cost primarily due to decreased material and freight costs of $0.3 billion and decreased advertising, selling and administrative costs of $0.2 billion, partially offset by increased manufacturing labor costs of $0.2 billion and increased campaigns and other warranty-related costs of $0.1 billion; partially offset by (3) unfavorable Mix due to decreased sales of crossover vehicles and increased sales of mid-size pickup trucks, partially offset by increased sales of full-size pickup trucks; and (4) unfavorable pricing for carryover vehicles.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International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3"/>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3"/>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w w:val="98"/>
              </w:rPr>
              <w:t>Variance Due To</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9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180" w:type="dxa"/>
            <w:vAlign w:val="bottom"/>
          </w:tcPr>
          <w:p>
            <w:pPr>
              <w:spacing w:after="0"/>
              <w:rPr>
                <w:sz w:val="16"/>
                <w:szCs w:val="16"/>
                <w:color w:val="auto"/>
              </w:rPr>
            </w:pPr>
          </w:p>
        </w:tc>
        <w:tc>
          <w:tcPr>
            <w:tcW w:w="4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5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4"/>
        </w:trPr>
        <w:tc>
          <w:tcPr>
            <w:tcW w:w="2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4"/>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3,082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3,727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Borders>
              <w:right w:val="single" w:sz="8" w:color="auto"/>
            </w:tcBorders>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 (loss)-adjusted margin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2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Equity income (loss)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20" w:type="dxa"/>
            <w:vAlign w:val="bottom"/>
            <w:vMerge w:val="restart"/>
          </w:tcPr>
          <w:p>
            <w:pPr>
              <w:jc w:val="right"/>
              <w:ind w:right="115"/>
              <w:spacing w:after="0"/>
              <w:rPr>
                <w:sz w:val="20"/>
                <w:szCs w:val="20"/>
                <w:color w:val="auto"/>
              </w:rPr>
            </w:pPr>
            <w:r>
              <w:rPr>
                <w:rFonts w:ascii="Times New Roman" w:cs="Times New Roman" w:eastAsia="Times New Roman" w:hAnsi="Times New Roman"/>
                <w:sz w:val="18"/>
                <w:szCs w:val="18"/>
                <w:i w:val="1"/>
                <w:iCs w:val="1"/>
                <w:color w:val="auto"/>
              </w:rPr>
              <w:t>(106)</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2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83</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(189)</w:t>
            </w:r>
          </w:p>
        </w:tc>
        <w:tc>
          <w:tcPr>
            <w:tcW w:w="100" w:type="dxa"/>
            <w:vAlign w:val="bottom"/>
          </w:tcPr>
          <w:p>
            <w:pPr>
              <w:spacing w:after="0"/>
              <w:rPr>
                <w:sz w:val="15"/>
                <w:szCs w:val="15"/>
                <w:color w:val="auto"/>
              </w:rPr>
            </w:pPr>
          </w:p>
        </w:tc>
        <w:tc>
          <w:tcPr>
            <w:tcW w:w="10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n.m.</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Automotive China</w:t>
            </w:r>
          </w:p>
        </w:tc>
        <w:tc>
          <w:tcPr>
            <w:tcW w:w="16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2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EBIT-adjusted — excluding</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20" w:type="dxa"/>
            <w:vAlign w:val="bottom"/>
            <w:vMerge w:val="restart"/>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i w:val="1"/>
                <w:iCs w:val="1"/>
                <w:color w:val="auto"/>
              </w:rPr>
              <w:t>96</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2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264</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(168)</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(63.6)%</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Equity income (loss)</w:t>
            </w:r>
          </w:p>
        </w:tc>
        <w:tc>
          <w:tcPr>
            <w:tcW w:w="16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56"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vehicle sales of our Automotive China JVs are not recorded in Total net sales and revenue. The results of our joint ventures are recorded in Equity income (loss), which is included in EBIT (loss)-adjusted above.</w:t>
      </w:r>
    </w:p>
    <w:p>
      <w:pPr>
        <w:spacing w:after="0" w:line="185"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Total Net Sales and Revenue </w:t>
      </w:r>
      <w:r>
        <w:rPr>
          <w:rFonts w:ascii="Times New Roman" w:cs="Times New Roman" w:eastAsia="Times New Roman" w:hAnsi="Times New Roman"/>
          <w:sz w:val="18"/>
          <w:szCs w:val="18"/>
          <w:color w:val="auto"/>
        </w:rPr>
        <w:t>In the three months ended March 31, 2024, Total net sales and revenue decreased primarily due to: (1) decreased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wholesale volumes in Brazil primarily due to decreased Fleet sales, Argentina and Colombia due to industry downturn; partially offset by (2) favorable Mix in Brazil.</w:t>
      </w:r>
    </w:p>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GMI EBIT-Adjusted </w:t>
      </w:r>
      <w:r>
        <w:rPr>
          <w:rFonts w:ascii="Times New Roman" w:cs="Times New Roman" w:eastAsia="Times New Roman" w:hAnsi="Times New Roman"/>
          <w:sz w:val="18"/>
          <w:szCs w:val="18"/>
          <w:color w:val="auto"/>
        </w:rPr>
        <w:t>In the three months ended March 31, 2024, EBIT (loss)-adjusted decreased primarily due to: (1) decreased net wholesale volumes;</w:t>
      </w:r>
    </w:p>
    <w:p>
      <w:pPr>
        <w:spacing w:after="0" w:line="31" w:lineRule="exact"/>
        <w:rPr>
          <w:sz w:val="20"/>
          <w:szCs w:val="20"/>
          <w:color w:val="auto"/>
        </w:rPr>
      </w:pPr>
    </w:p>
    <w:p>
      <w:pPr>
        <w:ind w:left="5540" w:right="2740" w:hanging="5533"/>
        <w:spacing w:after="0" w:line="944" w:lineRule="auto"/>
        <w:tabs>
          <w:tab w:leader="none" w:pos="2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variable Cost; and (3) unfavorable Other primarily due to decreased Automotive China equity income.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-175895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view the Chinese market as important to our global growth strategy and are employing a multi-brand approach. In the coming years, we plan to leverage our global architectures to introduce a number of new products under the Buick, Chevrolet and Cadillac brands in China and continue to grow our business under the local Wuling and Baojun brands while we are accelerating the development and rollout of EVs across our brands in China as part of our commitment to an all-electric future. We operate in the Chinese market through a number of joint ventures and maintaining strong relationships with our joint venture partners is an important part of our China market strategy.</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certain key operational and financial data for the Automotive China JVs (vehicles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60" w:type="dxa"/>
            <w:vAlign w:val="bottom"/>
            <w:gridSpan w:val="3"/>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28"/>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 including vehicles exported to markets outside of China</w:t>
            </w:r>
          </w:p>
        </w:tc>
        <w:tc>
          <w:tcPr>
            <w:tcW w:w="1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4,111</w:t>
            </w:r>
          </w:p>
        </w:tc>
        <w:tc>
          <w:tcPr>
            <w:tcW w:w="80" w:type="dxa"/>
            <w:vAlign w:val="bottom"/>
          </w:tcPr>
          <w:p>
            <w:pPr>
              <w:spacing w:after="0"/>
              <w:rPr>
                <w:sz w:val="19"/>
                <w:szCs w:val="19"/>
                <w:color w:val="auto"/>
              </w:rPr>
            </w:pPr>
          </w:p>
        </w:tc>
        <w:tc>
          <w:tcPr>
            <w:tcW w:w="5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0" w:type="dxa"/>
            <w:vAlign w:val="bottom"/>
          </w:tcPr>
          <w:p>
            <w:pPr>
              <w:spacing w:after="0"/>
              <w:rPr>
                <w:sz w:val="1"/>
                <w:szCs w:val="1"/>
                <w:color w:val="auto"/>
              </w:rPr>
            </w:pPr>
          </w:p>
        </w:tc>
      </w:tr>
      <w:tr>
        <w:trPr>
          <w:trHeight w:val="228"/>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538"/>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Cruise</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5"/>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12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10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2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12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6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right="20" w:hanging="333"/>
        <w:spacing w:after="0" w:line="255" w:lineRule="auto"/>
        <w:tabs>
          <w:tab w:leader="none" w:pos="33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reclassified to Interest income and other non-operating income, net in our condensed consolidated income statements in the three months ended March 31, 2024 and 2023.</w:t>
      </w:r>
    </w:p>
    <w:p>
      <w:pPr>
        <w:spacing w:after="0" w:line="214"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EBIT (Loss)-Adjusted </w:t>
      </w:r>
      <w:r>
        <w:rPr>
          <w:rFonts w:ascii="Times New Roman" w:cs="Times New Roman" w:eastAsia="Times New Roman" w:hAnsi="Times New Roman"/>
          <w:sz w:val="18"/>
          <w:szCs w:val="18"/>
          <w:color w:val="auto"/>
        </w:rPr>
        <w:t>In the three months ended March 31, 2024, EBIT (loss)-adjusted decreased primarily due to the restructuring actions taken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three months ended December 31, 2023 that resulted in a decrease in development costs associated with Cruise's refocused operating strategy.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Financial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2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2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3,343</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131</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0" w:type="dxa"/>
            <w:vAlign w:val="bottom"/>
          </w:tcPr>
          <w:p>
            <w:pPr>
              <w:spacing w:after="0"/>
              <w:rPr>
                <w:sz w:val="1"/>
                <w:szCs w:val="1"/>
                <w:color w:val="auto"/>
              </w:rPr>
            </w:pPr>
          </w:p>
        </w:tc>
      </w:tr>
      <w:tr>
        <w:trPr>
          <w:trHeight w:val="22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EBT-adjusted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771</w:t>
            </w: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debt outstanding (dollars in billions)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96.9</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2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rate of interest paid</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Revenue </w:t>
      </w:r>
      <w:r>
        <w:rPr>
          <w:rFonts w:ascii="Times New Roman" w:cs="Times New Roman" w:eastAsia="Times New Roman" w:hAnsi="Times New Roman"/>
          <w:sz w:val="18"/>
          <w:szCs w:val="18"/>
          <w:color w:val="auto"/>
        </w:rPr>
        <w:t>In the three months ended March 31, 2024, total revenue increased primarily due to increased finance charge income of $0.4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primarily due to an increase in the effective yield resulting from higher benchmark interest rates and growth in the size of the portfolio.</w:t>
      </w:r>
    </w:p>
    <w:p>
      <w:pPr>
        <w:spacing w:after="0" w:line="182"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EBT-Adjusted </w:t>
      </w:r>
      <w:r>
        <w:rPr>
          <w:rFonts w:ascii="Times New Roman" w:cs="Times New Roman" w:eastAsia="Times New Roman" w:hAnsi="Times New Roman"/>
          <w:sz w:val="18"/>
          <w:szCs w:val="18"/>
          <w:color w:val="auto"/>
        </w:rPr>
        <w:t>In the three months ended March 31, 2024, EBT-adjusted decreased primarily due to: (1) increased interest expense of $0.4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primarily due to an increased effective rate of interest on debt, resulting from higher benchmark interest rates, as well as an increase in average debt outstanding; and (2) increased provision for loan losses of $0.1 billion primarily due to moderating credit performance and recovery rates, partially offset by lower loan originations; partially offset by (3) increased finance charge income of $0.4 billion primarily due to an increase in the effective yield resulting from higher benchmark interest rates and growth in the size of the portfolio.</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We believe our current levels of cash, cash equivalents, marketable debt securities, available borrowing capacity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credit facilities and other liquidity actions currently available to us are sufficient to meet our liquidity requirements. We also maintain access to the capital markets and may issue debt or equity securities, which may provide an additional source of liquidity. We have substantial cash requirements going forward, which we plan to fund through</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available liquidity, cash flows from operating activities and additional liquidity measures, if determined to be necessary.</w:t>
      </w:r>
    </w:p>
    <w:p>
      <w:pPr>
        <w:spacing w:after="0" w:line="236"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Our known current material uses of cash include, among other possible demands: (1) capital spending and our investments in our battery cell manufacturing joint ventures of approximately $10.5 billion to $11.5 billion in 2024; (2) payments for engineering and product development activities, including investing in the development and commercialization of AV technology by Cruise; (3) payments associated with previously announced vehicle recalls and any other recall-related contingencies; (4) payments to service debt and other long-term obligations, including discretionary and mandatory contributions to our pension plans; (5) dividend payments on our common stock that are declared by our Board of Directors; and (6) payments to purchase shares of our common stock authorized by our Board of Directors. Our material future uses of cash, which may vary from time to time based on market conditions and other factors, are focused on the three objectives of our capital allocation program: (1) grow our business at an average target return on invested capital-adjusted (ROIC-adjusted) rate of 20% or greater; (2) maintain a strong investment-grade balance sheet, including a target average automotive cash balance of $18.0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216" w:lineRule="exact"/>
        <w:rPr>
          <w:sz w:val="20"/>
          <w:szCs w:val="20"/>
          <w:color w:val="auto"/>
        </w:rPr>
      </w:pPr>
    </w:p>
    <w:p>
      <w:pPr>
        <w:jc w:val="both"/>
        <w:ind w:firstLine="161"/>
        <w:spacing w:after="0" w:line="273" w:lineRule="auto"/>
        <w:rPr>
          <w:sz w:val="20"/>
          <w:szCs w:val="20"/>
          <w:color w:val="auto"/>
        </w:rPr>
      </w:pPr>
      <w:r>
        <w:rPr>
          <w:rFonts w:ascii="Times New Roman" w:cs="Times New Roman" w:eastAsia="Times New Roman" w:hAnsi="Times New Roman"/>
          <w:sz w:val="17"/>
          <w:szCs w:val="17"/>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and investments with joint venture partners, as well as strategic alliances that we believe would generate significant advantages and substantially strengthen our business. To support our transition to EVs, we anticipate making investments in suppliers or providing funding towards the execution of strategic, multi-year supply agreements to secure critical materials. In addition, we have entered, and plan to continue to enter, into offtake agreements that generally obligate us to purchase defined quantities of output. These arrangements could have a short-term adverse impact on our cash and increase our inventory.</w:t>
      </w:r>
    </w:p>
    <w:p>
      <w:pPr>
        <w:spacing w:after="0" w:line="19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liquidity plans are subject to a number of risks and uncertainties, including those described in the "Forward-Looking Statements" section of this MD&amp;A and Part I, Item 1A. Risk Factors of our 2023 Form 10-K, some of which are outside of our control.</w:t>
      </w:r>
    </w:p>
    <w:p>
      <w:pPr>
        <w:spacing w:after="0" w:line="18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In November 2023, our Board of Directors increased the capacity under our previously announced share repurchase program by $10.0 billion to an aggregate of $11.4 billion and approved a $10.0 billion ASR program. In December 2023, pursuant to the agreements entered into in connection with the ASR, we advanced $10.0 billion and received approximately 215 million shares of common stock with a value of $6.8 billion, which were immediately retired. In March 2024, upon the first settlement of the transactions contemplated under the ASR Agreements, we received approximately 4 million additional shares, which were immediately retired. The final number of shares ultimately to be purchased will be based on the average of the daily volume-weighted average prices of our common stock during the term of the ASR Agreements, less a discount and subject to adjustments pursuant to the terms and conditions of the ASR Agreements. Upon final settlement, we may receive additional shares of common stock, or, under certain circumstances, we may be required to deliver shares of common stock or to make a cash payment, at our election. The final settlement of the transactions contemplated under the ASR Agreements is expected to occur no later than the three months ending December 31, 2024.</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the three months ended March 31, 2024, in addition to shares received under the ASR program, we purchased approximately 8 million shares of our outstanding common stock for $0.3 billion, including an insignificant amount related to purchases initiated in March 2024 that settle in April 2024, as part of the share repurchase program. We have $1.1 billion in capacity remaining under our share repurchase program as of March 31, 2024, with no expiration date.</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 three months ended March 31, 2024, we paid dividends of $0.1 billion to holders of our common stock.</w:t>
      </w:r>
    </w:p>
    <w:p>
      <w:pPr>
        <w:spacing w:after="0" w:line="25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and Cruise from GM Financial, dividends issued by GM Financial to Automotive, tax payments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Liquidity </w:t>
      </w:r>
      <w:r>
        <w:rPr>
          <w:rFonts w:ascii="Times New Roman" w:cs="Times New Roman" w:eastAsia="Times New Roman" w:hAnsi="Times New Roman"/>
          <w:sz w:val="18"/>
          <w:szCs w:val="18"/>
          <w:color w:val="auto"/>
        </w:rPr>
        <w:t>Total available liquidity includes cash, cash equivalents, marketable debt securities and funds available under credit facilities.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available liquidity is subject to seasonal fluctuations and includes balances held by various business units and subsidiaries worldwide that are needed to fund their operations. We have not significantly changed the management of our liquidity, including our allocation of available liquidity, our portfolio composition and our investment guidelines since December 31, 2023. Refer to Part II, Item 7. MD&amp;A of our 2023 Form 10-K.</w:t>
      </w:r>
    </w:p>
    <w:p>
      <w:pPr>
        <w:spacing w:after="0" w:line="205"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March 2024, we renewed our 364-day, $2.0 billion revolving credit facility allocated for the exclusive use of GM Financial, which now matures March 27, 2025. Interest rates on obligations under the renewed credit facility are based on Term SOFR.</w:t>
      </w:r>
    </w:p>
    <w:p>
      <w:pPr>
        <w:spacing w:after="0" w:line="17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March 2024, we terminated our unsecured 364-day delayed draw term loan credit agreement that permitted the Company to borrow up to $3.0 billion executed in November 2023, resulting in an insignificant loss.</w:t>
      </w:r>
    </w:p>
    <w:p>
      <w:pPr>
        <w:spacing w:after="0" w:line="20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use credit facilities as a mechanism to provide additional flexibility in managing our global liquidity. Our Automotive borrowing capacity under credit facilities totaled $14.1 billion at March 31, 2024, which consisted of two credit facilities and $17.1 billion at December 31, 2023, which consisted of three credit facilities. Total Automotive borrowing capacity under our credit facilities does not include our 364-day, $2.0 billion facility allocated for exclusive use of GM Financial. We did not have any borrowings against our primary facilities, but had letters of credit outstanding under our sub-facility of $0.6 billion and $0.7 billion at March 31, 2024 and December 31, 2023.</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If available capacity permits, GM Financial continues to have access to our automotive credit facilities. GM Financial did not have borrowings outstanding against any of these facilities at March 31, 2024 and December 31, 2023. We had intercompany loans from GM Financial of $0.2 billion at March 31, 2024 and December 31, 2023, which primarily consisted of commercial loans to dealers we consolidate. We did not have intercompany loans to GM Financial at March 31, 2024 and December 31, 2023. Refer to Note 4 to our condensed consolidated financial statements for additional information.</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Several of our loan facilities, including our revolving credit facilities, require compliance with certain financial and operational covenants as well as regular reporting to lenders. We have reviewed our covenants in effect as of March 31, 2024 and determined we are in compliance and expect to remain in compliance in the future.</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of $0.5 billion on its common stock in the three months ended March 31, 2024. Future dividends from GM Financial will depend on several factors including business and economic conditions, its financial condition, earnings, liquidity requirements and leverage ratio.</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our Automotive available liquidity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cash equivalents and marketable debt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facilities(a)</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Automotive available liquidity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had letters of credit outstanding under our sub-facility of $0.6 billion and $0.7 billion at March 31, 2024 and December 31, 2023.</w:t>
      </w:r>
    </w:p>
    <w:p>
      <w:pPr>
        <w:spacing w:after="0" w:line="200" w:lineRule="exact"/>
        <w:rPr>
          <w:rFonts w:ascii="Times New Roman" w:cs="Times New Roman" w:eastAsia="Times New Roman" w:hAnsi="Times New Roman"/>
          <w:sz w:val="16"/>
          <w:szCs w:val="16"/>
          <w:color w:val="auto"/>
        </w:rPr>
      </w:pPr>
    </w:p>
    <w:p>
      <w:pPr>
        <w:spacing w:after="0" w:line="38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changes in our Automotive available liquidity (dollars in billions):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24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and payments to purchase common stock</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Ultium Cells Holdings LLC</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available credit facilities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non-operating</w:t>
            </w:r>
          </w:p>
        </w:tc>
        <w:tc>
          <w:tcPr>
            <w:tcW w:w="2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change in automotive available liquidity</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Automotive Cash Flow (dollars in billions)</w:t>
            </w: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2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60" w:type="dxa"/>
            <w:vAlign w:val="bottom"/>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center"/>
              <w:ind w:left="954"/>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center"/>
              <w:ind w:left="954"/>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impairment charges</w:t>
            </w:r>
          </w:p>
        </w:tc>
        <w:tc>
          <w:tcPr>
            <w:tcW w:w="240" w:type="dxa"/>
            <w:vAlign w:val="bottom"/>
          </w:tcPr>
          <w:p>
            <w:pPr>
              <w:spacing w:after="0"/>
              <w:rPr>
                <w:sz w:val="19"/>
                <w:szCs w:val="19"/>
                <w:color w:val="auto"/>
              </w:rPr>
            </w:pPr>
          </w:p>
        </w:tc>
        <w:tc>
          <w:tcPr>
            <w:tcW w:w="1400" w:type="dxa"/>
            <w:vAlign w:val="bottom"/>
          </w:tcPr>
          <w:p>
            <w:pPr>
              <w:jc w:val="center"/>
              <w:ind w:left="954"/>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left="954"/>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OPEB activities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34"/>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914"/>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tcPr>
          <w:p>
            <w:pPr>
              <w:spacing w:after="0"/>
              <w:rPr>
                <w:sz w:val="19"/>
                <w:szCs w:val="19"/>
                <w:color w:val="auto"/>
              </w:rPr>
            </w:pPr>
          </w:p>
        </w:tc>
        <w:tc>
          <w:tcPr>
            <w:tcW w:w="1400" w:type="dxa"/>
            <w:vAlign w:val="bottom"/>
          </w:tcPr>
          <w:p>
            <w:pPr>
              <w:jc w:val="center"/>
              <w:ind w:left="934"/>
              <w:spacing w:after="0"/>
              <w:rPr>
                <w:sz w:val="20"/>
                <w:szCs w:val="20"/>
                <w:color w:val="auto"/>
              </w:rPr>
            </w:pPr>
            <w:r>
              <w:rPr>
                <w:rFonts w:ascii="Times New Roman" w:cs="Times New Roman" w:eastAsia="Times New Roman" w:hAnsi="Times New Roman"/>
                <w:sz w:val="18"/>
                <w:szCs w:val="18"/>
                <w:color w:val="auto"/>
                <w:w w:val="98"/>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left="914"/>
              <w:spacing w:after="0"/>
              <w:rPr>
                <w:sz w:val="20"/>
                <w:szCs w:val="20"/>
                <w:color w:val="auto"/>
              </w:rPr>
            </w:pPr>
            <w:r>
              <w:rPr>
                <w:rFonts w:ascii="Times New Roman" w:cs="Times New Roman" w:eastAsia="Times New Roman" w:hAnsi="Times New Roman"/>
                <w:sz w:val="18"/>
                <w:szCs w:val="18"/>
                <w:color w:val="auto"/>
                <w:w w:val="98"/>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 and income taxes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954"/>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954"/>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left="954"/>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operating activities(b)</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center"/>
              <w:ind w:left="954"/>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gridSpan w:val="2"/>
            <w:shd w:val="clear" w:color="auto" w:fill="CCEEFF"/>
          </w:tcPr>
          <w:p>
            <w:pPr>
              <w:jc w:val="center"/>
              <w:ind w:left="954"/>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line="252" w:lineRule="auto"/>
        <w:tabs>
          <w:tab w:leader="none" w:pos="33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$0.5 billion in dividends received from GM Financial in the three months ended March 31, 2024 and 2023; partially offset by non-cash changes in other assets and liabilities in the three months ended March 31, 2023</w:t>
      </w:r>
      <w:r>
        <w:rPr>
          <w:rFonts w:ascii="Times New Roman" w:cs="Times New Roman" w:eastAsia="Times New Roman" w:hAnsi="Times New Roman"/>
          <w:sz w:val="17"/>
          <w:szCs w:val="17"/>
          <w:color w:val="auto"/>
        </w:rPr>
        <w:t>.</w:t>
      </w:r>
    </w:p>
    <w:p>
      <w:pPr>
        <w:jc w:val="both"/>
        <w:ind w:left="340" w:hanging="333"/>
        <w:spacing w:after="0" w:line="261"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$1.3 billion and $0.2 billion in the three months ended March 31, 2024 and 2023, which are eliminated within the condensed consolidated statements of cash flows. Amounts eliminated primarily relate to purchases of, and collections on, wholesale finance receivables provided by GM Financial to our dealers and dividends issued by GM Financial to us.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center"/>
              <w:ind w:left="93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8"/>
              </w:rPr>
              <w:t>(0.3)</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liquidations of marketable securities,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center"/>
              <w:ind w:left="954"/>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w w:val="98"/>
              </w:rPr>
              <w:t>(1.7)</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934"/>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97"/>
              </w:rPr>
              <w:t>0.4</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investing activities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center"/>
              <w:ind w:left="93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center"/>
              <w:ind w:left="314"/>
              <w:spacing w:after="0"/>
              <w:rPr>
                <w:sz w:val="20"/>
                <w:szCs w:val="20"/>
                <w:color w:val="auto"/>
              </w:rPr>
            </w:pPr>
            <w:r>
              <w:rPr>
                <w:rFonts w:ascii="Times New Roman" w:cs="Times New Roman" w:eastAsia="Times New Roman" w:hAnsi="Times New Roman"/>
                <w:sz w:val="18"/>
                <w:szCs w:val="18"/>
                <w:color w:val="auto"/>
                <w:w w:val="98"/>
              </w:rPr>
              <w:t>(1.7)</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line="272" w:lineRule="auto"/>
        <w:tabs>
          <w:tab w:leader="none" w:pos="33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$0.2 billion of GM's investment in Ultium Cells Holdings LLC in the three months ended March 31, 2024 and 2023; and a $0.3 billion investment in Lithium Americas in the three months ended March 31, 2023.</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(payments) from short-term debt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8"/>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financing activities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right="20" w:hanging="333"/>
        <w:spacing w:after="0" w:line="268" w:lineRule="auto"/>
        <w:tabs>
          <w:tab w:leader="none" w:pos="33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$0.3 billion and $0.4 billion for payments to purchase common stock in the three months ended March 31, 2024 and 2023; and $0.1 billion for dividends paid in the three months ended March 31, 2024 and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1"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Adjusted Automotive Free Cash Flow </w:t>
      </w:r>
      <w:r>
        <w:rPr>
          <w:rFonts w:ascii="Times New Roman" w:cs="Times New Roman" w:eastAsia="Times New Roman" w:hAnsi="Times New Roman"/>
          <w:sz w:val="18"/>
          <w:szCs w:val="18"/>
          <w:color w:val="auto"/>
        </w:rPr>
        <w:t>We measure adjusted automotive free cash flow as automotive operating cash flow from operations less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adjusted for management actions. In the three months ended March 31, 2024, net automotive cash provided by operating activities under U.S. GAAP was $3.6 billion, capital expenditures were $2.7 billion and adjustments for management actions were $0.2 billion.</w:t>
      </w:r>
    </w:p>
    <w:p>
      <w:pPr>
        <w:spacing w:after="0" w:line="203"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In the three months ended March 31, 2023, net automotive cash provided by operating activities under U.S. GAAP was $2.2 billion, capital expenditures were $2.4 billion and adjustments for management actions were insignificant.</w:t>
      </w:r>
    </w:p>
    <w:p>
      <w:pPr>
        <w:spacing w:after="0" w:line="187"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Status of Credit Ratings </w:t>
      </w:r>
      <w:r>
        <w:rPr>
          <w:rFonts w:ascii="Times New Roman" w:cs="Times New Roman" w:eastAsia="Times New Roman" w:hAnsi="Times New Roman"/>
          <w:sz w:val="18"/>
          <w:szCs w:val="18"/>
          <w:color w:val="auto"/>
        </w:rPr>
        <w:t>We receive ratings from four independent credit rating agencies: DBRS Limited, Fitch Ratings, Moody's Investors Service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&amp; Poor's. All four credit rating agencies currently rate our corporate credit at investment grade. As of April 16, 2024, all credit ratings remained unchanged since December 31, 2023.</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Liquidity </w:t>
      </w:r>
      <w:r>
        <w:rPr>
          <w:rFonts w:ascii="Times New Roman" w:cs="Times New Roman" w:eastAsia="Times New Roman" w:hAnsi="Times New Roman"/>
          <w:sz w:val="18"/>
          <w:szCs w:val="18"/>
          <w:color w:val="auto"/>
        </w:rPr>
        <w:t>Cruise available liquidity consists of cash and cash equivalents of $0.7 billion and $1.3 billion at March 31, 2024 and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This excludes a multi-year credit agreement with GM Financial whereby Cruise can borrow a remaining aggregate amount of $3.4 billion to fund the purchase of AVs from GM and all accessories, attachments, parts and other equipment acquired in connection with or otherwise relating to any AV. At March 31, 2024, Cruise had total borrowings of $0.4 billion with GM Financial under this credit agreement. This also excludes a multi-year framework agreement with us whereby Cruise can defer invoices received through June 2028, up to $0.8 billion, related to engineering and capital spending incurred by us on behalf of Cruise. At March 31, 2024, Cruise deferred $0.6 billion under this agreement.</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changes in Cruise's available liquidity (dollars in billions):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3"/>
        </w:trPr>
        <w:tc>
          <w:tcPr>
            <w:tcW w:w="67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8"/>
              </w:rPr>
              <w:t>(0.7)</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w:t>
            </w:r>
          </w:p>
        </w:tc>
        <w:tc>
          <w:tcPr>
            <w:tcW w:w="2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93"/>
              <w:spacing w:after="0"/>
              <w:rPr>
                <w:sz w:val="20"/>
                <w:szCs w:val="20"/>
                <w:color w:val="auto"/>
              </w:rPr>
            </w:pPr>
            <w:r>
              <w:rPr>
                <w:rFonts w:ascii="Times New Roman" w:cs="Times New Roman" w:eastAsia="Times New Roman" w:hAnsi="Times New Roman"/>
                <w:sz w:val="18"/>
                <w:szCs w:val="18"/>
                <w:color w:val="auto"/>
                <w:w w:val="97"/>
              </w:rPr>
              <w:t>0.1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change in Cruise available liquidity</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8"/>
              </w:rPr>
              <w:t>(0.6)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i w:val="1"/>
                <w:iCs w:val="1"/>
                <w:color w:val="auto"/>
              </w:rPr>
              <w:t>Cruise Cash Flow (dollars in billions)</w:t>
            </w: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6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5"/>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142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gridSpan w:val="2"/>
            <w:shd w:val="clear" w:color="auto" w:fill="CCEEFF"/>
          </w:tcPr>
          <w:p>
            <w:pPr>
              <w:jc w:val="center"/>
              <w:ind w:left="935"/>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center"/>
              <w:ind w:left="955"/>
              <w:spacing w:after="0"/>
              <w:rPr>
                <w:sz w:val="20"/>
                <w:szCs w:val="20"/>
                <w:color w:val="auto"/>
              </w:rPr>
            </w:pPr>
            <w:r>
              <w:rPr>
                <w:rFonts w:ascii="Times New Roman" w:cs="Times New Roman" w:eastAsia="Times New Roman" w:hAnsi="Times New Roman"/>
                <w:sz w:val="18"/>
                <w:szCs w:val="18"/>
                <w:color w:val="auto"/>
                <w:w w:val="97"/>
              </w:rPr>
              <w:t>0.8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center"/>
              <w:ind w:left="955"/>
              <w:spacing w:after="0"/>
              <w:rPr>
                <w:sz w:val="20"/>
                <w:szCs w:val="20"/>
                <w:color w:val="auto"/>
              </w:rPr>
            </w:pPr>
            <w:r>
              <w:rPr>
                <w:rFonts w:ascii="Times New Roman" w:cs="Times New Roman" w:eastAsia="Times New Roman" w:hAnsi="Times New Roman"/>
                <w:sz w:val="18"/>
                <w:szCs w:val="18"/>
                <w:color w:val="auto"/>
                <w:w w:val="97"/>
              </w:rPr>
              <w:t>0.1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During the year ending December 31, 2024, we expect Cruise will require additional liquidity in order to support the continued development of AV technology.</w:t>
      </w:r>
    </w:p>
    <w:p>
      <w:pPr>
        <w:spacing w:after="0" w:line="185"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Liquidity </w:t>
      </w:r>
      <w:r>
        <w:rPr>
          <w:rFonts w:ascii="Times New Roman" w:cs="Times New Roman" w:eastAsia="Times New Roman" w:hAnsi="Times New Roman"/>
          <w:sz w:val="18"/>
          <w:szCs w:val="18"/>
          <w:color w:val="auto"/>
        </w:rPr>
        <w:t>GM Financial's primary sources of cash are finance charge income, leasing income and proceeds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sale of terminated leased vehicles, net proceeds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GM Financial's available liquidity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546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 capacity on unpledged eligible assets</w:t>
            </w:r>
          </w:p>
        </w:tc>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 capacity on committed unsecured lines of credit</w:t>
            </w:r>
          </w:p>
        </w:tc>
        <w:tc>
          <w:tcPr>
            <w:tcW w:w="2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8"/>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 capacity on revolving credit facility, exclusive to GM Financial</w:t>
            </w:r>
          </w:p>
        </w:tc>
        <w:tc>
          <w:tcPr>
            <w:tcW w:w="2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7"/>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available liquidity</w:t>
            </w:r>
          </w:p>
        </w:tc>
        <w:tc>
          <w:tcPr>
            <w:tcW w:w="2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1"/>
        </w:trPr>
        <w:tc>
          <w:tcPr>
            <w:tcW w:w="546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54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structures liquidity to support at least six months of GM Financial's expected net cash flows, including new originations, without access to new debt financing transactions or other capital markets activity. At March 31, 2024, available liquidity exceeded GM Financial's liquidity targets.</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did not have any borrowings outstanding against our credit facility designated for their exclusive use or the remainder of our revolving credit facilities at March 31, 2024 and December 31, 2023. Refer to the "Automotive Liquidity" section of this MD&amp;A for additional details.</w:t>
      </w:r>
    </w:p>
    <w:p>
      <w:pPr>
        <w:spacing w:after="0" w:line="187"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In the normal course of business, in addition to using its available cash, GM Financial utilizes borrowings under its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secured or unsecured, and GM Financial repays these borrowings as appropriate under its cash management strategy. At March 31, 2024, secured, committed unsecured and uncommitted unsecured credit facilities totaled $27.0 billion, $0.7 billion and $1.9 billion with advances outstanding of $1.5 billion, an insignificant amount and $1.9 billion.</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GM Financial Cash Flow (dollars in billions)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center"/>
              <w:ind w:left="958"/>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center"/>
              <w:ind w:left="955"/>
              <w:spacing w:after="0"/>
              <w:rPr>
                <w:sz w:val="20"/>
                <w:szCs w:val="20"/>
                <w:color w:val="auto"/>
              </w:rPr>
            </w:pPr>
            <w:r>
              <w:rPr>
                <w:rFonts w:ascii="Times New Roman" w:cs="Times New Roman" w:eastAsia="Times New Roman" w:hAnsi="Times New Roman"/>
                <w:sz w:val="18"/>
                <w:szCs w:val="18"/>
                <w:color w:val="auto"/>
                <w:w w:val="97"/>
              </w:rPr>
              <w:t>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8"/>
              </w:rPr>
              <w:t>(0.1)</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center"/>
              <w:ind w:left="938"/>
              <w:spacing w:after="0"/>
              <w:rPr>
                <w:sz w:val="20"/>
                <w:szCs w:val="20"/>
                <w:color w:val="auto"/>
              </w:rPr>
            </w:pPr>
            <w:r>
              <w:rPr>
                <w:rFonts w:ascii="Times New Roman" w:cs="Times New Roman" w:eastAsia="Times New Roman" w:hAnsi="Times New Roman"/>
                <w:sz w:val="18"/>
                <w:szCs w:val="18"/>
                <w:color w:val="auto"/>
                <w:w w:val="98"/>
              </w:rPr>
              <w:t>(1.6)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center"/>
              <w:ind w:left="915"/>
              <w:spacing w:after="0"/>
              <w:rPr>
                <w:sz w:val="20"/>
                <w:szCs w:val="20"/>
                <w:color w:val="auto"/>
              </w:rPr>
            </w:pPr>
            <w:r>
              <w:rPr>
                <w:rFonts w:ascii="Times New Roman" w:cs="Times New Roman" w:eastAsia="Times New Roman" w:hAnsi="Times New Roman"/>
                <w:sz w:val="18"/>
                <w:szCs w:val="18"/>
                <w:color w:val="auto"/>
                <w:w w:val="98"/>
              </w:rPr>
              <w:t>(1.5)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8"/>
              </w:rPr>
              <w:t>(0.1)</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activities(b)</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center"/>
              <w:ind w:left="958"/>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center"/>
              <w:ind w:left="955"/>
              <w:spacing w:after="0"/>
              <w:rPr>
                <w:sz w:val="20"/>
                <w:szCs w:val="20"/>
                <w:color w:val="auto"/>
              </w:rPr>
            </w:pPr>
            <w:r>
              <w:rPr>
                <w:rFonts w:ascii="Times New Roman" w:cs="Times New Roman" w:eastAsia="Times New Roman" w:hAnsi="Times New Roman"/>
                <w:sz w:val="18"/>
                <w:szCs w:val="18"/>
                <w:color w:val="auto"/>
                <w:w w:val="97"/>
              </w:rPr>
              <w:t>0.2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40" w:hanging="333"/>
        <w:spacing w:after="0" w:line="256" w:lineRule="auto"/>
        <w:tabs>
          <w:tab w:leader="none" w:pos="33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$0.9 billion and $0.2 billion in the three months ended March 31, 2024 and 2023 primarily driven by purchases of, and collections on, wholesale finance receivables and intercompany loans to GM which are eliminated within the condensed consolidated statements of cash flows.</w:t>
      </w:r>
    </w:p>
    <w:p>
      <w:pPr>
        <w:spacing w:after="0" w:line="1" w:lineRule="exact"/>
        <w:rPr>
          <w:rFonts w:ascii="Times New Roman" w:cs="Times New Roman" w:eastAsia="Times New Roman" w:hAnsi="Times New Roman"/>
          <w:sz w:val="16"/>
          <w:szCs w:val="16"/>
          <w:color w:val="auto"/>
        </w:rPr>
      </w:pPr>
    </w:p>
    <w:p>
      <w:pPr>
        <w:ind w:left="340" w:hanging="333"/>
        <w:spacing w:after="0" w:line="255"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$0.5 billion in the three months ended March 31, 2024 and 2023 for dividends to GM which are eliminated within the condensed consolidated statements of cash flows.</w:t>
      </w:r>
    </w:p>
    <w:p>
      <w:pPr>
        <w:spacing w:after="0" w:line="2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three months ended March 31, 2024, Net cash provided by operating activities decreased primarily due to: (1) a net decrease in cash provided by counterparty derivative collateral posting activities of $0.3 billion; (2) an increase in interest paid of $0.2 billion; and (3) a net increase in other assets of $0.1 billion; partially offset by (4) an increase in finance charge income of $0.4 billion.</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Critical Accounting Estimates </w:t>
      </w:r>
      <w:r>
        <w:rPr>
          <w:rFonts w:ascii="Times New Roman" w:cs="Times New Roman" w:eastAsia="Times New Roman" w:hAnsi="Times New Roman"/>
          <w:sz w:val="18"/>
          <w:szCs w:val="18"/>
          <w:color w:val="auto"/>
        </w:rPr>
        <w:t>The condensed consolidated financial statements are prepared in conformity with U.S. GAAP, which requires the use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2023 Form 10-K.</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Non-GAAP Measures </w:t>
      </w:r>
      <w:r>
        <w:rPr>
          <w:rFonts w:ascii="Times New Roman" w:cs="Times New Roman" w:eastAsia="Times New Roman" w:hAnsi="Times New Roman"/>
          <w:sz w:val="18"/>
          <w:szCs w:val="18"/>
          <w:color w:val="auto"/>
        </w:rPr>
        <w:t>We use both GAAP and non-GAAP financial measures for operational and financial decision making, and to assess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business performance. Our non-GAAP measures include: EBIT-adjusted, presented net of noncontrolling interests; EBT-adjusted for our GM Financial segment; EPS-diluted-adjusted; ETR-adjusted;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1"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under our performance-based compensation plans. For these reasons, we believe these non-GAAP measures are useful for our investors.</w:t>
      </w:r>
    </w:p>
    <w:p>
      <w:pPr>
        <w:spacing w:after="0" w:line="246"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EBIT-adjusted </w:t>
      </w:r>
      <w:r>
        <w:rPr>
          <w:rFonts w:ascii="Times New Roman" w:cs="Times New Roman" w:eastAsia="Times New Roman" w:hAnsi="Times New Roman"/>
          <w:sz w:val="18"/>
          <w:szCs w:val="18"/>
          <w:i w:val="1"/>
          <w:iCs w:val="1"/>
          <w:color w:val="auto"/>
        </w:rPr>
        <w:t>(Most comparable GAAP measure: Net income attributable to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EBIT-adjusted is presented net of noncontrolling interests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209"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EPS-diluted-adjusted </w:t>
      </w:r>
      <w:r>
        <w:rPr>
          <w:rFonts w:ascii="Times New Roman" w:cs="Times New Roman" w:eastAsia="Times New Roman" w:hAnsi="Times New Roman"/>
          <w:sz w:val="18"/>
          <w:szCs w:val="18"/>
          <w:i w:val="1"/>
          <w:iCs w:val="1"/>
          <w:color w:val="auto"/>
        </w:rPr>
        <w:t>(Most comparable GAAP measure: Diluted earnings per common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EPS-diluted-adjusted is used by management and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spacing w:after="0" w:line="201"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ETR-adjusted </w:t>
      </w:r>
      <w:r>
        <w:rPr>
          <w:rFonts w:ascii="Times New Roman" w:cs="Times New Roman" w:eastAsia="Times New Roman" w:hAnsi="Times New Roman"/>
          <w:sz w:val="18"/>
          <w:szCs w:val="18"/>
          <w:i w:val="1"/>
          <w:iCs w:val="1"/>
          <w:color w:val="auto"/>
        </w:rPr>
        <w:t>(Most comparable GAAP measure: Effective tax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ETR-adjusted is used by management and can be used by investors to review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0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ROIC-adjusted </w:t>
      </w:r>
      <w:r>
        <w:rPr>
          <w:rFonts w:ascii="Times New Roman" w:cs="Times New Roman" w:eastAsia="Times New Roman" w:hAnsi="Times New Roman"/>
          <w:sz w:val="18"/>
          <w:szCs w:val="18"/>
          <w:i w:val="1"/>
          <w:iCs w:val="1"/>
          <w:color w:val="auto"/>
        </w:rPr>
        <w:t>(Most comparable GAAP measure: Return on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ROIC-adjusted is used by management and can be used by investors to review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and capital allocation decisions. We define 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OPEB liabilities; and average automotive net income tax assets during the same period.</w:t>
      </w:r>
    </w:p>
    <w:p>
      <w:pPr>
        <w:spacing w:after="0" w:line="201"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automotive free cash flow </w:t>
      </w:r>
      <w:r>
        <w:rPr>
          <w:rFonts w:ascii="Times New Roman" w:cs="Times New Roman" w:eastAsia="Times New Roman" w:hAnsi="Times New Roman"/>
          <w:sz w:val="18"/>
          <w:szCs w:val="18"/>
          <w:i w:val="1"/>
          <w:iCs w:val="1"/>
          <w:color w:val="auto"/>
        </w:rPr>
        <w:t>(Most comparable GAAP measure: Net automotive cash provided by operating activities)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automotive free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Net income attributable to stockholders under U.S. GAAP to EBIT-adjusted: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5"/>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8"/>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6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6"/>
                <w:szCs w:val="16"/>
                <w:color w:val="auto"/>
              </w:rPr>
            </w:pPr>
          </w:p>
        </w:tc>
      </w:tr>
      <w:tr>
        <w:trPr>
          <w:trHeight w:val="195"/>
        </w:trPr>
        <w:tc>
          <w:tcPr>
            <w:tcW w:w="40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2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interest income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Buick dealer strategy(a)</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Voluntary separation program(b)</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Cruise restructuring(c)</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GM Korea wage litigation(d)</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India asset sales(e)</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Russia exit(f)</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20" w:hanging="313"/>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strategic activities to transition certain Buick dealers out of our dealer network as part of Buick’s EV strategy.</w:t>
      </w:r>
    </w:p>
    <w:p>
      <w:pPr>
        <w:spacing w:after="0" w:line="11" w:lineRule="exact"/>
        <w:rPr>
          <w:rFonts w:ascii="Times New Roman" w:cs="Times New Roman" w:eastAsia="Times New Roman" w:hAnsi="Times New Roman"/>
          <w:sz w:val="16"/>
          <w:szCs w:val="16"/>
          <w:color w:val="auto"/>
        </w:rPr>
      </w:pPr>
    </w:p>
    <w:p>
      <w:pPr>
        <w:ind w:left="340" w:hanging="333"/>
        <w:spacing w:after="0" w:line="251"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acceleration of attrition as part of the cost reduction program announced in January 2023, primarily in the U.S.</w:t>
      </w:r>
    </w:p>
    <w:p>
      <w:pPr>
        <w:spacing w:after="0" w:line="1" w:lineRule="exact"/>
        <w:rPr>
          <w:rFonts w:ascii="Times New Roman" w:cs="Times New Roman" w:eastAsia="Times New Roman" w:hAnsi="Times New Roman"/>
          <w:sz w:val="16"/>
          <w:szCs w:val="16"/>
          <w:color w:val="auto"/>
        </w:rPr>
      </w:pPr>
    </w:p>
    <w:p>
      <w:pPr>
        <w:jc w:val="both"/>
        <w:ind w:left="340" w:hanging="333"/>
        <w:spacing w:after="0" w:line="252" w:lineRule="auto"/>
        <w:tabs>
          <w:tab w:leader="none" w:pos="33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restructuring costs resulting from Cruise voluntarily pausing its driverless, supervised and manual AV operations in the U.S. while it examines its processes, systems and tools. The adjustments primarily consist of non-cash restructuring charges, supplier related charges and employee separation charges.</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partial resolution of subcontractor matters in Korea.</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an asset sale resulting from our strategic decision in 2020 to exit India.</w:t>
      </w:r>
    </w:p>
    <w:p>
      <w:pPr>
        <w:spacing w:after="0" w:line="4" w:lineRule="exact"/>
        <w:rPr>
          <w:rFonts w:ascii="Times New Roman" w:cs="Times New Roman" w:eastAsia="Times New Roman" w:hAnsi="Times New Roman"/>
          <w:sz w:val="16"/>
          <w:szCs w:val="16"/>
          <w:color w:val="auto"/>
        </w:rPr>
      </w:pPr>
    </w:p>
    <w:p>
      <w:pPr>
        <w:ind w:left="340" w:hanging="333"/>
        <w:spacing w:after="0" w:line="272"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it relates to the shutdown of our Russia business including the write off of our net investment and release of accumulated translation losses into earnings.</w: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diluted earnings per common share under U.S. GAAP to EPS-diluted-adjusted: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
        </w:trPr>
        <w:tc>
          <w:tcPr>
            <w:tcW w:w="6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r>
      <w:tr>
        <w:trPr>
          <w:trHeight w:val="188"/>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98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5"/>
        </w:trPr>
        <w:tc>
          <w:tcPr>
            <w:tcW w:w="67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center"/>
              <w:ind w:left="356"/>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rPr>
              <w:t>1.69</w:t>
            </w:r>
          </w:p>
        </w:tc>
      </w:tr>
      <w:tr>
        <w:trPr>
          <w:trHeight w:val="22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center"/>
              <w:ind w:left="334"/>
              <w:spacing w:after="0"/>
              <w:rPr>
                <w:sz w:val="20"/>
                <w:szCs w:val="20"/>
                <w:color w:val="auto"/>
              </w:rPr>
            </w:pPr>
            <w:r>
              <w:rPr>
                <w:rFonts w:ascii="Times New Roman" w:cs="Times New Roman" w:eastAsia="Times New Roman" w:hAnsi="Times New Roman"/>
                <w:sz w:val="18"/>
                <w:szCs w:val="18"/>
                <w:color w:val="auto"/>
              </w:rPr>
              <w:t>0.69</w:t>
            </w:r>
          </w:p>
        </w:tc>
      </w:tr>
      <w:tr>
        <w:trPr>
          <w:trHeight w:val="22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on adjustments(b)</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316"/>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7"/>
              </w:rPr>
              <w:t>(239)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rPr>
              <w:t>(0.17)</w:t>
            </w:r>
          </w:p>
        </w:tc>
      </w:tr>
      <w:tr>
        <w:trPr>
          <w:trHeight w:val="222"/>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EPS-diluted-adjusted</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center"/>
              <w:ind w:left="356"/>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center"/>
              <w:ind w:left="334"/>
              <w:spacing w:after="0"/>
              <w:rPr>
                <w:sz w:val="20"/>
                <w:szCs w:val="20"/>
                <w:color w:val="auto"/>
              </w:rPr>
            </w:pPr>
            <w:r>
              <w:rPr>
                <w:rFonts w:ascii="Times New Roman" w:cs="Times New Roman" w:eastAsia="Times New Roman" w:hAnsi="Times New Roman"/>
                <w:sz w:val="18"/>
                <w:szCs w:val="18"/>
                <w:color w:val="auto"/>
              </w:rPr>
              <w:t>2.21</w:t>
            </w: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line="247" w:lineRule="auto"/>
        <w:tabs>
          <w:tab w:leader="none" w:pos="33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this section of MD&amp;A for the details of each individual adjustment.</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each adjustment is determined based on the tax laws and valuation allowance status of the jurisdiction to which the adjustment relates.</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our effective tax rate under U.S. GAAP to ETR-adjusted: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5"/>
        </w:trPr>
        <w:tc>
          <w:tcPr>
            <w:tcW w:w="2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8"/>
        </w:trPr>
        <w:tc>
          <w:tcPr>
            <w:tcW w:w="2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21"/>
        </w:trPr>
        <w:tc>
          <w:tcPr>
            <w:tcW w:w="2360" w:type="dxa"/>
            <w:vAlign w:val="bottom"/>
          </w:tcPr>
          <w:p>
            <w:pPr>
              <w:spacing w:after="0"/>
              <w:rPr>
                <w:sz w:val="10"/>
                <w:szCs w:val="10"/>
                <w:color w:val="auto"/>
              </w:rPr>
            </w:pPr>
          </w:p>
        </w:tc>
        <w:tc>
          <w:tcPr>
            <w:tcW w:w="1460" w:type="dxa"/>
            <w:vAlign w:val="bottom"/>
            <w:gridSpan w:val="3"/>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Income before income</w:t>
            </w:r>
          </w:p>
        </w:tc>
        <w:tc>
          <w:tcPr>
            <w:tcW w:w="120" w:type="dxa"/>
            <w:vAlign w:val="bottom"/>
          </w:tcPr>
          <w:p>
            <w:pPr>
              <w:spacing w:after="0"/>
              <w:rPr>
                <w:sz w:val="10"/>
                <w:szCs w:val="10"/>
                <w:color w:val="auto"/>
              </w:rPr>
            </w:pPr>
          </w:p>
        </w:tc>
        <w:tc>
          <w:tcPr>
            <w:tcW w:w="1220" w:type="dxa"/>
            <w:vAlign w:val="bottom"/>
          </w:tcPr>
          <w:p>
            <w:pPr>
              <w:jc w:val="right"/>
              <w:ind w:right="62"/>
              <w:spacing w:after="0" w:line="121" w:lineRule="exact"/>
              <w:rPr>
                <w:sz w:val="20"/>
                <w:szCs w:val="20"/>
                <w:color w:val="auto"/>
              </w:rPr>
            </w:pPr>
            <w:r>
              <w:rPr>
                <w:rFonts w:ascii="Times New Roman" w:cs="Times New Roman" w:eastAsia="Times New Roman" w:hAnsi="Times New Roman"/>
                <w:sz w:val="13"/>
                <w:szCs w:val="13"/>
                <w:b w:val="1"/>
                <w:bCs w:val="1"/>
                <w:color w:val="auto"/>
                <w:w w:val="97"/>
              </w:rPr>
              <w:t>Income tax expense</w:t>
            </w: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3"/>
          </w:tcPr>
          <w:p>
            <w:pPr>
              <w:ind w:left="80"/>
              <w:spacing w:after="0" w:line="121" w:lineRule="exact"/>
              <w:rPr>
                <w:sz w:val="20"/>
                <w:szCs w:val="20"/>
                <w:color w:val="auto"/>
              </w:rPr>
            </w:pPr>
            <w:r>
              <w:rPr>
                <w:rFonts w:ascii="Times New Roman" w:cs="Times New Roman" w:eastAsia="Times New Roman" w:hAnsi="Times New Roman"/>
                <w:sz w:val="13"/>
                <w:szCs w:val="13"/>
                <w:b w:val="1"/>
                <w:bCs w:val="1"/>
                <w:color w:val="auto"/>
              </w:rPr>
              <w:t>Income before income</w:t>
            </w:r>
          </w:p>
        </w:tc>
        <w:tc>
          <w:tcPr>
            <w:tcW w:w="120" w:type="dxa"/>
            <w:vAlign w:val="bottom"/>
          </w:tcPr>
          <w:p>
            <w:pPr>
              <w:spacing w:after="0"/>
              <w:rPr>
                <w:sz w:val="10"/>
                <w:szCs w:val="10"/>
                <w:color w:val="auto"/>
              </w:rPr>
            </w:pPr>
          </w:p>
        </w:tc>
        <w:tc>
          <w:tcPr>
            <w:tcW w:w="1220" w:type="dxa"/>
            <w:vAlign w:val="bottom"/>
          </w:tcPr>
          <w:p>
            <w:pPr>
              <w:jc w:val="right"/>
              <w:ind w:right="62"/>
              <w:spacing w:after="0" w:line="121" w:lineRule="exact"/>
              <w:rPr>
                <w:sz w:val="20"/>
                <w:szCs w:val="20"/>
                <w:color w:val="auto"/>
              </w:rPr>
            </w:pPr>
            <w:r>
              <w:rPr>
                <w:rFonts w:ascii="Times New Roman" w:cs="Times New Roman" w:eastAsia="Times New Roman" w:hAnsi="Times New Roman"/>
                <w:sz w:val="13"/>
                <w:szCs w:val="13"/>
                <w:b w:val="1"/>
                <w:bCs w:val="1"/>
                <w:color w:val="auto"/>
                <w:w w:val="97"/>
              </w:rPr>
              <w:t>Income tax expense</w:t>
            </w: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182"/>
        </w:trPr>
        <w:tc>
          <w:tcPr>
            <w:tcW w:w="2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9"/>
              </w:rPr>
              <w:t>taxes</w:t>
            </w:r>
          </w:p>
        </w:tc>
        <w:tc>
          <w:tcPr>
            <w:tcW w:w="120" w:type="dxa"/>
            <w:vAlign w:val="bottom"/>
          </w:tcPr>
          <w:p>
            <w:pPr>
              <w:spacing w:after="0"/>
              <w:rPr>
                <w:sz w:val="15"/>
                <w:szCs w:val="15"/>
                <w:color w:val="auto"/>
              </w:rPr>
            </w:pPr>
          </w:p>
        </w:tc>
        <w:tc>
          <w:tcPr>
            <w:tcW w:w="1220" w:type="dxa"/>
            <w:vAlign w:val="bottom"/>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100" w:type="dxa"/>
            <w:vAlign w:val="bottom"/>
          </w:tcPr>
          <w:p>
            <w:pPr>
              <w:spacing w:after="0"/>
              <w:rPr>
                <w:sz w:val="15"/>
                <w:szCs w:val="15"/>
                <w:color w:val="auto"/>
              </w:rPr>
            </w:pP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Effective tax rate</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taxes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100" w:type="dxa"/>
            <w:vAlign w:val="bottom"/>
          </w:tcPr>
          <w:p>
            <w:pPr>
              <w:spacing w:after="0"/>
              <w:rPr>
                <w:sz w:val="15"/>
                <w:szCs w:val="15"/>
                <w:color w:val="auto"/>
              </w:rPr>
            </w:pPr>
          </w:p>
        </w:tc>
        <w:tc>
          <w:tcPr>
            <w:tcW w:w="148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Effective tax rate</w:t>
            </w:r>
          </w:p>
        </w:tc>
      </w:tr>
      <w:tr>
        <w:trPr>
          <w:trHeight w:val="228"/>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4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28"/>
        </w:trPr>
        <w:tc>
          <w:tcPr>
            <w:tcW w:w="2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r>
      <w:tr>
        <w:trPr>
          <w:trHeight w:val="247"/>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ETR-adjusted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786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4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6" w:lineRule="auto"/>
        <w:tabs>
          <w:tab w:leader="none" w:pos="33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this section of MD&amp;A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spacing w:after="0" w:line="2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960" w:type="dxa"/>
            <w:vAlign w:val="bottom"/>
          </w:tcPr>
          <w:p>
            <w:pPr>
              <w:spacing w:after="0"/>
              <w:rPr>
                <w:sz w:val="16"/>
                <w:szCs w:val="16"/>
                <w:color w:val="auto"/>
              </w:rPr>
            </w:pPr>
          </w:p>
        </w:tc>
        <w:tc>
          <w:tcPr>
            <w:tcW w:w="3700" w:type="dxa"/>
            <w:vAlign w:val="bottom"/>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Four Quarters Ended</w:t>
            </w:r>
          </w:p>
        </w:tc>
        <w:tc>
          <w:tcPr>
            <w:tcW w:w="540" w:type="dxa"/>
            <w:vAlign w:val="bottom"/>
          </w:tcPr>
          <w:p>
            <w:pPr>
              <w:spacing w:after="0"/>
              <w:rPr>
                <w:sz w:val="16"/>
                <w:szCs w:val="16"/>
                <w:color w:val="auto"/>
              </w:rPr>
            </w:pPr>
          </w:p>
        </w:tc>
      </w:tr>
      <w:tr>
        <w:trPr>
          <w:trHeight w:val="25"/>
        </w:trPr>
        <w:tc>
          <w:tcPr>
            <w:tcW w:w="69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8"/>
        </w:trPr>
        <w:tc>
          <w:tcPr>
            <w:tcW w:w="69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540" w:type="dxa"/>
            <w:vAlign w:val="bottom"/>
            <w:tcBorders>
              <w:bottom w:val="single" w:sz="8" w:color="auto"/>
            </w:tcBorders>
          </w:tcPr>
          <w:p>
            <w:pPr>
              <w:spacing w:after="0"/>
              <w:rPr>
                <w:sz w:val="16"/>
                <w:szCs w:val="16"/>
                <w:color w:val="auto"/>
              </w:rPr>
            </w:pP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152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w:t>
            </w:r>
          </w:p>
        </w:tc>
      </w:tr>
      <w:tr>
        <w:trPr>
          <w:trHeight w:val="22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equity(a)</w:t>
            </w:r>
          </w:p>
        </w:tc>
        <w:tc>
          <w:tcPr>
            <w:tcW w:w="1520" w:type="dxa"/>
            <w:vAlign w:val="bottom"/>
          </w:tcPr>
          <w:p>
            <w:pPr>
              <w:jc w:val="right"/>
              <w:ind w:right="13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1520" w:type="dxa"/>
            <w:vAlign w:val="bottom"/>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5"/>
              </w:rPr>
              <w:t>68.6</w:t>
            </w: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ROE</w:t>
            </w:r>
          </w:p>
        </w:tc>
        <w:tc>
          <w:tcPr>
            <w:tcW w:w="152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13.7 %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Includes equity of noncontrolling interests where the corresponding earnings (loss) are included in Net income attributable to stockholders.</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calculation of ROIC-adjusted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920" w:type="dxa"/>
            <w:vAlign w:val="bottom"/>
            <w:gridSpan w:val="4"/>
          </w:tcPr>
          <w:p>
            <w:pPr>
              <w:ind w:left="1120"/>
              <w:spacing w:after="0"/>
              <w:rPr>
                <w:sz w:val="20"/>
                <w:szCs w:val="20"/>
                <w:color w:val="auto"/>
              </w:rPr>
            </w:pPr>
            <w:r>
              <w:rPr>
                <w:rFonts w:ascii="Times New Roman" w:cs="Times New Roman" w:eastAsia="Times New Roman" w:hAnsi="Times New Roman"/>
                <w:sz w:val="14"/>
                <w:szCs w:val="14"/>
                <w:b w:val="1"/>
                <w:bCs w:val="1"/>
                <w:color w:val="auto"/>
              </w:rPr>
              <w:t>Four Quarters Ended</w:t>
            </w:r>
          </w:p>
        </w:tc>
      </w:tr>
      <w:tr>
        <w:trPr>
          <w:trHeight w:val="25"/>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88"/>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40" w:type="dxa"/>
            <w:vAlign w:val="bottom"/>
          </w:tcPr>
          <w:p>
            <w:pPr>
              <w:spacing w:after="0"/>
              <w:rPr>
                <w:sz w:val="16"/>
                <w:szCs w:val="16"/>
                <w:color w:val="auto"/>
              </w:rPr>
            </w:pPr>
          </w:p>
        </w:tc>
        <w:tc>
          <w:tcPr>
            <w:tcW w:w="17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28"/>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EBIT-adjusted(a)</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14.2</w:t>
            </w:r>
          </w:p>
        </w:tc>
      </w:tr>
      <w:tr>
        <w:trPr>
          <w:trHeight w:val="22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equity(b)</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68.6</w:t>
            </w:r>
          </w:p>
        </w:tc>
      </w:tr>
      <w:tr>
        <w:trPr>
          <w:trHeight w:val="22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Average automotive debt and interest liabilities (excluding finance leases)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17.4</w:t>
            </w:r>
          </w:p>
        </w:tc>
      </w:tr>
      <w:tr>
        <w:trPr>
          <w:trHeight w:val="22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Average automotive net pension &amp; OPEB liability</w:t>
            </w:r>
          </w:p>
        </w:tc>
        <w:tc>
          <w:tcPr>
            <w:tcW w:w="340" w:type="dxa"/>
            <w:vAlign w:val="bottom"/>
          </w:tcPr>
          <w:p>
            <w:pPr>
              <w:spacing w:after="0"/>
              <w:rPr>
                <w:sz w:val="19"/>
                <w:szCs w:val="19"/>
                <w:color w:val="auto"/>
              </w:rPr>
            </w:pPr>
          </w:p>
        </w:tc>
        <w:tc>
          <w:tcPr>
            <w:tcW w:w="17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8.6</w:t>
            </w:r>
          </w:p>
        </w:tc>
      </w:tr>
      <w:tr>
        <w:trPr>
          <w:trHeight w:val="22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Average automotive and other net income tax asset</w:t>
            </w:r>
          </w:p>
        </w:tc>
        <w:tc>
          <w:tcPr>
            <w:tcW w:w="3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(20.9)</w:t>
            </w:r>
          </w:p>
        </w:tc>
      </w:tr>
      <w:tr>
        <w:trPr>
          <w:trHeight w:val="222"/>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ROIC-adjusted average net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73.6</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ROIC-adjusted</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this section of MD&amp;A.</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EBIT-adjusted.</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Forward-Looking Statements </w:t>
      </w:r>
      <w:r>
        <w:rPr>
          <w:rFonts w:ascii="Times New Roman" w:cs="Times New Roman" w:eastAsia="Times New Roman" w:hAnsi="Times New Roman"/>
          <w:sz w:val="17"/>
          <w:szCs w:val="17"/>
          <w:color w:val="auto"/>
        </w:rPr>
        <w:t>This report and the other reports filed by us with the SEC from time to time, as well as statements incorporated by reference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w:t>
      </w:r>
    </w:p>
    <w:p>
      <w:pPr>
        <w:spacing w:after="0" w:line="6" w:lineRule="exact"/>
        <w:rPr>
          <w:sz w:val="20"/>
          <w:szCs w:val="20"/>
          <w:color w:val="auto"/>
        </w:rPr>
      </w:pPr>
    </w:p>
    <w:p>
      <w:pPr>
        <w:ind w:right="20" w:firstLine="7"/>
        <w:spacing w:after="0" w:line="258" w:lineRule="auto"/>
        <w:tabs>
          <w:tab w:leader="none" w:pos="25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new products, services, technologies and customer experiences in response to increased competition and changing consumer needs and preferences; (2) our ability to timely fund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and introduce new and improved vehicle models, including EVs, that are able to attract a sufficient number of consumers; (3) our ability to profitably deliver a strategic portfolio of EVs that will help drive consumer adoption; (4) the success of our current line of ICE vehicles, particularly our full-size SUVs and full-size pickup trucks; (5) our highly competitive industry, which has been historically characterized by excess manufacturing capacity and the use of incentives, and the introduction of new and improved vehicle models by our competitors; (6) the unique technological, operational, regulatory and competitive risks related to the timing and commercialization of AVs, including the various regulatory approvals and permits required for operating driverless AVs in multiple markets; (7) risks associated with climate change, including increased regulation of GHG emissions, our transition to EVs and the potential increased impacts of severe weather events; (8) global automobile market sales volume, which can be volatile; (9) inflationary pressures and persistently high prices and uncertain availability of raw materials and commodities used by us and our suppliers, and instability in logistics and related costs; (10) our business in China, which is subject to unique operational, competitive, regulatory and economic risks; (11) the success of our ongoing strategic business relationships, particularly with respect to facilitating access to raw materials necessary for the production of EVs, and of our joint ventures, which we cannot operate solely for our benefit and over which we may have limited control; (12) the international scale and footprint of our operations, which exposes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(13) any significant disruption, including any work stoppages, at any of our manufacturing facilities; (14) the ability of our suppliers to deliver parts, systems and components without disruption and at such times to allow us to meet production schedules; (15) pandemics, epidemics, disease outbreaks and other public health crises; (16) the possibility that competitors may independently develop products and services similar to ours, or that our intellectual property rights are not sufficient to prevent competitors from developing or selling those products or services; (17) our ability to manage risks related to security breaches, cyberattacks and other disruptions to our information technology systems and networked products, including connected vehicles and in-vehicle systems; (18) our ability to comply with increasingly complex, restrictive and punitive regulations relating to our enterprise data practices, including the collection, use, sharing and security of the personal information of our customers, employees or suppliers; (19) our ability to comply with extensive laws, regulations and policies applicable to our operations and products, including those relating to fuel economy, emissions and AVs; (20) costs and risks associated with litigation and government investigations; (21) the costs and effect on our reputation of product safety recalls and alleged defects in products and services; (22) any additional tax expense or exposure or failure to fully realize available tax incentives; (23) our continued ability to develop captive financing capability through GM Financial; and (24) any significant increase in our pension funding requirements. A further list and description of these risks, uncertainties and other factors can be found in our 2023 Form 10-K and our subsequent filings with the SEC.</w:t>
      </w:r>
    </w:p>
    <w:p>
      <w:pPr>
        <w:spacing w:after="0" w:line="22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0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There have been no significant changes in our exposure to market risk since December 31, 2023. For further discussion on market risk, refer to Part II, Item 7A. of our 2023 Form 10-K.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w:t>
      </w:r>
      <w:r>
        <w:rPr>
          <w:rFonts w:ascii="Times New Roman" w:cs="Times New Roman" w:eastAsia="Times New Roman" w:hAnsi="Times New Roman"/>
          <w:sz w:val="18"/>
          <w:szCs w:val="18"/>
          <w:color w:val="auto"/>
        </w:rPr>
        <w:t>We maintain disclosure controls and procedures designed to provide reasonable assurance that information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management, with the participation of our CEO and CFO, evaluated the effectiveness of our disclosure controls and procedures (as defined in Rules 13a-15(e) or 15d-15(e) promulgated under the Exchange Act) as of March 31, 2024 as required by paragraph (b) of Rules 13a-15 or 15d-15. Based on this evaluation, our CEO and CFO concluded that our disclosure controls and procedures were effective as of March 31, 2024.</w:t>
      </w:r>
    </w:p>
    <w:p>
      <w:pPr>
        <w:spacing w:after="0" w:line="200"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There have not been any changes in our internal control over financial reporting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ended March 31, 2024 that have materially affected, or are reasonably likely to materially affect, our internal control over financial reporting.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3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SEC regulations require us to disclose certain information about environmental proceedings if a governmental authority is a party to such proceedings and such proceedings involve potential monetary sanctions that we reasonably believe will exceed a stated threshold. Pursuant to the SEC regulations, the Company will use a threshold of $1 million for purposes of determining whether disclosure of any such proceedings is required.</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discussion under Note 13 to our condensed consolidated financial statements is incorporated by reference into this Part II, Item 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2023 Form 10-K.</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Purchases of Equity Securities </w:t>
      </w:r>
      <w:r>
        <w:rPr>
          <w:rFonts w:ascii="Times New Roman" w:cs="Times New Roman" w:eastAsia="Times New Roman" w:hAnsi="Times New Roman"/>
          <w:sz w:val="18"/>
          <w:szCs w:val="18"/>
          <w:color w:val="auto"/>
        </w:rPr>
        <w:t>The following table summarizes our purchases of common stock in the three months ended March 31, 2024: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34"/>
        </w:trPr>
        <w:tc>
          <w:tcPr>
            <w:tcW w:w="508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1"/>
                <w:szCs w:val="11"/>
                <w:color w:val="auto"/>
              </w:rPr>
            </w:pPr>
          </w:p>
        </w:tc>
        <w:tc>
          <w:tcPr>
            <w:tcW w:w="10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12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Purchased(a)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Share</w:t>
            </w:r>
          </w:p>
        </w:tc>
        <w:tc>
          <w:tcPr>
            <w:tcW w:w="15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2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(b)(c)</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Programs(b)(d)</w:t>
            </w:r>
          </w:p>
        </w:tc>
        <w:tc>
          <w:tcPr>
            <w:tcW w:w="1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Programs(b)(d)</w:t>
            </w:r>
          </w:p>
        </w:tc>
        <w:tc>
          <w:tcPr>
            <w:tcW w:w="0" w:type="dxa"/>
            <w:vAlign w:val="bottom"/>
          </w:tcPr>
          <w:p>
            <w:pPr>
              <w:spacing w:after="0"/>
              <w:rPr>
                <w:sz w:val="1"/>
                <w:szCs w:val="1"/>
                <w:color w:val="auto"/>
              </w:rPr>
            </w:pPr>
          </w:p>
        </w:tc>
      </w:tr>
      <w:tr>
        <w:trPr>
          <w:trHeight w:val="228"/>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2024 through January 31, 2024</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 billion</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2024 through February 29,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996,280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 billion</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2024 through March 31, 2024</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 settlement of ASR(b)</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4,202,918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4,202,918</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shares purchased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7,889,030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7,889,030</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 billion</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13,115,588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12,091,948</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w:t>
      </w:r>
    </w:p>
    <w:p>
      <w:pPr>
        <w:spacing w:after="0" w:line="26" w:lineRule="exact"/>
        <w:rPr>
          <w:sz w:val="20"/>
          <w:szCs w:val="20"/>
          <w:color w:val="auto"/>
        </w:rPr>
      </w:pPr>
    </w:p>
    <w:p>
      <w:pPr>
        <w:ind w:left="340" w:right="20" w:hanging="333"/>
        <w:spacing w:after="0" w:line="251" w:lineRule="auto"/>
        <w:tabs>
          <w:tab w:leader="none" w:pos="33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include shares delivered by employees or directors to us for the payment of taxes resulting from the issuance of common stock upon the vesting of RSUs and PSUs relating to compensation plans. Refer to our 2023 Form 10-K for additional details on employee stock incentive plans.</w:t>
      </w:r>
    </w:p>
    <w:p>
      <w:pPr>
        <w:spacing w:after="0" w:line="1" w:lineRule="exact"/>
        <w:rPr>
          <w:rFonts w:ascii="Times New Roman" w:cs="Times New Roman" w:eastAsia="Times New Roman" w:hAnsi="Times New Roman"/>
          <w:sz w:val="16"/>
          <w:szCs w:val="16"/>
          <w:color w:val="auto"/>
        </w:rPr>
      </w:pPr>
    </w:p>
    <w:p>
      <w:pPr>
        <w:jc w:val="both"/>
        <w:ind w:left="340" w:hanging="333"/>
        <w:spacing w:after="0" w:line="252"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December 31, 2023, we entered into the ASR Agreements to repurchase an aggregate $10.0 billion of common stock, and we received and immediately retired approximately 215 million shares of our common stock (68% of the $10.0 billion aggregate purchase price calculated on the basis of a price of $31.60 per share, the closing share price of our common stock on November 29, 2023). In March 2024, upon the first settlement of the transactions contemplated under the ASR Agreements, we received approximately 4 million additional shares of our common stock, which were immediately retired. The final number of shares ultimately to be purchased, and the average price paid per share, will be determined at the final settlement of the ASR Agreements and will be based on the average of the daily volume-weighted average prices of our common stock during the term of the ASR Agreements, less a discount and subject to adjustments pursuant to the terms and conditions of the ASR Agreements. The final settlement of the transactions contemplated under the ASR Agreements in connection with the ASR program is expected to occur no later than the three months ending December 31, 2024.</w:t>
      </w:r>
    </w:p>
    <w:p>
      <w:pPr>
        <w:spacing w:after="0" w:line="3"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price paid per share excludes broker commissions.</w:t>
      </w:r>
    </w:p>
    <w:p>
      <w:pPr>
        <w:spacing w:after="0" w:line="14" w:lineRule="exact"/>
        <w:rPr>
          <w:rFonts w:ascii="Times New Roman" w:cs="Times New Roman" w:eastAsia="Times New Roman" w:hAnsi="Times New Roman"/>
          <w:sz w:val="16"/>
          <w:szCs w:val="16"/>
          <w:color w:val="auto"/>
        </w:rPr>
      </w:pPr>
    </w:p>
    <w:p>
      <w:pPr>
        <w:ind w:left="340" w:hanging="333"/>
        <w:spacing w:after="0" w:line="255"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November 2023, our Board of Directors increased the capacity under the share repurchase program by $10.0 billion to an aggregate of $11.4 billion and approved the $10.0 billion ASR program. At March 31, 2024, we had $1.1 billion in capacity remaining under the share repurchase program, with no expiration date.</w:t>
      </w:r>
    </w:p>
    <w:p>
      <w:pPr>
        <w:spacing w:after="0" w:line="218" w:lineRule="exact"/>
        <w:rPr>
          <w:rFonts w:ascii="Times New Roman" w:cs="Times New Roman" w:eastAsia="Times New Roman" w:hAnsi="Times New Roman"/>
          <w:sz w:val="16"/>
          <w:szCs w:val="16"/>
          <w:color w:val="auto"/>
        </w:rPr>
      </w:pPr>
    </w:p>
    <w:p>
      <w:pPr>
        <w:ind w:left="50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jc w:val="both"/>
        <w:ind w:firstLine="161"/>
        <w:spacing w:after="0" w:line="269" w:lineRule="auto"/>
        <w:rPr>
          <w:sz w:val="20"/>
          <w:szCs w:val="20"/>
          <w:color w:val="auto"/>
        </w:rPr>
      </w:pPr>
      <w:r>
        <w:rPr>
          <w:rFonts w:ascii="Times New Roman" w:cs="Times New Roman" w:eastAsia="Times New Roman" w:hAnsi="Times New Roman"/>
          <w:sz w:val="17"/>
          <w:szCs w:val="17"/>
          <w:color w:val="auto"/>
        </w:rPr>
        <w:t>During the three months ended March 31, 2024, the following directors or officers of the Company adopted a "Rule 10b5-1 trading arrangement" or "non-Rule 10b5-1 trading arrangement," as each term is defined in Item 408(a) of Regulation S-K: (1) on February 23, 2024, Julian Blissett, Executive Vice President and President, GM China, adopted a trading plan intended to satisfy Rule 10b5-1(c) to sell up to 48,741 shares of GM common stock and up to 104,488 shares of GM common stock issuable upon exercise of vested options between May 28, 2024 and February 14, 2025, subject to certain conditions;</w:t>
      </w:r>
    </w:p>
    <w:p>
      <w:pPr>
        <w:spacing w:after="0" w:line="2" w:lineRule="exact"/>
        <w:rPr>
          <w:sz w:val="20"/>
          <w:szCs w:val="20"/>
          <w:color w:val="auto"/>
        </w:rPr>
      </w:pPr>
    </w:p>
    <w:p>
      <w:pPr>
        <w:jc w:val="both"/>
        <w:ind w:firstLine="7"/>
        <w:spacing w:after="0" w:line="251" w:lineRule="auto"/>
        <w:tabs>
          <w:tab w:leader="none" w:pos="2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26, 2024, Mary Barra, Chair and Chief Executive Officer, adopted trading plans intended to satisfy Rule 10b5-1(c) to sell up to 900,000 shares of GM common stock and up to 1,066,269 shares of GM common stock issuable upon exercise of vested options between May 28, 2024 and February 14, 2025, subject to certain conditions; and (3) on February 27, 2024, Mark Reuss, President, adopted a trading plan intended to satisfy Rule 10b5-1(c) to sell up to 200,000 shares of GM common stock and up to 122,283 shares of GM common stock issuable upon exercise of vested options between May 28, 2024 and February 14, 2025, subject to certain conditions.</w:t>
      </w:r>
    </w:p>
    <w:p>
      <w:pPr>
        <w:spacing w:after="0" w:line="215" w:lineRule="exact"/>
        <w:rPr>
          <w:rFonts w:ascii="Times New Roman" w:cs="Times New Roman" w:eastAsia="Times New Roman" w:hAnsi="Times New Roman"/>
          <w:sz w:val="18"/>
          <w:szCs w:val="18"/>
          <w:color w:val="auto"/>
        </w:rPr>
      </w:pPr>
    </w:p>
    <w:p>
      <w:pPr>
        <w:ind w:left="5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180" w:type="dxa"/>
            <w:vAlign w:val="bottom"/>
            <w:gridSpan w:val="13"/>
          </w:tcPr>
          <w:p>
            <w:pPr>
              <w:ind w:left="88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180" w:type="dxa"/>
            <w:vAlign w:val="bottom"/>
            <w:gridSpan w:val="13"/>
          </w:tcPr>
          <w:p>
            <w:pPr>
              <w:ind w:left="2480"/>
              <w:spacing w:after="0"/>
              <w:rPr>
                <w:sz w:val="20"/>
                <w:szCs w:val="20"/>
                <w:color w:val="auto"/>
              </w:rPr>
            </w:pPr>
            <w:r>
              <w:rPr>
                <w:rFonts w:ascii="Times New Roman" w:cs="Times New Roman" w:eastAsia="Times New Roman" w:hAnsi="Times New Roman"/>
                <w:sz w:val="18"/>
                <w:szCs w:val="18"/>
                <w:b w:val="1"/>
                <w:bCs w:val="1"/>
                <w:color w:val="auto"/>
              </w:rPr>
              <w:t>Exhibit Name</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200" w:type="dxa"/>
            <w:vAlign w:val="bottom"/>
            <w:tcBorders>
              <w:top w:val="single" w:sz="8" w:color="auto"/>
            </w:tcBorders>
            <w:gridSpan w:val="16"/>
            <w:shd w:val="clear" w:color="auto" w:fill="CCEEFF"/>
          </w:tcPr>
          <w:p>
            <w:pPr>
              <w:spacing w:after="0" w:line="168"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Restated Certificate of Incorporation of General Motors Company dated December 7, 2010, incorporated by</w:t>
              </w:r>
            </w:hyperlink>
          </w:p>
        </w:tc>
        <w:tc>
          <w:tcPr>
            <w:tcW w:w="152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140" w:type="dxa"/>
            <w:vAlign w:val="bottom"/>
            <w:tcBorders>
              <w:top w:val="single" w:sz="8" w:color="0000FF"/>
            </w:tcBorders>
            <w:gridSpan w:val="13"/>
            <w:shd w:val="clear" w:color="auto" w:fill="CCEEFF"/>
          </w:tcPr>
          <w:p>
            <w:pPr>
              <w:spacing w:after="0" w:line="161"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reference to Exhibit 3.2 to the Current Report on Form 8-K of General Motors Company filed December 13,</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0000FF"/>
            </w:tcBorders>
            <w:gridSpan w:val="2"/>
            <w:shd w:val="clear" w:color="auto" w:fill="CCEEFF"/>
          </w:tcPr>
          <w:p>
            <w:pPr>
              <w:spacing w:after="0" w:line="168"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2010</w:t>
              </w:r>
            </w:hyperlink>
          </w:p>
        </w:tc>
        <w:tc>
          <w:tcPr>
            <w:tcW w:w="180" w:type="dxa"/>
            <w:vAlign w:val="bottom"/>
            <w:tcBorders>
              <w:top w:val="single" w:sz="8" w:color="0000FF"/>
            </w:tcBorders>
            <w:shd w:val="clear" w:color="auto" w:fill="CCEEFF"/>
          </w:tcPr>
          <w:p>
            <w:pPr>
              <w:spacing w:after="0"/>
              <w:rPr>
                <w:sz w:val="14"/>
                <w:szCs w:val="14"/>
                <w:color w:val="auto"/>
              </w:rPr>
            </w:pPr>
          </w:p>
        </w:tc>
        <w:tc>
          <w:tcPr>
            <w:tcW w:w="294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520" w:type="dxa"/>
            <w:vAlign w:val="bottom"/>
            <w:tcBorders>
              <w:top w:val="single" w:sz="8" w:color="0000FF"/>
            </w:tcBorders>
            <w:shd w:val="clear" w:color="auto" w:fill="CCEEFF"/>
          </w:tcPr>
          <w:p>
            <w:pPr>
              <w:spacing w:after="0"/>
              <w:rPr>
                <w:sz w:val="14"/>
                <w:szCs w:val="14"/>
                <w:color w:val="auto"/>
              </w:rPr>
            </w:pPr>
          </w:p>
        </w:tc>
        <w:tc>
          <w:tcPr>
            <w:tcW w:w="128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0" w:type="dxa"/>
            <w:vAlign w:val="bottom"/>
            <w:gridSpan w:val="16"/>
          </w:tcPr>
          <w:p>
            <w:pPr>
              <w:spacing w:after="0" w:line="189"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General Motors Company Amended and Restated Bylaws, as amended April 20, 2023, incorporated by</w:t>
              </w:r>
            </w:hyperlink>
          </w:p>
        </w:tc>
        <w:tc>
          <w:tcPr>
            <w:tcW w:w="1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reference to Exhibit 3.1 to the Current Report on Form 8-K of General Motors Company filed April 21,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Reference</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9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52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Form of Restricted Stock Unit Award Agreement No. 4 under the General Motors Company 2020 Long-Term</w:t>
            </w:r>
          </w:p>
        </w:tc>
        <w:tc>
          <w:tcPr>
            <w:tcW w:w="1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0000FF"/>
              <w:bottom w:val="single" w:sz="8" w:color="0000FF"/>
            </w:tcBorders>
            <w:gridSpan w:val="3"/>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Incentive Plan</w:t>
            </w:r>
          </w:p>
        </w:tc>
        <w:tc>
          <w:tcPr>
            <w:tcW w:w="708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Form of Performance Stock Unit Award Agreement No. 4 under the General Motors Company 2020 Long-Term</w:t>
            </w:r>
          </w:p>
        </w:tc>
        <w:tc>
          <w:tcPr>
            <w:tcW w:w="1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tcBorders>
              <w:top w:val="single" w:sz="8" w:color="0000FF"/>
            </w:tcBorders>
            <w:gridSpan w:val="12"/>
          </w:tcPr>
          <w:p>
            <w:pPr>
              <w:spacing w:after="0" w:line="154" w:lineRule="exact"/>
              <w:rPr>
                <w:sz w:val="20"/>
                <w:szCs w:val="20"/>
                <w:color w:val="auto"/>
              </w:rPr>
            </w:pPr>
            <w:r>
              <w:rPr>
                <w:rFonts w:ascii="Times New Roman" w:cs="Times New Roman" w:eastAsia="Times New Roman" w:hAnsi="Times New Roman"/>
                <w:sz w:val="17"/>
                <w:szCs w:val="17"/>
                <w:color w:val="0000FF"/>
              </w:rPr>
              <w:t>Incentive Plan</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0" w:type="dxa"/>
            <w:vAlign w:val="bottom"/>
            <w:gridSpan w:val="16"/>
            <w:shd w:val="clear" w:color="auto" w:fill="CCEEFF"/>
          </w:tcPr>
          <w:p>
            <w:pPr>
              <w:spacing w:after="0" w:line="189"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Sixth Amended and Restated 364-Day Revolving Credit Agreement among General Motors Company, General</w:t>
              </w:r>
            </w:hyperlink>
          </w:p>
        </w:tc>
        <w:tc>
          <w:tcPr>
            <w:tcW w:w="1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180" w:type="dxa"/>
            <w:vAlign w:val="bottom"/>
            <w:tcBorders>
              <w:top w:val="single" w:sz="8" w:color="0000FF"/>
            </w:tcBorders>
            <w:gridSpan w:val="15"/>
            <w:shd w:val="clear" w:color="auto" w:fill="CCEEFF"/>
          </w:tcPr>
          <w:p>
            <w:pPr>
              <w:spacing w:after="0" w:line="154"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Motors Financial Company, Inc., the subsidiary borrowers from time to time parties thereto, the several lenders</w:t>
              </w:r>
            </w:hyperlink>
          </w:p>
        </w:tc>
        <w:tc>
          <w:tcPr>
            <w:tcW w:w="2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Reference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160" w:type="dxa"/>
            <w:vAlign w:val="bottom"/>
            <w:tcBorders>
              <w:top w:val="single" w:sz="8" w:color="0000FF"/>
            </w:tcBorders>
            <w:gridSpan w:val="14"/>
            <w:shd w:val="clear" w:color="auto" w:fill="CCEEFF"/>
          </w:tcPr>
          <w:p>
            <w:pPr>
              <w:spacing w:after="0" w:line="168"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from time to time parties thereto, JPMorgan Chase Bank, N.A., as administrative agent, Citibank, N.A., as</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15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40" w:type="dxa"/>
            <w:vAlign w:val="bottom"/>
            <w:tcBorders>
              <w:top w:val="single" w:sz="8" w:color="0000FF"/>
              <w:bottom w:val="single" w:sz="8" w:color="0000FF"/>
            </w:tcBorders>
            <w:gridSpan w:val="8"/>
            <w:shd w:val="clear" w:color="auto" w:fill="CCEEFF"/>
          </w:tcPr>
          <w:p>
            <w:pPr>
              <w:spacing w:after="0" w:line="154"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syndication agent, and Bank of America, N.A., as co-syndication agent, incorporated by reference to Exhibit</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6"/>
            <w:shd w:val="clear" w:color="auto" w:fill="CCEEFF"/>
          </w:tcPr>
          <w:p>
            <w:pPr>
              <w:spacing w:after="0"/>
              <w:rPr>
                <w:sz w:val="13"/>
                <w:szCs w:val="13"/>
                <w:color w:val="auto"/>
              </w:rPr>
            </w:pPr>
          </w:p>
        </w:tc>
        <w:tc>
          <w:tcPr>
            <w:tcW w:w="15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80" w:type="dxa"/>
            <w:vAlign w:val="bottom"/>
            <w:gridSpan w:val="10"/>
            <w:shd w:val="clear" w:color="auto" w:fill="CCEEFF"/>
          </w:tcPr>
          <w:p>
            <w:pPr>
              <w:spacing w:after="0" w:line="154"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the Current Report on Form 8-K of General Motors Company filed March 28, 2024</w:t>
              </w:r>
            </w:hyperlink>
          </w:p>
        </w:tc>
        <w:tc>
          <w:tcPr>
            <w:tcW w:w="120" w:type="dxa"/>
            <w:vAlign w:val="bottom"/>
            <w:gridSpan w:val="6"/>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520" w:type="dxa"/>
            <w:vAlign w:val="bottom"/>
            <w:tcBorders>
              <w:top w:val="single" w:sz="8" w:color="0000FF"/>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Section 302 Certification of the Chief Executive Officer</w:t>
            </w:r>
          </w:p>
        </w:tc>
        <w:tc>
          <w:tcPr>
            <w:tcW w:w="1680" w:type="dxa"/>
            <w:vAlign w:val="bottom"/>
            <w:tcBorders>
              <w:top w:val="single" w:sz="8" w:color="CCEEFF"/>
            </w:tcBorders>
            <w:gridSpan w:val="10"/>
          </w:tcPr>
          <w:p>
            <w:pPr>
              <w:spacing w:after="0"/>
              <w:rPr>
                <w:sz w:val="16"/>
                <w:szCs w:val="16"/>
                <w:color w:val="auto"/>
              </w:rPr>
            </w:pPr>
          </w:p>
        </w:tc>
        <w:tc>
          <w:tcPr>
            <w:tcW w:w="15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9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Section 302 Certification of the Chief Financial Officer</w:t>
            </w:r>
          </w:p>
        </w:tc>
        <w:tc>
          <w:tcPr>
            <w:tcW w:w="1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9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w:t>
            </w:r>
          </w:p>
        </w:tc>
        <w:tc>
          <w:tcPr>
            <w:tcW w:w="1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Furnished with this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tcBorders>
            <w:gridSpan w:val="9"/>
          </w:tcPr>
          <w:p>
            <w:pPr>
              <w:spacing w:after="0" w:line="154" w:lineRule="exact"/>
              <w:rPr>
                <w:sz w:val="20"/>
                <w:szCs w:val="20"/>
                <w:color w:val="auto"/>
              </w:rPr>
            </w:pPr>
            <w:r>
              <w:rPr>
                <w:rFonts w:ascii="Times New Roman" w:cs="Times New Roman" w:eastAsia="Times New Roman" w:hAnsi="Times New Roman"/>
                <w:sz w:val="17"/>
                <w:szCs w:val="17"/>
                <w:color w:val="0000FF"/>
              </w:rPr>
              <w:t>Act of 2002</w:t>
            </w:r>
          </w:p>
        </w:tc>
        <w:tc>
          <w:tcPr>
            <w:tcW w:w="140" w:type="dxa"/>
            <w:vAlign w:val="bottom"/>
            <w:gridSpan w:val="7"/>
          </w:tcPr>
          <w:p>
            <w:pPr>
              <w:spacing w:after="0"/>
              <w:rPr>
                <w:sz w:val="13"/>
                <w:szCs w:val="13"/>
                <w:color w:val="auto"/>
              </w:rPr>
            </w:pPr>
          </w:p>
        </w:tc>
        <w:tc>
          <w:tcPr>
            <w:tcW w:w="152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Report</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0" w:type="dxa"/>
            <w:vAlign w:val="bottom"/>
            <w:gridSpan w:val="16"/>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The following financial information from the Company’s Quarterly Report on Form 10-Q for the quarter ended</w:t>
            </w:r>
          </w:p>
        </w:tc>
        <w:tc>
          <w:tcPr>
            <w:tcW w:w="15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0" w:type="dxa"/>
            <w:vAlign w:val="bottom"/>
            <w:gridSpan w:val="16"/>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March 31, 2024, formatted in Inline Extensible Business Reporting Language (iXBRL) includes: (i) the</w:t>
            </w: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0" w:type="dxa"/>
            <w:vAlign w:val="bottom"/>
            <w:gridSpan w:val="16"/>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Condensed Consolidated Income Statements, (ii) the Condensed Consolidated Statements of Comprehensive</w:t>
            </w: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0" w:type="dxa"/>
            <w:vAlign w:val="bottom"/>
            <w:gridSpan w:val="16"/>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Income, (iii) the Condensed Consolidated Balance Sheets, (iv) the Condensed Consolidated Statements of Cash</w:t>
            </w: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0" w:type="dxa"/>
            <w:vAlign w:val="bottom"/>
            <w:gridSpan w:val="16"/>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Flows, (v) the Condensed Consolidated Statements of Equity and (vi) Notes to the Condensed Consolidated</w:t>
            </w: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0" w:type="dxa"/>
            <w:vAlign w:val="bottom"/>
            <w:gridSpan w:val="16"/>
          </w:tcPr>
          <w:p>
            <w:pPr>
              <w:spacing w:after="0" w:line="175" w:lineRule="exact"/>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March 31, 2024,</w:t>
            </w:r>
          </w:p>
        </w:tc>
        <w:tc>
          <w:tcPr>
            <w:tcW w:w="15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formatted as Inline XBRL and contained in Exhibit 101</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Management contracts or compensatory plans and arrangements.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43"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GENERAL MOTORS COMPANY (Registrant)</w:t>
      </w:r>
    </w:p>
    <w:p>
      <w:pPr>
        <w:spacing w:after="0" w:line="200" w:lineRule="exact"/>
        <w:rPr>
          <w:sz w:val="20"/>
          <w:szCs w:val="20"/>
          <w:color w:val="auto"/>
        </w:rPr>
      </w:pPr>
    </w:p>
    <w:p>
      <w:pPr>
        <w:spacing w:after="0" w:line="332" w:lineRule="exact"/>
        <w:rPr>
          <w:sz w:val="20"/>
          <w:szCs w:val="20"/>
          <w:color w:val="auto"/>
        </w:rPr>
      </w:pPr>
    </w:p>
    <w:p>
      <w:pPr>
        <w:ind w:left="5380"/>
        <w:spacing w:after="0"/>
        <w:tabs>
          <w:tab w:leader="none" w:pos="5820" w:val="left"/>
        </w:tabs>
        <w:rPr>
          <w:sz w:val="20"/>
          <w:szCs w:val="20"/>
          <w:color w:val="auto"/>
        </w:rPr>
      </w:pPr>
      <w:r>
        <w:rPr>
          <w:rFonts w:ascii="Times New Roman" w:cs="Times New Roman" w:eastAsia="Times New Roman" w:hAnsi="Times New Roman"/>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16510</wp:posOffset>
            </wp:positionV>
            <wp:extent cx="32594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259455"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Christopher T. Hatto, Vice President, Global Business Solutions and</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April 23, 2024</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General Motors Company</w:t>
      </w:r>
    </w:p>
    <w:p>
      <w:pPr>
        <w:spacing w:after="0" w:line="3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2020 Long-Term Incentive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RSU Award Document for [Insert Date] Grant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Private and Confidential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[Insert Name]</w:t>
      </w:r>
    </w:p>
    <w:p>
      <w:pPr>
        <w:spacing w:after="0" w:line="2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This letter (“</w:t>
      </w:r>
      <w:r>
        <w:rPr>
          <w:rFonts w:ascii="Times New Roman" w:cs="Times New Roman" w:eastAsia="Times New Roman" w:hAnsi="Times New Roman"/>
          <w:sz w:val="20"/>
          <w:szCs w:val="20"/>
          <w:b w:val="1"/>
          <w:bCs w:val="1"/>
          <w:color w:val="auto"/>
        </w:rPr>
        <w:t>Award Document</w:t>
      </w:r>
      <w:r>
        <w:rPr>
          <w:rFonts w:ascii="Times New Roman" w:cs="Times New Roman" w:eastAsia="Times New Roman" w:hAnsi="Times New Roman"/>
          <w:sz w:val="20"/>
          <w:szCs w:val="20"/>
          <w:color w:val="auto"/>
        </w:rPr>
        <w:t>”) describes the details under which you are being granted an Award of Restricted Stock Units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under the General Motors Company 2020 Long-Term Incentive Plan (as amended from time to time,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A copy of the Plan can be found on the Shareworks by Morgan Stanley site. Capitalized terms used in this Award Document have the meanings given in the Plan unless noted otherwise.</w:t>
      </w:r>
    </w:p>
    <w:p>
      <w:pPr>
        <w:spacing w:after="0" w:line="20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Terms of this Award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Motors Company, a Delaware corporation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 RSUs Granted to You</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[Insert Number]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[Insert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Settlement Conditions and Settlement Date(s)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Except as provided below, the RSUs will vest and settle (each a “</w:t>
      </w:r>
      <w:r>
        <w:rPr>
          <w:rFonts w:ascii="Times New Roman" w:cs="Times New Roman" w:eastAsia="Times New Roman" w:hAnsi="Times New Roman"/>
          <w:sz w:val="20"/>
          <w:szCs w:val="20"/>
          <w:b w:val="1"/>
          <w:bCs w:val="1"/>
          <w:color w:val="auto"/>
        </w:rPr>
        <w:t>Settlement Date</w:t>
      </w:r>
      <w:r>
        <w:rPr>
          <w:rFonts w:ascii="Times New Roman" w:cs="Times New Roman" w:eastAsia="Times New Roman" w:hAnsi="Times New Roman"/>
          <w:sz w:val="20"/>
          <w:szCs w:val="20"/>
          <w:color w:val="auto"/>
        </w:rPr>
        <w:t>”)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[Insert Vesting Schedule]</w:t>
      </w:r>
    </w:p>
    <w:p>
      <w:pPr>
        <w:spacing w:after="0" w:line="25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If the Settlement Date falls on a non-trading day of the New York Stock Exchange, then the preceding trading day’s closing price will be used to determine the Fair Market Value of the Shares to be settled (subject to applicable withholding).</w:t>
      </w:r>
    </w:p>
    <w:p>
      <w:pPr>
        <w:spacing w:after="0" w:line="174"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0"/>
          <w:szCs w:val="20"/>
          <w:color w:val="auto"/>
        </w:rPr>
        <w:t>If you experience a Full Career Status Termination of Service prior to the first anniversary of the Grant Date, your Award will be prorated. The pro-rata portion of the Award that is retained shall continue to vest in accordance with the existing vesting schedule, with the remaining portion of the Award being forfeited. The retained pro-rata portion of the Award is calculated based on the month in which your Full Career Status Termination of Service occurs as follows: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[Insert Pro-Ration Schedule]</w:t>
      </w:r>
    </w:p>
    <w:p>
      <w:pPr>
        <w:spacing w:after="0" w:line="24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20"/>
          <w:szCs w:val="20"/>
          <w:color w:val="auto"/>
        </w:rPr>
        <w:t>Except as otherwise provided in the Plan and this Award Document, any portion of the RSUs not vested as of a Termination of Service shall be forfeited.</w:t>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auto"/>
        </w:rPr>
        <w:t>Form of Settlement</w:t>
      </w:r>
    </w:p>
    <w:p>
      <w:pPr>
        <w:spacing w:after="0" w:line="32"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Your Award will be settled in shares of common stock of the Company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Each RSU will be settled for one Share. Vested RSUs shall convey the right to receive dividend equivalents on the Shares underlying the RSU Award with respect to any dividends declared during the period from Grant Date to Settlement Date. Accumulated dividend equivalents shall vest and be paid in cash on the Settlement Date, subject to the satisfaction of the vesting and other conditions of the underlying RSU Award. No dividend equivalents shall be provided with respect to any Shares subject to RSUs that do not vest or settle pursuant to their terms.</w:t>
      </w:r>
    </w:p>
    <w:p>
      <w:pPr>
        <w:spacing w:after="0" w:line="220"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9"/>
          <w:szCs w:val="19"/>
          <w:color w:val="auto"/>
        </w:rPr>
        <w:t xml:space="preserve">Notwithstanding the forgoing and the terms of the Plan, the Company reserves the right to further modify the form of settlement of your Award. For example, </w:t>
      </w:r>
      <w:r>
        <w:rPr>
          <w:rFonts w:ascii="Times New Roman" w:cs="Times New Roman" w:eastAsia="Times New Roman" w:hAnsi="Times New Roman"/>
          <w:sz w:val="19"/>
          <w:szCs w:val="19"/>
          <w:b w:val="1"/>
          <w:bCs w:val="1"/>
          <w:color w:val="auto"/>
        </w:rPr>
        <w:t>if your work location at the time of any Settlement Date noted above is in India</w:t>
      </w:r>
      <w:r>
        <w:rPr>
          <w:rFonts w:ascii="Times New Roman" w:cs="Times New Roman" w:eastAsia="Times New Roman" w:hAnsi="Times New Roman"/>
          <w:sz w:val="19"/>
          <w:szCs w:val="19"/>
          <w:color w:val="auto"/>
        </w:rPr>
        <w:t>, your RSUs will only be settled by a cash payment to you equal to the Fair Market Value of the Shares that would otherwise be settled (subject to applicable withholding). Your RSUs will not be settled by the issue of any Shares unless your work location changes to a jurisdiction that permits settlement in Shares.</w:t>
      </w:r>
    </w:p>
    <w:p>
      <w:pPr>
        <w:spacing w:after="0" w:line="19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0"/>
          <w:szCs w:val="20"/>
          <w:color w:val="auto"/>
        </w:rPr>
        <w:t>As required by law, the Company will withhold any applicable federal, state, local or foreign tax. You are responsible for any taxes due upon vesting and/or settlement. Note: If you are a local national of Israel, your RSUs are being granted as a Section 102 Trustee Award (Capital Gains Track) under the Israeli Tax Ordinance pursuant to the Sub-Plan for Participants subject to Israeli Taxation under the General Motors Company 2020 Long-Term Incentive Plan (“Israeli Sub-Plan”).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Conditions Precedent Applicable to Employment in California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condition precedent to the vesting and/or settlement of any portion of your Award, you shall:</w:t>
      </w:r>
    </w:p>
    <w:p>
      <w:pPr>
        <w:spacing w:after="0" w:line="238" w:lineRule="exact"/>
        <w:rPr>
          <w:sz w:val="20"/>
          <w:szCs w:val="20"/>
          <w:color w:val="auto"/>
        </w:rPr>
      </w:pPr>
    </w:p>
    <w:p>
      <w:pPr>
        <w:ind w:left="660" w:right="360" w:hanging="330"/>
        <w:spacing w:after="0" w:line="250"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employed or providing services to the Company or its Subsidiaries, refrain from engaging in any activity that is a breach of your duty of loyalty to the Company and which will cause damage to the Company or is in any manner inimical or in any way contrary to the best interests of the Company;</w:t>
      </w:r>
    </w:p>
    <w:p>
      <w:pPr>
        <w:spacing w:after="0" w:line="2" w:lineRule="exact"/>
        <w:rPr>
          <w:rFonts w:ascii="Times New Roman" w:cs="Times New Roman" w:eastAsia="Times New Roman" w:hAnsi="Times New Roman"/>
          <w:sz w:val="20"/>
          <w:szCs w:val="20"/>
          <w:color w:val="auto"/>
        </w:rPr>
      </w:pPr>
    </w:p>
    <w:p>
      <w:pPr>
        <w:ind w:left="640" w:hanging="310"/>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the Restrictive Covenants below; and</w:t>
      </w:r>
    </w:p>
    <w:p>
      <w:pPr>
        <w:spacing w:after="0" w:line="5" w:lineRule="exact"/>
        <w:rPr>
          <w:rFonts w:ascii="Times New Roman" w:cs="Times New Roman" w:eastAsia="Times New Roman" w:hAnsi="Times New Roman"/>
          <w:sz w:val="20"/>
          <w:szCs w:val="20"/>
          <w:color w:val="auto"/>
        </w:rPr>
      </w:pPr>
    </w:p>
    <w:p>
      <w:pPr>
        <w:ind w:left="640" w:hanging="310"/>
        <w:spacing w:after="0"/>
        <w:tabs>
          <w:tab w:leader="none" w:pos="64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Furnish to the Company such information with respect to the satisfaction of the foregoing as the Committee may reasonably request.</w:t>
      </w:r>
    </w:p>
    <w:p>
      <w:pPr>
        <w:spacing w:after="0" w:line="236" w:lineRule="exact"/>
        <w:rPr>
          <w:sz w:val="20"/>
          <w:szCs w:val="20"/>
          <w:color w:val="auto"/>
        </w:rPr>
      </w:pPr>
    </w:p>
    <w:p>
      <w:pPr>
        <w:jc w:val="both"/>
        <w:ind w:right="100"/>
        <w:spacing w:after="0" w:line="287" w:lineRule="auto"/>
        <w:rPr>
          <w:sz w:val="20"/>
          <w:szCs w:val="20"/>
          <w:color w:val="auto"/>
        </w:rPr>
      </w:pPr>
      <w:r>
        <w:rPr>
          <w:rFonts w:ascii="Times New Roman" w:cs="Times New Roman" w:eastAsia="Times New Roman" w:hAnsi="Times New Roman"/>
          <w:sz w:val="19"/>
          <w:szCs w:val="19"/>
          <w:color w:val="auto"/>
        </w:rPr>
        <w:t>In addition, the Committee may require you to enter into such agreements as the Committee considers appropriate. Your failure to satisfy any of the foregoing conditions precedent will result in the immediate cancellation of the unvested portion of your Award and any vested portion of your Award that has not yet been settled, and you will not be entitled to receive any consideration with respect to such cancellation.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Restrictive Covenants Applicable to Employment in California</w:t>
      </w:r>
    </w:p>
    <w:p>
      <w:pPr>
        <w:spacing w:after="0" w:line="3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In exchange for the RSUs described in this Award Document, except to the extent this provision is expressly unenforceable or unlawful under applicable law, you agree to the following restrictive covenants (“</w:t>
      </w:r>
      <w:r>
        <w:rPr>
          <w:rFonts w:ascii="Times New Roman" w:cs="Times New Roman" w:eastAsia="Times New Roman" w:hAnsi="Times New Roman"/>
          <w:sz w:val="20"/>
          <w:szCs w:val="20"/>
          <w:b w:val="1"/>
          <w:bCs w:val="1"/>
          <w:color w:val="auto"/>
        </w:rPr>
        <w:t>Restrictive Covenants</w:t>
      </w:r>
      <w:r>
        <w:rPr>
          <w:rFonts w:ascii="Times New Roman" w:cs="Times New Roman" w:eastAsia="Times New Roman" w:hAnsi="Times New Roman"/>
          <w:sz w:val="20"/>
          <w:szCs w:val="20"/>
          <w:color w:val="auto"/>
        </w:rPr>
        <w:t>”) that apply during your employment with the Company and its Subsidiaries:</w:t>
      </w:r>
    </w:p>
    <w:p>
      <w:pPr>
        <w:spacing w:after="0" w:line="217" w:lineRule="exact"/>
        <w:rPr>
          <w:sz w:val="20"/>
          <w:szCs w:val="20"/>
          <w:color w:val="auto"/>
        </w:rPr>
      </w:pPr>
    </w:p>
    <w:p>
      <w:pPr>
        <w:ind w:left="660" w:hanging="330"/>
        <w:spacing w:after="0" w:line="252"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your employment, anywhere within the world where you have, within the last two years of your employment, worked, had management responsibilities or had access to confidential information, you will not directly or indirectly provide services to any business that competes with the Company if such services involve (i) the potential use or disclosure of Company confidential information or trade secrets; (ii) substantially the same functions/responsibilities as yours for the Company during your last two years of employment; or (iii) supervision over substantially the same functions, responsibilities or business units as those you supervised for the Company during your last two years of employment;</w:t>
      </w:r>
    </w:p>
    <w:p>
      <w:pPr>
        <w:sectPr>
          <w:pgSz w:w="11900" w:h="16838" w:orient="portrait"/>
          <w:cols w:equalWidth="0" w:num="1">
            <w:col w:w="11240"/>
          </w:cols>
          <w:pgMar w:left="320" w:top="879" w:right="339" w:bottom="1440" w:gutter="0" w:footer="0" w:header="0"/>
        </w:sectPr>
      </w:pPr>
    </w:p>
    <w:bookmarkStart w:id="50" w:name="page51"/>
    <w:bookmarkEnd w:id="50"/>
    <w:p>
      <w:pPr>
        <w:ind w:left="660" w:right="100" w:hanging="330"/>
        <w:spacing w:after="0" w:line="259"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your employment, you will not directly or indirectly, knowingly induce any employee of the Company or any Subsidiary to leave his/her employment for participation, directly or indirectly, with any existing or future employer or business venture associated with you; and</w:t>
      </w:r>
    </w:p>
    <w:p>
      <w:pPr>
        <w:spacing w:after="0" w:line="209" w:lineRule="exact"/>
        <w:rPr>
          <w:rFonts w:ascii="Times New Roman" w:cs="Times New Roman" w:eastAsia="Times New Roman" w:hAnsi="Times New Roman"/>
          <w:sz w:val="20"/>
          <w:szCs w:val="20"/>
          <w:color w:val="auto"/>
        </w:rPr>
      </w:pPr>
    </w:p>
    <w:p>
      <w:pPr>
        <w:ind w:left="660" w:right="500" w:hanging="330"/>
        <w:spacing w:after="0" w:line="259"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your employment, you will not directly or indirectly solicit or attempt to solicit any client, customer, or supplier of, or provider to the Company or its Subsidiaries who was a client, customer, supplier or provider for which you provided services or supervised services during the 12-month period immediately prior to your Termination of Service.</w:t>
      </w:r>
    </w:p>
    <w:p>
      <w:pPr>
        <w:spacing w:after="0" w:line="209"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20"/>
          <w:szCs w:val="20"/>
          <w:color w:val="auto"/>
        </w:rPr>
        <w:t>You may seek permission from the Company to take action that would otherwise violate one or more aspects of these Restrictive Covenants, but the Company may either approve or deny such request in its unfettered discretion and otherwise enforce the provisions of the Restrictive Covenants.</w:t>
      </w:r>
    </w:p>
    <w:p>
      <w:pPr>
        <w:spacing w:after="0" w:line="196"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color w:val="auto"/>
        </w:rPr>
        <w:t>If you violate any of the Restrictive Covenants during its effective period without the Company’s consent, your entire Award, whether unvested or earned and vested but unsettled, will immediately be cancelled. In addition, you agree to repay to the Company the value of all RSUs that were delivered pursuant to this Award Document during the period commencing on the date that is 12 months prior to your Termination of Service. To the extent permitted under applicable law, the Company may also take action at equity or in law to enforce the provisions of the applicable Restrictive Covenants. Following application of this provision of the Award Document, you will continue to be bound by the obligations, promises and other agreements contained in the Plan and the Award Document.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Terms and Conditions of the Award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the Plan for additional terms and conditions applicable to your Award, including but not limited to, those relating to:</w:t>
      </w:r>
    </w:p>
    <w:p>
      <w:pPr>
        <w:spacing w:after="0" w:line="225" w:lineRule="exact"/>
        <w:rPr>
          <w:sz w:val="20"/>
          <w:szCs w:val="20"/>
          <w:color w:val="auto"/>
        </w:rPr>
      </w:pPr>
    </w:p>
    <w:p>
      <w:pPr>
        <w:ind w:left="660" w:right="160" w:hanging="330"/>
        <w:spacing w:after="0" w:line="256"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 of your Termination of Service on your Award, including upon Death, Disability, achievement of Full Career Status and other Termination of Service scenarios;</w:t>
      </w:r>
    </w:p>
    <w:p>
      <w:pPr>
        <w:spacing w:after="0" w:line="1" w:lineRule="exact"/>
        <w:rPr>
          <w:rFonts w:ascii="Times New Roman" w:cs="Times New Roman" w:eastAsia="Times New Roman" w:hAnsi="Times New Roman"/>
          <w:sz w:val="20"/>
          <w:szCs w:val="20"/>
          <w:color w:val="auto"/>
        </w:rPr>
      </w:pPr>
    </w:p>
    <w:p>
      <w:pPr>
        <w:ind w:left="640" w:hanging="310"/>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Award being subject to any clawback or recoupment policies of the Company as may be in effect from time to time;</w:t>
      </w:r>
    </w:p>
    <w:p>
      <w:pPr>
        <w:spacing w:after="0" w:line="5" w:lineRule="exact"/>
        <w:rPr>
          <w:rFonts w:ascii="Times New Roman" w:cs="Times New Roman" w:eastAsia="Times New Roman" w:hAnsi="Times New Roman"/>
          <w:sz w:val="20"/>
          <w:szCs w:val="20"/>
          <w:color w:val="auto"/>
        </w:rPr>
      </w:pPr>
    </w:p>
    <w:p>
      <w:pPr>
        <w:ind w:left="640" w:hanging="310"/>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a Change in Control or other specified corporate event on your Award; and</w:t>
      </w:r>
    </w:p>
    <w:p>
      <w:pPr>
        <w:spacing w:after="0" w:line="4" w:lineRule="exact"/>
        <w:rPr>
          <w:rFonts w:ascii="Times New Roman" w:cs="Times New Roman" w:eastAsia="Times New Roman" w:hAnsi="Times New Roman"/>
          <w:sz w:val="20"/>
          <w:szCs w:val="20"/>
          <w:color w:val="auto"/>
        </w:rPr>
      </w:pPr>
    </w:p>
    <w:p>
      <w:pPr>
        <w:ind w:left="640" w:hanging="310"/>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Jurisdiction and governing law.</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Acknowledgements</w:t>
      </w:r>
    </w:p>
    <w:p>
      <w:pPr>
        <w:spacing w:after="0" w:line="3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The following additional terms apply to your Award, your participation in the Plan and the grant of RSUs (and issuance of any Shares) to you. By accepting the Award you irrevocably agree and acknowledge in favor of the Company (on its own behalf and as an agent for the Subsidiaries) that:</w:t>
      </w:r>
    </w:p>
    <w:p>
      <w:pPr>
        <w:spacing w:after="0" w:line="203" w:lineRule="exact"/>
        <w:rPr>
          <w:sz w:val="20"/>
          <w:szCs w:val="20"/>
          <w:color w:val="auto"/>
        </w:rPr>
      </w:pPr>
    </w:p>
    <w:p>
      <w:pPr>
        <w:ind w:left="340" w:right="160" w:hanging="333"/>
        <w:spacing w:after="0" w:line="266" w:lineRule="auto"/>
        <w:tabs>
          <w:tab w:leader="none" w:pos="33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enable the Company to issue you this Award,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189" w:lineRule="exact"/>
        <w:rPr>
          <w:rFonts w:ascii="Times New Roman" w:cs="Times New Roman" w:eastAsia="Times New Roman" w:hAnsi="Times New Roman"/>
          <w:sz w:val="20"/>
          <w:szCs w:val="20"/>
          <w:color w:val="auto"/>
        </w:rPr>
      </w:pPr>
    </w:p>
    <w:p>
      <w:pPr>
        <w:ind w:left="340" w:right="80" w:hanging="333"/>
        <w:spacing w:after="0" w:line="256" w:lineRule="auto"/>
        <w:tabs>
          <w:tab w:leader="none" w:pos="32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not have any claim or right to be granted any Award under the Plan, and there is no obligation for uniformity of treatment of employees, consultants, advisors, Participants or holders or Beneficiaries of Awards under the Plan. The terms and conditions of Awards may vary and need not be the same with respect to each recipient. Any Award granted under the Plan shall be a single, discretionary, and voluntary grant and does not constitute a promise, a contractual right or other right to receive future grants. The Committee maintains the right to make available future grants under the Plan.</w:t>
      </w:r>
    </w:p>
    <w:p>
      <w:pPr>
        <w:sectPr>
          <w:pgSz w:w="11900" w:h="16838" w:orient="portrait"/>
          <w:cols w:equalWidth="0" w:num="1">
            <w:col w:w="11220"/>
          </w:cols>
          <w:pgMar w:left="320" w:top="882" w:right="359" w:bottom="1440" w:gutter="0" w:footer="0" w:header="0"/>
        </w:sectPr>
      </w:pPr>
    </w:p>
    <w:bookmarkStart w:id="51" w:name="page52"/>
    <w:bookmarkEnd w:id="51"/>
    <w:p>
      <w:pPr>
        <w:ind w:left="333" w:right="120" w:hanging="333"/>
        <w:spacing w:after="0" w:line="250" w:lineRule="auto"/>
        <w:tabs>
          <w:tab w:leader="none" w:pos="32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ind w:left="333" w:hanging="333"/>
        <w:spacing w:after="0" w:line="248" w:lineRule="auto"/>
        <w:tabs>
          <w:tab w:leader="none" w:pos="32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required by law, this Award under, and your participation in, the Plan does not form part of your remuneration for the purposes of determining payments in lieu of notice of termination of your employment, severance payments, leave entitlements, or any other compensation payable to you.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220" w:lineRule="exact"/>
        <w:rPr>
          <w:rFonts w:ascii="Times New Roman" w:cs="Times New Roman" w:eastAsia="Times New Roman" w:hAnsi="Times New Roman"/>
          <w:sz w:val="20"/>
          <w:szCs w:val="20"/>
          <w:color w:val="auto"/>
        </w:rPr>
      </w:pPr>
    </w:p>
    <w:p>
      <w:pPr>
        <w:jc w:val="both"/>
        <w:ind w:left="333" w:right="140" w:hanging="333"/>
        <w:spacing w:after="0" w:line="279" w:lineRule="auto"/>
        <w:tabs>
          <w:tab w:leader="none" w:pos="324"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Award includes Restrictive Covenants and conditions precedent that apply during your employment, and the RSUs described in this Award constitute one element of the good and valuable consideration provided in exchange for those Restrictive Covenants. You may be subject to other Agreements that contain restrictive covenants and those covenants are independent of these Restrictive Covenants.</w:t>
      </w:r>
    </w:p>
    <w:p>
      <w:pPr>
        <w:spacing w:after="0" w:line="192" w:lineRule="exact"/>
        <w:rPr>
          <w:rFonts w:ascii="Times New Roman" w:cs="Times New Roman" w:eastAsia="Times New Roman" w:hAnsi="Times New Roman"/>
          <w:sz w:val="19"/>
          <w:szCs w:val="19"/>
          <w:color w:val="auto"/>
        </w:rPr>
      </w:pPr>
    </w:p>
    <w:p>
      <w:pPr>
        <w:ind w:left="333" w:right="40" w:hanging="333"/>
        <w:spacing w:after="0" w:line="259" w:lineRule="auto"/>
        <w:tabs>
          <w:tab w:leader="none" w:pos="32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subject to U.S. taxation and if any portion of this Award becomes non-forfeitable (e.g., due to your attaining Full Career Status) prior to settlement of the Award, it will be subject to the U.S. Federal Insurance Contributions Act (“FICA”) tax at the time such portion becomes non-forfeitable.</w:t>
      </w:r>
    </w:p>
    <w:p>
      <w:pPr>
        <w:spacing w:after="0" w:line="209" w:lineRule="exact"/>
        <w:rPr>
          <w:rFonts w:ascii="Times New Roman" w:cs="Times New Roman" w:eastAsia="Times New Roman" w:hAnsi="Times New Roman"/>
          <w:sz w:val="20"/>
          <w:szCs w:val="20"/>
          <w:color w:val="auto"/>
        </w:rPr>
      </w:pPr>
    </w:p>
    <w:p>
      <w:pPr>
        <w:ind w:left="333" w:right="100" w:hanging="333"/>
        <w:spacing w:after="0" w:line="259" w:lineRule="auto"/>
        <w:tabs>
          <w:tab w:leader="none" w:pos="32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a local national of Israel, you have carefully read the Israeli Sub-Plan and the trust agreement between General Motors and its trustee, which are provided on the Shareworks by Morgan Stanley site, and agree that in order to qualify for a Section 102 Trustee Award you will not release the RSUs from the trust prior to the lapse of the restricted period as outlined under the Israeli Sub-Plan.</w:t>
      </w:r>
    </w:p>
    <w:p>
      <w:pPr>
        <w:spacing w:after="0" w:line="196" w:lineRule="exact"/>
        <w:rPr>
          <w:rFonts w:ascii="Times New Roman" w:cs="Times New Roman" w:eastAsia="Times New Roman" w:hAnsi="Times New Roman"/>
          <w:sz w:val="20"/>
          <w:szCs w:val="20"/>
          <w:color w:val="auto"/>
        </w:rPr>
      </w:pPr>
    </w:p>
    <w:p>
      <w:pPr>
        <w:ind w:left="333" w:right="40" w:hanging="333"/>
        <w:spacing w:after="0" w:line="252" w:lineRule="auto"/>
        <w:tabs>
          <w:tab w:leader="none" w:pos="32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a local national of the People’s Republic of China (“PRC”), you are subject to exchange control restrictions and regulations in the PRC including the requirements imposed by the State Administration of Foreign Exchange (“SAFE”). As provided on the Shareworks by Morgan Stanley site, you have carefully read the SAFE terms and conditions that apply to your Award and agree to comply with these requirements.</w:t>
      </w:r>
    </w:p>
    <w:p>
      <w:pPr>
        <w:spacing w:after="0" w:line="3" w:lineRule="exact"/>
        <w:rPr>
          <w:rFonts w:ascii="Times New Roman" w:cs="Times New Roman" w:eastAsia="Times New Roman" w:hAnsi="Times New Roman"/>
          <w:sz w:val="20"/>
          <w:szCs w:val="20"/>
          <w:color w:val="auto"/>
        </w:rPr>
      </w:pPr>
    </w:p>
    <w:p>
      <w:pPr>
        <w:jc w:val="both"/>
        <w:ind w:left="333" w:right="340" w:hanging="333"/>
        <w:spacing w:after="0" w:line="245" w:lineRule="auto"/>
        <w:tabs>
          <w:tab w:leader="none" w:pos="33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ind w:left="333" w:right="180" w:hanging="333"/>
        <w:spacing w:after="0" w:line="249" w:lineRule="auto"/>
        <w:tabs>
          <w:tab w:leader="none" w:pos="33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is unknown and cannot be predicted with certainty and the Shares may increase or decrease in value.</w:t>
      </w:r>
    </w:p>
    <w:p>
      <w:pPr>
        <w:ind w:left="333" w:right="20" w:hanging="333"/>
        <w:spacing w:after="0" w:line="258" w:lineRule="auto"/>
        <w:tabs>
          <w:tab w:leader="none" w:pos="322"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will have no claim or entitlement to compensation or damages arising from the forfeiture of the RSUs, the termination of the Plan, or the diminution in value of the RSUs or Shares, including, without limitation, as a result of the termination of your employment or services by the Company or any Subsidiary for any reason whatsoever and whether or not in breach of contract. You irrevocably release the Company, its Subsidiaries, Affiliates, the Plan Administrator and their respective affiliates from any such claim that may arise.</w:t>
      </w:r>
    </w:p>
    <w:p>
      <w:pPr>
        <w:spacing w:after="0" w:line="1" w:lineRule="exact"/>
        <w:rPr>
          <w:rFonts w:ascii="Times New Roman" w:cs="Times New Roman" w:eastAsia="Times New Roman" w:hAnsi="Times New Roman"/>
          <w:sz w:val="19"/>
          <w:szCs w:val="19"/>
          <w:color w:val="auto"/>
        </w:rPr>
      </w:pPr>
    </w:p>
    <w:p>
      <w:pPr>
        <w:ind w:left="333" w:right="80" w:hanging="333"/>
        <w:spacing w:after="0" w:line="264" w:lineRule="auto"/>
        <w:tabs>
          <w:tab w:leader="none" w:pos="33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adopted a stock ownership requirement policy, and if your position is covered, you shall be subject to and comply with this policy as may be in effect from time to time.</w:t>
      </w:r>
    </w:p>
    <w:p>
      <w:pPr>
        <w:sectPr>
          <w:pgSz w:w="11900" w:h="16838" w:orient="portrait"/>
          <w:cols w:equalWidth="0" w:num="1">
            <w:col w:w="11233"/>
          </w:cols>
          <w:pgMar w:left="327" w:top="883" w:right="339" w:bottom="1440" w:gutter="0" w:footer="0" w:header="0"/>
        </w:sectPr>
      </w:pPr>
    </w:p>
    <w:bookmarkStart w:id="52" w:name="page53"/>
    <w:bookmarkEnd w:id="52"/>
    <w:p>
      <w:pPr>
        <w:ind w:left="340" w:right="140" w:hanging="333"/>
        <w:spacing w:after="0" w:line="251" w:lineRule="auto"/>
        <w:tabs>
          <w:tab w:leader="none" w:pos="33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ind w:left="340" w:hanging="333"/>
        <w:spacing w:after="0" w:line="247" w:lineRule="auto"/>
        <w:tabs>
          <w:tab w:leader="none" w:pos="32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agree this Plan and this Award are governed by the laws of the State of Delaware, without regard to the conflicts of law provisions thereof, and further consent to the exclusive personal jurisdiction and venue of the Chancery Court of the State of Delaware and the United States District Court for the District of Delaware for any action, claim or dispute arising out of or relating to this Award, the Plan or the subject matter contained in this Award Document. The Company will make reasonable efforts so that the Award complies with all applicable federal and state laws; provided, however, notwithstanding any other provision of the Award Document, the RSUs shall not be settled if the settlement thereof would result in a violation of any such law.</w:t>
      </w:r>
    </w:p>
    <w:p>
      <w:pPr>
        <w:spacing w:after="0" w:line="224" w:lineRule="exact"/>
        <w:rPr>
          <w:rFonts w:ascii="Times New Roman" w:cs="Times New Roman" w:eastAsia="Times New Roman" w:hAnsi="Times New Roman"/>
          <w:sz w:val="20"/>
          <w:szCs w:val="20"/>
          <w:color w:val="auto"/>
        </w:rPr>
      </w:pPr>
    </w:p>
    <w:p>
      <w:pPr>
        <w:ind w:left="340" w:right="620" w:hanging="333"/>
        <w:spacing w:after="0" w:line="281" w:lineRule="auto"/>
        <w:tabs>
          <w:tab w:leader="none" w:pos="32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173" w:lineRule="exact"/>
        <w:rPr>
          <w:rFonts w:ascii="Times New Roman" w:cs="Times New Roman" w:eastAsia="Times New Roman" w:hAnsi="Times New Roman"/>
          <w:sz w:val="20"/>
          <w:szCs w:val="20"/>
          <w:color w:val="auto"/>
        </w:rPr>
      </w:pPr>
    </w:p>
    <w:p>
      <w:pPr>
        <w:ind w:left="340" w:right="40" w:hanging="333"/>
        <w:spacing w:after="0" w:line="257" w:lineRule="auto"/>
        <w:tabs>
          <w:tab w:leader="none" w:pos="32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read this Award Document and the Plan, including the Israeli Sub-Plan and trustee agreement if you are a local national of Israel and the SAFE requirements if you are a local national of the PRC, carefully and understand their terms including but not limited to the Restrictive Covenants herein. By indicating your acceptance of these terms, you are expressly accepting the terms and conditions of the Award, and the Company may rely on your acceptance.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Acceptance of Award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accept this Award, you will need to follow the link at the bottom of this page. Your electronic acceptance confirms the following:</w:t>
      </w:r>
    </w:p>
    <w:p>
      <w:pPr>
        <w:spacing w:after="0" w:line="23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I confirm that I have been given a copy of this Award Document and access to the Plan, and that having read these documents I irrevocably agree to:</w:t>
      </w:r>
    </w:p>
    <w:p>
      <w:pPr>
        <w:spacing w:after="0" w:line="1" w:lineRule="exact"/>
        <w:rPr>
          <w:sz w:val="20"/>
          <w:szCs w:val="20"/>
          <w:color w:val="auto"/>
        </w:rPr>
      </w:pPr>
    </w:p>
    <w:p>
      <w:pPr>
        <w:ind w:left="340" w:right="640" w:hanging="333"/>
        <w:spacing w:after="0" w:line="245" w:lineRule="auto"/>
        <w:tabs>
          <w:tab w:leader="none" w:pos="332"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 the RSUs (and any Shares) that are issued by the Company to me in accordance with the terms of the Plan and this Award Document; and</w:t>
      </w:r>
    </w:p>
    <w:p>
      <w:pPr>
        <w:ind w:left="320" w:hanging="313"/>
        <w:spacing w:after="0"/>
        <w:tabs>
          <w:tab w:leader="none" w:pos="3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bound by and abide by the terms of this Award Document and the Plan.</w:t>
      </w:r>
    </w:p>
    <w:p>
      <w:pPr>
        <w:spacing w:after="0" w:line="238"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20"/>
          <w:szCs w:val="20"/>
          <w:color w:val="auto"/>
        </w:rPr>
        <w:t>If you do not accept this Award by [Insert Grant Acceptance Date], this Award will lapse and be incapable of acceptance (unless otherwise agreed to by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 have any questions concerning this Award or the Plan, contact [Insert Contact Information].</w:t>
      </w:r>
    </w:p>
    <w:p>
      <w:pPr>
        <w:sectPr>
          <w:pgSz w:w="11900" w:h="16838" w:orient="portrait"/>
          <w:cols w:equalWidth="0" w:num="1">
            <w:col w:w="11160"/>
          </w:cols>
          <w:pgMar w:left="320" w:top="883" w:right="41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General Motors Company</w:t>
      </w:r>
    </w:p>
    <w:p>
      <w:pPr>
        <w:spacing w:after="0" w:line="3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2020 Long-Term Incentive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PSU Award Document for [Insert Date] Grant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Private and Confidential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[Insert Name]</w:t>
      </w:r>
    </w:p>
    <w:p>
      <w:pPr>
        <w:spacing w:after="0" w:line="23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This letter (“</w:t>
      </w:r>
      <w:r>
        <w:rPr>
          <w:rFonts w:ascii="Times New Roman" w:cs="Times New Roman" w:eastAsia="Times New Roman" w:hAnsi="Times New Roman"/>
          <w:sz w:val="20"/>
          <w:szCs w:val="20"/>
          <w:b w:val="1"/>
          <w:bCs w:val="1"/>
          <w:color w:val="auto"/>
        </w:rPr>
        <w:t>Award Document</w:t>
      </w:r>
      <w:r>
        <w:rPr>
          <w:rFonts w:ascii="Times New Roman" w:cs="Times New Roman" w:eastAsia="Times New Roman" w:hAnsi="Times New Roman"/>
          <w:sz w:val="20"/>
          <w:szCs w:val="20"/>
          <w:color w:val="auto"/>
        </w:rPr>
        <w:t>”) describes the details under which you are being granted an Award of Performance Share Units (“</w:t>
      </w:r>
      <w:r>
        <w:rPr>
          <w:rFonts w:ascii="Times New Roman" w:cs="Times New Roman" w:eastAsia="Times New Roman" w:hAnsi="Times New Roman"/>
          <w:sz w:val="20"/>
          <w:szCs w:val="20"/>
          <w:b w:val="1"/>
          <w:bCs w:val="1"/>
          <w:color w:val="auto"/>
        </w:rPr>
        <w:t>PSUs</w:t>
      </w:r>
      <w:r>
        <w:rPr>
          <w:rFonts w:ascii="Times New Roman" w:cs="Times New Roman" w:eastAsia="Times New Roman" w:hAnsi="Times New Roman"/>
          <w:sz w:val="20"/>
          <w:szCs w:val="20"/>
          <w:color w:val="auto"/>
        </w:rPr>
        <w:t>”) under the General Motors Company 2020 Long-Term Incentive Plan (as amended from time to time,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A copy of the Plan can be found on the Shareworks by Morgan Stanley site. Capitalized terms used in this Award Document have the meanings given in the Plan unless noted otherwise.</w:t>
      </w:r>
    </w:p>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Terms of this Award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Motors Company, a Delaware corporation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 Target Units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 number of “</w:t>
      </w:r>
      <w:r>
        <w:rPr>
          <w:rFonts w:ascii="Times New Roman" w:cs="Times New Roman" w:eastAsia="Times New Roman" w:hAnsi="Times New Roman"/>
          <w:sz w:val="20"/>
          <w:szCs w:val="20"/>
          <w:b w:val="1"/>
          <w:bCs w:val="1"/>
          <w:color w:val="auto"/>
        </w:rPr>
        <w:t>Target Units</w:t>
      </w:r>
      <w:r>
        <w:rPr>
          <w:rFonts w:ascii="Times New Roman" w:cs="Times New Roman" w:eastAsia="Times New Roman" w:hAnsi="Times New Roman"/>
          <w:sz w:val="20"/>
          <w:szCs w:val="20"/>
          <w:color w:val="auto"/>
        </w:rPr>
        <w:t>” is [Insert Number] PSUs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[Insert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Period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[Insert Date] through [Insert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Conditions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See the </w:t>
      </w:r>
      <w:r>
        <w:rPr>
          <w:rFonts w:ascii="Times New Roman" w:cs="Times New Roman" w:eastAsia="Times New Roman" w:hAnsi="Times New Roman"/>
          <w:sz w:val="20"/>
          <w:szCs w:val="20"/>
          <w:b w:val="1"/>
          <w:bCs w:val="1"/>
          <w:color w:val="auto"/>
        </w:rPr>
        <w:t>Performance Conditions</w:t>
      </w:r>
      <w:r>
        <w:rPr>
          <w:rFonts w:ascii="Times New Roman" w:cs="Times New Roman" w:eastAsia="Times New Roman" w:hAnsi="Times New Roman"/>
          <w:sz w:val="20"/>
          <w:szCs w:val="20"/>
          <w:color w:val="auto"/>
        </w:rPr>
        <w:t xml:space="preserve"> set forth on Exhibit A of this Award Document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Settlement Conditions and Settlement Date(s)</w:t>
      </w:r>
    </w:p>
    <w:p>
      <w:pPr>
        <w:spacing w:after="0" w:line="2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Subject to the achievement of the Performance Conditions, any earned Award will vest and settle on the “</w:t>
      </w:r>
      <w:r>
        <w:rPr>
          <w:rFonts w:ascii="Times New Roman" w:cs="Times New Roman" w:eastAsia="Times New Roman" w:hAnsi="Times New Roman"/>
          <w:sz w:val="20"/>
          <w:szCs w:val="20"/>
          <w:b w:val="1"/>
          <w:bCs w:val="1"/>
          <w:color w:val="auto"/>
        </w:rPr>
        <w:t>Settlement Date</w:t>
      </w:r>
      <w:r>
        <w:rPr>
          <w:rFonts w:ascii="Times New Roman" w:cs="Times New Roman" w:eastAsia="Times New Roman" w:hAnsi="Times New Roman"/>
          <w:sz w:val="20"/>
          <w:szCs w:val="20"/>
          <w:color w:val="auto"/>
        </w:rPr>
        <w:t>,” which shall be a date in [Insert Year] selected by the Committee for the settlement of your Award.</w:t>
      </w:r>
    </w:p>
    <w:p>
      <w:pPr>
        <w:spacing w:after="0" w:line="196"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9"/>
          <w:szCs w:val="19"/>
          <w:color w:val="auto"/>
        </w:rPr>
        <w:t>If you experience a Full Career Status Termination of Service prior to the first anniversary of the Grant Date, your Award will be prorated. The pro-rata portion of the Award that is retained shall continue to be subject to the achievement of the Performance Conditions and any earned Award will vest and settle on the Settlement Date, with the remaining portion of the Award being forfeited. The retained pro-rata portion of the Award is calculated based on the month in which your Full Career Status Termination of Service occurs as follows: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[Insert Pro-Ration Schedule]</w:t>
      </w:r>
    </w:p>
    <w:p>
      <w:pPr>
        <w:spacing w:after="0" w:line="240"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auto"/>
        </w:rPr>
        <w:t>Except as otherwise provided in the Plan and this Award Document, any portion of the PSUs not vested and settled prior to a Termination of Service shall be forfeited.</w:t>
      </w:r>
    </w:p>
    <w:p>
      <w:pPr>
        <w:sectPr>
          <w:pgSz w:w="11900" w:h="16838" w:orient="portrait"/>
          <w:cols w:equalWidth="0" w:num="1">
            <w:col w:w="11240"/>
          </w:cols>
          <w:pgMar w:left="320" w:top="15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Form of Settlement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Your Award will be settled in shares of common stock of the Company (“</w:t>
      </w:r>
      <w:r>
        <w:rPr>
          <w:rFonts w:ascii="Times New Roman" w:cs="Times New Roman" w:eastAsia="Times New Roman" w:hAnsi="Times New Roman"/>
          <w:sz w:val="19"/>
          <w:szCs w:val="19"/>
          <w:b w:val="1"/>
          <w:bCs w:val="1"/>
          <w:color w:val="auto"/>
        </w:rPr>
        <w:t>Shares</w:t>
      </w:r>
      <w:r>
        <w:rPr>
          <w:rFonts w:ascii="Times New Roman" w:cs="Times New Roman" w:eastAsia="Times New Roman" w:hAnsi="Times New Roman"/>
          <w:sz w:val="19"/>
          <w:szCs w:val="19"/>
          <w:color w:val="auto"/>
        </w:rPr>
        <w:t>”) to the extent such PSUs are earned pursuant to Exhibit 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earned PSU will be settled for one Share.</w:t>
      </w:r>
    </w:p>
    <w:p>
      <w:pPr>
        <w:spacing w:after="0" w:line="232"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9"/>
          <w:szCs w:val="19"/>
          <w:color w:val="auto"/>
        </w:rPr>
        <w:t>Earned PSUs shall convey the right to receive dividend equivalents on the Shares underlying the PSU Award with respect to any dividends declared during the period from Grant Date to Settlement Date. Accumulated dividend equivalents shall vest and be paid in cash on the Settlement Date, subject to the satisfaction of the performance, vesting and other conditions of the underlying PSU Award. No dividend equivalents shall be provided with respect to any Shares subject to PSUs that are not earned or do not vest or settle pursuant to their terms.</w:t>
      </w:r>
    </w:p>
    <w:p>
      <w:pPr>
        <w:spacing w:after="0" w:line="18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9"/>
          <w:szCs w:val="19"/>
          <w:color w:val="auto"/>
        </w:rPr>
        <w:t xml:space="preserve">Notwithstanding the forgoing and the terms of the Plan, the Company reserves the right to further modify the form of settlement of your Award. For example, </w:t>
      </w:r>
      <w:r>
        <w:rPr>
          <w:rFonts w:ascii="Times New Roman" w:cs="Times New Roman" w:eastAsia="Times New Roman" w:hAnsi="Times New Roman"/>
          <w:sz w:val="19"/>
          <w:szCs w:val="19"/>
          <w:b w:val="1"/>
          <w:bCs w:val="1"/>
          <w:color w:val="auto"/>
        </w:rPr>
        <w:t>if your work location at the time of any Settlement Date noted above is in India</w:t>
      </w:r>
      <w:r>
        <w:rPr>
          <w:rFonts w:ascii="Times New Roman" w:cs="Times New Roman" w:eastAsia="Times New Roman" w:hAnsi="Times New Roman"/>
          <w:sz w:val="19"/>
          <w:szCs w:val="19"/>
          <w:color w:val="auto"/>
        </w:rPr>
        <w:t>, your PSUs will only be settled by a cash payment to you equal to the Fair Market Value of the Shares that would otherwise be settled (subject to applicable withholding). Your PSUs will not be settled by the issue of any Shares unless your work location changes to a jurisdiction that permits settlement in Shares.</w:t>
      </w:r>
    </w:p>
    <w:p>
      <w:pPr>
        <w:spacing w:after="0" w:line="195"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As required by law, the Company will withhold any applicable federal, state, local or foreign tax. You are responsible for any taxes due upon vesting and/or settlement. Note: If you are a local national of Israel, your PSUs are being granted as a Section 102 Trustee Award (Capital Gains Track) under the Israeli Tax Ordinance pursuant to the Sub-Plan for Participants subject to Israeli Taxation under the General Motors Company 2020 Long-Term Incentive Plan (“Israeli Sub-Plan”).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Conditions Precedent Applicable to Employment in California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condition precedent to the vesting and/or settlement of any portion of your Award, you shall:</w:t>
      </w:r>
    </w:p>
    <w:p>
      <w:pPr>
        <w:spacing w:after="0" w:line="5" w:lineRule="exact"/>
        <w:rPr>
          <w:sz w:val="20"/>
          <w:szCs w:val="20"/>
          <w:color w:val="auto"/>
        </w:rPr>
      </w:pPr>
    </w:p>
    <w:p>
      <w:pPr>
        <w:ind w:left="660" w:right="360" w:hanging="330"/>
        <w:spacing w:after="0" w:line="245" w:lineRule="auto"/>
        <w:tabs>
          <w:tab w:leader="none" w:pos="64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employed or providing services to the Company or its Subsidiaries, refrain from engaging in any activity that is a breach of your duty of loyalty to the Company and which will cause damage to the Company or is in any manner inimical or in any way contrary to the best interests of the Company;</w:t>
      </w:r>
    </w:p>
    <w:p>
      <w:pPr>
        <w:spacing w:after="0" w:line="1" w:lineRule="exact"/>
        <w:rPr>
          <w:rFonts w:ascii="Times New Roman" w:cs="Times New Roman" w:eastAsia="Times New Roman" w:hAnsi="Times New Roman"/>
          <w:sz w:val="20"/>
          <w:szCs w:val="20"/>
          <w:color w:val="auto"/>
        </w:rPr>
      </w:pPr>
    </w:p>
    <w:p>
      <w:pPr>
        <w:ind w:left="640" w:hanging="310"/>
        <w:spacing w:after="0"/>
        <w:tabs>
          <w:tab w:leader="none" w:pos="6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the Restrictive Covenants below; and</w:t>
      </w:r>
    </w:p>
    <w:p>
      <w:pPr>
        <w:spacing w:after="0" w:line="4" w:lineRule="exact"/>
        <w:rPr>
          <w:rFonts w:ascii="Times New Roman" w:cs="Times New Roman" w:eastAsia="Times New Roman" w:hAnsi="Times New Roman"/>
          <w:sz w:val="20"/>
          <w:szCs w:val="20"/>
          <w:color w:val="auto"/>
        </w:rPr>
      </w:pPr>
    </w:p>
    <w:p>
      <w:pPr>
        <w:ind w:left="640" w:hanging="310"/>
        <w:spacing w:after="0"/>
        <w:tabs>
          <w:tab w:leader="none" w:pos="64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Furnish to the Company such information with respect to the satisfaction of the foregoing as the Committee may reasonably request.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the Committee may require you to enter into such agreements as the Committee considers appropriate.</w:t>
      </w:r>
    </w:p>
    <w:p>
      <w:pPr>
        <w:spacing w:after="0" w:line="254" w:lineRule="exact"/>
        <w:rPr>
          <w:sz w:val="20"/>
          <w:szCs w:val="20"/>
          <w:color w:val="auto"/>
        </w:rPr>
      </w:pPr>
    </w:p>
    <w:p>
      <w:pPr>
        <w:jc w:val="both"/>
        <w:ind w:right="480"/>
        <w:spacing w:after="0" w:line="259" w:lineRule="auto"/>
        <w:rPr>
          <w:sz w:val="20"/>
          <w:szCs w:val="20"/>
          <w:color w:val="auto"/>
        </w:rPr>
      </w:pPr>
      <w:r>
        <w:rPr>
          <w:rFonts w:ascii="Times New Roman" w:cs="Times New Roman" w:eastAsia="Times New Roman" w:hAnsi="Times New Roman"/>
          <w:sz w:val="20"/>
          <w:szCs w:val="20"/>
          <w:color w:val="auto"/>
        </w:rPr>
        <w:t>Your failure to satisfy any of the foregoing conditions precedent will result in the immediate cancellation of the unvested portion of your Award and any vested portion of your Award that has not yet been settled, and you will not be entitled to receive any consideration with respect to such cancellation.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Restrictive Covenants Applicable to Employment in California</w:t>
      </w:r>
    </w:p>
    <w:p>
      <w:pPr>
        <w:spacing w:after="0" w:line="32"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In exchange for the PSUs described in this Award Document, except to the extent this provision is expressly unenforceable or unlawful under applicable law, you agree to the following restrictive covenants (“</w:t>
      </w:r>
      <w:r>
        <w:rPr>
          <w:rFonts w:ascii="Times New Roman" w:cs="Times New Roman" w:eastAsia="Times New Roman" w:hAnsi="Times New Roman"/>
          <w:sz w:val="20"/>
          <w:szCs w:val="20"/>
          <w:b w:val="1"/>
          <w:bCs w:val="1"/>
          <w:color w:val="auto"/>
        </w:rPr>
        <w:t>Restrictive Covenants</w:t>
      </w:r>
      <w:r>
        <w:rPr>
          <w:rFonts w:ascii="Times New Roman" w:cs="Times New Roman" w:eastAsia="Times New Roman" w:hAnsi="Times New Roman"/>
          <w:sz w:val="20"/>
          <w:szCs w:val="20"/>
          <w:color w:val="auto"/>
        </w:rPr>
        <w:t>”) that apply during your employment with the Company and its Subsidiaries:</w:t>
      </w:r>
    </w:p>
    <w:p>
      <w:pPr>
        <w:spacing w:after="0" w:line="2" w:lineRule="exact"/>
        <w:rPr>
          <w:sz w:val="20"/>
          <w:szCs w:val="20"/>
          <w:color w:val="auto"/>
        </w:rPr>
      </w:pPr>
    </w:p>
    <w:p>
      <w:pPr>
        <w:ind w:left="660" w:hanging="330"/>
        <w:spacing w:after="0" w:line="249" w:lineRule="auto"/>
        <w:tabs>
          <w:tab w:leader="none" w:pos="64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your employment, anywhere within the world where you have, within the last two years of your employment, worked, had management responsibilities or had access to confidential information, you will not directly or indirectly provide services to any business that competes with the Company if such services involve (i) the potential use or disclosure of Company confidential information or trade secrets; (ii) substantially the same functions/responsibilities as yours for the Company during your last two years of employment; or (iii) supervision over substantially the same functions, responsibilities or business units as those you supervised for the Company during your last two years of employment;</w:t>
      </w:r>
    </w:p>
    <w:p>
      <w:pPr>
        <w:sectPr>
          <w:pgSz w:w="11900" w:h="16838" w:orient="portrait"/>
          <w:cols w:equalWidth="0" w:num="1">
            <w:col w:w="11240"/>
          </w:cols>
          <w:pgMar w:left="320" w:top="879" w:right="339" w:bottom="1440" w:gutter="0" w:footer="0" w:header="0"/>
        </w:sectPr>
      </w:pPr>
    </w:p>
    <w:bookmarkStart w:id="55" w:name="page56"/>
    <w:bookmarkEnd w:id="55"/>
    <w:p>
      <w:pPr>
        <w:ind w:left="660" w:right="80" w:hanging="330"/>
        <w:spacing w:after="0" w:line="259" w:lineRule="auto"/>
        <w:tabs>
          <w:tab w:leader="none" w:pos="6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your employment, you will not directly or indirectly, knowingly induce any employee of the Company or any Subsidiary to leave his/her employment for participation, directly or indirectly, with any existing or future employer or business venture associated with you; and</w:t>
      </w:r>
    </w:p>
    <w:p>
      <w:pPr>
        <w:spacing w:after="0" w:line="209" w:lineRule="exact"/>
        <w:rPr>
          <w:rFonts w:ascii="Times New Roman" w:cs="Times New Roman" w:eastAsia="Times New Roman" w:hAnsi="Times New Roman"/>
          <w:sz w:val="20"/>
          <w:szCs w:val="20"/>
          <w:color w:val="auto"/>
        </w:rPr>
      </w:pPr>
    </w:p>
    <w:p>
      <w:pPr>
        <w:ind w:left="660" w:right="480" w:hanging="330"/>
        <w:spacing w:after="0" w:line="259" w:lineRule="auto"/>
        <w:tabs>
          <w:tab w:leader="none" w:pos="6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your employment, you will not directly or indirectly solicit or attempt to solicit any client, customer, or supplier of, or provider to the Company or its Subsidiaries who was a client, customer, supplier or provider for which you provided services or supervised services during the 12-month period immediately prior to your Termination of Service.</w:t>
      </w:r>
    </w:p>
    <w:p>
      <w:pPr>
        <w:spacing w:after="0" w:line="209"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20"/>
          <w:szCs w:val="20"/>
          <w:color w:val="auto"/>
        </w:rPr>
        <w:t>You may seek permission from the Company to take action that would otherwise violate one or more aspects of these Restrictive Covenants, but the Company may either approve or deny such request in its unfettered discretion and otherwise enforce the provisions of the Restrictive Covenants.</w:t>
      </w:r>
    </w:p>
    <w:p>
      <w:pPr>
        <w:spacing w:after="0" w:line="196"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auto"/>
        </w:rPr>
        <w:t>If you violate any of the Restrictive Covenants during its effective period without the Company’s consent, your entire Award, whether unvested or earned and vested but unsettled, will immediately be cancelled. In addition, you agree to repay to the Company the value of all PSUs that were delivered pursuant to this Award Document during the period commencing on the date that is 12 months prior to your Termination of Service. To the extent permitted under applicable law, the Company may also take action at equity or in law to enforce the provisions of the applicable Restrictive Covenants. Following application of this provision of the Award Document, you will continue to be bound by the obligations, promises and other agreements contained in the Plan and the Award Document.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Terms and Conditions of the Award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the Plan for additional terms and conditions applicable to your Award, including but not limited to, those relating to:</w:t>
      </w:r>
    </w:p>
    <w:p>
      <w:pPr>
        <w:spacing w:after="0" w:line="5" w:lineRule="exact"/>
        <w:rPr>
          <w:sz w:val="20"/>
          <w:szCs w:val="20"/>
          <w:color w:val="auto"/>
        </w:rPr>
      </w:pPr>
    </w:p>
    <w:p>
      <w:pPr>
        <w:ind w:left="660" w:right="140" w:hanging="330"/>
        <w:spacing w:after="0" w:line="245" w:lineRule="auto"/>
        <w:tabs>
          <w:tab w:leader="none" w:pos="64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 of your Termination of Service on your Award, including upon Death, Disability, achievement of Full Career Status and other Termination of Service scenarios;</w:t>
      </w:r>
    </w:p>
    <w:p>
      <w:pPr>
        <w:ind w:left="640" w:hanging="310"/>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Award being subject to any clawback or recoupment policies of the Company as may be in effect from time to time;</w:t>
      </w:r>
    </w:p>
    <w:p>
      <w:pPr>
        <w:spacing w:after="0" w:line="5" w:lineRule="exact"/>
        <w:rPr>
          <w:rFonts w:ascii="Times New Roman" w:cs="Times New Roman" w:eastAsia="Times New Roman" w:hAnsi="Times New Roman"/>
          <w:sz w:val="20"/>
          <w:szCs w:val="20"/>
          <w:color w:val="auto"/>
        </w:rPr>
      </w:pPr>
    </w:p>
    <w:p>
      <w:pPr>
        <w:ind w:left="640" w:hanging="310"/>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a Change in Control or other specified corporate event on your Award; and</w:t>
      </w:r>
    </w:p>
    <w:p>
      <w:pPr>
        <w:spacing w:after="0" w:line="4" w:lineRule="exact"/>
        <w:rPr>
          <w:rFonts w:ascii="Times New Roman" w:cs="Times New Roman" w:eastAsia="Times New Roman" w:hAnsi="Times New Roman"/>
          <w:sz w:val="20"/>
          <w:szCs w:val="20"/>
          <w:color w:val="auto"/>
        </w:rPr>
      </w:pPr>
    </w:p>
    <w:p>
      <w:pPr>
        <w:ind w:left="640" w:hanging="310"/>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Jurisdiction and governing law.</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Acknowledgements</w:t>
      </w:r>
    </w:p>
    <w:p>
      <w:pPr>
        <w:spacing w:after="0" w:line="3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The following additional terms apply to your Award, your participation in the Plan and the grant of PSUs (and issuance of any Shares) to you. By accepting the Award you irrevocably agree and acknowledge in favor of the Company (on its own behalf and as an agent for the Subsidiaries) that:</w:t>
      </w:r>
    </w:p>
    <w:p>
      <w:pPr>
        <w:spacing w:after="0" w:line="203" w:lineRule="exact"/>
        <w:rPr>
          <w:sz w:val="20"/>
          <w:szCs w:val="20"/>
          <w:color w:val="auto"/>
        </w:rPr>
      </w:pPr>
    </w:p>
    <w:p>
      <w:pPr>
        <w:ind w:left="340" w:right="140" w:hanging="333"/>
        <w:spacing w:after="0" w:line="266" w:lineRule="auto"/>
        <w:tabs>
          <w:tab w:leader="none" w:pos="33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enable the Company to issue you this Award,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189" w:lineRule="exact"/>
        <w:rPr>
          <w:rFonts w:ascii="Times New Roman" w:cs="Times New Roman" w:eastAsia="Times New Roman" w:hAnsi="Times New Roman"/>
          <w:sz w:val="20"/>
          <w:szCs w:val="20"/>
          <w:color w:val="auto"/>
        </w:rPr>
      </w:pPr>
    </w:p>
    <w:p>
      <w:pPr>
        <w:ind w:left="340" w:right="60" w:hanging="333"/>
        <w:spacing w:after="0" w:line="256" w:lineRule="auto"/>
        <w:tabs>
          <w:tab w:leader="none" w:pos="32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not have any claim or right to be granted any Award under the Plan, and there is no obligation for uniformity of treatment of employees, consultants, advisors, Participants or holders or Beneficiaries of Awards under the Plan. The terms and conditions of Awards may vary and need not be the same with respect to each recipient. Any Award granted under the Plan shall be a single, discretionary, and voluntary grant and does not constitute a promise, a contractual right or other right to receive future grants. The Committee maintains the right to make available future grants under the Plan.</w:t>
      </w:r>
    </w:p>
    <w:p>
      <w:pPr>
        <w:sectPr>
          <w:pgSz w:w="11900" w:h="16838" w:orient="portrait"/>
          <w:cols w:equalWidth="0" w:num="1">
            <w:col w:w="11200"/>
          </w:cols>
          <w:pgMar w:left="320" w:top="883" w:right="379" w:bottom="1440" w:gutter="0" w:footer="0" w:header="0"/>
        </w:sectPr>
      </w:pPr>
    </w:p>
    <w:bookmarkStart w:id="56" w:name="page57"/>
    <w:bookmarkEnd w:id="56"/>
    <w:p>
      <w:pPr>
        <w:ind w:left="333" w:right="120" w:hanging="333"/>
        <w:spacing w:after="0" w:line="250" w:lineRule="auto"/>
        <w:tabs>
          <w:tab w:leader="none" w:pos="32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ind w:left="333" w:hanging="333"/>
        <w:spacing w:after="0" w:line="246" w:lineRule="auto"/>
        <w:tabs>
          <w:tab w:leader="none" w:pos="32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required by law, this Award under, and your participation in, the Plan does not form part of your remuneration for the purposes of determining payments in lieu of notice of termination of your employment, severance payments, leave entitlements, or any other compensation payable to you.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3" w:lineRule="exact"/>
        <w:rPr>
          <w:rFonts w:ascii="Times New Roman" w:cs="Times New Roman" w:eastAsia="Times New Roman" w:hAnsi="Times New Roman"/>
          <w:sz w:val="20"/>
          <w:szCs w:val="20"/>
          <w:color w:val="auto"/>
        </w:rPr>
      </w:pPr>
    </w:p>
    <w:p>
      <w:pPr>
        <w:jc w:val="both"/>
        <w:ind w:left="333" w:right="160" w:hanging="333"/>
        <w:spacing w:after="0" w:line="271" w:lineRule="auto"/>
        <w:tabs>
          <w:tab w:leader="none" w:pos="324"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Award includes Restrictive Covenants and conditions precedent that apply during your employment, and the PSUs described in this Award constitute one element of the good and valuable consideration provided in exchange for those Restrictive Covenants. You may be subject to other Agreements that contain restrictive covenants and those covenants are independent of these Restrictive Covenants.</w:t>
      </w:r>
    </w:p>
    <w:p>
      <w:pPr>
        <w:spacing w:after="0" w:line="198" w:lineRule="exact"/>
        <w:rPr>
          <w:rFonts w:ascii="Times New Roman" w:cs="Times New Roman" w:eastAsia="Times New Roman" w:hAnsi="Times New Roman"/>
          <w:sz w:val="19"/>
          <w:szCs w:val="19"/>
          <w:color w:val="auto"/>
        </w:rPr>
      </w:pPr>
    </w:p>
    <w:p>
      <w:pPr>
        <w:ind w:left="333" w:right="100" w:hanging="333"/>
        <w:spacing w:after="0" w:line="259" w:lineRule="auto"/>
        <w:tabs>
          <w:tab w:leader="none" w:pos="32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a local national of Israel, you have carefully read the Israeli Sub-Plan and the trust agreement between General Motors and its trustee, which are provided on the Shareworks by Morgan Stanley site, and agree that in order to qualify for a Section 102 Trustee Award you will not release the PSUs from the trust prior to the lapse of the restricted period as outlined under the Israeli Sub-Plan.</w:t>
      </w:r>
    </w:p>
    <w:p>
      <w:pPr>
        <w:spacing w:after="0" w:line="209" w:lineRule="exact"/>
        <w:rPr>
          <w:rFonts w:ascii="Times New Roman" w:cs="Times New Roman" w:eastAsia="Times New Roman" w:hAnsi="Times New Roman"/>
          <w:sz w:val="20"/>
          <w:szCs w:val="20"/>
          <w:color w:val="auto"/>
        </w:rPr>
      </w:pPr>
    </w:p>
    <w:p>
      <w:pPr>
        <w:ind w:left="333" w:right="40" w:hanging="333"/>
        <w:spacing w:after="0" w:line="252" w:lineRule="auto"/>
        <w:tabs>
          <w:tab w:leader="none" w:pos="32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a local national of the People’s Republic of China (“PRC”), you are subject to exchange control restrictions and regulations in the PRC including the requirements imposed by the State Administration of Foreign Exchange (“SAFE”). As provided on the Shareworks by Morgan Stanley site, you have carefully read the SAFE terms and conditions that apply to your Award and agree to comply with these requirements.</w:t>
      </w:r>
    </w:p>
    <w:p>
      <w:pPr>
        <w:spacing w:after="0" w:line="216" w:lineRule="exact"/>
        <w:rPr>
          <w:rFonts w:ascii="Times New Roman" w:cs="Times New Roman" w:eastAsia="Times New Roman" w:hAnsi="Times New Roman"/>
          <w:sz w:val="20"/>
          <w:szCs w:val="20"/>
          <w:color w:val="auto"/>
        </w:rPr>
      </w:pPr>
    </w:p>
    <w:p>
      <w:pPr>
        <w:jc w:val="both"/>
        <w:ind w:left="333" w:right="340" w:hanging="333"/>
        <w:spacing w:after="0" w:line="253" w:lineRule="auto"/>
        <w:tabs>
          <w:tab w:leader="none" w:pos="32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ind w:left="333" w:right="340" w:hanging="333"/>
        <w:spacing w:after="0" w:line="245" w:lineRule="auto"/>
        <w:tabs>
          <w:tab w:leader="none" w:pos="33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PSUs or underlying Shares is unknown and cannot be predicted with certainty and may increase or decrease in value.</w:t>
      </w:r>
    </w:p>
    <w:p>
      <w:pPr>
        <w:ind w:left="333" w:right="80" w:hanging="333"/>
        <w:spacing w:after="0" w:line="260" w:lineRule="auto"/>
        <w:tabs>
          <w:tab w:leader="none" w:pos="332"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will have no claim or entitlement to compensation or damages arising from the forfeiture of the PSUs, the termination of the Plan, or the diminution in value of the PSUs or Shares, including without limitation, as a result of the termination of your employment or services by the Company or any Subsidiary for any reason whatsoever and whether or not in breach of contract. You irrevocably release the Company, its Subsidiaries, Affiliates, the Plan Administrator and their respective affiliates from any such claim that may arise.</w:t>
      </w:r>
    </w:p>
    <w:p>
      <w:pPr>
        <w:ind w:left="333" w:right="80" w:hanging="333"/>
        <w:spacing w:after="0" w:line="258" w:lineRule="auto"/>
        <w:tabs>
          <w:tab w:leader="none" w:pos="32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adopted a stock ownership requirement policy, and if your position is covered, you shall be subject to and comply with this policy as may be in effect from time to time.</w:t>
      </w:r>
    </w:p>
    <w:p>
      <w:pPr>
        <w:spacing w:after="0" w:line="195" w:lineRule="exact"/>
        <w:rPr>
          <w:rFonts w:ascii="Times New Roman" w:cs="Times New Roman" w:eastAsia="Times New Roman" w:hAnsi="Times New Roman"/>
          <w:sz w:val="20"/>
          <w:szCs w:val="20"/>
          <w:color w:val="auto"/>
        </w:rPr>
      </w:pPr>
    </w:p>
    <w:p>
      <w:pPr>
        <w:ind w:left="333" w:right="220" w:hanging="333"/>
        <w:spacing w:after="0" w:line="257" w:lineRule="auto"/>
        <w:tabs>
          <w:tab w:leader="none" w:pos="33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sectPr>
          <w:pgSz w:w="11900" w:h="16838" w:orient="portrait"/>
          <w:cols w:equalWidth="0" w:num="1">
            <w:col w:w="11233"/>
          </w:cols>
          <w:pgMar w:left="327" w:top="883" w:right="339" w:bottom="1440" w:gutter="0" w:footer="0" w:header="0"/>
        </w:sectPr>
      </w:pPr>
    </w:p>
    <w:bookmarkStart w:id="57" w:name="page58"/>
    <w:bookmarkEnd w:id="57"/>
    <w:p>
      <w:pPr>
        <w:ind w:left="340" w:right="100" w:hanging="333"/>
        <w:spacing w:after="0" w:line="252" w:lineRule="auto"/>
        <w:tabs>
          <w:tab w:leader="none" w:pos="33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agree this Plan and this Award are governed by the laws of the State of Delaware, without regard to the conflicts of law provisions thereof, and further consent to the exclusive personal jurisdiction and venue of the Chancery Court of the State of Delaware and the United States District Court for the District of Delaware for any action, claim or dispute arising out of or relating to this Award, the Plan or the subject matter contained in this Award Document. The Company will make reasonable efforts so that the Award complies with all applicable federal and state laws; provided, however, notwithstanding any other provision of the Award Document, the PSUs shall not be settled if the settlement thereof would result in a violation of any such law.</w:t>
      </w:r>
    </w:p>
    <w:p>
      <w:pPr>
        <w:spacing w:after="0" w:line="217" w:lineRule="exact"/>
        <w:rPr>
          <w:rFonts w:ascii="Times New Roman" w:cs="Times New Roman" w:eastAsia="Times New Roman" w:hAnsi="Times New Roman"/>
          <w:sz w:val="20"/>
          <w:szCs w:val="20"/>
          <w:color w:val="auto"/>
        </w:rPr>
      </w:pPr>
    </w:p>
    <w:p>
      <w:pPr>
        <w:ind w:left="340" w:right="700" w:hanging="333"/>
        <w:spacing w:after="0" w:line="267" w:lineRule="auto"/>
        <w:tabs>
          <w:tab w:leader="none" w:pos="32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200" w:lineRule="exact"/>
        <w:rPr>
          <w:rFonts w:ascii="Times New Roman" w:cs="Times New Roman" w:eastAsia="Times New Roman" w:hAnsi="Times New Roman"/>
          <w:sz w:val="20"/>
          <w:szCs w:val="20"/>
          <w:color w:val="auto"/>
        </w:rPr>
      </w:pPr>
    </w:p>
    <w:p>
      <w:pPr>
        <w:ind w:left="340" w:right="120" w:hanging="333"/>
        <w:spacing w:after="0" w:line="257" w:lineRule="auto"/>
        <w:tabs>
          <w:tab w:leader="none" w:pos="32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read this Award Document and the Plan, including the Israeli Sub-Plan and trustee agreement if you are a local national of Israel and the SAFE requirements if you are a local national of the PRC, carefully and understand their terms including but not limited to the Restrictive Covenants herein. By indicating your acceptance of these terms, you are expressly accepting the terms and conditions of the Award, and the Company may rely on your acceptance.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Acceptance of Award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accept this Award, you will need to follow the link at the bottom of this page. Your electronic acceptance confirms the following:</w:t>
      </w:r>
    </w:p>
    <w:p>
      <w:pPr>
        <w:spacing w:after="0" w:line="225"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20"/>
          <w:szCs w:val="20"/>
          <w:color w:val="auto"/>
        </w:rPr>
        <w:t>I confirm that I have been given a copy of this Award Document and access to the Plan, and that having read these documents I irrevocably agree to:</w:t>
      </w:r>
    </w:p>
    <w:p>
      <w:pPr>
        <w:spacing w:after="0" w:line="1" w:lineRule="exact"/>
        <w:rPr>
          <w:sz w:val="20"/>
          <w:szCs w:val="20"/>
          <w:color w:val="auto"/>
        </w:rPr>
      </w:pPr>
    </w:p>
    <w:p>
      <w:pPr>
        <w:ind w:left="340" w:right="280" w:hanging="333"/>
        <w:spacing w:after="0" w:line="245" w:lineRule="auto"/>
        <w:tabs>
          <w:tab w:leader="none" w:pos="33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 the number of target PSUs (and any Shares) that are issued by the Company to me in accordance with the terms of the Plan and this Award Document; and</w:t>
      </w:r>
    </w:p>
    <w:p>
      <w:pPr>
        <w:ind w:left="320" w:hanging="313"/>
        <w:spacing w:after="0"/>
        <w:tabs>
          <w:tab w:leader="none" w:pos="3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bound by and abide by the terms of this Award Document and the Plan.</w:t>
      </w:r>
    </w:p>
    <w:p>
      <w:pPr>
        <w:spacing w:after="0" w:line="22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If you do not accept this Award by [Insert Grant Acceptance Date], this Award will lapse and be incapable of acceptance (unless otherwise agreed to by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 have any questions concerning this Award or the Plan, contact [Insert Contact Information].</w:t>
      </w:r>
    </w:p>
    <w:p>
      <w:pPr>
        <w:sectPr>
          <w:pgSz w:w="11900" w:h="16838" w:orient="portrait"/>
          <w:cols w:equalWidth="0" w:num="1">
            <w:col w:w="11240"/>
          </w:cols>
          <w:pgMar w:left="320" w:top="88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00" w:lineRule="exact"/>
        <w:rPr>
          <w:sz w:val="20"/>
          <w:szCs w:val="20"/>
          <w:color w:val="auto"/>
        </w:rPr>
      </w:pPr>
    </w:p>
    <w:p>
      <w:pPr>
        <w:spacing w:after="0" w:line="298" w:lineRule="exact"/>
        <w:rPr>
          <w:sz w:val="20"/>
          <w:szCs w:val="20"/>
          <w:color w:val="auto"/>
        </w:rPr>
      </w:pPr>
    </w:p>
    <w:p>
      <w:pPr>
        <w:jc w:val="right"/>
        <w:ind w:right="5399"/>
        <w:spacing w:after="0"/>
        <w:rPr>
          <w:sz w:val="20"/>
          <w:szCs w:val="20"/>
          <w:color w:val="auto"/>
        </w:rPr>
      </w:pPr>
      <w:r>
        <w:rPr>
          <w:rFonts w:ascii="Times New Roman" w:cs="Times New Roman" w:eastAsia="Times New Roman" w:hAnsi="Times New Roman"/>
          <w:sz w:val="21"/>
          <w:szCs w:val="21"/>
          <w:b w:val="1"/>
          <w:bCs w:val="1"/>
          <w:color w:val="auto"/>
        </w:rPr>
        <w:t>[Intentionally Omitted]</w:t>
      </w:r>
    </w:p>
    <w:p>
      <w:pPr>
        <w:sectPr>
          <w:pgSz w:w="11900" w:h="16838" w:orient="portrait"/>
          <w:cols w:equalWidth="0" w:num="1">
            <w:col w:w="10139"/>
          </w:cols>
          <w:pgMar w:left="320" w:top="1008"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T. Barra, certify that:</w:t>
      </w:r>
    </w:p>
    <w:p>
      <w:pPr>
        <w:spacing w:after="0" w:line="250" w:lineRule="exact"/>
        <w:rPr>
          <w:sz w:val="20"/>
          <w:szCs w:val="20"/>
          <w:color w:val="auto"/>
        </w:rPr>
      </w:pPr>
    </w:p>
    <w:p>
      <w:pPr>
        <w:ind w:left="380" w:hanging="171"/>
        <w:spacing w:after="0"/>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25768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576830"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April 23, 2024</w:t>
      </w:r>
    </w:p>
    <w:p>
      <w:pPr>
        <w:sectPr>
          <w:pgSz w:w="11900" w:h="16838" w:orient="portrait"/>
          <w:cols w:equalWidth="0" w:num="1">
            <w:col w:w="11240"/>
          </w:cols>
          <w:pgMar w:left="320" w:top="359"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Jacobson, certify that:</w:t>
      </w:r>
    </w:p>
    <w:p>
      <w:pPr>
        <w:spacing w:after="0" w:line="250" w:lineRule="exact"/>
        <w:rPr>
          <w:sz w:val="20"/>
          <w:szCs w:val="20"/>
          <w:color w:val="auto"/>
        </w:rPr>
      </w:pPr>
    </w:p>
    <w:p>
      <w:pPr>
        <w:ind w:left="380" w:hanging="171"/>
        <w:spacing w:after="0"/>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16510</wp:posOffset>
            </wp:positionV>
            <wp:extent cx="32766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276600" cy="8255"/>
                    </a:xfrm>
                    <a:prstGeom prst="rect">
                      <a:avLst/>
                    </a:prstGeom>
                    <a:noFill/>
                  </pic:spPr>
                </pic:pic>
              </a:graphicData>
            </a:graphic>
          </wp:anchor>
        </w:drawing>
      </w:r>
    </w:p>
    <w:p>
      <w:pPr>
        <w:spacing w:after="0" w:line="1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Paul A. Jacobson</w:t>
      </w:r>
    </w:p>
    <w:p>
      <w:pPr>
        <w:spacing w:after="0" w:line="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April 23, 2024</w:t>
      </w:r>
    </w:p>
    <w:p>
      <w:pPr>
        <w:sectPr>
          <w:pgSz w:w="11900" w:h="16838" w:orient="portrait"/>
          <w:cols w:equalWidth="0" w:num="1">
            <w:col w:w="11240"/>
          </w:cols>
          <w:pgMar w:left="320" w:top="359"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1" w:lineRule="exact"/>
        <w:rPr>
          <w:sz w:val="20"/>
          <w:szCs w:val="20"/>
          <w:color w:val="auto"/>
        </w:rPr>
      </w:pPr>
    </w:p>
    <w:p>
      <w:pPr>
        <w:jc w:val="both"/>
        <w:ind w:firstLine="202"/>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General Motors Company (the “Company”) on Form 10-Q for the period ended March 31, 2024 as filed with the Securities and Exchange Commission on the date hereof (the “Report”), each of the undersigned officers of the Company, certify, pursuant to 18 U.S.C.</w:t>
      </w:r>
    </w:p>
    <w:p>
      <w:pPr>
        <w:ind w:left="140" w:hanging="133"/>
        <w:spacing w:after="0"/>
        <w:tabs>
          <w:tab w:leader="none" w:pos="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 to the best of such officer's knowledge:</w:t>
      </w:r>
    </w:p>
    <w:p>
      <w:pPr>
        <w:spacing w:after="0" w:line="231" w:lineRule="exact"/>
        <w:rPr>
          <w:rFonts w:ascii="Times New Roman" w:cs="Times New Roman" w:eastAsia="Times New Roman" w:hAnsi="Times New Roman"/>
          <w:sz w:val="18"/>
          <w:szCs w:val="18"/>
          <w:color w:val="auto"/>
        </w:rPr>
      </w:pPr>
    </w:p>
    <w:p>
      <w:pPr>
        <w:ind w:left="760" w:hanging="188"/>
        <w:spacing w:after="0"/>
        <w:tabs>
          <w:tab w:leader="none" w:pos="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9" w:lineRule="exact"/>
        <w:rPr>
          <w:rFonts w:ascii="Times New Roman" w:cs="Times New Roman" w:eastAsia="Times New Roman" w:hAnsi="Times New Roman"/>
          <w:sz w:val="18"/>
          <w:szCs w:val="18"/>
          <w:color w:val="auto"/>
        </w:rPr>
      </w:pPr>
    </w:p>
    <w:p>
      <w:pPr>
        <w:ind w:left="760" w:hanging="188"/>
        <w:spacing w:after="0"/>
        <w:tabs>
          <w:tab w:leader="none" w:pos="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2937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2937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 A. Jacobson</w:t>
      </w: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5"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April 23, 2024</w:t>
      </w:r>
    </w:p>
    <w:sectPr>
      <w:pgSz w:w="11900" w:h="16838" w:orient="portrait"/>
      <w:cols w:equalWidth="0" w:num="1">
        <w:col w:w="11240"/>
      </w:cols>
      <w:pgMar w:left="320" w:top="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lowerLetter"/>
      <w:start w:val="1"/>
    </w:lvl>
  </w:abstractNum>
  <w:abstractNum w:abstractNumId="3">
    <w:nsid w:val="189A769B"/>
    <w:multiLevelType w:val="hybridMultilevel"/>
    <w:lvl w:ilvl="0">
      <w:lvlJc w:val="left"/>
      <w:lvlText w:val="(%1)"/>
      <w:numFmt w:val="lowerLetter"/>
      <w:start w:val="1"/>
    </w:lvl>
  </w:abstractNum>
  <w:abstractNum w:abstractNumId="4">
    <w:nsid w:val="54E49EB4"/>
    <w:multiLevelType w:val="hybridMultilevel"/>
    <w:lvl w:ilvl="0">
      <w:lvlJc w:val="left"/>
      <w:lvlText w:val="(%1)"/>
      <w:numFmt w:val="lowerLetter"/>
      <w:start w:val="1"/>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1)"/>
      <w:numFmt w:val="lowerLetter"/>
      <w:start w:val="1"/>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lowerLetter"/>
      <w:start w:val="1"/>
    </w:lvl>
  </w:abstractNum>
  <w:abstractNum w:abstractNumId="10">
    <w:nsid w:val="8138641"/>
    <w:multiLevelType w:val="hybridMultilevel"/>
    <w:lvl w:ilvl="0">
      <w:lvlJc w:val="left"/>
      <w:lvlText w:val="(%1)"/>
      <w:numFmt w:val="lowerLetter"/>
      <w:start w:val="1"/>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decimal"/>
      <w:start w:val="2"/>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lowerLetter"/>
      <w:start w:val="1"/>
    </w:lvl>
    <w:lvl w:ilvl="1">
      <w:lvlJc w:val="left"/>
      <w:lvlText w:val="*"/>
      <w:numFmt w:val="bullet"/>
      <w:start w:val="1"/>
    </w:lvl>
  </w:abstractNum>
  <w:abstractNum w:abstractNumId="29">
    <w:nsid w:val="51EAD36B"/>
    <w:multiLevelType w:val="hybridMultilevel"/>
    <w:lvl w:ilvl="0">
      <w:lvlJc w:val="left"/>
      <w:lvlText w:val="(%1)"/>
      <w:numFmt w:val="decimal"/>
      <w:start w:val="2"/>
    </w:lvl>
    <w:lvl w:ilvl="1">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3"/>
    </w:lvl>
  </w:abstractNum>
  <w:abstractNum w:abstractNumId="36">
    <w:nsid w:val="2A487CB0"/>
    <w:multiLevelType w:val="hybridMultilevel"/>
    <w:lvl w:ilvl="0">
      <w:lvlJc w:val="left"/>
      <w:lvlText w:val="%1)"/>
      <w:numFmt w:val="lowerLetter"/>
      <w:start w:val="13"/>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3"/>
    </w:lvl>
  </w:abstractNum>
  <w:abstractNum w:abstractNumId="44">
    <w:nsid w:val="6DE91B18"/>
    <w:multiLevelType w:val="hybridMultilevel"/>
    <w:lvl w:ilvl="0">
      <w:lvlJc w:val="left"/>
      <w:lvlText w:val="%1)"/>
      <w:numFmt w:val="lowerLetter"/>
      <w:start w:val="13"/>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69" Type="http://schemas.openxmlformats.org/officeDocument/2006/relationships/hyperlink" Target="http://www.sec.gov/Archives/edgar/data/1467858/000119312510279214/dex32.htm" TargetMode="External"/><Relationship Id="rId70" Type="http://schemas.openxmlformats.org/officeDocument/2006/relationships/hyperlink" Target="https://www.sec.gov/Archives/edgar/data/1467858/000119312523110552/d415489dex31.htm" TargetMode="External"/><Relationship Id="rId71" Type="http://schemas.openxmlformats.org/officeDocument/2006/relationships/hyperlink" Target="https://www.sec.gov/Archives/edgar/data/1467858/000119312524080620/d81021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2024-04-23T14:24:02Z</dcterms:created>
  <dcterms:modified xsi:type="dcterms:W3CDTF">2024-04-23T14:24:02Z</dcterms:modified>
</cp:coreProperties>
</file>