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4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4660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020"/>
        <w:spacing w:after="0" w:line="338"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19"/>
        <w:spacing w:after="0"/>
        <w:rPr>
          <w:sz w:val="20"/>
          <w:szCs w:val="20"/>
          <w:color w:val="auto"/>
        </w:rPr>
      </w:pPr>
      <w:r>
        <w:rPr>
          <w:rFonts w:ascii="Arial" w:cs="Arial" w:eastAsia="Arial" w:hAnsi="Arial"/>
          <w:sz w:val="17"/>
          <w:szCs w:val="17"/>
          <w:color w:val="0000FF"/>
        </w:rPr>
        <w:t>Chairman &amp; CEO</w:t>
      </w:r>
    </w:p>
    <w:p>
      <w:pPr>
        <w:spacing w:after="0" w:line="422"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60"/>
              <w:spacing w:after="0"/>
              <w:rPr>
                <w:sz w:val="20"/>
                <w:szCs w:val="20"/>
                <w:color w:val="auto"/>
              </w:rPr>
            </w:pPr>
            <w:r>
              <w:rPr>
                <w:rFonts w:ascii="Arial" w:cs="Arial" w:eastAsia="Arial" w:hAnsi="Arial"/>
                <w:sz w:val="17"/>
                <w:szCs w:val="17"/>
                <w:color w:val="0000FF"/>
              </w:rPr>
              <w:t>MI</w:t>
            </w:r>
          </w:p>
        </w:tc>
        <w:tc>
          <w:tcPr>
            <w:tcW w:w="166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3"/>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117,287</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tcPr>
          <w:p>
            <w:pPr>
              <w:jc w:val="right"/>
              <w:ind w:right="199"/>
              <w:spacing w:after="0" w:line="141" w:lineRule="exact"/>
              <w:rPr>
                <w:sz w:val="20"/>
                <w:szCs w:val="20"/>
                <w:color w:val="auto"/>
              </w:rPr>
            </w:pPr>
            <w:r>
              <w:rPr>
                <w:rFonts w:ascii="Arial" w:cs="Arial" w:eastAsia="Arial" w:hAnsi="Arial"/>
                <w:sz w:val="13"/>
                <w:szCs w:val="13"/>
                <w:color w:val="0000FF"/>
              </w:rPr>
              <w:t>02/10/2016</w:t>
            </w:r>
          </w:p>
        </w:tc>
        <w:tc>
          <w:tcPr>
            <w:tcW w:w="1120" w:type="dxa"/>
            <w:vAlign w:val="bottom"/>
          </w:tcPr>
          <w:p>
            <w:pPr>
              <w:spacing w:after="0"/>
              <w:rPr>
                <w:sz w:val="12"/>
                <w:szCs w:val="12"/>
                <w:color w:val="auto"/>
              </w:rPr>
            </w:pPr>
          </w:p>
        </w:tc>
        <w:tc>
          <w:tcPr>
            <w:tcW w:w="82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660" w:type="dxa"/>
            <w:vAlign w:val="bottom"/>
          </w:tcPr>
          <w:p>
            <w:pPr>
              <w:ind w:left="80"/>
              <w:spacing w:after="0" w:line="141" w:lineRule="exact"/>
              <w:rPr>
                <w:sz w:val="20"/>
                <w:szCs w:val="20"/>
                <w:color w:val="auto"/>
              </w:rPr>
            </w:pPr>
            <w:r>
              <w:rPr>
                <w:rFonts w:ascii="Arial" w:cs="Arial" w:eastAsia="Arial" w:hAnsi="Arial"/>
                <w:sz w:val="13"/>
                <w:szCs w:val="13"/>
                <w:color w:val="0000FF"/>
              </w:rPr>
              <w:t>117,287</w:t>
            </w:r>
          </w:p>
        </w:tc>
        <w:tc>
          <w:tcPr>
            <w:tcW w:w="22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41" w:lineRule="exact"/>
              <w:rPr>
                <w:sz w:val="20"/>
                <w:szCs w:val="20"/>
                <w:color w:val="auto"/>
              </w:rPr>
            </w:pPr>
            <w:r>
              <w:rPr>
                <w:rFonts w:ascii="Arial" w:cs="Arial" w:eastAsia="Arial" w:hAnsi="Arial"/>
                <w:sz w:val="13"/>
                <w:szCs w:val="13"/>
                <w:color w:val="0000FF"/>
              </w:rPr>
              <w:t>117,287</w:t>
            </w:r>
          </w:p>
        </w:tc>
        <w:tc>
          <w:tcPr>
            <w:tcW w:w="7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ectPr>
          <w:pgSz w:w="11900" w:h="16838" w:orient="portrait"/>
          <w:cols w:equalWidth="0" w:num="1">
            <w:col w:w="11520"/>
          </w:cols>
          <w:pgMar w:left="240" w:top="224" w:right="1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The RSUs do not have a conversion or exercise price or a date on which they become exercisable or expire.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49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4"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130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98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847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29" w:lineRule="exact"/>
        <w:rPr>
          <w:sz w:val="24"/>
          <w:szCs w:val="24"/>
          <w:color w:val="auto"/>
        </w:rPr>
      </w:pPr>
    </w:p>
    <w:p>
      <w:pPr>
        <w:sectPr>
          <w:pgSz w:w="11900" w:h="16838" w:orient="portrait"/>
          <w:cols w:equalWidth="0" w:num="2">
            <w:col w:w="9000" w:space="16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2019-12-08T19:47:39Z</dcterms:created>
  <dcterms:modified xsi:type="dcterms:W3CDTF">2019-12-08T19:47:39Z</dcterms:modified>
</cp:coreProperties>
</file>