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02/16/2016</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3"/>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5"/>
              </w:rPr>
              <w:t>Common Stock</w:t>
            </w:r>
            <w:r>
              <w:rPr>
                <w:rFonts w:ascii="Arial" w:cs="Arial" w:eastAsia="Arial" w:hAnsi="Arial"/>
                <w:sz w:val="22"/>
                <w:szCs w:val="22"/>
                <w:color w:val="008000"/>
                <w:w w:val="95"/>
                <w:vertAlign w:val="superscript"/>
              </w:rPr>
              <w:t>(1)(2)</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3"/>
              <w:spacing w:after="0"/>
              <w:rPr>
                <w:sz w:val="20"/>
                <w:szCs w:val="20"/>
                <w:color w:val="auto"/>
              </w:rPr>
            </w:pPr>
            <w:r>
              <w:rPr>
                <w:rFonts w:ascii="Arial" w:cs="Arial" w:eastAsia="Arial" w:hAnsi="Arial"/>
                <w:sz w:val="18"/>
                <w:szCs w:val="18"/>
                <w:color w:val="0000FF"/>
                <w:w w:val="88"/>
              </w:rPr>
              <w:t>02/11/2016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88"/>
              </w:rPr>
              <w:t>3,651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5,251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02/11/2016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4"/>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85"/>
              <w:spacing w:after="0"/>
              <w:rPr>
                <w:sz w:val="20"/>
                <w:szCs w:val="20"/>
                <w:color w:val="auto"/>
              </w:rPr>
            </w:pPr>
            <w:r>
              <w:rPr>
                <w:rFonts w:ascii="Arial" w:cs="Arial" w:eastAsia="Arial" w:hAnsi="Arial"/>
                <w:sz w:val="18"/>
                <w:szCs w:val="18"/>
                <w:color w:val="0000FF"/>
                <w:w w:val="88"/>
              </w:rPr>
              <w:t>2,132</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26.9</w:t>
            </w:r>
          </w:p>
        </w:tc>
        <w:tc>
          <w:tcPr>
            <w:tcW w:w="1220" w:type="dxa"/>
            <w:vAlign w:val="bottom"/>
            <w:gridSpan w:val="2"/>
          </w:tcPr>
          <w:p>
            <w:pPr>
              <w:jc w:val="right"/>
              <w:ind w:right="358"/>
              <w:spacing w:after="0"/>
              <w:rPr>
                <w:sz w:val="20"/>
                <w:szCs w:val="20"/>
                <w:color w:val="auto"/>
              </w:rPr>
            </w:pPr>
            <w:r>
              <w:rPr>
                <w:rFonts w:ascii="Arial" w:cs="Arial" w:eastAsia="Arial" w:hAnsi="Arial"/>
                <w:sz w:val="18"/>
                <w:szCs w:val="18"/>
                <w:color w:val="0000FF"/>
              </w:rPr>
              <w:t>3,119</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02/11/2016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4"/>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85"/>
              <w:spacing w:after="0"/>
              <w:rPr>
                <w:sz w:val="20"/>
                <w:szCs w:val="20"/>
                <w:color w:val="auto"/>
              </w:rPr>
            </w:pPr>
            <w:r>
              <w:rPr>
                <w:rFonts w:ascii="Arial" w:cs="Arial" w:eastAsia="Arial" w:hAnsi="Arial"/>
                <w:sz w:val="18"/>
                <w:szCs w:val="18"/>
                <w:color w:val="0000FF"/>
                <w:w w:val="88"/>
              </w:rPr>
              <w:t>1,519</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26.9</w:t>
            </w:r>
          </w:p>
        </w:tc>
        <w:tc>
          <w:tcPr>
            <w:tcW w:w="1220" w:type="dxa"/>
            <w:vAlign w:val="bottom"/>
            <w:gridSpan w:val="2"/>
          </w:tcPr>
          <w:p>
            <w:pPr>
              <w:jc w:val="right"/>
              <w:ind w:right="358"/>
              <w:spacing w:after="0"/>
              <w:rPr>
                <w:sz w:val="20"/>
                <w:szCs w:val="20"/>
                <w:color w:val="auto"/>
              </w:rPr>
            </w:pPr>
            <w:r>
              <w:rPr>
                <w:rFonts w:ascii="Arial" w:cs="Arial" w:eastAsia="Arial" w:hAnsi="Arial"/>
                <w:sz w:val="18"/>
                <w:szCs w:val="18"/>
                <w:color w:val="0000FF"/>
              </w:rPr>
              <w:t>1,600</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4"/>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5"/>
              </w:rPr>
              <w:t>Common Stock</w:t>
            </w:r>
            <w:r>
              <w:rPr>
                <w:rFonts w:ascii="Arial" w:cs="Arial" w:eastAsia="Arial" w:hAnsi="Arial"/>
                <w:sz w:val="22"/>
                <w:szCs w:val="22"/>
                <w:color w:val="008000"/>
                <w:w w:val="95"/>
                <w:vertAlign w:val="superscript"/>
              </w:rPr>
              <w:t>(3)(4)</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3"/>
              <w:spacing w:after="0"/>
              <w:rPr>
                <w:sz w:val="20"/>
                <w:szCs w:val="20"/>
                <w:color w:val="auto"/>
              </w:rPr>
            </w:pPr>
            <w:r>
              <w:rPr>
                <w:rFonts w:ascii="Arial" w:cs="Arial" w:eastAsia="Arial" w:hAnsi="Arial"/>
                <w:sz w:val="18"/>
                <w:szCs w:val="18"/>
                <w:color w:val="0000FF"/>
                <w:w w:val="88"/>
              </w:rPr>
              <w:t>02/13/2016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88"/>
              </w:rPr>
              <w:t>8,098</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9,698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02/13/2016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4"/>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85"/>
              <w:spacing w:after="0"/>
              <w:rPr>
                <w:sz w:val="20"/>
                <w:szCs w:val="20"/>
                <w:color w:val="auto"/>
              </w:rPr>
            </w:pPr>
            <w:r>
              <w:rPr>
                <w:rFonts w:ascii="Arial" w:cs="Arial" w:eastAsia="Arial" w:hAnsi="Arial"/>
                <w:sz w:val="18"/>
                <w:szCs w:val="18"/>
                <w:color w:val="0000FF"/>
                <w:w w:val="88"/>
              </w:rPr>
              <w:t>4,729</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27.4</w:t>
            </w:r>
          </w:p>
        </w:tc>
        <w:tc>
          <w:tcPr>
            <w:tcW w:w="1220" w:type="dxa"/>
            <w:vAlign w:val="bottom"/>
            <w:gridSpan w:val="2"/>
          </w:tcPr>
          <w:p>
            <w:pPr>
              <w:jc w:val="right"/>
              <w:ind w:right="358"/>
              <w:spacing w:after="0"/>
              <w:rPr>
                <w:sz w:val="20"/>
                <w:szCs w:val="20"/>
                <w:color w:val="auto"/>
              </w:rPr>
            </w:pPr>
            <w:r>
              <w:rPr>
                <w:rFonts w:ascii="Arial" w:cs="Arial" w:eastAsia="Arial" w:hAnsi="Arial"/>
                <w:sz w:val="18"/>
                <w:szCs w:val="18"/>
                <w:color w:val="0000FF"/>
              </w:rPr>
              <w:t>4,969</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02/13/2016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4"/>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85"/>
              <w:spacing w:after="0"/>
              <w:rPr>
                <w:sz w:val="20"/>
                <w:szCs w:val="20"/>
                <w:color w:val="auto"/>
              </w:rPr>
            </w:pPr>
            <w:r>
              <w:rPr>
                <w:rFonts w:ascii="Arial" w:cs="Arial" w:eastAsia="Arial" w:hAnsi="Arial"/>
                <w:sz w:val="18"/>
                <w:szCs w:val="18"/>
                <w:color w:val="0000FF"/>
                <w:w w:val="88"/>
              </w:rPr>
              <w:t>3,369</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27.4</w:t>
            </w:r>
          </w:p>
        </w:tc>
        <w:tc>
          <w:tcPr>
            <w:tcW w:w="1220" w:type="dxa"/>
            <w:vAlign w:val="bottom"/>
            <w:gridSpan w:val="2"/>
          </w:tcPr>
          <w:p>
            <w:pPr>
              <w:jc w:val="right"/>
              <w:ind w:right="358"/>
              <w:spacing w:after="0"/>
              <w:rPr>
                <w:sz w:val="20"/>
                <w:szCs w:val="20"/>
                <w:color w:val="auto"/>
              </w:rPr>
            </w:pPr>
            <w:r>
              <w:rPr>
                <w:rFonts w:ascii="Arial" w:cs="Arial" w:eastAsia="Arial" w:hAnsi="Arial"/>
                <w:sz w:val="18"/>
                <w:szCs w:val="18"/>
                <w:color w:val="0000FF"/>
              </w:rPr>
              <w:t>1,600</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4"/>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5"/>
              </w:rPr>
              <w:t>Common Stock</w:t>
            </w:r>
            <w:r>
              <w:rPr>
                <w:rFonts w:ascii="Arial" w:cs="Arial" w:eastAsia="Arial" w:hAnsi="Arial"/>
                <w:sz w:val="22"/>
                <w:szCs w:val="22"/>
                <w:color w:val="008000"/>
                <w:w w:val="95"/>
                <w:vertAlign w:val="superscript"/>
              </w:rPr>
              <w:t>(3)(4)</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3"/>
              <w:spacing w:after="0"/>
              <w:rPr>
                <w:sz w:val="20"/>
                <w:szCs w:val="20"/>
                <w:color w:val="auto"/>
              </w:rPr>
            </w:pPr>
            <w:r>
              <w:rPr>
                <w:rFonts w:ascii="Arial" w:cs="Arial" w:eastAsia="Arial" w:hAnsi="Arial"/>
                <w:sz w:val="18"/>
                <w:szCs w:val="18"/>
                <w:color w:val="0000FF"/>
                <w:w w:val="88"/>
              </w:rPr>
              <w:t>02/13/2016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4"/>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0000FF"/>
                <w:w w:val="88"/>
              </w:rPr>
              <w:t>1,760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3"/>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3,360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02/13/2016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4"/>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85"/>
              <w:spacing w:after="0"/>
              <w:rPr>
                <w:sz w:val="20"/>
                <w:szCs w:val="20"/>
                <w:color w:val="auto"/>
              </w:rPr>
            </w:pPr>
            <w:r>
              <w:rPr>
                <w:rFonts w:ascii="Arial" w:cs="Arial" w:eastAsia="Arial" w:hAnsi="Arial"/>
                <w:sz w:val="18"/>
                <w:szCs w:val="18"/>
                <w:color w:val="0000FF"/>
                <w:w w:val="88"/>
              </w:rPr>
              <w:t>1,027</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27.71</w:t>
            </w:r>
          </w:p>
        </w:tc>
        <w:tc>
          <w:tcPr>
            <w:tcW w:w="1220" w:type="dxa"/>
            <w:vAlign w:val="bottom"/>
            <w:gridSpan w:val="2"/>
          </w:tcPr>
          <w:p>
            <w:pPr>
              <w:jc w:val="right"/>
              <w:ind w:right="358"/>
              <w:spacing w:after="0"/>
              <w:rPr>
                <w:sz w:val="20"/>
                <w:szCs w:val="20"/>
                <w:color w:val="auto"/>
              </w:rPr>
            </w:pPr>
            <w:r>
              <w:rPr>
                <w:rFonts w:ascii="Arial" w:cs="Arial" w:eastAsia="Arial" w:hAnsi="Arial"/>
                <w:sz w:val="18"/>
                <w:szCs w:val="18"/>
                <w:color w:val="0000FF"/>
              </w:rPr>
              <w:t>2,333</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3"/>
              <w:spacing w:after="0"/>
              <w:rPr>
                <w:sz w:val="20"/>
                <w:szCs w:val="20"/>
                <w:color w:val="auto"/>
              </w:rPr>
            </w:pPr>
            <w:r>
              <w:rPr>
                <w:rFonts w:ascii="Arial" w:cs="Arial" w:eastAsia="Arial" w:hAnsi="Arial"/>
                <w:sz w:val="18"/>
                <w:szCs w:val="18"/>
                <w:color w:val="0000FF"/>
                <w:w w:val="88"/>
              </w:rPr>
              <w:t>02/13/2016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4"/>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65"/>
              <w:spacing w:after="0"/>
              <w:rPr>
                <w:sz w:val="20"/>
                <w:szCs w:val="20"/>
                <w:color w:val="auto"/>
              </w:rPr>
            </w:pPr>
            <w:r>
              <w:rPr>
                <w:rFonts w:ascii="Arial" w:cs="Arial" w:eastAsia="Arial" w:hAnsi="Arial"/>
                <w:sz w:val="18"/>
                <w:szCs w:val="18"/>
                <w:color w:val="0000FF"/>
                <w:w w:val="86"/>
              </w:rPr>
              <w:t>733</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3"/>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27.71</w:t>
            </w:r>
          </w:p>
        </w:tc>
        <w:tc>
          <w:tcPr>
            <w:tcW w:w="1220" w:type="dxa"/>
            <w:vAlign w:val="bottom"/>
            <w:gridSpan w:val="2"/>
          </w:tcPr>
          <w:p>
            <w:pPr>
              <w:jc w:val="right"/>
              <w:ind w:right="358"/>
              <w:spacing w:after="0"/>
              <w:rPr>
                <w:sz w:val="20"/>
                <w:szCs w:val="20"/>
                <w:color w:val="auto"/>
              </w:rPr>
            </w:pPr>
            <w:r>
              <w:rPr>
                <w:rFonts w:ascii="Arial" w:cs="Arial" w:eastAsia="Arial" w:hAnsi="Arial"/>
                <w:sz w:val="18"/>
                <w:szCs w:val="18"/>
                <w:color w:val="0000FF"/>
              </w:rPr>
              <w:t>1,600</w:t>
            </w:r>
          </w:p>
        </w:tc>
        <w:tc>
          <w:tcPr>
            <w:tcW w:w="280" w:type="dxa"/>
            <w:vAlign w:val="bottom"/>
          </w:tcPr>
          <w:p>
            <w:pPr>
              <w:spacing w:after="0"/>
              <w:rPr>
                <w:sz w:val="23"/>
                <w:szCs w:val="23"/>
                <w:color w:val="auto"/>
              </w:rPr>
            </w:pPr>
          </w:p>
        </w:tc>
        <w:tc>
          <w:tcPr>
            <w:tcW w:w="700" w:type="dxa"/>
            <w:vAlign w:val="bottom"/>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7"/>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7"/>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3"/>
              <w:spacing w:after="0"/>
              <w:rPr>
                <w:sz w:val="20"/>
                <w:szCs w:val="20"/>
                <w:color w:val="auto"/>
              </w:rPr>
            </w:pPr>
            <w:r>
              <w:rPr>
                <w:rFonts w:ascii="Arial" w:cs="Arial" w:eastAsia="Arial" w:hAnsi="Arial"/>
                <w:sz w:val="18"/>
                <w:szCs w:val="18"/>
                <w:color w:val="0000FF"/>
                <w:w w:val="93"/>
              </w:rPr>
              <w:t>3,651</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02/11/2016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3,651</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jc w:val="center"/>
              <w:ind w:right="187"/>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7,300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3"/>
              <w:spacing w:after="0"/>
              <w:rPr>
                <w:sz w:val="20"/>
                <w:szCs w:val="20"/>
                <w:color w:val="auto"/>
              </w:rPr>
            </w:pPr>
            <w:r>
              <w:rPr>
                <w:rFonts w:ascii="Arial" w:cs="Arial" w:eastAsia="Arial" w:hAnsi="Arial"/>
                <w:sz w:val="18"/>
                <w:szCs w:val="18"/>
                <w:color w:val="0000FF"/>
                <w:w w:val="93"/>
              </w:rPr>
              <w:t>8,098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02/13/2016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8,098</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jc w:val="center"/>
              <w:ind w:right="187"/>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4,049</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3"/>
              <w:spacing w:after="0"/>
              <w:rPr>
                <w:sz w:val="20"/>
                <w:szCs w:val="20"/>
                <w:color w:val="auto"/>
              </w:rPr>
            </w:pPr>
            <w:r>
              <w:rPr>
                <w:rFonts w:ascii="Arial" w:cs="Arial" w:eastAsia="Arial" w:hAnsi="Arial"/>
                <w:sz w:val="18"/>
                <w:szCs w:val="18"/>
                <w:color w:val="0000FF"/>
                <w:w w:val="93"/>
              </w:rPr>
              <w:t>1,760</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02/13/2016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1,760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(6)</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jc w:val="center"/>
              <w:ind w:right="187"/>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1,759</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(8)</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the Restricted Stock Units ("RSUs") awarded in 2015 pursuant to the Company's 2014 Long-Term Incentive Plan ("GMLTIP").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portion of this award currently payable was settled on February 11, 2016 in cash in an amount equal to the fair market value of the Common Stock, determined under the GMLTIP on the settlement date. The fair value of the Common Stock on the settlement date was $26.90, which was the average of the high and low trading prices for the Common Stock as reported by the New York Stock Exchange on that date.</w:t>
      </w:r>
    </w:p>
    <w:p>
      <w:pPr>
        <w:spacing w:after="0" w:line="30"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the RSUs awarded in 2014 pursuant to the 2014 GMLTIP.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portion of this award currently payable was settled on February 13, 2016 in cash in an amount equal to the fair market value of the Common Stock, determined under the GMLTIP on the settlement date. The fair value of the Common Stock on the settlement date was $27.40 and 27.71, respectively, which was the average of the high and low trading prices for the Common Stock as reported by the New York Stock Exchange on that date.</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reported in this item were granted on February 11, 2015 and began being settled in three equal, annual installments on February 11, 2016.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become exercisable or expire.</w:t>
      </w:r>
    </w:p>
    <w:p>
      <w:pPr>
        <w:sectPr>
          <w:pgSz w:w="11900" w:h="16838" w:orient="portrait"/>
          <w:cols w:equalWidth="0" w:num="1">
            <w:col w:w="11520"/>
          </w:cols>
          <w:pgMar w:left="240" w:top="226" w:right="139" w:bottom="0" w:gutter="0" w:footer="0" w:header="0"/>
          <w:type w:val="continuous"/>
        </w:sectPr>
      </w:pPr>
    </w:p>
    <w:bookmarkStart w:id="1" w:name="page2"/>
    <w:bookmarkEnd w:id="1"/>
    <w:p>
      <w:pPr>
        <w:ind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RSUs were awarded on February 13, 2014, pursuant to the 2009 GMLTIP. Two-thirds of the RSUs vested on February 13, 2016, and the remaining one-third will vest on February 13, 2017.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right="120"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RSUs were awarded on June 11, 2014 pursuant to the 2014 GMLTIP. One-third of the RSUs vested on February 13, 2016, and the remaining one-third will vest on February 13, 2017. Each RSU respresents a right to receive one share of the Company's Common Stock upon settlement.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008000"/>
        </w:rPr>
        <w:t>This amendment is being filed to report the correct settlement of the RSUs. Due to an administrative error, the original filing incorrectly reported that the RSUs were settled in shares rather than cash.</w:t>
      </w:r>
    </w:p>
    <w:p>
      <w:pPr>
        <w:spacing w:after="0" w:line="71"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07/05/2016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3"/>
              </w:rPr>
              <w:t>Attorney-In-Fact for Mr. Tsien</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16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280" w:top="12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2019-12-08T19:05:50Z</dcterms:created>
  <dcterms:modified xsi:type="dcterms:W3CDTF">2019-12-08T19:05:50Z</dcterms:modified>
</cp:coreProperties>
</file>