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jc w:val="center"/>
              <w:ind w:right="640"/>
              <w:spacing w:after="0"/>
              <w:rPr>
                <w:rFonts w:ascii="Arial" w:cs="Arial" w:eastAsia="Arial" w:hAnsi="Arial"/>
                <w:sz w:val="22"/>
                <w:szCs w:val="22"/>
                <w:color w:val="0000EE"/>
                <w:w w:val="93"/>
              </w:rPr>
            </w:pPr>
            <w:hyperlink r:id="rId11">
              <w:r>
                <w:rPr>
                  <w:rFonts w:ascii="Arial" w:cs="Arial" w:eastAsia="Arial" w:hAnsi="Arial"/>
                  <w:sz w:val="22"/>
                  <w:szCs w:val="22"/>
                  <w:color w:val="0000EE"/>
                  <w:w w:val="93"/>
                </w:rPr>
                <w:t>WHITACRE EDWARD E JR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58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06/07/2010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General Motors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NO SYMBOL</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 RENAISSANCE CENTER</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482-C25-A36</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6" w:type="dxa"/>
        <w:tblCellMar>
          <w:top w:w="0" w:type="dxa"/>
          <w:left w:w="0" w:type="dxa"/>
          <w:bottom w:w="0" w:type="dxa"/>
          <w:right w:w="0" w:type="dxa"/>
        </w:tblCellMar>
      </w:tblPr>
      <w:tr>
        <w:trPr>
          <w:trHeight w:val="222"/>
        </w:trPr>
        <w:tc>
          <w:tcPr>
            <w:tcW w:w="220" w:type="dxa"/>
            <w:vAlign w:val="bottom"/>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6"/>
        <w:spacing w:after="0"/>
        <w:rPr>
          <w:sz w:val="20"/>
          <w:szCs w:val="20"/>
          <w:color w:val="auto"/>
        </w:rPr>
      </w:pPr>
      <w:r>
        <w:rPr>
          <w:rFonts w:ascii="Arial" w:cs="Arial" w:eastAsia="Arial" w:hAnsi="Arial"/>
          <w:sz w:val="18"/>
          <w:szCs w:val="18"/>
          <w:color w:val="0000FF"/>
        </w:rPr>
        <w:t>Chairman &amp; CEO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jc w:val="right"/>
              <w:ind w:right="884"/>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right"/>
              <w:ind w:right="276"/>
              <w:spacing w:after="0"/>
              <w:rPr>
                <w:sz w:val="20"/>
                <w:szCs w:val="20"/>
                <w:color w:val="auto"/>
              </w:rPr>
            </w:pPr>
            <w:r>
              <w:rPr>
                <w:rFonts w:ascii="Arial" w:cs="Arial" w:eastAsia="Arial" w:hAnsi="Arial"/>
                <w:sz w:val="11"/>
                <w:szCs w:val="11"/>
                <w:color w:val="008000"/>
              </w:rPr>
              <w:t>(2)</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24,547</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both"/>
        <w:ind w:left="40" w:right="100" w:firstLine="9"/>
        <w:spacing w:after="0" w:line="270"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Under the General Motors Company Salary Stock Plan (the "GMSSP") each Salary Stock Unit ("SSU")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of the SSU's grant. The GMSSP provides that grants are settled in three equal annual installments beginning on the one year anniversary of the date of the grant. All of the SSUs granted in 2009 are deemed to have been granted, nunc pro tunc, on March 31, 2009, June 30, 2009, September 30, 2009 and December 31, 2009 in four grants of equal amounts, each of which will be settled in three equal annual installments, beginning on the first year anniversary of the deemed issuance date (for example, on March 31, 2010 for the first deemed grant). The SSUs do not have an expiration or exercise date.</w:t>
      </w:r>
    </w:p>
    <w:p>
      <w:pPr>
        <w:spacing w:after="0" w:line="13"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Units were granted March 31, 2010 and will be settled in three equal annual installments beginning March 31, 2011.</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SSUs do not have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06/07/2010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Whitacre</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84363"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2019-12-17T00:17:57Z</dcterms:created>
  <dcterms:modified xsi:type="dcterms:W3CDTF">2019-12-17T00:17:57Z</dcterms:modified>
</cp:coreProperties>
</file>