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4956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17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Ammann Daniel</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1000"/>
        <w:spacing w:after="0" w:line="318"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276"/>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06/30/2010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4"/>
        <w:spacing w:after="0"/>
        <w:rPr>
          <w:sz w:val="20"/>
          <w:szCs w:val="20"/>
          <w:color w:val="auto"/>
        </w:rPr>
      </w:pPr>
      <w:r>
        <w:rPr>
          <w:rFonts w:ascii="Arial" w:cs="Arial" w:eastAsia="Arial" w:hAnsi="Arial"/>
          <w:sz w:val="17"/>
          <w:szCs w:val="17"/>
          <w:color w:val="0000FF"/>
        </w:rPr>
        <w:t>Vice President &amp; Treasurer</w:t>
      </w:r>
    </w:p>
    <w:p>
      <w:pPr>
        <w:spacing w:after="0" w:line="458" w:lineRule="exact"/>
        <w:rPr>
          <w:sz w:val="24"/>
          <w:szCs w:val="24"/>
          <w:color w:val="auto"/>
        </w:rPr>
      </w:pPr>
    </w:p>
    <w:p>
      <w:pPr>
        <w:sectPr>
          <w:pgSz w:w="11900" w:h="16838" w:orient="portrait"/>
          <w:cols w:equalWidth="0" w:num="3">
            <w:col w:w="3360" w:space="720"/>
            <w:col w:w="3256" w:space="720"/>
            <w:col w:w="3464"/>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9"/>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800" w:type="dxa"/>
            <w:vAlign w:val="bottom"/>
            <w:tcBorders>
              <w:bottom w:val="single" w:sz="8" w:color="2C2C2C"/>
            </w:tcBorders>
            <w:gridSpan w:val="6"/>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80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60" w:type="dxa"/>
            <w:vAlign w:val="bottom"/>
            <w:gridSpan w:val="11"/>
          </w:tcPr>
          <w:p>
            <w:pPr>
              <w:jc w:val="center"/>
              <w:ind w:left="57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11,116</w:t>
            </w:r>
          </w:p>
        </w:tc>
        <w:tc>
          <w:tcPr>
            <w:tcW w:w="800" w:type="dxa"/>
            <w:vAlign w:val="bottom"/>
            <w:gridSpan w:val="2"/>
            <w:vMerge w:val="restart"/>
          </w:tcPr>
          <w:p>
            <w:pPr>
              <w:ind w:left="2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ind w:left="200"/>
              <w:spacing w:after="0" w:line="146" w:lineRule="exact"/>
              <w:rPr>
                <w:sz w:val="20"/>
                <w:szCs w:val="20"/>
                <w:color w:val="auto"/>
              </w:rPr>
            </w:pPr>
            <w:r>
              <w:rPr>
                <w:rFonts w:ascii="Arial" w:cs="Arial" w:eastAsia="Arial" w:hAnsi="Arial"/>
                <w:sz w:val="13"/>
                <w:szCs w:val="13"/>
                <w:color w:val="0000FF"/>
              </w:rPr>
              <w:t>06/30/2010</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60"/>
              <w:spacing w:after="0" w:line="146" w:lineRule="exact"/>
              <w:rPr>
                <w:sz w:val="20"/>
                <w:szCs w:val="20"/>
                <w:color w:val="auto"/>
              </w:rPr>
            </w:pPr>
            <w:r>
              <w:rPr>
                <w:rFonts w:ascii="Arial" w:cs="Arial" w:eastAsia="Arial" w:hAnsi="Arial"/>
                <w:sz w:val="13"/>
                <w:szCs w:val="13"/>
                <w:color w:val="0000FF"/>
              </w:rPr>
              <w:t>A</w:t>
            </w:r>
          </w:p>
        </w:tc>
        <w:tc>
          <w:tcPr>
            <w:tcW w:w="600" w:type="dxa"/>
            <w:vAlign w:val="bottom"/>
          </w:tcPr>
          <w:p>
            <w:pPr>
              <w:ind w:left="180"/>
              <w:spacing w:after="0" w:line="146" w:lineRule="exact"/>
              <w:rPr>
                <w:sz w:val="20"/>
                <w:szCs w:val="20"/>
                <w:color w:val="auto"/>
              </w:rPr>
            </w:pPr>
            <w:r>
              <w:rPr>
                <w:rFonts w:ascii="Arial" w:cs="Arial" w:eastAsia="Arial" w:hAnsi="Arial"/>
                <w:sz w:val="13"/>
                <w:szCs w:val="13"/>
                <w:color w:val="0000FF"/>
              </w:rPr>
              <w:t>11,116</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ind w:left="14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0" w:type="dxa"/>
            <w:vAlign w:val="bottom"/>
          </w:tcPr>
          <w:p>
            <w:pPr>
              <w:ind w:left="240"/>
              <w:spacing w:after="0" w:line="146" w:lineRule="exact"/>
              <w:rPr>
                <w:sz w:val="20"/>
                <w:szCs w:val="20"/>
                <w:color w:val="auto"/>
              </w:rPr>
            </w:pPr>
            <w:r>
              <w:rPr>
                <w:rFonts w:ascii="Arial" w:cs="Arial" w:eastAsia="Arial" w:hAnsi="Arial"/>
                <w:sz w:val="13"/>
                <w:szCs w:val="13"/>
                <w:color w:val="0000FF"/>
                <w:w w:val="85"/>
              </w:rPr>
              <w:t>11,116</w:t>
            </w:r>
          </w:p>
        </w:tc>
        <w:tc>
          <w:tcPr>
            <w:tcW w:w="300" w:type="dxa"/>
            <w:vAlign w:val="bottom"/>
          </w:tcPr>
          <w:p>
            <w:pPr>
              <w:spacing w:after="0"/>
              <w:rPr>
                <w:sz w:val="12"/>
                <w:szCs w:val="12"/>
                <w:color w:val="auto"/>
              </w:rPr>
            </w:pPr>
          </w:p>
        </w:tc>
        <w:tc>
          <w:tcPr>
            <w:tcW w:w="70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320" w:firstLine="8"/>
        <w:spacing w:after="0" w:line="277"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Company's Salary Stock Plan (the "GMSSP") each Salary Stock Unit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Each grant of SSUs will settle in three equal, annual installments beginning on the one-year anniversary of the date of the grant. The SSUs do not have an expiration or exercise date.</w:t>
      </w:r>
    </w:p>
    <w:p>
      <w:pPr>
        <w:spacing w:after="0" w:line="8" w:lineRule="exact"/>
        <w:rPr>
          <w:rFonts w:ascii="Arial" w:cs="Arial" w:eastAsia="Arial" w:hAnsi="Arial"/>
          <w:sz w:val="12"/>
          <w:szCs w:val="12"/>
          <w:color w:val="008000"/>
        </w:rPr>
      </w:pPr>
    </w:p>
    <w:p>
      <w:pPr>
        <w:ind w:left="40" w:right="26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Anne T. Larin, attorney-in-</w:t>
            </w: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07/02/2010</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Amman</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2019-12-16T23:54:44Z</dcterms:created>
  <dcterms:modified xsi:type="dcterms:W3CDTF">2019-12-16T23:54:44Z</dcterms:modified>
</cp:coreProperties>
</file>