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925195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44" w:lineRule="exact"/>
        <w:rPr>
          <w:sz w:val="24"/>
          <w:szCs w:val="24"/>
          <w:color w:val="auto"/>
        </w:rPr>
      </w:pPr>
    </w:p>
    <w:p>
      <w:pPr>
        <w:ind w:left="660" w:right="2180" w:hanging="635"/>
        <w:spacing w:after="0" w:line="236"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44" w:lineRule="exact"/>
        <w:rPr>
          <w:sz w:val="24"/>
          <w:szCs w:val="24"/>
          <w:color w:val="auto"/>
        </w:rPr>
      </w:pPr>
    </w:p>
    <w:p>
      <w:pPr>
        <w:ind w:left="660" w:right="2160" w:hanging="635"/>
        <w:spacing w:after="0" w:line="236"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7"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119380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2"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0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3"/>
              </w:rPr>
              <w:t>(State or other jurisdiction of</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89"/>
              </w:rPr>
              <w:t>(I.R.S. Employer</w:t>
            </w:r>
          </w:p>
        </w:tc>
      </w:tr>
      <w:tr>
        <w:trPr>
          <w:trHeight w:val="230"/>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5"/>
              </w:rPr>
              <w:t>Identification No.)</w:t>
            </w:r>
          </w:p>
        </w:tc>
      </w:tr>
      <w:tr>
        <w:trPr>
          <w:trHeight w:val="334"/>
        </w:trPr>
        <w:tc>
          <w:tcPr>
            <w:tcW w:w="50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300 Renaissance Center, Detroit, Michigan</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0"/>
        </w:trPr>
        <w:tc>
          <w:tcPr>
            <w:tcW w:w="5080" w:type="dxa"/>
            <w:vAlign w:val="bottom"/>
          </w:tcPr>
          <w:p>
            <w:pPr>
              <w:jc w:val="center"/>
              <w:ind w:right="159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1"/>
              </w:rPr>
              <w:t>(Zip Code)</w:t>
            </w:r>
          </w:p>
        </w:tc>
      </w:tr>
      <w:tr>
        <w:trPr>
          <w:trHeight w:val="309"/>
        </w:trPr>
        <w:tc>
          <w:tcPr>
            <w:tcW w:w="5080" w:type="dxa"/>
            <w:vAlign w:val="bottom"/>
          </w:tcPr>
          <w:p>
            <w:pPr>
              <w:jc w:val="right"/>
              <w:ind w:right="510"/>
              <w:spacing w:after="0"/>
              <w:rPr>
                <w:sz w:val="20"/>
                <w:szCs w:val="20"/>
                <w:color w:val="auto"/>
              </w:rPr>
            </w:pPr>
            <w:r>
              <w:rPr>
                <w:rFonts w:ascii="Arial" w:cs="Arial" w:eastAsia="Arial" w:hAnsi="Arial"/>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7"/>
                <w:szCs w:val="17"/>
                <w:color w:val="auto"/>
                <w:w w:val="91"/>
              </w:rPr>
              <w:t>Title of each class</w:t>
            </w:r>
          </w:p>
        </w:tc>
        <w:tc>
          <w:tcPr>
            <w:tcW w:w="2480" w:type="dxa"/>
            <w:vAlign w:val="bottom"/>
            <w:gridSpan w:val="3"/>
          </w:tcPr>
          <w:p>
            <w:pPr>
              <w:jc w:val="center"/>
              <w:ind w:left="94"/>
              <w:spacing w:after="0"/>
              <w:rPr>
                <w:sz w:val="20"/>
                <w:szCs w:val="20"/>
                <w:color w:val="auto"/>
              </w:rPr>
            </w:pPr>
            <w:r>
              <w:rPr>
                <w:rFonts w:ascii="Arial" w:cs="Arial" w:eastAsia="Arial" w:hAnsi="Arial"/>
                <w:sz w:val="17"/>
                <w:szCs w:val="17"/>
                <w:color w:val="auto"/>
                <w:w w:val="93"/>
              </w:rPr>
              <w:t>Trading Symbol(s)</w:t>
            </w:r>
          </w:p>
        </w:tc>
        <w:tc>
          <w:tcPr>
            <w:tcW w:w="3520" w:type="dxa"/>
            <w:vAlign w:val="bottom"/>
            <w:gridSpan w:val="2"/>
          </w:tcPr>
          <w:p>
            <w:pPr>
              <w:jc w:val="center"/>
              <w:ind w:left="394"/>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5"/>
        </w:trPr>
        <w:tc>
          <w:tcPr>
            <w:tcW w:w="2920" w:type="dxa"/>
            <w:vAlign w:val="bottom"/>
            <w:gridSpan w:val="3"/>
          </w:tcPr>
          <w:p>
            <w:pPr>
              <w:jc w:val="center"/>
              <w:ind w:right="680"/>
              <w:spacing w:after="0"/>
              <w:rPr>
                <w:sz w:val="20"/>
                <w:szCs w:val="20"/>
                <w:color w:val="auto"/>
              </w:rPr>
            </w:pPr>
            <w:r>
              <w:rPr>
                <w:rFonts w:ascii="Arial" w:cs="Arial" w:eastAsia="Arial" w:hAnsi="Arial"/>
                <w:sz w:val="17"/>
                <w:szCs w:val="17"/>
                <w:color w:val="auto"/>
                <w:w w:val="92"/>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46" w:lineRule="exact"/>
        <w:rPr>
          <w:sz w:val="24"/>
          <w:szCs w:val="24"/>
          <w:color w:val="auto"/>
        </w:rPr>
      </w:pPr>
    </w:p>
    <w:p>
      <w:pPr>
        <w:jc w:val="both"/>
        <w:ind w:firstLine="81"/>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5" w:lineRule="exact"/>
        <w:rPr>
          <w:sz w:val="24"/>
          <w:szCs w:val="24"/>
          <w:color w:val="auto"/>
        </w:rPr>
      </w:pPr>
    </w:p>
    <w:p>
      <w:pPr>
        <w:jc w:val="both"/>
        <w:ind w:firstLine="81"/>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jc w:val="both"/>
        <w:ind w:firstLine="81"/>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p>
      <w:pPr>
        <w:ind w:left="8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jc w:val="both"/>
        <w:ind w:firstLine="81"/>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4" w:lineRule="exact"/>
        <w:rPr>
          <w:sz w:val="24"/>
          <w:szCs w:val="24"/>
          <w:color w:val="auto"/>
        </w:rPr>
      </w:pPr>
    </w:p>
    <w:p>
      <w:pPr>
        <w:ind w:left="80" w:right="2220"/>
        <w:spacing w:after="0" w:line="28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14, 2023 there were 1,390,123,499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740410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130810</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6.</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Equipment on Operating Leases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Debt</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Product Warranty and Related Liabilities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Commitments and Contingencies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Restructuring and Other Initiatives</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Earnings Per Share</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 Incentive Plans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Arial" w:cs="Arial" w:eastAsia="Arial" w:hAnsi="Arial"/>
                <w:sz w:val="18"/>
                <w:szCs w:val="18"/>
                <w:b w:val="1"/>
                <w:bCs w:val="1"/>
                <w:color w:val="auto"/>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1120" w:type="dxa"/>
            <w:vAlign w:val="bottom"/>
          </w:tcPr>
          <w:p>
            <w:pPr>
              <w:ind w:left="140"/>
              <w:spacing w:after="0" w:line="189" w:lineRule="exact"/>
              <w:rPr>
                <w:sz w:val="20"/>
                <w:szCs w:val="20"/>
                <w:color w:val="auto"/>
              </w:rPr>
            </w:pPr>
            <w:r>
              <w:rPr>
                <w:rFonts w:ascii="Arial" w:cs="Arial" w:eastAsia="Arial" w:hAnsi="Arial"/>
                <w:sz w:val="18"/>
                <w:szCs w:val="18"/>
                <w:color w:val="auto"/>
                <w:w w:val="95"/>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1120" w:type="dxa"/>
            <w:vAlign w:val="bottom"/>
          </w:tcPr>
          <w:p>
            <w:pPr>
              <w:ind w:left="140"/>
              <w:spacing w:after="0" w:line="189" w:lineRule="exact"/>
              <w:rPr>
                <w:sz w:val="20"/>
                <w:szCs w:val="20"/>
                <w:color w:val="auto"/>
              </w:rPr>
            </w:pPr>
            <w:r>
              <w:rPr>
                <w:rFonts w:ascii="Arial" w:cs="Arial" w:eastAsia="Arial" w:hAnsi="Arial"/>
                <w:sz w:val="18"/>
                <w:szCs w:val="18"/>
                <w:color w:val="auto"/>
              </w:rPr>
              <w:t>Exhibits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Arial" w:cs="Arial" w:eastAsia="Arial" w:hAnsi="Arial"/>
                <w:sz w:val="18"/>
                <w:szCs w:val="18"/>
                <w:color w:val="0000FF"/>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Signature</w:t>
            </w:r>
          </w:p>
        </w:tc>
        <w:tc>
          <w:tcPr>
            <w:tcW w:w="112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3"/>
        </w:trPr>
        <w:tc>
          <w:tcPr>
            <w:tcW w:w="86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87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67"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31750</wp:posOffset>
            </wp:positionV>
            <wp:extent cx="1894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 2023</w:t>
            </w:r>
          </w:p>
        </w:tc>
        <w:tc>
          <w:tcPr>
            <w:tcW w:w="200" w:type="dxa"/>
            <w:vAlign w:val="bottom"/>
          </w:tcPr>
          <w:p>
            <w:pPr>
              <w:spacing w:after="0"/>
              <w:rPr>
                <w:sz w:val="15"/>
                <w:szCs w:val="15"/>
                <w:color w:val="auto"/>
              </w:rPr>
            </w:pPr>
          </w:p>
        </w:tc>
        <w:tc>
          <w:tcPr>
            <w:tcW w:w="1240" w:type="dxa"/>
            <w:vAlign w:val="bottom"/>
          </w:tcPr>
          <w:p>
            <w:pPr>
              <w:jc w:val="right"/>
              <w:ind w:right="220"/>
              <w:spacing w:after="0"/>
              <w:rPr>
                <w:sz w:val="20"/>
                <w:szCs w:val="20"/>
                <w:color w:val="auto"/>
              </w:rPr>
            </w:pPr>
            <w:r>
              <w:rPr>
                <w:rFonts w:ascii="Arial" w:cs="Arial" w:eastAsia="Arial" w:hAnsi="Arial"/>
                <w:sz w:val="13"/>
                <w:szCs w:val="13"/>
                <w:b w:val="1"/>
                <w:bCs w:val="1"/>
                <w:color w:val="auto"/>
                <w:w w:val="99"/>
              </w:rPr>
              <w:t>March 31, 2022</w:t>
            </w:r>
          </w:p>
        </w:tc>
      </w:tr>
      <w:tr>
        <w:trPr>
          <w:trHeight w:val="199"/>
        </w:trPr>
        <w:tc>
          <w:tcPr>
            <w:tcW w:w="820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8"/>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Automotive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32,824</w:t>
            </w:r>
          </w:p>
        </w:tc>
      </w:tr>
      <w:tr>
        <w:trPr>
          <w:trHeight w:val="212"/>
        </w:trPr>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GM Financial</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Total net sales and revenue (Note 2)</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35,979</w:t>
            </w:r>
          </w:p>
        </w:tc>
      </w:tr>
      <w:tr>
        <w:trPr>
          <w:trHeight w:val="192"/>
        </w:trPr>
        <w:tc>
          <w:tcPr>
            <w:tcW w:w="820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8"/>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Automotive and other cost of sales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29,353</w:t>
            </w:r>
          </w:p>
        </w:tc>
      </w:tr>
      <w:tr>
        <w:trPr>
          <w:trHeight w:val="212"/>
        </w:trPr>
        <w:tc>
          <w:tcPr>
            <w:tcW w:w="8200" w:type="dxa"/>
            <w:vAlign w:val="bottom"/>
          </w:tcPr>
          <w:p>
            <w:pPr>
              <w:ind w:left="120"/>
              <w:spacing w:after="0"/>
              <w:rPr>
                <w:sz w:val="20"/>
                <w:szCs w:val="20"/>
                <w:color w:val="auto"/>
              </w:rPr>
            </w:pPr>
            <w:r>
              <w:rPr>
                <w:rFonts w:ascii="Arial" w:cs="Arial" w:eastAsia="Arial" w:hAnsi="Arial"/>
                <w:sz w:val="16"/>
                <w:szCs w:val="16"/>
                <w:color w:val="auto"/>
              </w:rPr>
              <w:t>GM Financial interest, operating and other expenses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1,926</w:t>
            </w:r>
          </w:p>
        </w:tc>
      </w:tr>
      <w:tr>
        <w:trPr>
          <w:trHeight w:val="218"/>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Automotive and other selling, general and administrative expense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w:t>
            </w:r>
          </w:p>
        </w:tc>
      </w:tr>
      <w:tr>
        <w:trPr>
          <w:trHeight w:val="206"/>
        </w:trPr>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33,783</w:t>
            </w:r>
          </w:p>
        </w:tc>
      </w:tr>
      <w:tr>
        <w:trPr>
          <w:trHeight w:val="211"/>
        </w:trPr>
        <w:tc>
          <w:tcPr>
            <w:tcW w:w="8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r>
      <w:tr>
        <w:trPr>
          <w:trHeight w:val="212"/>
        </w:trPr>
        <w:tc>
          <w:tcPr>
            <w:tcW w:w="820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8"/>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 and other non-operating income,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2"/>
        </w:trPr>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Equity income (loss) (Note 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r>
      <w:tr>
        <w:trPr>
          <w:trHeight w:val="212"/>
        </w:trPr>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expense (benefit) (Note 14)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r>
      <w:tr>
        <w:trPr>
          <w:trHeight w:val="212"/>
        </w:trPr>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 attributable to noncontrolling interests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36"/>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stockholders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r>
      <w:tr>
        <w:trPr>
          <w:trHeight w:val="54"/>
        </w:trPr>
        <w:tc>
          <w:tcPr>
            <w:tcW w:w="8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15"/>
        </w:trPr>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 (Note 17)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2"/>
        </w:trPr>
        <w:tc>
          <w:tcPr>
            <w:tcW w:w="8200" w:type="dxa"/>
            <w:vAlign w:val="bottom"/>
          </w:tcPr>
          <w:p>
            <w:pPr>
              <w:ind w:left="120"/>
              <w:spacing w:after="0"/>
              <w:rPr>
                <w:sz w:val="20"/>
                <w:szCs w:val="20"/>
                <w:color w:val="auto"/>
              </w:rPr>
            </w:pPr>
            <w:r>
              <w:rPr>
                <w:rFonts w:ascii="Arial" w:cs="Arial" w:eastAsia="Arial" w:hAnsi="Arial"/>
                <w:sz w:val="16"/>
                <w:szCs w:val="16"/>
                <w:color w:val="auto"/>
              </w:rPr>
              <w:t>Basic earnings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8"/>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Weighted-average common shares outstanding – basic</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r>
      <w:tr>
        <w:trPr>
          <w:trHeight w:val="212"/>
        </w:trPr>
        <w:tc>
          <w:tcPr>
            <w:tcW w:w="8200" w:type="dxa"/>
            <w:vAlign w:val="bottom"/>
          </w:tcPr>
          <w:p>
            <w:pPr>
              <w:ind w:left="120"/>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8"/>
        </w:trPr>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Weighted-average common shares outstanding – diluted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r>
      <w:tr>
        <w:trPr>
          <w:trHeight w:val="54"/>
        </w:trPr>
        <w:tc>
          <w:tcPr>
            <w:tcW w:w="8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15"/>
        </w:trPr>
        <w:tc>
          <w:tcPr>
            <w:tcW w:w="8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Dividends declared per common share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25"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March 31, 2023</w:t>
            </w: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242"/>
              <w:spacing w:after="0"/>
              <w:rPr>
                <w:sz w:val="20"/>
                <w:szCs w:val="20"/>
                <w:color w:val="auto"/>
              </w:rPr>
            </w:pPr>
            <w:r>
              <w:rPr>
                <w:rFonts w:ascii="Arial" w:cs="Arial" w:eastAsia="Arial" w:hAnsi="Arial"/>
                <w:sz w:val="13"/>
                <w:szCs w:val="13"/>
                <w:b w:val="1"/>
                <w:bCs w:val="1"/>
                <w:color w:val="auto"/>
                <w:w w:val="97"/>
              </w:rPr>
              <w:t>March 31, 2022</w:t>
            </w:r>
          </w:p>
        </w:tc>
      </w:tr>
      <w:tr>
        <w:trPr>
          <w:trHeight w:val="215"/>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2,807</w:t>
            </w: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8"/>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340</w:t>
            </w:r>
          </w:p>
        </w:tc>
      </w:tr>
      <w:tr>
        <w:trPr>
          <w:trHeight w:val="212"/>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w:t>
            </w:r>
          </w:p>
        </w:tc>
      </w:tr>
      <w:tr>
        <w:trPr>
          <w:trHeight w:val="211"/>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442</w:t>
            </w:r>
          </w:p>
        </w:tc>
      </w:tr>
      <w:tr>
        <w:trPr>
          <w:trHeight w:val="20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3,250</w:t>
            </w:r>
          </w:p>
        </w:tc>
      </w:tr>
      <w:tr>
        <w:trPr>
          <w:trHeight w:val="215"/>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Comprehensive loss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145</w:t>
            </w:r>
          </w:p>
        </w:tc>
      </w:tr>
      <w:tr>
        <w:trPr>
          <w:trHeight w:val="211"/>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3,394</w:t>
            </w: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Marketable debt securities (Note 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12,150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net of allowance of $261 and $260</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GM Financial receivables, net of allowance of $801 and $869 (Note 4; Note 8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32,283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33,623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5)</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15,366</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(Note 3; Note 8 at VIEs)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100,451</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of allowance of $1,351 and $1,227 (Note 4; Note 8 at VIEs)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Equity in net assets of nonconsolidated affiliates (Note 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10,176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45,248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4,945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6; Note 8 at VIEs)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20,539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(Note 3; Note 8 at VIEs)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168,173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163,586</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264,037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(principally trade)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27,486</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Short-term debt and current portion of long-term debt (Note 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36,819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24,910</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90,185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91,173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Long-term debt (Note 9)</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15,885</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61,482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60,036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benefits other than pensions (Note 12)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Pensions (Note 12)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5,698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14,767</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100,579</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191,752</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 Cruise stock incentive awards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Equity (Note 16)</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26,428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49,251</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(7,901)</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67,792</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73,961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71,927</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267,004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264,037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ectPr>
          <w:pgSz w:w="11900" w:h="16838" w:orient="portrait"/>
          <w:cols w:equalWidth="0" w:num="1">
            <w:col w:w="11240"/>
          </w:cols>
          <w:pgMar w:left="320" w:top="125" w:right="3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6"/>
                <w:szCs w:val="16"/>
                <w:color w:val="auto"/>
              </w:rPr>
            </w:pPr>
          </w:p>
        </w:tc>
        <w:tc>
          <w:tcPr>
            <w:tcW w:w="1420" w:type="dxa"/>
            <w:vAlign w:val="bottom"/>
          </w:tcPr>
          <w:p>
            <w:pPr>
              <w:jc w:val="right"/>
              <w:ind w:right="280"/>
              <w:spacing w:after="0"/>
              <w:rPr>
                <w:sz w:val="20"/>
                <w:szCs w:val="20"/>
                <w:color w:val="auto"/>
              </w:rPr>
            </w:pPr>
            <w:r>
              <w:rPr>
                <w:rFonts w:ascii="Arial" w:cs="Arial" w:eastAsia="Arial" w:hAnsi="Arial"/>
                <w:sz w:val="14"/>
                <w:szCs w:val="14"/>
                <w:b w:val="1"/>
                <w:bCs w:val="1"/>
                <w:color w:val="auto"/>
              </w:rPr>
              <w:t>March 31, 2022</w:t>
            </w:r>
          </w:p>
        </w:tc>
      </w:tr>
      <w:tr>
        <w:trPr>
          <w:trHeight w:val="202"/>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2,346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2,807</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1,668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remeasurement and transaction (gains) losses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Undistributed earnings of nonconsolidated affiliates,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contributions and OPEB payments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 and OPEB income,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(benefit) for deferred taxes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other operating assets and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Expenditures for property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Available-for-sale marketable securities, acquisitions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(3,451)</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marketable securities, liquidations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finance receivables,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(8,189)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collections and recoveries on finance receivables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6,845</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leased vehicles,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(2,990)</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termination of leased vehicles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(decrease) in short-term debt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10,685</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(10,827)</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Payments to purchase common stock</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(redemption) of subsidiary stock (Note 16)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(3,564)</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23,542</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19,978</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property additions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b w:val="1"/>
                <w:bCs w:val="1"/>
                <w:color w:val="auto"/>
                <w:w w:val="97"/>
              </w:rPr>
              <w:t>Common Stockholders’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Accumulated Other</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Equity</w:t>
            </w:r>
          </w:p>
        </w:tc>
        <w:tc>
          <w:tcPr>
            <w:tcW w:w="100" w:type="dxa"/>
            <w:vAlign w:val="bottom"/>
          </w:tcPr>
          <w:p>
            <w:pPr>
              <w:spacing w:after="0"/>
              <w:rPr>
                <w:sz w:val="12"/>
                <w:szCs w:val="12"/>
                <w:color w:val="auto"/>
              </w:rPr>
            </w:pPr>
          </w:p>
        </w:tc>
        <w:tc>
          <w:tcPr>
            <w:tcW w:w="134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91"/>
              </w:rPr>
              <w:t>Cruise Stock Incentive</w:t>
            </w:r>
          </w:p>
        </w:tc>
        <w:tc>
          <w:tcPr>
            <w:tcW w:w="0" w:type="dxa"/>
            <w:vAlign w:val="bottom"/>
          </w:tcPr>
          <w:p>
            <w:pPr>
              <w:spacing w:after="0"/>
              <w:rPr>
                <w:sz w:val="1"/>
                <w:szCs w:val="1"/>
                <w:color w:val="auto"/>
              </w:rPr>
            </w:pPr>
          </w:p>
        </w:tc>
      </w:tr>
      <w:tr>
        <w:trPr>
          <w:trHeight w:val="13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3"/>
              </w:rPr>
              <w:t>(Permanent</w:t>
            </w:r>
          </w:p>
        </w:tc>
        <w:tc>
          <w:tcPr>
            <w:tcW w:w="100" w:type="dxa"/>
            <w:vAlign w:val="bottom"/>
          </w:tcPr>
          <w:p>
            <w:pPr>
              <w:spacing w:after="0"/>
              <w:rPr>
                <w:sz w:val="12"/>
                <w:szCs w:val="12"/>
                <w:color w:val="auto"/>
              </w:rPr>
            </w:pPr>
          </w:p>
        </w:tc>
        <w:tc>
          <w:tcPr>
            <w:tcW w:w="1340" w:type="dxa"/>
            <w:vAlign w:val="bottom"/>
          </w:tcPr>
          <w:p>
            <w:pPr>
              <w:jc w:val="center"/>
              <w:ind w:right="8"/>
              <w:spacing w:after="0" w:line="13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Equity)</w:t>
            </w:r>
          </w:p>
        </w:tc>
        <w:tc>
          <w:tcPr>
            <w:tcW w:w="100" w:type="dxa"/>
            <w:vAlign w:val="bottom"/>
          </w:tcPr>
          <w:p>
            <w:pPr>
              <w:spacing w:after="0"/>
              <w:rPr>
                <w:sz w:val="16"/>
                <w:szCs w:val="16"/>
                <w:color w:val="auto"/>
              </w:rPr>
            </w:pPr>
          </w:p>
        </w:tc>
        <w:tc>
          <w:tcPr>
            <w:tcW w:w="134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(Temporary Equity)</w:t>
            </w:r>
          </w:p>
        </w:tc>
        <w:tc>
          <w:tcPr>
            <w:tcW w:w="0" w:type="dxa"/>
            <w:vAlign w:val="bottom"/>
          </w:tcPr>
          <w:p>
            <w:pPr>
              <w:spacing w:after="0"/>
              <w:rPr>
                <w:sz w:val="1"/>
                <w:szCs w:val="1"/>
                <w:color w:val="auto"/>
              </w:rPr>
            </w:pPr>
          </w:p>
        </w:tc>
      </w:tr>
      <w:tr>
        <w:trPr>
          <w:trHeight w:val="201"/>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41,937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940" w:type="dxa"/>
            <w:vAlign w:val="bottom"/>
          </w:tcPr>
          <w:p>
            <w:pPr>
              <w:ind w:left="20"/>
              <w:spacing w:after="0" w:line="165" w:lineRule="exact"/>
              <w:rPr>
                <w:sz w:val="20"/>
                <w:szCs w:val="20"/>
                <w:color w:val="auto"/>
              </w:rPr>
            </w:pPr>
            <w:r>
              <w:rPr>
                <w:rFonts w:ascii="Arial" w:cs="Arial" w:eastAsia="Arial" w:hAnsi="Arial"/>
                <w:sz w:val="16"/>
                <w:szCs w:val="16"/>
                <w:color w:val="auto"/>
                <w:w w:val="98"/>
              </w:rPr>
              <w:t>Issuance (redemption) of subsidiary stock</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40" w:type="dxa"/>
            <w:vAlign w:val="bottom"/>
          </w:tcPr>
          <w:p>
            <w:pPr>
              <w:ind w:left="180"/>
              <w:spacing w:after="0"/>
              <w:rPr>
                <w:sz w:val="20"/>
                <w:szCs w:val="20"/>
                <w:color w:val="auto"/>
              </w:rPr>
            </w:pPr>
            <w:r>
              <w:rPr>
                <w:rFonts w:ascii="Arial" w:cs="Arial" w:eastAsia="Arial" w:hAnsi="Arial"/>
                <w:sz w:val="16"/>
                <w:szCs w:val="16"/>
                <w:color w:val="auto"/>
              </w:rPr>
              <w:t>(Note 16)</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Balance at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27,015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43,879</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4,679</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66,774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26,428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49,251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(7,901)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4,135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71,927</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8"/>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2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06"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and growing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Nonsegment operations are classified as Corporate. Corporate includes certain centrally recorded income and costs such as interest, income taxes, corporate expenditures and certain nonsegment-specific revenues and expenses.</w:t>
      </w:r>
    </w:p>
    <w:p>
      <w:pPr>
        <w:spacing w:after="0" w:line="205"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The condensed consolidated financial statements are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2022 Form 10-K. Except for per share amounts or as otherwise specified, amounts presented within tables are stated in millions. Certain columns and rows may not add due to rounding.</w:t>
      </w:r>
    </w:p>
    <w:p>
      <w:pPr>
        <w:spacing w:after="0" w:line="209"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are adjusted to reflect the impact on GM Financial's deferred tax positions and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gridSpan w:val="11"/>
          </w:tcPr>
          <w:p>
            <w:pPr>
              <w:jc w:val="right"/>
              <w:ind w:right="42"/>
              <w:spacing w:after="0"/>
              <w:rPr>
                <w:sz w:val="20"/>
                <w:szCs w:val="20"/>
                <w:color w:val="auto"/>
              </w:rPr>
            </w:pPr>
            <w:r>
              <w:rPr>
                <w:rFonts w:ascii="Arial" w:cs="Arial" w:eastAsia="Arial" w:hAnsi="Arial"/>
                <w:sz w:val="14"/>
                <w:szCs w:val="14"/>
                <w:b w:val="1"/>
                <w:bCs w:val="1"/>
                <w:color w:val="auto"/>
                <w:w w:val="97"/>
              </w:rPr>
              <w:t>Three Months Ended March 31, 2023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GMNA</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GMI</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restart"/>
          </w:tcPr>
          <w:p>
            <w:pPr>
              <w:jc w:val="right"/>
              <w:ind w:right="41"/>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301"/>
              <w:spacing w:after="0" w:line="12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right="142"/>
              <w:spacing w:after="0" w:line="128" w:lineRule="exact"/>
              <w:rPr>
                <w:sz w:val="20"/>
                <w:szCs w:val="20"/>
                <w:color w:val="auto"/>
              </w:rPr>
            </w:pPr>
            <w:r>
              <w:rPr>
                <w:rFonts w:ascii="Arial" w:cs="Arial" w:eastAsia="Arial" w:hAnsi="Arial"/>
                <w:sz w:val="14"/>
                <w:szCs w:val="14"/>
                <w:b w:val="1"/>
                <w:bCs w:val="1"/>
                <w:color w:val="auto"/>
              </w:rPr>
              <w:t>GM</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w w:val="93"/>
              </w:rPr>
              <w:t>Automotive</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31,876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3,342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35,227</w:t>
            </w: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32,889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3,727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36,646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ind w:left="6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36,646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1,368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3,343</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31"/>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32,889</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36,646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9"/>
          </w:tcPr>
          <w:p>
            <w:pPr>
              <w:jc w:val="right"/>
              <w:spacing w:after="0"/>
              <w:rPr>
                <w:sz w:val="20"/>
                <w:szCs w:val="20"/>
                <w:color w:val="auto"/>
              </w:rPr>
            </w:pPr>
            <w:r>
              <w:rPr>
                <w:rFonts w:ascii="Arial" w:cs="Arial" w:eastAsia="Arial" w:hAnsi="Arial"/>
                <w:sz w:val="14"/>
                <w:szCs w:val="14"/>
                <w:b w:val="1"/>
                <w:bCs w:val="1"/>
                <w:color w:val="auto"/>
                <w:w w:val="94"/>
              </w:rPr>
              <w:t>Three Months Ended March 31, 2022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vMerge w:val="restart"/>
          </w:tcPr>
          <w:p>
            <w:pPr>
              <w:jc w:val="right"/>
              <w:ind w:right="119"/>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4"/>
            <w:vMerge w:val="restart"/>
          </w:tcPr>
          <w:p>
            <w:pPr>
              <w:jc w:val="right"/>
              <w:ind w:right="79"/>
              <w:spacing w:after="0"/>
              <w:rPr>
                <w:sz w:val="20"/>
                <w:szCs w:val="20"/>
                <w:color w:val="auto"/>
              </w:rPr>
            </w:pPr>
            <w:r>
              <w:rPr>
                <w:rFonts w:ascii="Arial" w:cs="Arial" w:eastAsia="Arial" w:hAnsi="Arial"/>
                <w:sz w:val="14"/>
                <w:szCs w:val="14"/>
                <w:b w:val="1"/>
                <w:bCs w:val="1"/>
                <w:color w:val="auto"/>
              </w:rPr>
              <w:t>GMI</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ind w:right="4"/>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Cruise</w:t>
            </w:r>
          </w:p>
        </w:tc>
        <w:tc>
          <w:tcPr>
            <w:tcW w:w="100" w:type="dxa"/>
            <w:vAlign w:val="bottom"/>
          </w:tcPr>
          <w:p>
            <w:pPr>
              <w:spacing w:after="0"/>
              <w:rPr>
                <w:sz w:val="11"/>
                <w:szCs w:val="11"/>
                <w:color w:val="auto"/>
              </w:rPr>
            </w:pPr>
          </w:p>
        </w:tc>
        <w:tc>
          <w:tcPr>
            <w:tcW w:w="980" w:type="dxa"/>
            <w:vAlign w:val="bottom"/>
            <w:gridSpan w:val="5"/>
          </w:tcPr>
          <w:p>
            <w:pPr>
              <w:ind w:left="320"/>
              <w:spacing w:after="0" w:line="132"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320" w:type="dxa"/>
            <w:vAlign w:val="bottom"/>
            <w:gridSpan w:val="2"/>
          </w:tcPr>
          <w:p>
            <w:pPr>
              <w:ind w:left="160"/>
              <w:spacing w:after="0" w:line="132"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rPr>
              <w:t>Automotive</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2"/>
              </w:rPr>
              <w:t>Reclassifications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28,572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780" w:type="dxa"/>
            <w:vAlign w:val="bottom"/>
            <w:gridSpan w:val="3"/>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31,591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center"/>
              <w:ind w:right="142"/>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809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295</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29,456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3,313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32,823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32,824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84"/>
              </w:rPr>
              <w:t>2,066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3"/>
          </w:tcPr>
          <w:p>
            <w:pPr>
              <w:jc w:val="right"/>
              <w:ind w:right="1"/>
              <w:spacing w:after="0"/>
              <w:rPr>
                <w:sz w:val="20"/>
                <w:szCs w:val="20"/>
                <w:color w:val="auto"/>
              </w:rPr>
            </w:pPr>
            <w:r>
              <w:rPr>
                <w:rFonts w:ascii="Arial" w:cs="Arial" w:eastAsia="Arial" w:hAnsi="Arial"/>
                <w:sz w:val="16"/>
                <w:szCs w:val="16"/>
                <w:color w:val="auto"/>
                <w:w w:val="84"/>
              </w:rPr>
              <w:t>1,010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w w:val="84"/>
              </w:rPr>
              <w:t>3,156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29,456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780" w:type="dxa"/>
            <w:vAlign w:val="bottom"/>
            <w:gridSpan w:val="3"/>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32,823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26</w:t>
            </w:r>
          </w:p>
        </w:tc>
        <w:tc>
          <w:tcPr>
            <w:tcW w:w="540" w:type="dxa"/>
            <w:vAlign w:val="bottom"/>
            <w:gridSpan w:val="2"/>
            <w:shd w:val="clear" w:color="auto" w:fill="CCEEFF"/>
          </w:tcPr>
          <w:p>
            <w:pPr>
              <w:jc w:val="center"/>
              <w:ind w:right="142"/>
              <w:spacing w:after="0"/>
              <w:rPr>
                <w:sz w:val="20"/>
                <w:szCs w:val="20"/>
                <w:color w:val="auto"/>
              </w:rPr>
            </w:pPr>
            <w:r>
              <w:rPr>
                <w:rFonts w:ascii="Arial" w:cs="Arial" w:eastAsia="Arial" w:hAnsi="Arial"/>
                <w:sz w:val="16"/>
                <w:szCs w:val="16"/>
                <w:color w:val="auto"/>
                <w:w w:val="89"/>
              </w:rPr>
              <w:t>$</w:t>
            </w:r>
          </w:p>
        </w:tc>
        <w:tc>
          <w:tcPr>
            <w:tcW w:w="44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84"/>
              </w:rPr>
              <w:t>3,156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Revenue is measured as the amount of consideration we expect to receive in exchange for transferring goods or providing services. Adjustments to sales incentives for previously recognized sales increased revenue by an insignificant amount in the three months ended March 31, 2023 and 2022.</w:t>
      </w:r>
    </w:p>
    <w:p>
      <w:pPr>
        <w:spacing w:after="0" w:line="81"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Contract liabilities in our Automotive segments primarily consist of maintenance, extended warranty and other service contracts of $4.0 billion and $3.3 billion at March 31, 2023 and December 31, 2022, which are included in Accrued liabilities and Other liabilities. We recognized revenue of $408 million and $444 million related to contract liabilities in the three months ended March 31, 2023 and 2022. We expect to recognize revenue of $1.2 billion in the nine months ending December 31, 2023 and $989 million, $750 million and $1.1 billion in the years ending December 31, 2024, 2025 and thereafter related to contract liabilities at March 31, 2023.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4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4,174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12,150</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maturities(c)</w:t>
            </w: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$1.9 billion and $1.5 billion in Cruise at March 31, 2023 and December 31, 2022.</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$612 million and $1.4 billion in Cruise at March 31, 2023 and December 31, 2022.</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$552 million at March 31, 2023 as these securities are not due at a single maturity date.</w:t>
      </w:r>
    </w:p>
    <w:p>
      <w:pPr>
        <w:spacing w:after="0" w:line="241"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Proceeds from the sale of available-for-sale debt securities sold prior to maturity were $380 million and $464 million in the three months ended March 31, 2023 and 2022. Net unrealized gains and losses on available-for-sale debt securities were insignificant in the three months ended March 31, 2023 and 2022. Cumulative unrealized losses on available-for-sale debt securities were $275 million and $344 million at March 31, 2023 and December 31, 2022.</w:t>
      </w:r>
    </w:p>
    <w:p>
      <w:pPr>
        <w:spacing w:after="0" w:line="174"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50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18,227</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5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50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Arial" w:cs="Arial" w:eastAsia="Arial" w:hAnsi="Arial"/>
                <w:sz w:val="18"/>
                <w:szCs w:val="18"/>
                <w:color w:val="auto"/>
              </w:rPr>
              <w:t>Total</w:t>
            </w:r>
          </w:p>
        </w:tc>
        <w:tc>
          <w:tcPr>
            <w:tcW w:w="5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080" w:type="dxa"/>
            <w:vAlign w:val="bottom"/>
            <w:vMerge w:val="restart"/>
          </w:tcPr>
          <w:p>
            <w:pPr>
              <w:jc w:val="right"/>
              <w:ind w:right="383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3"/>
        </w:trPr>
        <w:tc>
          <w:tcPr>
            <w:tcW w:w="450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 and Transactions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67,704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78,017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65,322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76,310</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1"/>
              </w:rPr>
              <w:t>(2,123)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(2,152)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1"/>
              </w:rPr>
              <w:t>(2,062)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(2,096)</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8"/>
              </w:rPr>
              <w:t>65,581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75,865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8"/>
              </w:rPr>
              <w:t>63,260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74,214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428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w w:val="97"/>
              </w:rPr>
              <w:t>Fair value of GM Financial receivables utilizing Level 2</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29"/>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10,283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10,954</w:t>
            </w:r>
          </w:p>
        </w:tc>
      </w:tr>
      <w:tr>
        <w:trPr>
          <w:trHeight w:val="187"/>
        </w:trPr>
        <w:tc>
          <w:tcPr>
            <w:tcW w:w="4280" w:type="dxa"/>
            <w:vAlign w:val="bottom"/>
          </w:tcPr>
          <w:p>
            <w:pPr>
              <w:ind w:left="20"/>
              <w:spacing w:after="0" w:line="188" w:lineRule="exact"/>
              <w:rPr>
                <w:sz w:val="20"/>
                <w:szCs w:val="20"/>
                <w:color w:val="auto"/>
              </w:rPr>
            </w:pPr>
            <w:r>
              <w:rPr>
                <w:rFonts w:ascii="Arial" w:cs="Arial" w:eastAsia="Arial" w:hAnsi="Arial"/>
                <w:sz w:val="18"/>
                <w:szCs w:val="18"/>
                <w:color w:val="auto"/>
                <w:w w:val="97"/>
              </w:rPr>
              <w:t>Fair value of GM Financial receivables utilizing Level 3</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inputs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65,165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60"/>
              <w:spacing w:after="0"/>
              <w:rPr>
                <w:sz w:val="20"/>
                <w:szCs w:val="20"/>
                <w:color w:val="auto"/>
              </w:rPr>
            </w:pPr>
            <w:r>
              <w:rPr>
                <w:rFonts w:ascii="Arial" w:cs="Arial" w:eastAsia="Arial" w:hAnsi="Arial"/>
                <w:sz w:val="18"/>
                <w:szCs w:val="18"/>
                <w:color w:val="auto"/>
                <w:w w:val="98"/>
              </w:rPr>
              <w:t>62,150</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307"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$2.2 billion and $1.9 billion at March 31, 2023 and December 31, 2022. Under the cash management program, subject to certain conditions, a dealer may choose to reduce the amount of interest on its floorplan line by making principal payments to GM Financial in advance.</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b w:val="1"/>
                <w:bCs w:val="1"/>
                <w:color w:val="auto"/>
              </w:rPr>
              <w:t>March 31, 2022</w:t>
            </w:r>
          </w:p>
        </w:tc>
      </w:tr>
      <w:tr>
        <w:trPr>
          <w:trHeight w:val="228"/>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 at beginning of period</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r>
        <w:trPr>
          <w:trHeight w:val="228"/>
        </w:trPr>
        <w:tc>
          <w:tcPr>
            <w:tcW w:w="78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8"/>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28"/>
        </w:trPr>
        <w:tc>
          <w:tcPr>
            <w:tcW w:w="7800" w:type="dxa"/>
            <w:vAlign w:val="bottom"/>
          </w:tcPr>
          <w:p>
            <w:pPr>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28"/>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and other</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GM Financial's retail finance receivable portfolio includes loans made to consumers and businesses to finance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vehicles for personal and commercial use. The following tables are consolidated summaries of the retail finance receivables by FICO score or its equivalent, determined at origination, for each vintage of the retail finance receivables portfolio at March 31, 2023 and December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March 31, 2023</w:t>
            </w:r>
          </w:p>
        </w:tc>
      </w:tr>
      <w:tr>
        <w:trPr>
          <w:trHeight w:val="25"/>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3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202"/>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12,223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49,829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73.6 %</w:t>
            </w:r>
          </w:p>
        </w:tc>
      </w:tr>
      <w:tr>
        <w:trPr>
          <w:trHeight w:val="212"/>
        </w:trPr>
        <w:tc>
          <w:tcPr>
            <w:tcW w:w="374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8,498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12.6 %</w:t>
            </w:r>
          </w:p>
        </w:tc>
      </w:tr>
      <w:tr>
        <w:trPr>
          <w:trHeight w:val="215"/>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9,377</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13.8 %</w:t>
            </w:r>
          </w:p>
        </w:tc>
      </w:tr>
      <w:tr>
        <w:trPr>
          <w:trHeight w:val="198"/>
        </w:trPr>
        <w:tc>
          <w:tcPr>
            <w:tcW w:w="3740" w:type="dxa"/>
            <w:vAlign w:val="bottom"/>
          </w:tcPr>
          <w:p>
            <w:pPr>
              <w:ind w:left="20"/>
              <w:spacing w:after="0"/>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67,704</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Arial" w:cs="Arial" w:eastAsia="Arial" w:hAnsi="Arial"/>
          <w:sz w:val="15"/>
          <w:szCs w:val="15"/>
          <w:color w:val="auto"/>
        </w:rPr>
        <w:t>Prime – FICO score 680 and greater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5"/>
          <w:szCs w:val="15"/>
          <w:color w:val="auto"/>
        </w:rPr>
        <w:t>Near-prime – FICO score 620 to 679</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Sub-prime – FICO score less than 620</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Retail finance receivables, net of fees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r>
      <w:tr>
        <w:trPr>
          <w:trHeight w:val="188"/>
        </w:trPr>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82"/>
        </w:trPr>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22,677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13,399</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7,991</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2,254</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47,543</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72.8 %</w:t>
            </w:r>
          </w:p>
        </w:tc>
      </w:tr>
      <w:tr>
        <w:trPr>
          <w:trHeight w:val="210"/>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8,392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12.8 %</w:t>
            </w:r>
          </w:p>
        </w:tc>
      </w:tr>
      <w:tr>
        <w:trPr>
          <w:trHeight w:val="215"/>
        </w:trPr>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9,388</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14.4 %</w:t>
            </w:r>
          </w:p>
        </w:tc>
      </w:tr>
      <w:tr>
        <w:trPr>
          <w:trHeight w:val="25"/>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29,090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11,081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3,992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65,322</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7"/>
        </w:trPr>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-579755</wp:posOffset>
            </wp:positionV>
            <wp:extent cx="713295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-2382520</wp:posOffset>
            </wp:positionH>
            <wp:positionV relativeFrom="paragraph">
              <wp:posOffset>-306705</wp:posOffset>
            </wp:positionV>
            <wp:extent cx="7132955" cy="136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125"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$585 million and $685 million at March 31, 2023 and December 31, 2022. The following tables are consolidated summaries of the amortized cost of retail finance receivables by delinquency status, for each vintage of the portfolio at March 31, 2023 and December 31, 2022, as well as summary totals for March 31,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158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March 31, 2022</w:t>
            </w:r>
          </w:p>
        </w:tc>
      </w:tr>
      <w:tr>
        <w:trPr>
          <w:trHeight w:val="25"/>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r>
      <w:tr>
        <w:trPr>
          <w:trHeight w:val="188"/>
        </w:trPr>
        <w:tc>
          <w:tcPr>
            <w:tcW w:w="2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r>
      <w:tr>
        <w:trPr>
          <w:trHeight w:val="215"/>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26,262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66,109</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58,179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97.8 %</w:t>
            </w: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6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6"/>
        </w:trPr>
        <w:tc>
          <w:tcPr>
            <w:tcW w:w="220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6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3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175"/>
        </w:trPr>
        <w:tc>
          <w:tcPr>
            <w:tcW w:w="2200" w:type="dxa"/>
            <w:vAlign w:val="bottom"/>
          </w:tcPr>
          <w:p>
            <w:pPr>
              <w:ind w:left="180"/>
              <w:spacing w:after="0" w:line="175" w:lineRule="exact"/>
              <w:rPr>
                <w:sz w:val="20"/>
                <w:szCs w:val="20"/>
                <w:color w:val="auto"/>
              </w:rPr>
            </w:pPr>
            <w:r>
              <w:rPr>
                <w:rFonts w:ascii="Arial" w:cs="Arial" w:eastAsia="Arial" w:hAnsi="Arial"/>
                <w:sz w:val="18"/>
                <w:szCs w:val="18"/>
                <w:color w:val="auto"/>
                <w:w w:val="94"/>
              </w:rPr>
              <w:t>than 30 days delinquent or</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6"/>
        </w:trPr>
        <w:tc>
          <w:tcPr>
            <w:tcW w:w="2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repossession</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1,595</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r>
      <w:tr>
        <w:trPr>
          <w:trHeight w:val="161"/>
        </w:trPr>
        <w:tc>
          <w:tcPr>
            <w:tcW w:w="2200" w:type="dxa"/>
            <w:vAlign w:val="bottom"/>
            <w:shd w:val="clear" w:color="auto" w:fill="CCEEFF"/>
          </w:tcPr>
          <w:p>
            <w:pPr>
              <w:ind w:left="20"/>
              <w:spacing w:after="0" w:line="161" w:lineRule="exact"/>
              <w:rPr>
                <w:sz w:val="20"/>
                <w:szCs w:val="20"/>
                <w:color w:val="auto"/>
              </w:rPr>
            </w:pPr>
            <w:r>
              <w:rPr>
                <w:rFonts w:ascii="Arial" w:cs="Arial" w:eastAsia="Arial" w:hAnsi="Arial"/>
                <w:sz w:val="18"/>
                <w:szCs w:val="18"/>
                <w:color w:val="auto"/>
              </w:rPr>
              <w:t>Retail finance receivables,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40"/>
        </w:trPr>
        <w:tc>
          <w:tcPr>
            <w:tcW w:w="2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fees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67,704</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59,503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of Origination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1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28,676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3,743</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97.1 %</w:t>
            </w:r>
          </w:p>
        </w:tc>
        <w:tc>
          <w:tcPr>
            <w:tcW w:w="0" w:type="dxa"/>
            <w:vAlign w:val="bottom"/>
          </w:tcPr>
          <w:p>
            <w:pPr>
              <w:spacing w:after="0"/>
              <w:rPr>
                <w:sz w:val="1"/>
                <w:szCs w:val="1"/>
                <w:color w:val="auto"/>
              </w:rPr>
            </w:pP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67"/>
        </w:trPr>
        <w:tc>
          <w:tcPr>
            <w:tcW w:w="2300" w:type="dxa"/>
            <w:vAlign w:val="bottom"/>
          </w:tcPr>
          <w:p>
            <w:pPr>
              <w:ind w:left="20"/>
              <w:spacing w:after="0" w:line="167" w:lineRule="exact"/>
              <w:rPr>
                <w:sz w:val="20"/>
                <w:szCs w:val="20"/>
                <w:color w:val="auto"/>
              </w:rPr>
            </w:pPr>
            <w:r>
              <w:rPr>
                <w:rFonts w:ascii="Arial" w:cs="Arial" w:eastAsia="Arial" w:hAnsi="Arial"/>
                <w:sz w:val="18"/>
                <w:szCs w:val="18"/>
                <w:color w:val="auto"/>
                <w:w w:val="91"/>
              </w:rPr>
              <w:t>Finance receivables more than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67"/>
        </w:trPr>
        <w:tc>
          <w:tcPr>
            <w:tcW w:w="2300" w:type="dxa"/>
            <w:vAlign w:val="bottom"/>
          </w:tcPr>
          <w:p>
            <w:pPr>
              <w:ind w:left="20"/>
              <w:spacing w:after="0" w:line="167" w:lineRule="exact"/>
              <w:rPr>
                <w:sz w:val="20"/>
                <w:szCs w:val="20"/>
                <w:color w:val="auto"/>
              </w:rPr>
            </w:pPr>
            <w:r>
              <w:rPr>
                <w:rFonts w:ascii="Arial" w:cs="Arial" w:eastAsia="Arial" w:hAnsi="Arial"/>
                <w:sz w:val="18"/>
                <w:szCs w:val="18"/>
                <w:color w:val="auto"/>
                <w:w w:val="91"/>
              </w:rPr>
              <w:t>Finance receivables more than</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tcPr>
          <w:p>
            <w:pPr>
              <w:ind w:left="180"/>
              <w:spacing w:after="0" w:line="176" w:lineRule="exact"/>
              <w:rPr>
                <w:sz w:val="20"/>
                <w:szCs w:val="20"/>
                <w:color w:val="auto"/>
              </w:rPr>
            </w:pPr>
            <w:r>
              <w:rPr>
                <w:rFonts w:ascii="Arial" w:cs="Arial" w:eastAsia="Arial" w:hAnsi="Arial"/>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repossession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67"/>
        </w:trPr>
        <w:tc>
          <w:tcPr>
            <w:tcW w:w="230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w w:val="94"/>
              </w:rPr>
              <w:t>Retail finance receivables, net</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29,090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18,745</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11,081</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3,992</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65,322</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22"/>
        </w:trPr>
        <w:tc>
          <w:tcPr>
            <w:tcW w:w="23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of fees</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There were no commercial finance receivables on nonaccrual status at March 31, 2023.</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GM Financial's commercial risk model and risk rating categories are as follows:</w:t>
      </w:r>
    </w:p>
    <w:p>
      <w:pPr>
        <w:sectPr>
          <w:pgSz w:w="11900" w:h="16838" w:orient="portrait"/>
          <w:cols w:equalWidth="0" w:num="1">
            <w:col w:w="11240"/>
          </w:cols>
          <w:pgMar w:left="320" w:top="125"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16510</wp:posOffset>
            </wp:positionV>
            <wp:extent cx="7132955" cy="153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27940</wp:posOffset>
            </wp:positionV>
            <wp:extent cx="7132955" cy="264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24" w:lineRule="exact"/>
        <w:rPr>
          <w:sz w:val="20"/>
          <w:szCs w:val="20"/>
          <w:color w:val="auto"/>
        </w:rPr>
      </w:pPr>
    </w:p>
    <w:p>
      <w:pPr>
        <w:ind w:left="160" w:right="56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3" w:lineRule="exact"/>
        <w:rPr>
          <w:sz w:val="20"/>
          <w:szCs w:val="20"/>
          <w:color w:val="auto"/>
        </w:rPr>
      </w:pPr>
    </w:p>
    <w:p>
      <w:pPr>
        <w:ind w:left="160" w:right="780" w:hanging="160"/>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5" w:right="339" w:bottom="1440" w:gutter="0" w:footer="0" w:header="0"/>
          <w:type w:val="continuous"/>
        </w:sectPr>
      </w:pPr>
    </w:p>
    <w:p>
      <w:pPr>
        <w:spacing w:after="0" w:line="12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March 31, 2023 and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Year of Origination(a)</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3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10,133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98.3 %</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II</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8"/>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IV</w:t>
            </w:r>
          </w:p>
        </w:tc>
        <w:tc>
          <w:tcPr>
            <w:tcW w:w="1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6"/>
        </w:trPr>
        <w:tc>
          <w:tcPr>
            <w:tcW w:w="3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7"/>
              </w:rPr>
              <w:t>Commercial finance receivables, net of fees</w:t>
            </w: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360" w:type="dxa"/>
            <w:vAlign w:val="bottom"/>
            <w:gridSpan w:val="21"/>
          </w:tcPr>
          <w:p>
            <w:pPr>
              <w:spacing w:after="0"/>
              <w:rPr>
                <w:sz w:val="20"/>
                <w:szCs w:val="20"/>
                <w:color w:val="auto"/>
              </w:rPr>
            </w:pPr>
            <w:r>
              <w:rPr>
                <w:rFonts w:ascii="Arial" w:cs="Arial" w:eastAsia="Arial" w:hAnsi="Arial"/>
                <w:sz w:val="16"/>
                <w:szCs w:val="16"/>
                <w:color w:val="auto"/>
                <w:w w:val="95"/>
              </w:rPr>
              <w:t>(a)  Floorplan advances comprise 96% of the total revolving balance. Dealer term loans are presented by year of origination.</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Year of Origination(a)</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5"/>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10,794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98.2 %</w:t>
            </w:r>
          </w:p>
        </w:tc>
        <w:tc>
          <w:tcPr>
            <w:tcW w:w="0" w:type="dxa"/>
            <w:vAlign w:val="bottom"/>
          </w:tcPr>
          <w:p>
            <w:pPr>
              <w:spacing w:after="0"/>
              <w:rPr>
                <w:sz w:val="1"/>
                <w:szCs w:val="1"/>
                <w:color w:val="auto"/>
              </w:rPr>
            </w:pPr>
          </w:p>
        </w:tc>
      </w:tr>
      <w:tr>
        <w:trPr>
          <w:trHeight w:val="212"/>
        </w:trPr>
        <w:tc>
          <w:tcPr>
            <w:tcW w:w="3060" w:type="dxa"/>
            <w:vAlign w:val="bottom"/>
            <w:gridSpan w:val="2"/>
          </w:tcPr>
          <w:p>
            <w:pPr>
              <w:ind w:left="20"/>
              <w:spacing w:after="0"/>
              <w:rPr>
                <w:sz w:val="20"/>
                <w:szCs w:val="20"/>
                <w:color w:val="auto"/>
              </w:rPr>
            </w:pPr>
            <w:r>
              <w:rPr>
                <w:rFonts w:ascii="Arial" w:cs="Arial" w:eastAsia="Arial" w:hAnsi="Arial"/>
                <w:sz w:val="16"/>
                <w:szCs w:val="16"/>
                <w:color w:val="auto"/>
              </w:rPr>
              <w:t>II</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8"/>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2"/>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IV</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1"/>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Commercial finance receivables, net of fees</w:t>
            </w:r>
          </w:p>
        </w:tc>
        <w:tc>
          <w:tcPr>
            <w:tcW w:w="180" w:type="dxa"/>
            <w:vAlign w:val="bottom"/>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10,988</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97% of the total revolving balance. Dealer term loans are presented by year of origination.</w:t>
      </w:r>
    </w:p>
    <w:p>
      <w:pPr>
        <w:spacing w:after="0" w:line="237"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2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Commercial finance receivables, net due from GM consolidated dealers</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Receivables from Cruise</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Subvention receivable(b)</w:t>
            </w:r>
          </w:p>
        </w:tc>
        <w:tc>
          <w:tcPr>
            <w:tcW w:w="2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Commercial loan funding payable</w:t>
            </w:r>
          </w:p>
        </w:tc>
        <w:tc>
          <w:tcPr>
            <w:tcW w:w="2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480" w:type="dxa"/>
            <w:vAlign w:val="bottom"/>
          </w:tcPr>
          <w:p>
            <w:pPr>
              <w:jc w:val="right"/>
              <w:ind w:right="203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Arial" w:cs="Arial" w:eastAsia="Arial" w:hAnsi="Arial"/>
                <w:sz w:val="14"/>
                <w:szCs w:val="14"/>
                <w:b w:val="1"/>
                <w:bCs w:val="1"/>
                <w:color w:val="auto"/>
              </w:rPr>
              <w:t>March 31, 2022</w:t>
            </w:r>
          </w:p>
        </w:tc>
      </w:tr>
      <w:tr>
        <w:trPr>
          <w:trHeight w:val="215"/>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8"/>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547</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8" w:lineRule="exact"/>
        <w:rPr>
          <w:rFonts w:ascii="Arial" w:cs="Arial" w:eastAsia="Arial" w:hAnsi="Arial"/>
          <w:sz w:val="16"/>
          <w:szCs w:val="16"/>
          <w:color w:val="auto"/>
        </w:rPr>
      </w:pPr>
    </w:p>
    <w:p>
      <w:pPr>
        <w:ind w:left="320" w:hanging="313"/>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Automotive segments made cash payments to GM Financial for subvention of $749 million and $439 million in the three months ended March 31, 2023 and 2022.</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GM Financial's Board of Directors declared and paid dividends of $450 million on its common stock in the three months ended March 31,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Equipment on Operating Leases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820" w:type="dxa"/>
            <w:vAlign w:val="bottom"/>
          </w:tcPr>
          <w:p>
            <w:pPr>
              <w:ind w:left="160"/>
              <w:spacing w:after="0"/>
              <w:rPr>
                <w:sz w:val="20"/>
                <w:szCs w:val="20"/>
                <w:color w:val="auto"/>
              </w:rPr>
            </w:pPr>
            <w:r>
              <w:rPr>
                <w:rFonts w:ascii="Arial" w:cs="Arial" w:eastAsia="Arial" w:hAnsi="Arial"/>
                <w:sz w:val="18"/>
                <w:szCs w:val="18"/>
                <w:color w:val="auto"/>
              </w:rPr>
              <w:t>Equipment on operating leases consists of leases to retail customers of GM Financial.</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24"/>
                <w:szCs w:val="24"/>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40,919</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The estimated residual value of our leased assets at the end of the lease term was $24.1 billion and $24.7 billion at March 31, 2023 and December 31, 2022.</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Depreciation expense related to Equipment on operating leases, net was $1.2 billion in the three months ended March 31, 2023 and 2022.</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8"/>
          </w:tcPr>
          <w:p>
            <w:pPr>
              <w:ind w:left="6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Thereafter</w:t>
            </w: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28"/>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1,505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r>
      <w:tr>
        <w:trPr>
          <w:trHeight w:val="901"/>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3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4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08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r>
      <w:tr>
        <w:trPr>
          <w:trHeight w:val="25"/>
        </w:trPr>
        <w:tc>
          <w:tcPr>
            <w:tcW w:w="78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88"/>
        </w:trPr>
        <w:tc>
          <w:tcPr>
            <w:tcW w:w="78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Borders>
              <w:bottom w:val="single" w:sz="8" w:color="auto"/>
            </w:tcBorders>
          </w:tcPr>
          <w:p>
            <w:pPr>
              <w:spacing w:after="0"/>
              <w:rPr>
                <w:sz w:val="16"/>
                <w:szCs w:val="16"/>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equity income (loss)</w:t>
            </w:r>
          </w:p>
        </w:tc>
        <w:tc>
          <w:tcPr>
            <w:tcW w:w="136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 (loss)(a)</w:t>
            </w:r>
          </w:p>
        </w:tc>
        <w:tc>
          <w:tcPr>
            <w:tcW w:w="1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 (loss)</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292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jc w:val="both"/>
        <w:ind w:left="340" w:hanging="333"/>
        <w:spacing w:after="0" w:line="261" w:lineRule="auto"/>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Equity earnings related to Ultium Cells Holdings LLC are presented in Automotive and other cost of sales as this entity is integral to the operations of our business by providing battery cells for our electric vehicles (EVs). In the three months ended March 31, 2023, equity earnings related to Ultium Cells Holdings LLC were insignificant.</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976"/>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Arial" w:cs="Arial" w:eastAsia="Arial" w:hAnsi="Arial"/>
                <w:sz w:val="14"/>
                <w:szCs w:val="14"/>
                <w:b w:val="1"/>
                <w:bCs w:val="1"/>
                <w:color w:val="auto"/>
              </w:rPr>
              <w:t>March 31, 2022</w:t>
            </w:r>
          </w:p>
        </w:tc>
      </w:tr>
      <w:tr>
        <w:trPr>
          <w:trHeight w:val="215"/>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Automotive China JVs' 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505</w:t>
            </w:r>
          </w:p>
        </w:tc>
      </w:tr>
    </w:tbl>
    <w:p>
      <w:pPr>
        <w:spacing w:after="0" w:line="173"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Dividends declared but not paid from our nonconsolidated affiliates were insignificant at March 31, 2023 and December 31, 2022. Dividends received from our nonconsolidated affiliates were insignificant in the three months ended March 31, 2023 and 2022. Undistributed earnings from our nonconsolidated affiliates were $2.0 billion and $1.9 billion at March 31, 2023 and December 31,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GM Financial</w:t>
      </w:r>
    </w:p>
    <w:p>
      <w:pPr>
        <w:spacing w:after="0" w:line="119" w:lineRule="exact"/>
        <w:rPr>
          <w:sz w:val="20"/>
          <w:szCs w:val="20"/>
          <w:color w:val="auto"/>
        </w:rPr>
      </w:pPr>
    </w:p>
    <w:p>
      <w:pPr>
        <w:jc w:val="both"/>
        <w:ind w:firstLine="161"/>
        <w:spacing w:after="0" w:line="287"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20,031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18,748</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21,643</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20,545</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Automotive</w:t>
      </w:r>
    </w:p>
    <w:p>
      <w:pPr>
        <w:spacing w:after="0" w:line="119"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$1.9 billion and $1.6 billion and liabilities were insignificant related to our nonconsolidated VIEs at March 31, 2023 and December 31, 2022. Our maximum exposure to loss as a result of our involvement with these VIEs was approximately $3.3 billion, inclusive of approximately $1.2 billion and $1.4 billion in committed capital contributions to Ultium Cells Holdings LLC, at March 31, 2023 and December 31, 2022. Our maximum exposure to loss, and required capital contributions, could vary depending on Ultium Cells Holdings LLC's requirements and access to capital. We currently lack the power through voting or similar rights to direct the activities of these entities that most significantly affect their economic performance.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92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123</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15,171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16,323</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381</w:t>
            </w:r>
          </w:p>
        </w:tc>
      </w:t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15,734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16,828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14,837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15,971</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857</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15,095</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w w:val="96"/>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consists of senior notes.</w:t>
      </w:r>
    </w:p>
    <w:p>
      <w:pPr>
        <w:spacing w:after="0" w:line="11"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$531 million and $525 million at March 31, 2023 and December 31, 2022.</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our 364-day, $2.0 billion facility allocated for exclusive use by GM Financial.</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March 2023, we redeemed our $1.5 billion, 4.875% senior unsecured notes with a maturity date of October 2023 and recorded an insignificant loss.</w:t>
      </w:r>
    </w:p>
    <w:p>
      <w:pPr>
        <w:spacing w:after="0" w:line="273"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Also, 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 The renewed credit facilities are based on Term Secured Overnight Financing Rate (Term SOFR) whereas the previous credit facilities were based on the London Interbank Offered Rate (LIBOR).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88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5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41,467</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52,270</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2,192</w:t>
            </w:r>
          </w:p>
        </w:tc>
      </w:tr>
    </w:tbl>
    <w:p>
      <w:pPr>
        <w:spacing w:after="0" w:line="30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three months ended March 31, 2023, GM Financial renewed revolving credit facilities with total borrowing capacity of $1.8 billion and issued $5.1 billion in aggregate principal amount of securitization notes payable with an initial weighted-average interest rate of 5.25% and maturity dates ranging from 2027 to 2032.</w:t>
      </w:r>
    </w:p>
    <w:p>
      <w:pPr>
        <w:spacing w:after="0" w:line="217"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Unsecured debt consists of senior notes, credit facilities and other unsecured debt. In the three months ended March 31, 2023, GM Financial issued $3.2 billion in aggregate principal amount of senior notes with an initial weighted-average interest rate of 5.41% and maturity dates ranging from 2026 to 2033.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Derivatives not designated as hedges(a)</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currency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derivative financial instruments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4"/>
                <w:szCs w:val="14"/>
                <w:color w:val="auto"/>
              </w:rPr>
            </w:pPr>
          </w:p>
        </w:tc>
        <w:tc>
          <w:tcPr>
            <w:tcW w:w="14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29"/>
        </w:trPr>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-476885</wp:posOffset>
            </wp:positionV>
            <wp:extent cx="7115810" cy="14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810" cy="144780"/>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-187325</wp:posOffset>
            </wp:positionV>
            <wp:extent cx="7115810"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810" cy="17081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6080" w:space="720"/>
            <w:col w:w="444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55"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March 31, 2023 and December 31, 2022 and the gains/losses included in our condensed consolidated income statements for the three months ended March 31, 2023 and 2022 were insignificant, unless otherwise noted.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March 31, 2023</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6"/>
              <w:spacing w:after="0" w:line="135" w:lineRule="exact"/>
              <w:rPr>
                <w:sz w:val="20"/>
                <w:szCs w:val="20"/>
                <w:color w:val="auto"/>
              </w:rPr>
            </w:pPr>
            <w:r>
              <w:rPr>
                <w:rFonts w:ascii="Arial" w:cs="Arial" w:eastAsia="Arial" w:hAnsi="Arial"/>
                <w:sz w:val="14"/>
                <w:szCs w:val="14"/>
                <w:b w:val="1"/>
                <w:bCs w:val="1"/>
                <w:color w:val="auto"/>
                <w:w w:val="92"/>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6"/>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4"/>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swaps(b)</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4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 financial instruments(c)</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months ended March 31, 2023 and 2022 were insignificant, unless otherwise noted. Amounts accrued for interest payments in a net receivable position are included in Other assets. Amounts accrued for interest payments in a net payable position are included in Other liabilities.</w:t>
      </w:r>
    </w:p>
    <w:p>
      <w:pPr>
        <w:jc w:val="both"/>
        <w:ind w:left="340" w:hanging="333"/>
        <w:spacing w:after="0" w:line="255"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foreign currency cash flow hedges in the consolidated statements of comprehensive income include an insignificant gain and an insignificant loss recognized in Accumulated other comprehensive loss, and an insignificant gain and a $149 million loss reclassified from Accumulated other comprehensive loss into income for the three months ended March 31, 2023 and 2022.</w:t>
      </w:r>
    </w:p>
    <w:p>
      <w:pPr>
        <w:spacing w:after="0" w:line="1" w:lineRule="exact"/>
        <w:rPr>
          <w:rFonts w:ascii="Arial" w:cs="Arial" w:eastAsia="Arial" w:hAnsi="Arial"/>
          <w:sz w:val="16"/>
          <w:szCs w:val="16"/>
          <w:color w:val="auto"/>
        </w:rPr>
      </w:pPr>
    </w:p>
    <w:p>
      <w:pPr>
        <w:ind w:left="340" w:hanging="333"/>
        <w:spacing w:after="0" w:line="288" w:lineRule="auto"/>
        <w:tabs>
          <w:tab w:leader="none" w:pos="331" w:val="left"/>
        </w:tabs>
        <w:numPr>
          <w:ilvl w:val="0"/>
          <w:numId w:val="9"/>
        </w:numPr>
        <w:rPr>
          <w:rFonts w:ascii="Arial" w:cs="Arial" w:eastAsia="Arial" w:hAnsi="Arial"/>
          <w:sz w:val="15"/>
          <w:szCs w:val="15"/>
          <w:color w:val="auto"/>
        </w:rPr>
      </w:pPr>
      <w:r>
        <w:rPr>
          <w:rFonts w:ascii="Arial" w:cs="Arial" w:eastAsia="Arial" w:hAnsi="Arial"/>
          <w:sz w:val="15"/>
          <w:szCs w:val="15"/>
          <w:color w:val="auto"/>
        </w:rPr>
        <w:t>GM Financial held $480 million and $553 million of collateral from counterparties available for netting against GM Financial's asset positions, and posted $1.2 billion and $1.5 billion of collateral to counterparties available for netting against GM Financial's liability positions at March 31, 2023 and December 31, 2022.</w:t>
      </w:r>
    </w:p>
    <w:p>
      <w:pPr>
        <w:spacing w:after="0" w:line="199"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20"/>
              <w:spacing w:after="0"/>
              <w:rPr>
                <w:sz w:val="20"/>
                <w:szCs w:val="20"/>
                <w:color w:val="auto"/>
              </w:rPr>
            </w:pPr>
            <w:r>
              <w:rPr>
                <w:rFonts w:ascii="Arial" w:cs="Arial" w:eastAsia="Arial" w:hAnsi="Arial"/>
                <w:sz w:val="14"/>
                <w:szCs w:val="14"/>
                <w:b w:val="1"/>
                <w:bCs w:val="1"/>
                <w:color w:val="auto"/>
              </w:rPr>
              <w:t>March 31, 2023</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Arial" w:cs="Arial" w:eastAsia="Arial" w:hAnsi="Arial"/>
                <w:sz w:val="14"/>
                <w:szCs w:val="14"/>
                <w:b w:val="1"/>
                <w:bCs w:val="1"/>
                <w:color w:val="auto"/>
              </w:rPr>
              <w:t>December 31, 2022</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23"/>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3" w:lineRule="exact"/>
              <w:rPr>
                <w:sz w:val="20"/>
                <w:szCs w:val="20"/>
                <w:color w:val="auto"/>
              </w:rPr>
            </w:pPr>
            <w:r>
              <w:rPr>
                <w:rFonts w:ascii="Arial" w:cs="Arial" w:eastAsia="Arial" w:hAnsi="Arial"/>
                <w:sz w:val="13"/>
                <w:szCs w:val="13"/>
                <w:b w:val="1"/>
                <w:bCs w:val="1"/>
                <w:color w:val="auto"/>
                <w:w w:val="89"/>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3"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3"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3"/>
        </w:trPr>
        <w:tc>
          <w:tcPr>
            <w:tcW w:w="3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040" w:type="dxa"/>
            <w:vAlign w:val="bottom"/>
          </w:tcPr>
          <w:p>
            <w:pPr>
              <w:jc w:val="right"/>
              <w:ind w:right="361"/>
              <w:spacing w:after="0"/>
              <w:rPr>
                <w:sz w:val="20"/>
                <w:szCs w:val="20"/>
                <w:color w:val="auto"/>
              </w:rPr>
            </w:pPr>
            <w:r>
              <w:rPr>
                <w:rFonts w:ascii="Arial" w:cs="Arial" w:eastAsia="Arial" w:hAnsi="Arial"/>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3"/>
              </w:rPr>
              <w:t>(12)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779</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781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40" w:hanging="333"/>
        <w:spacing w:after="0" w:line="268"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$470 million of unamortized losses and an insignificant amount remaining on hedged items for which hedge accounting has been discontinued at March 31, 2023 and December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Product Warranty and Related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 2022</w:t>
            </w:r>
          </w:p>
        </w:tc>
      </w:tr>
      <w:tr>
        <w:trPr>
          <w:trHeight w:val="215"/>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Supplier recoveries balance at end of period(a)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net of supplier recoveries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current portion of supplier recoveries is recorded in Accounts and notes receivable, net of allowance and the non-current portion is recorded in Other assets.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tcPr>
          <w:p>
            <w:pPr>
              <w:ind w:left="660"/>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 2022</w:t>
            </w:r>
          </w:p>
        </w:tc>
      </w:tr>
      <w:tr>
        <w:trPr>
          <w:trHeight w:val="215"/>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Product Warranty Expense, Net of Recoveries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55"/>
        </w:trPr>
        <w:tc>
          <w:tcPr>
            <w:tcW w:w="8280" w:type="dxa"/>
            <w:vAlign w:val="bottom"/>
          </w:tcPr>
          <w:p>
            <w:pPr>
              <w:ind w:left="20"/>
              <w:spacing w:after="0"/>
              <w:rPr>
                <w:sz w:val="20"/>
                <w:szCs w:val="20"/>
                <w:color w:val="auto"/>
              </w:rPr>
            </w:pPr>
            <w:r>
              <w:rPr>
                <w:rFonts w:ascii="Arial" w:cs="Arial" w:eastAsia="Arial" w:hAnsi="Arial"/>
                <w:sz w:val="18"/>
                <w:szCs w:val="18"/>
                <w:color w:val="auto"/>
              </w:rPr>
              <w:t>Supplier recoveries accrued in period</w:t>
            </w:r>
          </w:p>
        </w:tc>
        <w:tc>
          <w:tcPr>
            <w:tcW w:w="160" w:type="dxa"/>
            <w:vAlign w:val="bottom"/>
          </w:tcPr>
          <w:p>
            <w:pPr>
              <w:spacing w:after="0"/>
              <w:rPr>
                <w:sz w:val="22"/>
                <w:szCs w:val="22"/>
                <w:color w:val="auto"/>
              </w:rPr>
            </w:pPr>
          </w:p>
        </w:tc>
        <w:tc>
          <w:tcPr>
            <w:tcW w:w="1260" w:type="dxa"/>
            <w:vAlign w:val="bottom"/>
          </w:tcPr>
          <w:p>
            <w:pPr>
              <w:ind w:left="940"/>
              <w:spacing w:after="0"/>
              <w:rPr>
                <w:sz w:val="20"/>
                <w:szCs w:val="20"/>
                <w:color w:val="auto"/>
              </w:rPr>
            </w:pPr>
            <w:r>
              <w:rPr>
                <w:rFonts w:ascii="Arial" w:cs="Arial" w:eastAsia="Arial" w:hAnsi="Arial"/>
                <w:sz w:val="18"/>
                <w:szCs w:val="18"/>
                <w:color w:val="auto"/>
                <w:w w:val="93"/>
              </w:rPr>
              <w:t>(44)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8"/>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8280" w:type="dxa"/>
            <w:vAlign w:val="bottom"/>
          </w:tcPr>
          <w:p>
            <w:pPr>
              <w:ind w:left="20"/>
              <w:spacing w:after="0"/>
              <w:rPr>
                <w:sz w:val="20"/>
                <w:szCs w:val="20"/>
                <w:color w:val="auto"/>
              </w:rPr>
            </w:pPr>
            <w:r>
              <w:rPr>
                <w:rFonts w:ascii="Arial" w:cs="Arial" w:eastAsia="Arial" w:hAnsi="Arial"/>
                <w:sz w:val="18"/>
                <w:szCs w:val="18"/>
                <w:color w:val="auto"/>
              </w:rPr>
              <w:t>Warranty expense, net of supplier recoveries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0"/>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March 31, 2023. Refer to Note 13 to our condensed consolidated financial statements for more details.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2023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Three Months Ended March 31, 2022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5"/>
          </w:tcPr>
          <w:p>
            <w:pPr>
              <w:ind w:left="340"/>
              <w:spacing w:after="0"/>
              <w:rPr>
                <w:sz w:val="20"/>
                <w:szCs w:val="20"/>
                <w:color w:val="auto"/>
              </w:rPr>
            </w:pPr>
            <w:r>
              <w:rPr>
                <w:rFonts w:ascii="Arial" w:cs="Arial" w:eastAsia="Arial" w:hAnsi="Arial"/>
                <w:sz w:val="14"/>
                <w:szCs w:val="14"/>
                <w:b w:val="1"/>
                <w:bCs w:val="1"/>
                <w:color w:val="auto"/>
              </w:rPr>
              <w:t>Pension Benefits</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Global OPEB</w:t>
            </w:r>
          </w:p>
        </w:tc>
        <w:tc>
          <w:tcPr>
            <w:tcW w:w="260" w:type="dxa"/>
            <w:vAlign w:val="bottom"/>
          </w:tcPr>
          <w:p>
            <w:pPr>
              <w:spacing w:after="0"/>
              <w:rPr>
                <w:sz w:val="19"/>
                <w:szCs w:val="19"/>
                <w:color w:val="auto"/>
              </w:rPr>
            </w:pPr>
          </w:p>
        </w:tc>
        <w:tc>
          <w:tcPr>
            <w:tcW w:w="2020" w:type="dxa"/>
            <w:vAlign w:val="bottom"/>
            <w:gridSpan w:val="5"/>
          </w:tcPr>
          <w:p>
            <w:pPr>
              <w:ind w:left="320"/>
              <w:spacing w:after="0"/>
              <w:rPr>
                <w:sz w:val="20"/>
                <w:szCs w:val="20"/>
                <w:color w:val="auto"/>
              </w:rPr>
            </w:pPr>
            <w:r>
              <w:rPr>
                <w:rFonts w:ascii="Arial" w:cs="Arial" w:eastAsia="Arial" w:hAnsi="Arial"/>
                <w:sz w:val="14"/>
                <w:szCs w:val="14"/>
                <w:b w:val="1"/>
                <w:bCs w:val="1"/>
                <w:color w:val="auto"/>
              </w:rPr>
              <w:t>Pension Benefits</w:t>
            </w: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1"/>
        </w:trPr>
        <w:tc>
          <w:tcPr>
            <w:tcW w:w="4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1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4"/>
                <w:szCs w:val="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$86 million and $376 million in the three months ended March 31, 2023 and 2022 are presented in Interest income and other non-operating income, net.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2023 and December 31, 2022, we had accruals of $1.1 billion in Accrued liabilities and Other liabilities. In many matters, it is inherently difficult to determine whether loss is probable or reasonably possible or to estimate the size or range of the possible loss.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20"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b w:val="1"/>
          <w:bCs w:val="1"/>
          <w:i w:val="1"/>
          <w:iCs w:val="1"/>
          <w:color w:val="auto"/>
        </w:rPr>
        <w:t xml:space="preserve">GM Korea Subcontract Workers Litigation </w:t>
      </w:r>
      <w:r>
        <w:rPr>
          <w:rFonts w:ascii="Arial" w:cs="Arial" w:eastAsia="Arial" w:hAnsi="Arial"/>
          <w:sz w:val="17"/>
          <w:szCs w:val="17"/>
          <w:color w:val="auto"/>
        </w:rPr>
        <w:t>GM Korea Company (GM Korea) is party to litigation with current and former subcontract workers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Since June 2020, the Seoul High Court (an intermediate-level appellate court) ruled against GM Korea in eight subcontract worker cases. Although GM Korea has appealed these decisions to the Supreme Court of the Republic of Korea (Korea Supreme Court), GM Korea has since hired certain of its subcontract workers as full-time employees. At March 31, 2023, our accrual covering certain asserted claims and claims that we believe are probable of assertion and for which liability is probable was approximately $261 million. We estimate the reasonably possible loss in excess of amounts accrued for other current subcontract workers who may assert similar claims to be approximately $94 million at March 31, 2023. We are currently unable to estimate any reasonably possible material loss or range of loss that may result from additional claims that may be asserted by former subcontract workers.</w:t>
      </w:r>
    </w:p>
    <w:p>
      <w:pPr>
        <w:spacing w:after="0" w:line="209"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Other Litigation-Related Liability and Tax Administrative Matters </w:t>
      </w:r>
      <w:r>
        <w:rPr>
          <w:rFonts w:ascii="Arial" w:cs="Arial" w:eastAsia="Arial" w:hAnsi="Arial"/>
          <w:sz w:val="17"/>
          <w:szCs w:val="17"/>
          <w:color w:val="auto"/>
        </w:rPr>
        <w:t>Various other legal actions, including class actions, governmental investigations,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claims and proceedings are pending 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09"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182"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color w:val="auto"/>
        </w:rPr>
        <w:t>There are several putative class actions and one certified class action pending against GM in federal courts in the U.S. alleging that various 2011-2014 model year vehicles are defective because they excessively consume oil. While many of these proceedings have been dismissed or have been settled for insignificant amounts, several remain outstanding, and in October 2022, we received an adverse jury verdict in the certified class action proceeding involving three states. We do not believe that the verdict is supported by the evidence and plan to pursue post-trial motions and, if necessary, appeal. We are currently unable to estimate any reasonably possible material loss or range of loss that may result from the putative class action proceedings and have previously accrued an immaterial amount related to the certified class action proceeding.</w:t>
      </w:r>
    </w:p>
    <w:p>
      <w:pPr>
        <w:spacing w:after="0" w:line="203"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There is one putative class action and one certified class action pending against GM in federal court in the U.S. alleging that various 2015-2022 model year vehicles are defective because they are equipped with faulty 8-speed transmissions. In March 2023, the judge overseeing the class action concerning 2015-2019 model year vehicles certified 26 state subclasses. The putative class action concerning 2020-2022 model year vehicles is pending in front of a different judge that has not yet addressed class certification. We are currently unable to estimate any reasonably possible material loss or range of loss that may result from these proceedings.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There is a class action pending against GM in federal court in the U.S., and a putative class action in provincial court in Canada, alleging that 2011-2016 model year Duramax Diesel Chevrolet Silverado and GMC Sierra vehicles are equipped with defective fuel pumps that are prone to failure. In March 2023, the federal court certified seven state subclasses. We are currently unable to estimate any reasonably possible material loss or range of loss that may result from these proceedings.</w:t>
      </w:r>
    </w:p>
    <w:p>
      <w:pPr>
        <w:spacing w:after="0" w:line="21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are currently in discussions with the Environmental Protection Agency regarding potential adjustments to our balance of greenhouse gas credits. Depending on the outcome of those discussions, it is reasonably possible that the costs associated with these matters could be material, but we are unable to provide an estimate of the cost at this time.</w:t>
      </w:r>
    </w:p>
    <w:p>
      <w:pPr>
        <w:spacing w:after="0" w:line="20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March 31, 2023. For indirect tax-related matters, we estimate our reasonably possible loss in excess of amounts accrued to be up to approximately $950 million at March 31, 2023.</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 xml:space="preserve">Takata Matters </w:t>
      </w:r>
      <w:r>
        <w:rPr>
          <w:rFonts w:ascii="Arial" w:cs="Arial" w:eastAsia="Arial" w:hAnsi="Arial"/>
          <w:sz w:val="17"/>
          <w:szCs w:val="17"/>
          <w:color w:val="auto"/>
        </w:rPr>
        <w:t>In November 2020, the National Highway Traffic Safety Administration (NHTSA) directed that we replace the Takata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(Takata) airbag inflators in 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201"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60"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There are several putative class actions that have been filed against GM, including in the federal courts in the U.S., in the Provincial Courts in Canada, and in Mexico, arising out of allegations that airbag inflators manufactured by Takata are defective. In March 2023, a federal court overseeing a putative class action against GM issued a final judgment in favor of GM on all claims in eight states at issue in that proceeding. At this stage of these proceedings, we are unable to provide an estimate of the amounts or range of reasonably possible material loss.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Chevrolet Bolt Recall </w:t>
      </w:r>
      <w:r>
        <w:rPr>
          <w:rFonts w:ascii="Arial" w:cs="Arial" w:eastAsia="Arial" w:hAnsi="Arial"/>
          <w:sz w:val="17"/>
          <w:szCs w:val="17"/>
          <w:color w:val="auto"/>
        </w:rPr>
        <w:t>In July 2021, we initiated a voluntary recall for certain 2017-2019 model year Chevrolet Bolt EVs due to the risk that two</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Energy Solution (LG), and disassembling battery packs, we determined that the risk of battery cell defects was not confined to the initial recall population. As a result, in August 2021, we expanded the recall to include all 2017-2022 model year Chevrolet Bolt EV and Electric Utility Vehicles (EUVs) and recorded an additional warranty accrual of $1.2 billion in the three months ended September 30, 2021. In October 2021, we reached an agreement with LG, under which LG will reimburse GM for costs and expenses associated with the recall. As a result, in the three months ended September 30, 2021, we recognized a receivable of $1.9 billion, which substantially offsets the warranty charges we recognized in connection with the recall. These charges reflect our current best estimate for the cost of the recall remedy. The actual costs of the recall and GM's associated recovery from LG could be materially higher or lower. For 2017-2019 model year vehicles, the recall remedy will be to replace the high voltage battery modules in these vehicles with new modules. For 2020-2022 model year vehicles, the recall remedy will be to replace any defective high voltage battery modules in these vehicles with new modules.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addition, putative class actions have been filed against GM in federal courts in the U.S. and in the Provincial Courts in Canada alleging that the batteries contained in the Bolt EVs and EUVs included in the recall population are defective. At this stage of these proceedings, we are unable to provide an estimate of the amounts or range of reasonably possible material loss.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Opel/Vauxhall Sale </w:t>
      </w:r>
      <w:r>
        <w:rPr>
          <w:rFonts w:ascii="Arial" w:cs="Arial" w:eastAsia="Arial" w:hAnsi="Arial"/>
          <w:sz w:val="16"/>
          <w:szCs w:val="16"/>
          <w:color w:val="auto"/>
        </w:rPr>
        <w:t>In 2017, we sold the Opel and Vauxhall businesses and certain other assets in Europe (the Opel/Vauxhall Business) to PSA Group, now</w:t>
      </w:r>
      <w:r>
        <w:rPr>
          <w:rFonts w:ascii="Arial" w:cs="Arial" w:eastAsia="Arial" w:hAnsi="Arial"/>
          <w:sz w:val="16"/>
          <w:szCs w:val="16"/>
          <w:b w:val="1"/>
          <w:bCs w:val="1"/>
          <w:color w:val="auto"/>
        </w:rPr>
        <w:t xml:space="preserve"> </w:t>
      </w:r>
      <w:r>
        <w:rPr>
          <w:rFonts w:ascii="Arial" w:cs="Arial" w:eastAsia="Arial" w:hAnsi="Arial"/>
          <w:sz w:val="16"/>
          <w:szCs w:val="16"/>
          <w:color w:val="auto"/>
        </w:rPr>
        <w:t>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193"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Currently, various consumer lawsuits have been filed against the Seller and Stellantis in Germany, the United Kingdom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inflators in legacy Opel vehicles. We may in the future be required to further indemnify Stellantis relating to its Takata recalls, but we believe such further indemnification to be remote at this time.</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We recorded liabilities of $570 million and $561 million in Accrued liabilities and Other liabilities at March 31, 2023 and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2023 to 2028,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$3.2 billion and $3.1 billion for these guarantees at March 31, 2023 and December 31, 2022, the majority of which relates to the indemnification agreements.</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9"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Supplier Finance Programs </w:t>
      </w:r>
      <w:r>
        <w:rPr>
          <w:rFonts w:ascii="Arial" w:cs="Arial" w:eastAsia="Arial" w:hAnsi="Arial"/>
          <w:sz w:val="18"/>
          <w:szCs w:val="18"/>
          <w:color w:val="auto"/>
        </w:rPr>
        <w:t>Third-party finance providers offer certain suppliers the option for payment in advance of their invoice due date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are $1.1 billion and $852 million at March 31, 2023 and December 31, 2022, which are recorded in Accounts payable (principally trade).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1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three months ended March 31, 2023, Income tax expense of $428 million was primarily due to tax expense attributable to entities included in our effective tax rate calculation. In the three months ended March 31, 2022, Income tax benefit of $28 million was primarily due to tax expense attributable to entities included in our effective tax rate calculation, offset by the release of a valuation allowance against certain Cruise deferred tax assets that were considered realizable due to the reconsolidation of Cruise for U.S. tax purposes.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1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7"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260" w:type="dxa"/>
            <w:vAlign w:val="bottom"/>
          </w:tcPr>
          <w:p>
            <w:pPr>
              <w:jc w:val="right"/>
              <w:ind w:right="153"/>
              <w:spacing w:after="0"/>
              <w:rPr>
                <w:sz w:val="20"/>
                <w:szCs w:val="20"/>
                <w:color w:val="auto"/>
              </w:rPr>
            </w:pPr>
            <w:r>
              <w:rPr>
                <w:rFonts w:ascii="Arial" w:cs="Arial" w:eastAsia="Arial" w:hAnsi="Arial"/>
                <w:sz w:val="14"/>
                <w:szCs w:val="14"/>
                <w:b w:val="1"/>
                <w:bCs w:val="1"/>
                <w:color w:val="auto"/>
              </w:rPr>
              <w:t>March 31, 2022</w:t>
            </w:r>
          </w:p>
        </w:tc>
      </w:tr>
      <w:tr>
        <w:trPr>
          <w:trHeight w:val="228"/>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8"/>
        </w:trPr>
        <w:tc>
          <w:tcPr>
            <w:tcW w:w="8200" w:type="dxa"/>
            <w:vAlign w:val="bottom"/>
          </w:tcPr>
          <w:p>
            <w:pPr>
              <w:spacing w:after="0"/>
              <w:rPr>
                <w:sz w:val="20"/>
                <w:szCs w:val="20"/>
                <w:color w:val="auto"/>
              </w:rPr>
            </w:pPr>
            <w:r>
              <w:rPr>
                <w:rFonts w:ascii="Arial" w:cs="Arial" w:eastAsia="Arial" w:hAnsi="Arial"/>
                <w:sz w:val="18"/>
                <w:szCs w:val="18"/>
                <w:color w:val="auto"/>
              </w:rPr>
              <w:t>Additions, interest accretion and other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8"/>
        </w:trPr>
        <w:tc>
          <w:tcPr>
            <w:tcW w:w="8200" w:type="dxa"/>
            <w:vAlign w:val="bottom"/>
          </w:tcPr>
          <w:p>
            <w:pPr>
              <w:spacing w:after="0"/>
              <w:rPr>
                <w:sz w:val="20"/>
                <w:szCs w:val="20"/>
                <w:color w:val="auto"/>
              </w:rPr>
            </w:pPr>
            <w:r>
              <w:rPr>
                <w:rFonts w:ascii="Arial" w:cs="Arial" w:eastAsia="Arial" w:hAnsi="Arial"/>
                <w:sz w:val="18"/>
                <w:szCs w:val="18"/>
                <w:color w:val="auto"/>
              </w:rPr>
              <w:t>Revisions to estimates and effect of foreign currency</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7"/>
        </w:trPr>
        <w:tc>
          <w:tcPr>
            <w:tcW w:w="8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three months ended March 31, 2023, restructuring and other initiatives included strategic activities in GMNA related to Buick dealerships. We recorded charges of $99 million, which are included in the table above, and incurred $39 million in net cash outflows resulting from these dealer restructurings in the three months ended March 31, 2023, in addition to the charges of $511 million and net cash outflows of $120 million in the year ended December 31, 2022. The remaining $451 million is expected to be paid by the end of 2023.</w:t>
      </w:r>
    </w:p>
    <w:p>
      <w:pPr>
        <w:spacing w:after="0" w:line="21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Additionally, on March 9, 2023, we announced a voluntary separation program (VSP) to accelerate attrition related to the cost reduction program announced in January 2023. We recorded charges in GMNA of $875 million in the three months ended March 31, 2023, primarily related to employee separation charges, which are reflected in the table above. We expect cash outflows related to these activities of approximately $875 million to be substantially complete by the end of 2023.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1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issued and outstanding at March 31, 2023 and December 31, 2022. We had 1.4 billion shares of common stock issued and outstanding at March 31, 2023 and December 31, 2022.</w:t>
      </w:r>
    </w:p>
    <w:p>
      <w:pPr>
        <w:spacing w:after="0" w:line="20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Holders of our common stock are entitled to dividends at the sole discretion of our Board of Directors. Our dividends declared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 were $0.09 and our total dividends paid on common stock were $126 million for the three months ended March 31, 2023. Dividends were not declared or paid on our common stock for the three months ended March 31, 2022.</w:t>
      </w:r>
    </w:p>
    <w:p>
      <w:pPr>
        <w:spacing w:after="0" w:line="203" w:lineRule="exact"/>
        <w:rPr>
          <w:sz w:val="20"/>
          <w:szCs w:val="20"/>
          <w:color w:val="auto"/>
        </w:rPr>
      </w:pPr>
    </w:p>
    <w:p>
      <w:pPr>
        <w:jc w:val="both"/>
        <w:ind w:firstLine="161"/>
        <w:spacing w:after="0" w:line="266" w:lineRule="auto"/>
        <w:rPr>
          <w:sz w:val="20"/>
          <w:szCs w:val="20"/>
          <w:color w:val="auto"/>
        </w:rPr>
      </w:pPr>
      <w:r>
        <w:rPr>
          <w:rFonts w:ascii="Arial" w:cs="Arial" w:eastAsia="Arial" w:hAnsi="Arial"/>
          <w:sz w:val="17"/>
          <w:szCs w:val="17"/>
          <w:color w:val="auto"/>
        </w:rPr>
        <w:t>In August 2022, our Board of Directors increased the capacity under our previously announced common stock repurchase program to $5.0 billion from the $3.3 billion that remained under the program as of June 30, 2022. In the three months ended March 31, 2023, we purchased 9 million shares of our outstanding common stock for $369 million as part of the program, inclusive of an insignificant amount of excise tax related to the Inflation Reduction Act of 2022. We did not purchase shares of our outstanding common stock in the three months ended March 31,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Cruise Preferred Shares </w:t>
      </w:r>
      <w:r>
        <w:rPr>
          <w:rFonts w:ascii="Arial" w:cs="Arial" w:eastAsia="Arial" w:hAnsi="Arial"/>
          <w:sz w:val="18"/>
          <w:szCs w:val="18"/>
          <w:color w:val="auto"/>
        </w:rPr>
        <w:t>In March 2022, under the Share Purchase Agreement, we acquired SoftBank Vision Fund (AIV M2) L.P.'s (together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SoftBank) Cruise Class A-1, Class F and Class G Preferred Shares for $2.1 billion and made an additional $1.35 billion investment in Cruise in place of SoftBank. SoftBank no longer has an ownership interest in or has any rights with respect to Cruise.</w:t>
      </w:r>
    </w:p>
    <w:p>
      <w:pPr>
        <w:spacing w:after="0" w:line="203"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Cruise Common Shares </w:t>
      </w:r>
      <w:r>
        <w:rPr>
          <w:rFonts w:ascii="Arial" w:cs="Arial" w:eastAsia="Arial" w:hAnsi="Arial"/>
          <w:sz w:val="18"/>
          <w:szCs w:val="18"/>
          <w:color w:val="auto"/>
        </w:rPr>
        <w:t>During the three months ended March 31, 2023, GM Cruise Holdings LLC (Cruise Holdings) issued $95 million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to net settle vested awards under Cruise's 2018 Employee Incentive Plan and issued $56 million of Class B Common Shares to fund the payment of statutory tax withholding obligations resulting from the settlement or exercise of vested awards. Also, GM conducted a quarterly tender offer, and paid $75 million in cash to purchase tendered Cruise Class B Common Shares during the three months ended March 31, 2023. The Class B Common Shares are classified as noncontrolling interests in our condensed consolidated financial statements except for certain shares that are liability classified that have a recorded value of approximately $60 million at both March 31, 2023 and December 31, 2022. Refer to Note 18 for additional information on Cruise stock incentive awards.</w:t>
      </w:r>
    </w:p>
    <w:p>
      <w:pPr>
        <w:spacing w:after="0" w:line="21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During the three months ended March 31, 2023 and 2022, the effect on the equity attributable to us for changes in our ownership interest in Cruise was insignificant. For the three months ended March 31, 2023 and 2022, net income attributable to shareholders and transfers to the noncontrolling interest in Cruise and other subsidiaries was $2.4 billion and $2.0 billion, which in 2022 included a $909 million decrease in retained earnings due to the redemption of Cruise preferred shares.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15"/>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Other comprehensive income (loss) and noncontrolling interests, net of reclassification adjustment and tax(a)(b)</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 adjustment, net of tax(b)</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tax(b)</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months ended March 31, 2023 and 2022.</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months ended March 31, 2023 and 2022.</w:t>
      </w:r>
    </w:p>
    <w:p>
      <w:pPr>
        <w:spacing w:after="0" w:line="4" w:lineRule="exact"/>
        <w:rPr>
          <w:rFonts w:ascii="Arial" w:cs="Arial" w:eastAsia="Arial" w:hAnsi="Arial"/>
          <w:sz w:val="16"/>
          <w:szCs w:val="16"/>
          <w:color w:val="auto"/>
        </w:rPr>
      </w:pPr>
    </w:p>
    <w:p>
      <w:pPr>
        <w:ind w:left="340" w:hanging="333"/>
        <w:spacing w:after="0" w:line="272" w:lineRule="auto"/>
        <w:tabs>
          <w:tab w:leader="none" w:pos="3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2022 Form 10-K for additional information.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8"/>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 2022</w:t>
            </w:r>
          </w:p>
        </w:tc>
      </w:tr>
      <w:tr>
        <w:trPr>
          <w:trHeight w:val="215"/>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stock(a)</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8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107"/>
        </w:trPr>
        <w:tc>
          <w:tcPr>
            <w:tcW w:w="8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107"/>
        </w:trPr>
        <w:tc>
          <w:tcPr>
            <w:tcW w:w="8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awards under stock incentive plans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8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Potentially dilutive securities(b)</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a $909 million deemed dividend related to the redemption of Cruise preferred shares from SoftBank in the three months ended March 31, 2022.</w:t>
      </w:r>
    </w:p>
    <w:p>
      <w:pPr>
        <w:spacing w:after="0" w:line="14" w:lineRule="exact"/>
        <w:rPr>
          <w:rFonts w:ascii="Arial" w:cs="Arial" w:eastAsia="Arial" w:hAnsi="Arial"/>
          <w:sz w:val="16"/>
          <w:szCs w:val="16"/>
          <w:color w:val="auto"/>
        </w:rPr>
      </w:pPr>
    </w:p>
    <w:p>
      <w:pPr>
        <w:jc w:val="both"/>
        <w:ind w:left="340" w:hanging="333"/>
        <w:spacing w:after="0" w:line="259"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Restricted Stock Units (RSUs) and Performance Stock Units (PSUs) at March 31, 2023 and outstanding stock options and RSUs at March 31, 2022 were excluded from the computation of diluted earnings per share (EPS) because the securities would have had an antidilutive effect.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 Incentive Plans</w:t>
      </w:r>
    </w:p>
    <w:p>
      <w:pPr>
        <w:spacing w:after="0" w:line="254"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Cruise Stock Incentive Awards </w:t>
      </w:r>
      <w:r>
        <w:rPr>
          <w:rFonts w:ascii="Arial" w:cs="Arial" w:eastAsia="Arial" w:hAnsi="Arial"/>
          <w:sz w:val="18"/>
          <w:szCs w:val="18"/>
          <w:color w:val="auto"/>
        </w:rPr>
        <w:t>In March 2022, Cruise modified its RSUs that settle in Cruise common stock to remove the liquidity vesting condition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that all granted RSU awards vest solely upon satisfactions of a service condition. Total compensation expense related to Cruise Holdings' share-based awards was $103 million in the three months ended March 31, 2023 and $1.2 billion in the three months ended March 31, 2022, which in 2022 primarily represents the impact of the modification to outstanding awards. GM conducted a quarterly tender offer and paid $75 million in cash to purchase tendered Cruise Class B Common Shares during the three months ended March 31, 2023. No cash was paid to settle share-based awards in the three months ended March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Reporting</w:t>
      </w:r>
    </w:p>
    <w:p>
      <w:pPr>
        <w:spacing w:after="0" w:line="254"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9"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 wide range of after-sale vehicle services and products through the dealer network, such as maintenance, light repairs, collision repairs, vehicle accessories and extended service warranties.</w:t>
      </w:r>
    </w:p>
    <w:p>
      <w:pPr>
        <w:spacing w:after="0" w:line="197"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01"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Our automotive interest income and interest expense, legacy costs from the Opel/Vauxhall Business (primarily pension costs), corporate expenditures and certain nonsegment specific revenues and expenses are recorded centrally in Corporate. Corporate assets primarily consist of cash and cash equivalents, marketable debt securities and intersegment balances. All intersegment balances and transactions have been eliminated in consolidation.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11"/>
          </w:tcPr>
          <w:p>
            <w:pPr>
              <w:ind w:left="340"/>
              <w:spacing w:after="0"/>
              <w:rPr>
                <w:sz w:val="20"/>
                <w:szCs w:val="20"/>
                <w:color w:val="auto"/>
              </w:rPr>
            </w:pPr>
            <w:r>
              <w:rPr>
                <w:rFonts w:ascii="Arial" w:cs="Arial" w:eastAsia="Arial" w:hAnsi="Arial"/>
                <w:sz w:val="13"/>
                <w:szCs w:val="13"/>
                <w:b w:val="1"/>
                <w:bCs w:val="1"/>
                <w:color w:val="auto"/>
              </w:rPr>
              <w:t>At and For the Three Months Ended March 31, 2023</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w w:val="83"/>
              </w:rPr>
              <w:t>Total</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rPr>
              <w:t>GM</w:t>
            </w: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4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32,889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36,646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3,343</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39,985</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4"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3,576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3,596</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3,803</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229</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4"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w:t>
            </w:r>
          </w:p>
        </w:tc>
        <w:tc>
          <w:tcPr>
            <w:tcW w:w="0" w:type="dxa"/>
            <w:vAlign w:val="bottom"/>
          </w:tcPr>
          <w:p>
            <w:pPr>
              <w:spacing w:after="0"/>
              <w:rPr>
                <w:sz w:val="1"/>
                <w:szCs w:val="1"/>
                <w:color w:val="auto"/>
              </w:rPr>
            </w:pPr>
          </w:p>
        </w:tc>
      </w:tr>
      <w:tr>
        <w:trPr>
          <w:trHeight w:val="134"/>
        </w:trPr>
        <w:tc>
          <w:tcPr>
            <w:tcW w:w="2420" w:type="dxa"/>
            <w:vAlign w:val="bottom"/>
          </w:tcPr>
          <w:p>
            <w:pPr>
              <w:ind w:left="20"/>
              <w:spacing w:after="0" w:line="134" w:lineRule="exact"/>
              <w:rPr>
                <w:sz w:val="20"/>
                <w:szCs w:val="20"/>
                <w:color w:val="auto"/>
              </w:rPr>
            </w:pPr>
            <w:r>
              <w:rPr>
                <w:rFonts w:ascii="Arial" w:cs="Arial" w:eastAsia="Arial" w:hAnsi="Arial"/>
                <w:sz w:val="13"/>
                <w:szCs w:val="13"/>
                <w:color w:val="auto"/>
              </w:rPr>
              <w:t>Net loss (income) attributable to</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1"/>
              </w:rPr>
              <w:t>Net income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420" w:type="dxa"/>
            <w:vAlign w:val="bottom"/>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6,817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8,818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1,725</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10,542</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4,968</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144,903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24,992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40,880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ind w:left="380"/>
              <w:spacing w:after="0"/>
              <w:rPr>
                <w:sz w:val="20"/>
                <w:szCs w:val="20"/>
                <w:color w:val="auto"/>
              </w:rPr>
            </w:pPr>
            <w:r>
              <w:rPr>
                <w:rFonts w:ascii="Arial" w:cs="Arial" w:eastAsia="Arial" w:hAnsi="Arial"/>
                <w:sz w:val="13"/>
                <w:szCs w:val="13"/>
                <w:color w:val="auto"/>
                <w:w w:val="90"/>
              </w:rPr>
              <w:t>(69,676)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141,098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5,217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122,789</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(2,099)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267,004</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2,810</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(loss)(b)</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7" w:lineRule="exact"/>
        <w:rPr>
          <w:sz w:val="20"/>
          <w:szCs w:val="20"/>
          <w:color w:val="auto"/>
        </w:rPr>
      </w:pPr>
    </w:p>
    <w:p>
      <w:pPr>
        <w:ind w:left="280" w:hanging="273"/>
        <w:spacing w:after="0"/>
        <w:tabs>
          <w:tab w:leader="none" w:pos="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charges for strategic activities related to Buick dealerships and charges related to the VSP in GMNA.</w:t>
      </w:r>
    </w:p>
    <w:p>
      <w:pPr>
        <w:ind w:left="300" w:hanging="293"/>
        <w:spacing w:after="0"/>
        <w:tabs>
          <w:tab w:leader="none" w:pos="3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Equity earnings related to Ultium Cells Holdings LLC are presented in Automotive and other cost of sales as this entity is integral to the operations of our business by providing battery cells for our EVs. In the three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months ended March 31, 2023, equity earnings related to Ultium Cells Holdings LLC were insignificant.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11"/>
          </w:tcPr>
          <w:p>
            <w:pPr>
              <w:ind w:left="380"/>
              <w:spacing w:after="0"/>
              <w:rPr>
                <w:sz w:val="20"/>
                <w:szCs w:val="20"/>
                <w:color w:val="auto"/>
              </w:rPr>
            </w:pPr>
            <w:r>
              <w:rPr>
                <w:rFonts w:ascii="Arial" w:cs="Arial" w:eastAsia="Arial" w:hAnsi="Arial"/>
                <w:sz w:val="13"/>
                <w:szCs w:val="13"/>
                <w:b w:val="1"/>
                <w:bCs w:val="1"/>
                <w:color w:val="auto"/>
              </w:rPr>
              <w:t>At and For the Three Months Ended March 31, 2022</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5"/>
                <w:szCs w:val="15"/>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29,456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32,823</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3,156</w:t>
            </w: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35,979</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2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3,141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3,082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1,284</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4,044</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Net income (loss) attributable to</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rPr>
              <w:t>Net loss (income) attributable to</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3"/>
        </w:trPr>
        <w:tc>
          <w:tcPr>
            <w:tcW w:w="242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w w:val="91"/>
              </w:rPr>
              <w:t>Net income (loss) attributable to stockholders</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2,939</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20"/>
              <w:spacing w:after="0" w:line="108" w:lineRule="exact"/>
              <w:rPr>
                <w:sz w:val="20"/>
                <w:szCs w:val="20"/>
                <w:color w:val="auto"/>
              </w:rPr>
            </w:pPr>
            <w:r>
              <w:rPr>
                <w:rFonts w:ascii="Arial" w:cs="Arial" w:eastAsia="Arial" w:hAnsi="Arial"/>
                <w:sz w:val="11"/>
                <w:szCs w:val="11"/>
                <w:color w:val="auto"/>
              </w:rPr>
              <w:t>Equity in net assets of nonconsolidated</w:t>
            </w: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420" w:type="dxa"/>
            <w:vAlign w:val="bottom"/>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1,217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7,406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8,623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1,779</w:t>
            </w: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10,402</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5,058</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126,454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24,612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35,696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ind w:left="400"/>
              <w:spacing w:after="0"/>
              <w:rPr>
                <w:sz w:val="20"/>
                <w:szCs w:val="20"/>
                <w:color w:val="auto"/>
              </w:rPr>
            </w:pPr>
            <w:r>
              <w:rPr>
                <w:rFonts w:ascii="Arial" w:cs="Arial" w:eastAsia="Arial" w:hAnsi="Arial"/>
                <w:sz w:val="13"/>
                <w:szCs w:val="13"/>
                <w:color w:val="auto"/>
                <w:w w:val="90"/>
              </w:rPr>
              <w:t>(55,702)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131,060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6,310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115,312</w:t>
            </w:r>
          </w:p>
        </w:tc>
        <w:tc>
          <w:tcPr>
            <w:tcW w:w="1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(1,190)</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251,492</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280" w:hanging="273"/>
        <w:spacing w:after="0"/>
        <w:tabs>
          <w:tab w:leader="none" w:pos="280" w:val="left"/>
        </w:tabs>
        <w:numPr>
          <w:ilvl w:val="0"/>
          <w:numId w:val="14"/>
        </w:numPr>
        <w:rPr>
          <w:rFonts w:ascii="Arial" w:cs="Arial" w:eastAsia="Arial" w:hAnsi="Arial"/>
          <w:sz w:val="11"/>
          <w:szCs w:val="11"/>
          <w:color w:val="auto"/>
        </w:rPr>
      </w:pPr>
      <w:r>
        <w:rPr>
          <w:rFonts w:ascii="Arial" w:cs="Arial" w:eastAsia="Arial" w:hAnsi="Arial"/>
          <w:sz w:val="11"/>
          <w:szCs w:val="11"/>
          <w:color w:val="auto"/>
        </w:rPr>
        <w:t>Consists of the resolution of substantially all royalty matters accrued with respect to past-year vehicle sales in GMNA; and charges related to the one-time modification of Cruise stock incentive awards.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2022 Form 10-K.</w:t>
      </w:r>
    </w:p>
    <w:p>
      <w:pPr>
        <w:spacing w:after="0" w:line="2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2022 Form 10-K for a discussion of these risks and uncertainties. Except for per share amounts or as otherwise specified, dollar amounts presented within tables are stated in millions. Certain columns and rows may not add due to rounding.</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1"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EBIT-adjusted </w:t>
      </w:r>
      <w:r>
        <w:rPr>
          <w:rFonts w:ascii="Arial" w:cs="Arial" w:eastAsia="Arial" w:hAnsi="Arial"/>
          <w:sz w:val="18"/>
          <w:szCs w:val="18"/>
          <w:color w:val="auto"/>
        </w:rPr>
        <w:t>EBIT-adjusted is presented net of noncontrolling interests and is used by management and can be used by investors to review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21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Net income attributable to stockholders under U.S. GAAP to EBIT-adjusted: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
        </w:trPr>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8"/>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5"/>
          </w:tcPr>
          <w:p>
            <w:pPr>
              <w:ind w:left="3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164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64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6"/>
                <w:szCs w:val="16"/>
                <w:color w:val="auto"/>
              </w:rPr>
            </w:pPr>
          </w:p>
        </w:tc>
      </w:tr>
      <w:tr>
        <w:trPr>
          <w:trHeight w:val="195"/>
        </w:trPr>
        <w:tc>
          <w:tcPr>
            <w:tcW w:w="39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2021</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971</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8"/>
        </w:trPr>
        <w:tc>
          <w:tcPr>
            <w:tcW w:w="398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8"/>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Voluntary separation program(a)</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Cruise compensation modifications(b)</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Russia exit(c)</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Buick dealer strategy(d)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Patent royalty matters(e)</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GM Brazil indirect tax matters(f)</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3980" w:type="dxa"/>
            <w:vAlign w:val="bottom"/>
          </w:tcPr>
          <w:p>
            <w:pPr>
              <w:ind w:left="140"/>
              <w:spacing w:after="0"/>
              <w:rPr>
                <w:sz w:val="20"/>
                <w:szCs w:val="20"/>
                <w:color w:val="auto"/>
              </w:rPr>
            </w:pPr>
            <w:r>
              <w:rPr>
                <w:rFonts w:ascii="Arial" w:cs="Arial" w:eastAsia="Arial" w:hAnsi="Arial"/>
                <w:sz w:val="18"/>
                <w:szCs w:val="18"/>
                <w:color w:val="auto"/>
              </w:rPr>
              <w:t>Cadillac dealer strategy(g)</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8"/>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GM Korea wage litigation(h)</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2"/>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adjustments</w:t>
            </w: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7"/>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340" w:hanging="333"/>
        <w:spacing w:after="0" w:line="256"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acceleration of attrition as part of the cost reduction program announced in January 2023, primarily in the United States.</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one-time modification of Cruise stock incentive awards.</w:t>
      </w:r>
    </w:p>
    <w:p>
      <w:pPr>
        <w:spacing w:after="0" w:line="4" w:lineRule="exact"/>
        <w:rPr>
          <w:rFonts w:ascii="Arial" w:cs="Arial" w:eastAsia="Arial" w:hAnsi="Arial"/>
          <w:sz w:val="16"/>
          <w:szCs w:val="16"/>
          <w:color w:val="auto"/>
        </w:rPr>
      </w:pPr>
    </w:p>
    <w:p>
      <w:pPr>
        <w:ind w:left="340" w:hanging="333"/>
        <w:spacing w:after="0" w:line="254"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shutdown of our Russia business including the write off of our net investment and release of accumulated translation losses into earnings.</w:t>
      </w:r>
    </w:p>
    <w:p>
      <w:pPr>
        <w:ind w:left="320" w:hanging="313"/>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adjustments were excluded because they relate to strategic activities to transition certain Buick dealers out of our dealer network as part of Buick’s EV strategy.</w:t>
      </w:r>
    </w:p>
    <w:p>
      <w:pPr>
        <w:spacing w:after="0" w:line="30" w:lineRule="exact"/>
        <w:rPr>
          <w:rFonts w:ascii="Arial" w:cs="Arial" w:eastAsia="Arial" w:hAnsi="Arial"/>
          <w:sz w:val="14"/>
          <w:szCs w:val="14"/>
          <w:color w:val="auto"/>
        </w:rPr>
      </w:pPr>
    </w:p>
    <w:p>
      <w:pPr>
        <w:ind w:left="340" w:hanging="333"/>
        <w:spacing w:after="0" w:line="251"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certain royalties accrued with respect to past-year vehicle sales in the three months ended December 31, 2021, and the resolution of substantially all of these matters in the three months ended March 31, 2022.</w:t>
      </w:r>
    </w:p>
    <w:p>
      <w:pPr>
        <w:spacing w:after="0" w:line="1" w:lineRule="exact"/>
        <w:rPr>
          <w:rFonts w:ascii="Arial" w:cs="Arial" w:eastAsia="Arial" w:hAnsi="Arial"/>
          <w:sz w:val="16"/>
          <w:szCs w:val="16"/>
          <w:color w:val="auto"/>
        </w:rPr>
      </w:pPr>
    </w:p>
    <w:p>
      <w:pPr>
        <w:ind w:left="340" w:hanging="333"/>
        <w:spacing w:after="0" w:line="254"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a settlement with third parties in the three months ended December 31, 2021 relating to retrospective recoveries of indirect taxes in Brazil realized in prior periods.</w:t>
      </w:r>
    </w:p>
    <w:p>
      <w:pPr>
        <w:ind w:left="320" w:hanging="3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These adjustments were excluded because they relate to strategic activities to transition certain Cadillac dealers from the network as part of Cadillac's EV strategy.</w:t>
      </w:r>
    </w:p>
    <w:p>
      <w:pPr>
        <w:spacing w:after="0" w:line="19" w:lineRule="exact"/>
        <w:rPr>
          <w:rFonts w:ascii="Arial" w:cs="Arial" w:eastAsia="Arial" w:hAnsi="Arial"/>
          <w:sz w:val="15"/>
          <w:szCs w:val="15"/>
          <w:color w:val="auto"/>
        </w:rPr>
      </w:pPr>
    </w:p>
    <w:p>
      <w:pPr>
        <w:ind w:left="320" w:hanging="313"/>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Korea Supreme Court decisions related to our salaried workers.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
        </w:trPr>
        <w:tc>
          <w:tcPr>
            <w:tcW w:w="7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r>
      <w:tr>
        <w:trPr>
          <w:trHeight w:val="188"/>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6"/>
                <w:szCs w:val="16"/>
                <w:color w:val="auto"/>
              </w:rPr>
            </w:pPr>
          </w:p>
        </w:tc>
        <w:tc>
          <w:tcPr>
            <w:tcW w:w="1680" w:type="dxa"/>
            <w:vAlign w:val="bottom"/>
            <w:gridSpan w:val="4"/>
          </w:tcPr>
          <w:p>
            <w:pPr>
              <w:ind w:left="300"/>
              <w:spacing w:after="0"/>
              <w:rPr>
                <w:sz w:val="20"/>
                <w:szCs w:val="20"/>
                <w:color w:val="auto"/>
              </w:rPr>
            </w:pPr>
            <w:r>
              <w:rPr>
                <w:rFonts w:ascii="Arial" w:cs="Arial" w:eastAsia="Arial" w:hAnsi="Arial"/>
                <w:sz w:val="14"/>
                <w:szCs w:val="14"/>
                <w:b w:val="1"/>
                <w:bCs w:val="1"/>
                <w:color w:val="auto"/>
              </w:rPr>
              <w:t>March 31, 2022</w:t>
            </w:r>
          </w:p>
        </w:tc>
      </w:tr>
      <w:tr>
        <w:trPr>
          <w:trHeight w:val="195"/>
        </w:trPr>
        <w:tc>
          <w:tcPr>
            <w:tcW w:w="74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r>
      <w:tr>
        <w:trPr>
          <w:trHeight w:val="228"/>
        </w:trPr>
        <w:tc>
          <w:tcPr>
            <w:tcW w:w="7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1"/>
              </w:rPr>
              <w:t>1.35</w:t>
            </w:r>
          </w:p>
        </w:tc>
      </w:tr>
      <w:tr>
        <w:trPr>
          <w:trHeight w:val="228"/>
        </w:trPr>
        <w:tc>
          <w:tcPr>
            <w:tcW w:w="744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213"/>
              <w:spacing w:after="0"/>
              <w:rPr>
                <w:sz w:val="20"/>
                <w:szCs w:val="20"/>
                <w:color w:val="auto"/>
              </w:rPr>
            </w:pPr>
            <w:r>
              <w:rPr>
                <w:rFonts w:ascii="Arial" w:cs="Arial" w:eastAsia="Arial" w:hAnsi="Arial"/>
                <w:sz w:val="18"/>
                <w:szCs w:val="18"/>
                <w:color w:val="auto"/>
                <w:w w:val="91"/>
              </w:rPr>
              <w:t>0.65</w:t>
            </w:r>
          </w:p>
        </w:tc>
      </w:tr>
      <w:tr>
        <w:trPr>
          <w:trHeight w:val="228"/>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adjustments(b)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(239)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3"/>
              </w:rPr>
              <w:t>(0.20)</w:t>
            </w:r>
          </w:p>
        </w:tc>
      </w:tr>
      <w:tr>
        <w:trPr>
          <w:trHeight w:val="228"/>
        </w:trPr>
        <w:tc>
          <w:tcPr>
            <w:tcW w:w="7440" w:type="dxa"/>
            <w:vAlign w:val="bottom"/>
          </w:tcPr>
          <w:p>
            <w:pPr>
              <w:ind w:left="20"/>
              <w:spacing w:after="0"/>
              <w:rPr>
                <w:sz w:val="20"/>
                <w:szCs w:val="20"/>
                <w:color w:val="auto"/>
              </w:rPr>
            </w:pPr>
            <w:r>
              <w:rPr>
                <w:rFonts w:ascii="Arial" w:cs="Arial" w:eastAsia="Arial" w:hAnsi="Arial"/>
                <w:sz w:val="18"/>
                <w:szCs w:val="18"/>
                <w:color w:val="auto"/>
              </w:rPr>
              <w:t>Tax adjustments(c)</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95"/>
              </w:rPr>
              <w:t>(482)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73"/>
              <w:spacing w:after="0"/>
              <w:rPr>
                <w:sz w:val="20"/>
                <w:szCs w:val="20"/>
                <w:color w:val="auto"/>
              </w:rPr>
            </w:pPr>
            <w:r>
              <w:rPr>
                <w:rFonts w:ascii="Arial" w:cs="Arial" w:eastAsia="Arial" w:hAnsi="Arial"/>
                <w:sz w:val="18"/>
                <w:szCs w:val="18"/>
                <w:color w:val="auto"/>
                <w:w w:val="93"/>
              </w:rPr>
              <w:t>(0.33)</w:t>
            </w:r>
          </w:p>
        </w:tc>
      </w:tr>
      <w:tr>
        <w:trPr>
          <w:trHeight w:val="228"/>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adjustment(d)</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13"/>
              <w:spacing w:after="0"/>
              <w:rPr>
                <w:sz w:val="20"/>
                <w:szCs w:val="20"/>
                <w:color w:val="auto"/>
              </w:rPr>
            </w:pPr>
            <w:r>
              <w:rPr>
                <w:rFonts w:ascii="Arial" w:cs="Arial" w:eastAsia="Arial" w:hAnsi="Arial"/>
                <w:sz w:val="18"/>
                <w:szCs w:val="18"/>
                <w:color w:val="auto"/>
                <w:w w:val="91"/>
              </w:rPr>
              <w:t>0.62</w:t>
            </w:r>
          </w:p>
        </w:tc>
      </w:tr>
      <w:tr>
        <w:trPr>
          <w:trHeight w:val="222"/>
        </w:trPr>
        <w:tc>
          <w:tcPr>
            <w:tcW w:w="744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center"/>
              <w:ind w:left="213"/>
              <w:spacing w:after="0"/>
              <w:rPr>
                <w:sz w:val="20"/>
                <w:szCs w:val="20"/>
                <w:color w:val="auto"/>
              </w:rPr>
            </w:pPr>
            <w:r>
              <w:rPr>
                <w:rFonts w:ascii="Arial" w:cs="Arial" w:eastAsia="Arial" w:hAnsi="Arial"/>
                <w:sz w:val="18"/>
                <w:szCs w:val="18"/>
                <w:color w:val="auto"/>
                <w:w w:val="91"/>
              </w:rPr>
              <w:t>2.09</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40" w:hanging="333"/>
        <w:spacing w:after="0" w:line="251" w:lineRule="auto"/>
        <w:tabs>
          <w:tab w:leader="none" w:pos="33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 for the details of each individual adjustment.</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4" w:lineRule="exact"/>
        <w:rPr>
          <w:rFonts w:ascii="Arial" w:cs="Arial" w:eastAsia="Arial" w:hAnsi="Arial"/>
          <w:sz w:val="16"/>
          <w:szCs w:val="16"/>
          <w:color w:val="auto"/>
        </w:rPr>
      </w:pPr>
    </w:p>
    <w:p>
      <w:pPr>
        <w:jc w:val="both"/>
        <w:ind w:left="340" w:hanging="333"/>
        <w:spacing w:after="0" w:line="222" w:lineRule="auto"/>
        <w:tabs>
          <w:tab w:leader="none" w:pos="33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This adjustment consists of tax benefit related to the release of a valuation allowance against deferred tax assets considered realizable as a result of Cruise tax reconsolidation in the three months ended March 31, 2022. This adjustment was excluded because significant impacts of valuation allowances are not considered part of our core operations.</w:t>
      </w:r>
    </w:p>
    <w:p>
      <w:pPr>
        <w:ind w:left="320" w:hanging="313"/>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This adjustment consists of a deemed dividend related to the redemption of Cruise preferred shares from SoftBank in the three months ended March 31, 2022.</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3"/>
          </w:tcPr>
          <w:p>
            <w:pPr>
              <w:jc w:val="right"/>
              <w:ind w:right="18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5"/>
        </w:trPr>
        <w:tc>
          <w:tcPr>
            <w:tcW w:w="2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8"/>
        </w:trPr>
        <w:tc>
          <w:tcPr>
            <w:tcW w:w="2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March 31, 2023</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March 31, 2022</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21"/>
        </w:trPr>
        <w:tc>
          <w:tcPr>
            <w:tcW w:w="2420" w:type="dxa"/>
            <w:vAlign w:val="bottom"/>
          </w:tcPr>
          <w:p>
            <w:pPr>
              <w:spacing w:after="0"/>
              <w:rPr>
                <w:sz w:val="10"/>
                <w:szCs w:val="10"/>
                <w:color w:val="auto"/>
              </w:rPr>
            </w:pPr>
          </w:p>
        </w:tc>
        <w:tc>
          <w:tcPr>
            <w:tcW w:w="1480" w:type="dxa"/>
            <w:vAlign w:val="bottom"/>
            <w:gridSpan w:val="3"/>
          </w:tcPr>
          <w:p>
            <w:pPr>
              <w:jc w:val="center"/>
              <w:ind w:right="140"/>
              <w:spacing w:after="0" w:line="121" w:lineRule="exact"/>
              <w:rPr>
                <w:sz w:val="20"/>
                <w:szCs w:val="20"/>
                <w:color w:val="auto"/>
              </w:rPr>
            </w:pPr>
            <w:r>
              <w:rPr>
                <w:rFonts w:ascii="Arial" w:cs="Arial" w:eastAsia="Arial" w:hAnsi="Arial"/>
                <w:sz w:val="13"/>
                <w:szCs w:val="13"/>
                <w:b w:val="1"/>
                <w:bCs w:val="1"/>
                <w:color w:val="auto"/>
                <w:w w:val="85"/>
              </w:rPr>
              <w:t>Income before income</w:t>
            </w:r>
          </w:p>
        </w:tc>
        <w:tc>
          <w:tcPr>
            <w:tcW w:w="120" w:type="dxa"/>
            <w:vAlign w:val="bottom"/>
          </w:tcPr>
          <w:p>
            <w:pPr>
              <w:spacing w:after="0"/>
              <w:rPr>
                <w:sz w:val="10"/>
                <w:szCs w:val="10"/>
                <w:color w:val="auto"/>
              </w:rPr>
            </w:pPr>
          </w:p>
        </w:tc>
        <w:tc>
          <w:tcPr>
            <w:tcW w:w="1240" w:type="dxa"/>
            <w:vAlign w:val="bottom"/>
          </w:tcPr>
          <w:p>
            <w:pPr>
              <w:jc w:val="center"/>
              <w:ind w:right="61"/>
              <w:spacing w:after="0" w:line="121" w:lineRule="exact"/>
              <w:rPr>
                <w:sz w:val="20"/>
                <w:szCs w:val="20"/>
                <w:color w:val="auto"/>
              </w:rPr>
            </w:pPr>
            <w:r>
              <w:rPr>
                <w:rFonts w:ascii="Arial" w:cs="Arial" w:eastAsia="Arial" w:hAnsi="Arial"/>
                <w:sz w:val="13"/>
                <w:szCs w:val="13"/>
                <w:b w:val="1"/>
                <w:bCs w:val="1"/>
                <w:color w:val="auto"/>
                <w:w w:val="85"/>
              </w:rPr>
              <w:t>Income tax expense</w:t>
            </w: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ind w:left="100"/>
              <w:spacing w:after="0" w:line="121" w:lineRule="exact"/>
              <w:rPr>
                <w:sz w:val="20"/>
                <w:szCs w:val="20"/>
                <w:color w:val="auto"/>
              </w:rPr>
            </w:pPr>
            <w:r>
              <w:rPr>
                <w:rFonts w:ascii="Arial" w:cs="Arial" w:eastAsia="Arial" w:hAnsi="Arial"/>
                <w:sz w:val="13"/>
                <w:szCs w:val="13"/>
                <w:b w:val="1"/>
                <w:bCs w:val="1"/>
                <w:color w:val="auto"/>
                <w:w w:val="98"/>
              </w:rPr>
              <w:t>Income before income</w:t>
            </w:r>
          </w:p>
        </w:tc>
        <w:tc>
          <w:tcPr>
            <w:tcW w:w="140" w:type="dxa"/>
            <w:vAlign w:val="bottom"/>
          </w:tcPr>
          <w:p>
            <w:pPr>
              <w:spacing w:after="0"/>
              <w:rPr>
                <w:sz w:val="10"/>
                <w:szCs w:val="10"/>
                <w:color w:val="auto"/>
              </w:rPr>
            </w:pPr>
          </w:p>
        </w:tc>
        <w:tc>
          <w:tcPr>
            <w:tcW w:w="1240" w:type="dxa"/>
            <w:vAlign w:val="bottom"/>
          </w:tcPr>
          <w:p>
            <w:pPr>
              <w:jc w:val="center"/>
              <w:ind w:right="61"/>
              <w:spacing w:after="0" w:line="121" w:lineRule="exact"/>
              <w:rPr>
                <w:sz w:val="20"/>
                <w:szCs w:val="20"/>
                <w:color w:val="auto"/>
              </w:rPr>
            </w:pPr>
            <w:r>
              <w:rPr>
                <w:rFonts w:ascii="Arial" w:cs="Arial" w:eastAsia="Arial" w:hAnsi="Arial"/>
                <w:sz w:val="13"/>
                <w:szCs w:val="13"/>
                <w:b w:val="1"/>
                <w:bCs w:val="1"/>
                <w:color w:val="auto"/>
                <w:w w:val="85"/>
              </w:rPr>
              <w:t>Income tax expense</w:t>
            </w: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82"/>
        </w:trPr>
        <w:tc>
          <w:tcPr>
            <w:tcW w:w="2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78"/>
              </w:rPr>
              <w:t>taxes</w:t>
            </w:r>
          </w:p>
        </w:tc>
        <w:tc>
          <w:tcPr>
            <w:tcW w:w="12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Arial" w:cs="Arial" w:eastAsia="Arial" w:hAnsi="Arial"/>
                <w:sz w:val="13"/>
                <w:szCs w:val="13"/>
                <w:b w:val="1"/>
                <w:bCs w:val="1"/>
                <w:color w:val="auto"/>
                <w:w w:val="89"/>
              </w:rPr>
              <w:t>(benefit)</w:t>
            </w:r>
          </w:p>
        </w:tc>
        <w:tc>
          <w:tcPr>
            <w:tcW w:w="100" w:type="dxa"/>
            <w:vAlign w:val="bottom"/>
          </w:tcPr>
          <w:p>
            <w:pPr>
              <w:spacing w:after="0"/>
              <w:rPr>
                <w:sz w:val="15"/>
                <w:szCs w:val="15"/>
                <w:color w:val="auto"/>
              </w:rPr>
            </w:pPr>
          </w:p>
        </w:tc>
        <w:tc>
          <w:tcPr>
            <w:tcW w:w="1440" w:type="dxa"/>
            <w:vAlign w:val="bottom"/>
            <w:gridSpan w:val="2"/>
          </w:tcPr>
          <w:p>
            <w:pPr>
              <w:ind w:left="200"/>
              <w:spacing w:after="0"/>
              <w:rPr>
                <w:sz w:val="20"/>
                <w:szCs w:val="20"/>
                <w:color w:val="auto"/>
              </w:rPr>
            </w:pPr>
            <w:r>
              <w:rPr>
                <w:rFonts w:ascii="Arial" w:cs="Arial" w:eastAsia="Arial" w:hAnsi="Arial"/>
                <w:sz w:val="13"/>
                <w:szCs w:val="13"/>
                <w:b w:val="1"/>
                <w:bCs w:val="1"/>
                <w:color w:val="auto"/>
              </w:rPr>
              <w:t>Effective tax rate</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taxes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Arial" w:cs="Arial" w:eastAsia="Arial" w:hAnsi="Arial"/>
                <w:sz w:val="13"/>
                <w:szCs w:val="13"/>
                <w:b w:val="1"/>
                <w:bCs w:val="1"/>
                <w:color w:val="auto"/>
                <w:w w:val="89"/>
              </w:rPr>
              <w:t>(benefit)</w:t>
            </w:r>
          </w:p>
        </w:tc>
        <w:tc>
          <w:tcPr>
            <w:tcW w:w="120" w:type="dxa"/>
            <w:vAlign w:val="bottom"/>
          </w:tcPr>
          <w:p>
            <w:pPr>
              <w:spacing w:after="0"/>
              <w:rPr>
                <w:sz w:val="15"/>
                <w:szCs w:val="15"/>
                <w:color w:val="auto"/>
              </w:rPr>
            </w:pPr>
          </w:p>
        </w:tc>
        <w:tc>
          <w:tcPr>
            <w:tcW w:w="1320" w:type="dxa"/>
            <w:vAlign w:val="bottom"/>
          </w:tcPr>
          <w:p>
            <w:pPr>
              <w:jc w:val="right"/>
              <w:ind w:right="124"/>
              <w:spacing w:after="0"/>
              <w:rPr>
                <w:sz w:val="20"/>
                <w:szCs w:val="20"/>
                <w:color w:val="auto"/>
              </w:rPr>
            </w:pPr>
            <w:r>
              <w:rPr>
                <w:rFonts w:ascii="Arial" w:cs="Arial" w:eastAsia="Arial" w:hAnsi="Arial"/>
                <w:sz w:val="13"/>
                <w:szCs w:val="13"/>
                <w:b w:val="1"/>
                <w:bCs w:val="1"/>
                <w:color w:val="auto"/>
              </w:rPr>
              <w:t>Effective tax rate</w:t>
            </w:r>
          </w:p>
        </w:tc>
      </w:tr>
      <w:tr>
        <w:trPr>
          <w:trHeight w:val="228"/>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428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8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3"/>
              </w:rPr>
              <w:t>(28)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2420" w:type="dxa"/>
            <w:vAlign w:val="bottom"/>
          </w:tcPr>
          <w:p>
            <w:pPr>
              <w:spacing w:after="0"/>
              <w:rPr>
                <w:sz w:val="20"/>
                <w:szCs w:val="20"/>
                <w:color w:val="auto"/>
              </w:rPr>
            </w:pPr>
            <w:r>
              <w:rPr>
                <w:rFonts w:ascii="Arial" w:cs="Arial" w:eastAsia="Arial" w:hAnsi="Arial"/>
                <w:sz w:val="18"/>
                <w:szCs w:val="18"/>
                <w:color w:val="auto"/>
              </w:rPr>
              <w:t>Adjustments(a)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ind w:left="90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8"/>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Tax adjustments(b)</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2"/>
        </w:trPr>
        <w:tc>
          <w:tcPr>
            <w:tcW w:w="2420" w:type="dxa"/>
            <w:vAlign w:val="bottom"/>
          </w:tcPr>
          <w:p>
            <w:pPr>
              <w:spacing w:after="0"/>
              <w:rPr>
                <w:sz w:val="20"/>
                <w:szCs w:val="20"/>
                <w:color w:val="auto"/>
              </w:rPr>
            </w:pPr>
            <w:r>
              <w:rPr>
                <w:rFonts w:ascii="Arial" w:cs="Arial" w:eastAsia="Arial" w:hAnsi="Arial"/>
                <w:sz w:val="18"/>
                <w:szCs w:val="18"/>
                <w:color w:val="auto"/>
              </w:rPr>
              <w:t>ETR-adjusted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667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0"/>
        </w:trPr>
        <w:tc>
          <w:tcPr>
            <w:tcW w:w="2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51"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320" w:hanging="313"/>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23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3700" w:type="dxa"/>
            <w:vAlign w:val="bottom"/>
            <w:gridSpan w:val="4"/>
          </w:tcPr>
          <w:p>
            <w:pPr>
              <w:jc w:val="right"/>
              <w:ind w:right="816"/>
              <w:spacing w:after="0"/>
              <w:rPr>
                <w:sz w:val="20"/>
                <w:szCs w:val="20"/>
                <w:color w:val="auto"/>
              </w:rPr>
            </w:pPr>
            <w:r>
              <w:rPr>
                <w:rFonts w:ascii="Arial" w:cs="Arial" w:eastAsia="Arial" w:hAnsi="Arial"/>
                <w:sz w:val="14"/>
                <w:szCs w:val="14"/>
                <w:b w:val="1"/>
                <w:bCs w:val="1"/>
                <w:color w:val="auto"/>
              </w:rPr>
              <w:t>Four Quarters Ended</w:t>
            </w:r>
          </w:p>
        </w:tc>
        <w:tc>
          <w:tcPr>
            <w:tcW w:w="560" w:type="dxa"/>
            <w:vAlign w:val="bottom"/>
          </w:tcPr>
          <w:p>
            <w:pPr>
              <w:spacing w:after="0"/>
              <w:rPr>
                <w:sz w:val="16"/>
                <w:szCs w:val="16"/>
                <w:color w:val="auto"/>
              </w:rPr>
            </w:pPr>
          </w:p>
        </w:tc>
      </w:tr>
      <w:tr>
        <w:trPr>
          <w:trHeight w:val="25"/>
        </w:trPr>
        <w:tc>
          <w:tcPr>
            <w:tcW w:w="69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8"/>
        </w:trPr>
        <w:tc>
          <w:tcPr>
            <w:tcW w:w="69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560" w:type="dxa"/>
            <w:vAlign w:val="bottom"/>
            <w:tcBorders>
              <w:bottom w:val="single" w:sz="8" w:color="auto"/>
            </w:tcBorders>
          </w:tcPr>
          <w:p>
            <w:pPr>
              <w:spacing w:after="0"/>
              <w:rPr>
                <w:sz w:val="16"/>
                <w:szCs w:val="16"/>
                <w:color w:val="auto"/>
              </w:rPr>
            </w:pP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1540" w:type="dxa"/>
            <w:vAlign w:val="bottom"/>
            <w:shd w:val="clear" w:color="auto" w:fill="CCEEFF"/>
          </w:tcPr>
          <w:p>
            <w:pPr>
              <w:jc w:val="right"/>
              <w:ind w:right="13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1540" w:type="dxa"/>
            <w:vAlign w:val="bottom"/>
          </w:tcPr>
          <w:p>
            <w:pPr>
              <w:jc w:val="right"/>
              <w:ind w:right="133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85"/>
              </w:rPr>
              <w:t>68.6</w:t>
            </w:r>
          </w:p>
        </w:tc>
        <w:tc>
          <w:tcPr>
            <w:tcW w:w="100" w:type="dxa"/>
            <w:vAlign w:val="bottom"/>
          </w:tcPr>
          <w:p>
            <w:pPr>
              <w:spacing w:after="0"/>
              <w:rPr>
                <w:sz w:val="19"/>
                <w:szCs w:val="19"/>
                <w:color w:val="auto"/>
              </w:rPr>
            </w:pPr>
          </w:p>
        </w:tc>
        <w:tc>
          <w:tcPr>
            <w:tcW w:w="1520" w:type="dxa"/>
            <w:vAlign w:val="bottom"/>
          </w:tcPr>
          <w:p>
            <w:pPr>
              <w:jc w:val="right"/>
              <w:ind w:right="13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w w:val="91"/>
              </w:rPr>
              <w:t>59.6</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15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attributable to stockholders.</w:t>
      </w:r>
    </w:p>
    <w:p>
      <w:pPr>
        <w:spacing w:after="0" w:line="200" w:lineRule="exact"/>
        <w:rPr>
          <w:rFonts w:ascii="Arial" w:cs="Arial" w:eastAsia="Arial" w:hAnsi="Arial"/>
          <w:sz w:val="16"/>
          <w:szCs w:val="16"/>
          <w:color w:val="auto"/>
        </w:rPr>
      </w:pPr>
    </w:p>
    <w:p>
      <w:pPr>
        <w:spacing w:after="0" w:line="39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20" w:type="dxa"/>
            <w:vAlign w:val="bottom"/>
            <w:gridSpan w:val="4"/>
          </w:tcPr>
          <w:p>
            <w:pPr>
              <w:ind w:left="1120"/>
              <w:spacing w:after="0"/>
              <w:rPr>
                <w:sz w:val="20"/>
                <w:szCs w:val="20"/>
                <w:color w:val="auto"/>
              </w:rPr>
            </w:pPr>
            <w:r>
              <w:rPr>
                <w:rFonts w:ascii="Arial" w:cs="Arial" w:eastAsia="Arial" w:hAnsi="Arial"/>
                <w:sz w:val="14"/>
                <w:szCs w:val="14"/>
                <w:b w:val="1"/>
                <w:bCs w:val="1"/>
                <w:color w:val="auto"/>
              </w:rPr>
              <w:t>Four Quarters Ended</w:t>
            </w:r>
          </w:p>
        </w:tc>
      </w:tr>
      <w:tr>
        <w:trPr>
          <w:trHeight w:val="25"/>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88"/>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2023</w:t>
            </w:r>
          </w:p>
        </w:tc>
        <w:tc>
          <w:tcPr>
            <w:tcW w:w="340" w:type="dxa"/>
            <w:vAlign w:val="bottom"/>
          </w:tcPr>
          <w:p>
            <w:pPr>
              <w:spacing w:after="0"/>
              <w:rPr>
                <w:sz w:val="16"/>
                <w:szCs w:val="16"/>
                <w:color w:val="auto"/>
              </w:rPr>
            </w:pPr>
          </w:p>
        </w:tc>
        <w:tc>
          <w:tcPr>
            <w:tcW w:w="1740" w:type="dxa"/>
            <w:vAlign w:val="bottom"/>
          </w:tcPr>
          <w:p>
            <w:pPr>
              <w:ind w:left="220"/>
              <w:spacing w:after="0"/>
              <w:rPr>
                <w:sz w:val="20"/>
                <w:szCs w:val="20"/>
                <w:color w:val="auto"/>
              </w:rPr>
            </w:pPr>
            <w:r>
              <w:rPr>
                <w:rFonts w:ascii="Arial" w:cs="Arial" w:eastAsia="Arial" w:hAnsi="Arial"/>
                <w:sz w:val="14"/>
                <w:szCs w:val="14"/>
                <w:b w:val="1"/>
                <w:bCs w:val="1"/>
                <w:color w:val="auto"/>
              </w:rPr>
              <w:t>March 31, 2022</w:t>
            </w:r>
          </w:p>
        </w:tc>
      </w:tr>
      <w:tr>
        <w:trPr>
          <w:trHeight w:val="228"/>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EBIT-adjusted(a)</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13.9</w:t>
            </w:r>
          </w:p>
        </w:tc>
      </w:tr>
      <w:tr>
        <w:trPr>
          <w:trHeight w:val="228"/>
        </w:trPr>
        <w:tc>
          <w:tcPr>
            <w:tcW w:w="698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134"/>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Pr>
          <w:p>
            <w:pPr>
              <w:ind w:left="1200"/>
              <w:spacing w:after="0"/>
              <w:rPr>
                <w:sz w:val="20"/>
                <w:szCs w:val="20"/>
                <w:color w:val="auto"/>
              </w:rPr>
            </w:pPr>
            <w:r>
              <w:rPr>
                <w:rFonts w:ascii="Arial" w:cs="Arial" w:eastAsia="Arial" w:hAnsi="Arial"/>
                <w:sz w:val="18"/>
                <w:szCs w:val="18"/>
                <w:color w:val="auto"/>
              </w:rPr>
              <w:t>59.6</w:t>
            </w:r>
          </w:p>
        </w:tc>
      </w:tr>
      <w:tr>
        <w:trPr>
          <w:trHeight w:val="228"/>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16.9</w:t>
            </w:r>
          </w:p>
        </w:tc>
      </w:tr>
      <w:tr>
        <w:trPr>
          <w:trHeight w:val="228"/>
        </w:trPr>
        <w:tc>
          <w:tcPr>
            <w:tcW w:w="698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340" w:type="dxa"/>
            <w:vAlign w:val="bottom"/>
          </w:tcPr>
          <w:p>
            <w:pPr>
              <w:spacing w:after="0"/>
              <w:rPr>
                <w:sz w:val="19"/>
                <w:szCs w:val="19"/>
                <w:color w:val="auto"/>
              </w:rPr>
            </w:pPr>
          </w:p>
        </w:tc>
        <w:tc>
          <w:tcPr>
            <w:tcW w:w="1740" w:type="dxa"/>
            <w:vAlign w:val="bottom"/>
          </w:tcPr>
          <w:p>
            <w:pPr>
              <w:jc w:val="right"/>
              <w:ind w:right="13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Arial" w:cs="Arial" w:eastAsia="Arial" w:hAnsi="Arial"/>
                <w:sz w:val="18"/>
                <w:szCs w:val="18"/>
                <w:color w:val="auto"/>
              </w:rPr>
              <w:t>14.0</w:t>
            </w:r>
          </w:p>
        </w:tc>
      </w:tr>
      <w:tr>
        <w:trPr>
          <w:trHeight w:val="228"/>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(21.8)</w:t>
            </w:r>
          </w:p>
        </w:tc>
      </w:tr>
      <w:tr>
        <w:trPr>
          <w:trHeight w:val="222"/>
        </w:trPr>
        <w:tc>
          <w:tcPr>
            <w:tcW w:w="698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68.8</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2"/>
              </w:rPr>
              <w:t>20.2 %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ind w:left="320" w:hanging="313"/>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this section of MD&amp;A.</w:t>
      </w:r>
    </w:p>
    <w:p>
      <w:pPr>
        <w:spacing w:after="0" w:line="14" w:lineRule="exact"/>
        <w:rPr>
          <w:rFonts w:ascii="Arial" w:cs="Arial" w:eastAsia="Arial" w:hAnsi="Arial"/>
          <w:sz w:val="16"/>
          <w:szCs w:val="16"/>
          <w:color w:val="auto"/>
        </w:rPr>
      </w:pPr>
    </w:p>
    <w:p>
      <w:pPr>
        <w:ind w:left="320" w:hanging="313"/>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EBIT-adjusted.</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vision for the future is a world with zero crashes, zero emissions and zero congestion, which guides our growth-focused strategy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EVs and AVs, software-enabled services and subscriptions and new business opportunities, while strengthening our market position in profitable ICE vehicles, such as trucks and SUVs. We will execute our strategy with a diverse team and a steadfast commitment to good citizenship through sustainable operations and a leading health and safety culture.</w:t>
      </w:r>
    </w:p>
    <w:p>
      <w:pPr>
        <w:spacing w:after="0" w:line="212"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We continue to monitor the macro-economic environment, including higher interest rates, inflationary pressures and competitor actions. Supply chain and logistics challenges have begun to ease, leading to increased production, which could result in a gradual increase in incentive activity as the year progresses. We expect pricing performance on our new and refreshed vehicles to partially offset this headwind. U.S. dealer inventories remained flat compared to December 2022 as we matched supply with demand and proactively planned some downtime at our facilities.</w:t>
      </w:r>
    </w:p>
    <w:p>
      <w:pPr>
        <w:spacing w:after="0" w:line="199"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In January 2023, we announced our intention to implement a cost reduction program to reduce fixed costs by $2.0 billion on an annual run rate basis by 2024. In March 2023, we took the initial steps and announced performance-based exits and a VSP in an effort to accelerate attrition, which we believe will result in approximately $1.0 billion towards this target on an annual run rate basis. In addition to people costs, we expect the remaining $1.0 billion will come from reducing complexity across the vehicle portfolio and throughout the business, prioritizing growth initiatives and reducing overhead and discretionary costs. Refer to the Consolidated Results and regional analysis sections of this MD&amp;A for additional information.</w:t>
      </w:r>
    </w:p>
    <w:p>
      <w:pPr>
        <w:spacing w:after="0" w:line="201"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We also face continuing market, operating and regulatory challenges in several countries across the globe due to, among other factors, competitive pressures, our product portfolio offerings, heightened emission standards, potentially weakening economic conditions, labor disruptions, foreign exchange volatility, evolving trade policy and political uncertainty. Refer to Part I, Item 1A. Risk Factors of our 2022 Form 10-K for a discussion of these challenges.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we continue to assess our performance and the needs of our evolving business, additional restructuring and rationalization actions could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could give rise to future asset impairments or other charges, which may have a material impact on our operating results.</w:t>
      </w:r>
    </w:p>
    <w:p>
      <w:pPr>
        <w:spacing w:after="0" w:line="235"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On August 16, 2022, the Inflation Reduction Act of 2022 (the "Act") was signed into law. The Act modified climate and clean energy tax provisions, including the consumer credit for EV purchases, and added new corporate tax credits for commercial EV purchases and investments in clean energy production, supply chains and manufacturing facilities. We expect to generate credits from our production of battery components and commercial EV tax credits that will increase net income and impact income tax cash payments. We also expect to benefit from the Act through lower raw material costs. While waiting on pending Department of Treasury regulatory guidance, we are continuing to evaluate the ultimate impact of the tax credits on our financial results, including our net earnings and cash flow.</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For the year ending December 31, 2023, we expect Net income attributable to stockholders of between $8.4 billion and $9.9 billion, EBIT-adjusted of between $11.0 billion and $13.0 billion, EPS-diluted of between $5.83 and $6.83 and EPS-diluted-adjusted of between $6.35 and $7.35. We do not consider the potential impact of future adjustments on our expected financial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Arial" w:cs="Arial" w:eastAsia="Arial" w:hAnsi="Arial"/>
                <w:sz w:val="14"/>
                <w:szCs w:val="14"/>
                <w:b w:val="1"/>
                <w:bCs w:val="1"/>
                <w:color w:val="auto"/>
              </w:rPr>
              <w:t>Year Ending December 31, 2023</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$ 8.4-9.9</w:t>
            </w: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$ 11.0-13.0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hanging="333"/>
        <w:spacing w:after="0" w:line="255"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the reconciliation of Net income attributable to stockholders under U.S. GAAP to EBIT-adjusted within the MD&amp;A for the details of each individual adjustment. We do not consider the potential future impact of adjustments on our expected financial results.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expected EPS-diluted under U.S. GAAP to expected EPS-diluted-adjusted</w:t>
      </w:r>
      <w:r>
        <w:rPr>
          <w:rFonts w:ascii="Arial" w:cs="Arial" w:eastAsia="Arial" w:hAnsi="Arial"/>
          <w:sz w:val="16"/>
          <w:szCs w:val="16"/>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80" w:type="dxa"/>
            <w:vAlign w:val="bottom"/>
          </w:tcPr>
          <w:p>
            <w:pPr>
              <w:jc w:val="right"/>
              <w:ind w:right="575"/>
              <w:spacing w:after="0"/>
              <w:rPr>
                <w:sz w:val="20"/>
                <w:szCs w:val="20"/>
                <w:color w:val="auto"/>
              </w:rPr>
            </w:pPr>
            <w:r>
              <w:rPr>
                <w:rFonts w:ascii="Arial" w:cs="Arial" w:eastAsia="Arial" w:hAnsi="Arial"/>
                <w:sz w:val="14"/>
                <w:szCs w:val="14"/>
                <w:b w:val="1"/>
                <w:bCs w:val="1"/>
                <w:color w:val="auto"/>
              </w:rPr>
              <w:t>Year Ending December 31, 2023</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$ 5.83-6.83</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$ 6.35-7.35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2" w:lineRule="exact"/>
        <w:rPr>
          <w:sz w:val="20"/>
          <w:szCs w:val="20"/>
          <w:color w:val="auto"/>
        </w:rPr>
      </w:pPr>
    </w:p>
    <w:p>
      <w:pPr>
        <w:ind w:left="340" w:hanging="333"/>
        <w:spacing w:after="0" w:line="268" w:lineRule="auto"/>
        <w:tabs>
          <w:tab w:leader="none" w:pos="331"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the reconciliation of diluted earnings per common share under U.S. GAAP to EPS-diluted-adjusted within the MD&amp;A for the details of each individual adjustment. We do not consider the potential future impact of adjustments on our expected financial results.</w:t>
      </w:r>
    </w:p>
    <w:p>
      <w:pPr>
        <w:spacing w:after="0" w:line="21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4.5 million units in the three months ended March 31, 2023, representing an increase of 9.2%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period in 2022. U.S. industry sales were 3.7 million units in the three months ended March 31, 2023, representing an increase of 8.3% compared to the corresponding period in 2022.</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total vehicle sales in the U.S., our largest market in North America, were 0.6 million units for market share of 16.4% in the three months ended March 31, 2023, representing an increase of 1.3 percentage points compared to the corresponding period in 2022.</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expect to sustain relatively strong EBIT-adjusted margins in 2023 on the continued strength of vehicle pricing and healthy U.S. industry demand, partially offset by elevated costs associated with commodities, raw materials and logistics. Our outlook is dependent on the pricing environment, continuing improvement of supply chain availability and overall economic conditions. As a result of supply chain disruptions, we experienced interruptions to our planned production schedules and continue to prioritize production of our most popular and in-demand products, including our full-size trucks, full-size SUVs and EVs.</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2023, our collective bargaining agreements with the International Union, United Automobile, Aerospace and Agricultural Implement Workers of America (UAW) in the United States and Unifor in Canada, as well as collective bargaining agreements in Mexico, will expire, which will require negotiation of new agreements. Refer to Part I, Item 1A. Risk Factors of our 2022 Form 10-K for a discussion of the risks related to any significant disruption at our manufacturing facilities.</w:t>
      </w:r>
    </w:p>
    <w:p>
      <w:pPr>
        <w:spacing w:after="0" w:line="212"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GMI </w:t>
      </w:r>
      <w:r>
        <w:rPr>
          <w:rFonts w:ascii="Arial" w:cs="Arial" w:eastAsia="Arial" w:hAnsi="Arial"/>
          <w:sz w:val="18"/>
          <w:szCs w:val="18"/>
          <w:color w:val="auto"/>
        </w:rPr>
        <w:t>Industry sales in China were 5.2 million units in the three months ended March 31, 2023, representing a decrease of 10.3%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period in 2022. Our total vehicle sales in China were 0.5 million units for market share of 9.0% in the three months ended March 31, 2023, representing a decrease of 1.7 percentage points compared to the corresponding period in 2022. The ongoing supply chain disruptions, global macro-economic impact and geopolitical tensions continue to place pressure on China's automotive industry and our vehicle sales in China. Our Automotive China JVs generated equity income of $0.1 billion in the three months ended March 31, 2023. Although price competition, higher costs associated with commodities and raw materials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216"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Outside of China, industry sales were 6.4 million units in the three months ended March 31, 2023, representing an increase of 5.7% compared to the corresponding period in 2022. Our total vehicle sales outside of China were 0.2 million units for a market share of 3.4% in the three months ended March 31, 2023, representing a decrease of 0.2 percentage points compared to the corresponding period in 2022.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b w:val="1"/>
          <w:bCs w:val="1"/>
          <w:i w:val="1"/>
          <w:iCs w:val="1"/>
          <w:color w:val="auto"/>
        </w:rPr>
        <w:t xml:space="preserve">Cruise </w:t>
      </w:r>
      <w:r>
        <w:rPr>
          <w:rFonts w:ascii="Arial" w:cs="Arial" w:eastAsia="Arial" w:hAnsi="Arial"/>
          <w:sz w:val="16"/>
          <w:szCs w:val="16"/>
          <w:color w:val="auto"/>
        </w:rPr>
        <w:t>Gated by safety and regulation, Cruise continues to make significant progress towards commercialization of a network of on-demand AVs.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Cruise received a driverless test permit from the California Public Utilities Commission (CPUC) to provide unpaid rides to the public in driverless vehicles and received approval of its Autonomous Vehicle Deployment Permit from the California Department of Motor Vehicles to commercially deploy driverless AVs. In June 2022, Cruise received the first ever Driverless Deployment Permit granted by the CPUC, which allows them to charge a fare for the driverless rides they are providing to members of the public in certain parts of San Francisco. Additionally, in September 2022, Cruise acquired regulatory permits to operate driverless ride hail services in Phoenix, Arizona and began pursuing ride hail operations in Austin, Texas. GM and Cruise are also awaiting a decision on an exemption petition that was filed with NHTSA seeking regulatory approval for the deployment of the Cruise Origin.</w:t>
      </w:r>
    </w:p>
    <w:p>
      <w:pPr>
        <w:spacing w:after="0" w:line="191"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2023, 28.4% of our wholesale vehicle sales volume was generated outside the U.S. The following table summarizes wholesale vehicle sales by automotive segment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3"/>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4300" w:type="dxa"/>
            <w:vAlign w:val="bottom"/>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430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March 31, 2023</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March 31, 2022</w:t>
            </w:r>
          </w:p>
        </w:tc>
        <w:tc>
          <w:tcPr>
            <w:tcW w:w="920" w:type="dxa"/>
            <w:vAlign w:val="bottom"/>
            <w:tcBorders>
              <w:bottom w:val="single" w:sz="8" w:color="auto"/>
            </w:tcBorders>
          </w:tcPr>
          <w:p>
            <w:pPr>
              <w:spacing w:after="0"/>
              <w:rPr>
                <w:sz w:val="16"/>
                <w:szCs w:val="16"/>
                <w:color w:val="auto"/>
              </w:rPr>
            </w:pPr>
          </w:p>
        </w:tc>
      </w:tr>
      <w:tr>
        <w:trPr>
          <w:trHeight w:val="228"/>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16.5 %</w:t>
            </w:r>
          </w:p>
        </w:tc>
      </w:tr>
      <w:tr>
        <w:trPr>
          <w:trHeight w:val="24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(i.e., sales to large and small businesses, governments, and daily rental car companies); and (3) certain vehicles used by dealers in their business.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4"/>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1160" w:type="dxa"/>
            <w:vAlign w:val="bottom"/>
          </w:tcPr>
          <w:p>
            <w:pPr>
              <w:jc w:val="right"/>
              <w:ind w:right="380"/>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6"/>
                <w:szCs w:val="16"/>
                <w:color w:val="auto"/>
              </w:rPr>
            </w:pPr>
          </w:p>
        </w:tc>
        <w:tc>
          <w:tcPr>
            <w:tcW w:w="1300" w:type="dxa"/>
            <w:vAlign w:val="bottom"/>
          </w:tcPr>
          <w:p>
            <w:pPr>
              <w:jc w:val="right"/>
              <w:ind w:right="145"/>
              <w:spacing w:after="0"/>
              <w:rPr>
                <w:sz w:val="20"/>
                <w:szCs w:val="20"/>
                <w:color w:val="auto"/>
              </w:rPr>
            </w:pPr>
            <w:r>
              <w:rPr>
                <w:rFonts w:ascii="Arial" w:cs="Arial" w:eastAsia="Arial" w:hAnsi="Arial"/>
                <w:sz w:val="14"/>
                <w:szCs w:val="14"/>
                <w:b w:val="1"/>
                <w:bCs w:val="1"/>
                <w:color w:val="auto"/>
              </w:rPr>
              <w:t>Market Share</w:t>
            </w:r>
          </w:p>
        </w:tc>
        <w:tc>
          <w:tcPr>
            <w:tcW w:w="1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1160" w:type="dxa"/>
            <w:vAlign w:val="bottom"/>
          </w:tcPr>
          <w:p>
            <w:pPr>
              <w:jc w:val="right"/>
              <w:ind w:right="380"/>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6"/>
                <w:szCs w:val="16"/>
                <w:color w:val="auto"/>
              </w:rPr>
            </w:pPr>
          </w:p>
        </w:tc>
        <w:tc>
          <w:tcPr>
            <w:tcW w:w="1300" w:type="dxa"/>
            <w:vAlign w:val="bottom"/>
          </w:tcPr>
          <w:p>
            <w:pPr>
              <w:jc w:val="right"/>
              <w:ind w:right="144"/>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199"/>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North America</w:t>
            </w: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North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192"/>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Asia/Pacific, Middle East and Africa</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China(a)</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5,547</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5,260</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Asia/Pacific, Middle East and Africa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10,701</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192"/>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South America</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Brazil</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11"/>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South America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Total in GM markets</w:t>
            </w:r>
          </w:p>
        </w:tc>
        <w:tc>
          <w:tcPr>
            <w:tcW w:w="1180" w:type="dxa"/>
            <w:vAlign w:val="bottom"/>
          </w:tcPr>
          <w:p>
            <w:pPr>
              <w:jc w:val="right"/>
              <w:spacing w:after="0"/>
              <w:rPr>
                <w:sz w:val="20"/>
                <w:szCs w:val="20"/>
                <w:color w:val="auto"/>
              </w:rPr>
            </w:pPr>
            <w:r>
              <w:rPr>
                <w:rFonts w:ascii="Arial" w:cs="Arial" w:eastAsia="Arial" w:hAnsi="Arial"/>
                <w:sz w:val="16"/>
                <w:szCs w:val="16"/>
                <w:color w:val="auto"/>
              </w:rPr>
              <w:t>16,023</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15,895</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Europe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8"/>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Total Worldwide(b)(c)</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20,035</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19,357</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United States</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Arial" w:cs="Arial" w:eastAsia="Arial" w:hAnsi="Arial"/>
                <w:sz w:val="16"/>
                <w:szCs w:val="16"/>
                <w:color w:val="auto"/>
              </w:rPr>
              <w:t>Cars</w:t>
            </w:r>
          </w:p>
        </w:tc>
        <w:tc>
          <w:tcPr>
            <w:tcW w:w="118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Trucks</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29.9 %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Crossovers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United States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16.4 %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China(a)</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40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SGMS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SGMW</w:t>
            </w: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China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w:t>
            </w: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14" w:lineRule="exact"/>
        <w:rPr>
          <w:rFonts w:ascii="Arial" w:cs="Arial" w:eastAsia="Arial" w:hAnsi="Arial"/>
          <w:sz w:val="16"/>
          <w:szCs w:val="16"/>
          <w:color w:val="auto"/>
        </w:rPr>
      </w:pPr>
    </w:p>
    <w:p>
      <w:pPr>
        <w:ind w:left="340" w:hanging="333"/>
        <w:spacing w:after="0" w:line="24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March 2022, GM is no longer importing vehicles or parts to Russia, Belarus and other sanctioned provinces in Ukraine.</w:t>
      </w:r>
    </w:p>
    <w:p>
      <w:pPr>
        <w:spacing w:after="0" w:line="23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520" w:type="dxa"/>
            <w:vAlign w:val="bottom"/>
            <w:gridSpan w:val="4"/>
          </w:tcPr>
          <w:p>
            <w:pPr>
              <w:ind w:left="1100"/>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r>
      <w:tr>
        <w:trPr>
          <w:trHeight w:val="188"/>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March 31, 2023</w:t>
            </w:r>
          </w:p>
        </w:tc>
        <w:tc>
          <w:tcPr>
            <w:tcW w:w="170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32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GMI</w:t>
            </w:r>
          </w:p>
        </w:tc>
        <w:tc>
          <w:tcPr>
            <w:tcW w:w="4920" w:type="dxa"/>
            <w:vAlign w:val="bottom"/>
            <w:gridSpan w:val="2"/>
          </w:tcPr>
          <w:p>
            <w:pPr>
              <w:jc w:val="right"/>
              <w:ind w:right="139"/>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700" w:type="dxa"/>
            <w:vAlign w:val="bottom"/>
          </w:tcPr>
          <w:p>
            <w:pPr>
              <w:jc w:val="right"/>
              <w:ind w:right="134"/>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r>
      <w:tr>
        <w:trPr>
          <w:trHeight w:val="247"/>
        </w:trPr>
        <w:tc>
          <w:tcPr>
            <w:tcW w:w="40" w:type="dxa"/>
            <w:vAlign w:val="bottom"/>
          </w:tcPr>
          <w:p>
            <w:pPr>
              <w:spacing w:after="0"/>
              <w:rPr>
                <w:sz w:val="21"/>
                <w:szCs w:val="21"/>
                <w:color w:val="auto"/>
              </w:rPr>
            </w:pPr>
          </w:p>
        </w:tc>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32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20" w:type="dxa"/>
            <w:vAlign w:val="bottom"/>
          </w:tcPr>
          <w:p>
            <w:pPr>
              <w:spacing w:after="0"/>
              <w:rPr>
                <w:sz w:val="19"/>
                <w:szCs w:val="19"/>
                <w:color w:val="auto"/>
              </w:rPr>
            </w:pPr>
          </w:p>
        </w:tc>
      </w:tr>
      <w:tr>
        <w:trPr>
          <w:trHeight w:val="659"/>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20" w:type="dxa"/>
            <w:vAlign w:val="bottom"/>
          </w:tcPr>
          <w:p>
            <w:pPr>
              <w:jc w:val="right"/>
              <w:ind w:right="1910"/>
              <w:spacing w:after="0"/>
              <w:rPr>
                <w:sz w:val="20"/>
                <w:szCs w:val="20"/>
                <w:color w:val="auto"/>
              </w:rPr>
            </w:pPr>
            <w:r>
              <w:rPr>
                <w:rFonts w:ascii="Arial" w:cs="Arial" w:eastAsia="Arial" w:hAnsi="Arial"/>
                <w:sz w:val="18"/>
                <w:szCs w:val="18"/>
                <w:color w:val="auto"/>
              </w:rPr>
              <w:t>31</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GM Financial earnings and help support our sales throughout various economic cycles. GM Financial's leasing program is exposed to residual values, which are heavily dependent on used vehicle prices. Used vehicle prices, although lower year-over-year, were generally higher than contractual residual values for the three months ended March 31, 2023, primarily due to above-average seasonal demand and low used vehicle supply. Gains on terminations of leased vehicles of $0.2 billion and $0.4 billion were included in GM Financial interest, operating and other expenses for the three months ended March 31, 2023 and 2022. The decrease in gains is primarily due to higher leased portfolio net book values at termination and fewer terminated leases. For the remainder of 2023, GM Financial expects used vehicle prices to moderate, as market prices on used vehicles approach contract residual values. The following table summarizes the estimated residual value based on GM Financial's most recent estimates and the number of units included in GM Financial Equipment on operating leases, net by vehicle type (units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 2023</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w w:val="99"/>
              </w:rPr>
              <w:t>December 31, 2022</w:t>
            </w:r>
          </w:p>
        </w:tc>
        <w:tc>
          <w:tcPr>
            <w:tcW w:w="152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8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67.3 %</w:t>
            </w:r>
          </w:p>
        </w:tc>
      </w:tr>
      <w:tr>
        <w:trPr>
          <w:trHeight w:val="228"/>
        </w:trPr>
        <w:tc>
          <w:tcPr>
            <w:tcW w:w="2220" w:type="dxa"/>
            <w:vAlign w:val="bottom"/>
          </w:tcPr>
          <w:p>
            <w:pPr>
              <w:ind w:left="2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GM Financial's penetration of our retail sales in the U.S. was 46% in the three months ended March 31, 2023 and 2022. Penetration levels vary depending on incentive financing programs available and competing third-party financing products in the market. GM Financial's prime loan originations as a percentage of total loan originations in North America increased to 83% in the three months ended March 31, 2023 from 79% in the corresponding period in 2022. In the three months ended March 31, 2023, GM Financial's revenue consisted of leased vehicle income of 54%, retail finance charge income of 35% and commercial finance charge income of 6%.</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0"/>
                <w:szCs w:val="20"/>
                <w:color w:val="auto"/>
              </w:rPr>
            </w:pPr>
          </w:p>
        </w:tc>
        <w:tc>
          <w:tcPr>
            <w:tcW w:w="10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3"/>
                <w:szCs w:val="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3"/>
                <w:szCs w:val="3"/>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3"/>
                <w:szCs w:val="3"/>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3"/>
                <w:szCs w:val="3"/>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91"/>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5"/>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12.5 %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36,646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32,823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11.6 %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11.1 %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regional sections of this MD&amp;A for additional information on volume, mix and price.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0"/>
                <w:szCs w:val="20"/>
                <w:color w:val="auto"/>
              </w:rPr>
            </w:pPr>
          </w:p>
        </w:tc>
        <w:tc>
          <w:tcPr>
            <w:tcW w:w="104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Variance Due To</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3"/>
                <w:szCs w:val="3"/>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3"/>
                <w:szCs w:val="3"/>
                <w:color w:val="auto"/>
              </w:rPr>
            </w:pPr>
          </w:p>
        </w:tc>
        <w:tc>
          <w:tcPr>
            <w:tcW w:w="6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3"/>
                <w:szCs w:val="3"/>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3"/>
                <w:szCs w:val="3"/>
                <w:color w:val="auto"/>
              </w:rPr>
            </w:pPr>
          </w:p>
        </w:tc>
        <w:tc>
          <w:tcPr>
            <w:tcW w:w="5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91"/>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w w:val="95"/>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GMI</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46.4 %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Cruise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53.0 %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8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32,247</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29,353</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(2,894)</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2"/>
              <w:spacing w:after="0"/>
              <w:rPr>
                <w:sz w:val="20"/>
                <w:szCs w:val="20"/>
                <w:color w:val="auto"/>
              </w:rPr>
            </w:pPr>
            <w:r>
              <w:rPr>
                <w:rFonts w:ascii="Arial" w:cs="Arial" w:eastAsia="Arial" w:hAnsi="Arial"/>
                <w:sz w:val="16"/>
                <w:szCs w:val="16"/>
                <w:color w:val="auto"/>
              </w:rPr>
              <w:t>(0.8)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2"/>
              <w:spacing w:after="0"/>
              <w:rPr>
                <w:sz w:val="20"/>
                <w:szCs w:val="20"/>
                <w:color w:val="auto"/>
              </w:rPr>
            </w:pPr>
            <w:r>
              <w:rPr>
                <w:rFonts w:ascii="Arial" w:cs="Arial" w:eastAsia="Arial" w:hAnsi="Arial"/>
                <w:sz w:val="16"/>
                <w:szCs w:val="16"/>
                <w:color w:val="auto"/>
              </w:rPr>
              <w:t>(1.0)</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(1.4)</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Arial" w:cs="Arial" w:eastAsia="Arial" w:hAnsi="Arial"/>
                <w:sz w:val="16"/>
                <w:szCs w:val="16"/>
                <w:color w:val="auto"/>
              </w:rPr>
              <w:t>sales</w:t>
            </w: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1"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In the three months ended March 31, 2023, increased Cost was primarily due to: (1) charges of $0.7 billion related to the VSP; (2) increased campaigns and other warranty-related costs of $0.5 billion; (3) increased engineering costs of $0.4 billion; (4) increased costs of $0.3 billion primarily related to parts and accessories sales; and (5) increased material and freight costs of $0.3 billion; partially offset by (6) charges of $0.8 billion related to modification of Cruise stock incentive awards in 2022; and (7) decreased costs of $0.2 billion related to other cost of sales and several individually insignificant items. In the three months ended March 31, 2023, favorable Other was primarily due to the weakening of the Korean Won and other currencies against the U.S. Dollar.</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Favorable/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4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and other selling, general and administrative expense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2,547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March 31, 2023, Automotive and other selling, general and administrative expense increased primarily due to: (1) charges of $0.2 billion related to the VSP; and (2) charges of $0.1 billion for strategic activities related to Buick dealerships; offset by (3) charges of $0.3 billion related to modification of Cruise stock incentive awards in 2022.</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302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Favorable/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5660" w:type="dxa"/>
            <w:vAlign w:val="bottom"/>
          </w:tcPr>
          <w:p>
            <w:pPr>
              <w:spacing w:after="0"/>
              <w:rPr>
                <w:sz w:val="3"/>
                <w:szCs w:val="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4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91"/>
        </w:trPr>
        <w:tc>
          <w:tcPr>
            <w:tcW w:w="56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w:t>
            </w:r>
          </w:p>
        </w:tc>
        <w:tc>
          <w:tcPr>
            <w:tcW w:w="1300" w:type="dxa"/>
            <w:vAlign w:val="bottom"/>
            <w:shd w:val="clear" w:color="auto" w:fill="CCEEFF"/>
          </w:tcPr>
          <w:p>
            <w:pPr>
              <w:jc w:val="right"/>
              <w:ind w:right="114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409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March 31, 2023, Interest income and other non-operating income, net decreased primarily due to $0.3 billion decrease in non-service pension income, partially offset by the absence of $0.2 billion in losses related to Stellantis warrants, that occurred in the three months ended March 31, 2022, as warrants were exercised in 2022.</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060" w:type="dxa"/>
            <w:vAlign w:val="bottom"/>
            <w:gridSpan w:val="4"/>
          </w:tcPr>
          <w:p>
            <w:pPr>
              <w:jc w:val="right"/>
              <w:ind w:right="64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Favorable/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5760" w:type="dxa"/>
            <w:vAlign w:val="bottom"/>
          </w:tcPr>
          <w:p>
            <w:pPr>
              <w:spacing w:after="0"/>
              <w:rPr>
                <w:sz w:val="3"/>
                <w:szCs w:val="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7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91"/>
        </w:trPr>
        <w:tc>
          <w:tcPr>
            <w:tcW w:w="576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320" w:type="dxa"/>
            <w:vAlign w:val="bottom"/>
            <w:shd w:val="clear" w:color="auto" w:fill="CCEEFF"/>
          </w:tcPr>
          <w:p>
            <w:pPr>
              <w:jc w:val="right"/>
              <w:ind w:right="1145"/>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1"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In the three months ended March 31, 2023, Income tax expense increased primarily due to the absence of the Cruise valuation allowance adjustment that occurred in the three months ended March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4" w:lineRule="exact"/>
        <w:rPr>
          <w:sz w:val="20"/>
          <w:szCs w:val="20"/>
          <w:color w:val="auto"/>
        </w:rPr>
      </w:pPr>
    </w:p>
    <w:p>
      <w:pPr>
        <w:jc w:val="both"/>
        <w:ind w:right="20" w:firstLine="161"/>
        <w:spacing w:after="0" w:line="244" w:lineRule="auto"/>
        <w:rPr>
          <w:sz w:val="20"/>
          <w:szCs w:val="20"/>
          <w:color w:val="auto"/>
        </w:rPr>
      </w:pPr>
      <w:r>
        <w:rPr>
          <w:rFonts w:ascii="Arial" w:cs="Arial" w:eastAsia="Arial" w:hAnsi="Arial"/>
          <w:sz w:val="18"/>
          <w:szCs w:val="18"/>
          <w:color w:val="auto"/>
        </w:rPr>
        <w:t>For the three months ended March 31, 2023, our ETR-adjusted was 17.8%. We expect our adjusted effective tax rate to be between 16% and 18% for the year ending December 31, 2023.</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Note 14 to our condensed consolidated financial statements for additional information related to Income tax expense.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0"/>
                <w:szCs w:val="20"/>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4"/>
          </w:tcPr>
          <w:p>
            <w:pPr>
              <w:jc w:val="center"/>
              <w:ind w:left="141"/>
              <w:spacing w:after="0"/>
              <w:rPr>
                <w:sz w:val="20"/>
                <w:szCs w:val="20"/>
                <w:color w:val="auto"/>
              </w:rPr>
            </w:pPr>
            <w:r>
              <w:rPr>
                <w:rFonts w:ascii="Arial" w:cs="Arial" w:eastAsia="Arial" w:hAnsi="Arial"/>
                <w:sz w:val="14"/>
                <w:szCs w:val="14"/>
                <w:b w:val="1"/>
                <w:bCs w:val="1"/>
                <w:color w:val="auto"/>
                <w:w w:val="91"/>
              </w:rPr>
              <w:t>Variance Due To</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March 31, 2023</w:t>
            </w:r>
          </w:p>
        </w:tc>
        <w:tc>
          <w:tcPr>
            <w:tcW w:w="260" w:type="dxa"/>
            <w:vAlign w:val="bottom"/>
          </w:tcPr>
          <w:p>
            <w:pPr>
              <w:spacing w:after="0"/>
              <w:rPr>
                <w:sz w:val="2"/>
                <w:szCs w:val="2"/>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March 31, 2022</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Volume</w:t>
            </w:r>
          </w:p>
        </w:tc>
        <w:tc>
          <w:tcPr>
            <w:tcW w:w="220" w:type="dxa"/>
            <w:vAlign w:val="bottom"/>
          </w:tcPr>
          <w:p>
            <w:pPr>
              <w:spacing w:after="0"/>
              <w:rPr>
                <w:sz w:val="2"/>
                <w:szCs w:val="2"/>
                <w:color w:val="auto"/>
              </w:rPr>
            </w:pPr>
          </w:p>
        </w:tc>
        <w:tc>
          <w:tcPr>
            <w:tcW w:w="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2"/>
                <w:szCs w:val="2"/>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2"/>
                <w:szCs w:val="2"/>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2"/>
                <w:szCs w:val="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line="20" w:lineRule="exact"/>
              <w:rPr>
                <w:sz w:val="1"/>
                <w:szCs w:val="1"/>
                <w:color w:val="auto"/>
              </w:rPr>
            </w:pPr>
          </w:p>
        </w:tc>
      </w:tr>
      <w:tr>
        <w:trPr>
          <w:trHeight w:val="195"/>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6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41"/>
              <w:spacing w:after="0"/>
              <w:rPr>
                <w:sz w:val="20"/>
                <w:szCs w:val="20"/>
                <w:color w:val="auto"/>
              </w:rPr>
            </w:pPr>
            <w:r>
              <w:rPr>
                <w:rFonts w:ascii="Arial" w:cs="Arial" w:eastAsia="Arial" w:hAnsi="Arial"/>
                <w:sz w:val="14"/>
                <w:szCs w:val="14"/>
                <w:b w:val="1"/>
                <w:bCs w:val="1"/>
                <w:color w:val="auto"/>
                <w:w w:val="92"/>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32,889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29,456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3,433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3,576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3,141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723</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694</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March 31, 2023, Total net sales and revenue increased primarily due to: (1)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as a result of stable dealer inventory levels and strong demand for our products; (2) increased net wholesale volumes primarily due to increased sales of crossover vehicles and full-size pickup trucks, partially offset by decreased sales of mid-size pickup trucks; and (3) favorable mix associated with increased sales of full-size pickup trucks and full-size SUVs, and decreased sales of mid-size pickup trucks and passenger cars, partially offset by increased sales of crossover vehicles.</w:t>
      </w:r>
    </w:p>
    <w:p>
      <w:pPr>
        <w:spacing w:after="0" w:line="217"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b w:val="1"/>
          <w:bCs w:val="1"/>
          <w:i w:val="1"/>
          <w:iCs w:val="1"/>
          <w:color w:val="auto"/>
        </w:rPr>
        <w:t xml:space="preserve">GMNA EBIT-Adjusted </w:t>
      </w:r>
      <w:r>
        <w:rPr>
          <w:rFonts w:ascii="Arial" w:cs="Arial" w:eastAsia="Arial" w:hAnsi="Arial"/>
          <w:sz w:val="17"/>
          <w:szCs w:val="17"/>
          <w:color w:val="auto"/>
        </w:rPr>
        <w:t>In the three months ended March 31, 2023, EBIT-adjusted increased primarily due to: (1) favorable price; and (2) favorable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partially offset by (3) unfavorable Cost primarily due to increased campaigns and other warranty-related costs of $0.5 billion, decreased non-service pension income of $0.3 billion, increased engineering costs of $0.2 billion and increased material and freight costs of $0.2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8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0"/>
                <w:szCs w:val="20"/>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4"/>
          </w:tcPr>
          <w:p>
            <w:pPr>
              <w:jc w:val="center"/>
              <w:ind w:left="181"/>
              <w:spacing w:after="0"/>
              <w:rPr>
                <w:sz w:val="20"/>
                <w:szCs w:val="20"/>
                <w:color w:val="auto"/>
              </w:rPr>
            </w:pPr>
            <w:r>
              <w:rPr>
                <w:rFonts w:ascii="Arial" w:cs="Arial" w:eastAsia="Arial" w:hAnsi="Arial"/>
                <w:sz w:val="14"/>
                <w:szCs w:val="14"/>
                <w:b w:val="1"/>
                <w:bCs w:val="1"/>
                <w:color w:val="auto"/>
                <w:w w:val="91"/>
              </w:rPr>
              <w:t>Variance Due To</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8"/>
              </w:rPr>
              <w:t>March 31, 2023</w:t>
            </w:r>
          </w:p>
        </w:tc>
        <w:tc>
          <w:tcPr>
            <w:tcW w:w="240" w:type="dxa"/>
            <w:vAlign w:val="bottom"/>
          </w:tcPr>
          <w:p>
            <w:pPr>
              <w:spacing w:after="0"/>
              <w:rPr>
                <w:sz w:val="3"/>
                <w:szCs w:val="3"/>
                <w:color w:val="auto"/>
              </w:rPr>
            </w:pPr>
          </w:p>
        </w:tc>
        <w:tc>
          <w:tcPr>
            <w:tcW w:w="12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8"/>
              </w:rPr>
              <w:t>March 31, 2022</w:t>
            </w: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3"/>
                <w:szCs w:val="3"/>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3"/>
                <w:szCs w:val="3"/>
                <w:color w:val="auto"/>
              </w:rPr>
            </w:pPr>
          </w:p>
        </w:tc>
        <w:tc>
          <w:tcPr>
            <w:tcW w:w="4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3"/>
                <w:szCs w:val="3"/>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3"/>
                <w:szCs w:val="3"/>
                <w:color w:val="auto"/>
              </w:rPr>
            </w:pPr>
          </w:p>
        </w:tc>
        <w:tc>
          <w:tcPr>
            <w:tcW w:w="5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line="20" w:lineRule="exact"/>
              <w:rPr>
                <w:sz w:val="1"/>
                <w:szCs w:val="1"/>
                <w:color w:val="auto"/>
              </w:rPr>
            </w:pPr>
          </w:p>
        </w:tc>
      </w:tr>
      <w:tr>
        <w:trPr>
          <w:trHeight w:val="191"/>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2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3,727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Arial" w:cs="Arial" w:eastAsia="Arial" w:hAnsi="Arial"/>
                <w:sz w:val="18"/>
                <w:szCs w:val="18"/>
                <w:i w:val="1"/>
                <w:iCs w:val="1"/>
                <w:color w:val="auto"/>
                <w:w w:val="96"/>
              </w:rPr>
              <w:t>Equity income — Automotive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20" w:type="dxa"/>
            <w:vAlign w:val="bottom"/>
          </w:tcPr>
          <w:p>
            <w:pPr>
              <w:jc w:val="right"/>
              <w:ind w:right="155"/>
              <w:spacing w:after="0"/>
              <w:rPr>
                <w:sz w:val="20"/>
                <w:szCs w:val="20"/>
                <w:color w:val="auto"/>
              </w:rPr>
            </w:pPr>
            <w:r>
              <w:rPr>
                <w:rFonts w:ascii="Arial" w:cs="Arial" w:eastAsia="Arial" w:hAnsi="Arial"/>
                <w:sz w:val="18"/>
                <w:szCs w:val="18"/>
                <w:i w:val="1"/>
                <w:iCs w:val="1"/>
                <w:color w:val="auto"/>
              </w:rPr>
              <w:t>83</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ind w:right="133"/>
              <w:spacing w:after="0"/>
              <w:rPr>
                <w:sz w:val="20"/>
                <w:szCs w:val="20"/>
                <w:color w:val="auto"/>
              </w:rPr>
            </w:pPr>
            <w:r>
              <w:rPr>
                <w:rFonts w:ascii="Arial" w:cs="Arial" w:eastAsia="Arial" w:hAnsi="Arial"/>
                <w:sz w:val="18"/>
                <w:szCs w:val="18"/>
                <w:i w:val="1"/>
                <w:iCs w:val="1"/>
                <w:color w:val="auto"/>
              </w:rPr>
              <w:t>234</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tcPr>
          <w:p>
            <w:pPr>
              <w:jc w:val="right"/>
              <w:ind w:right="95"/>
              <w:spacing w:after="0"/>
              <w:rPr>
                <w:sz w:val="20"/>
                <w:szCs w:val="20"/>
                <w:color w:val="auto"/>
              </w:rPr>
            </w:pPr>
            <w:r>
              <w:rPr>
                <w:rFonts w:ascii="Arial" w:cs="Arial" w:eastAsia="Arial" w:hAnsi="Arial"/>
                <w:sz w:val="18"/>
                <w:szCs w:val="18"/>
                <w:i w:val="1"/>
                <w:iCs w:val="1"/>
                <w:color w:val="auto"/>
              </w:rPr>
              <w:t>(151)</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(64.5)%</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EBIT-adjusted — excluding</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Equity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264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i w:val="1"/>
                <w:iCs w:val="1"/>
                <w:color w:val="auto"/>
              </w:rPr>
              <w:t>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170</w:t>
            </w:r>
          </w:p>
        </w:tc>
        <w:tc>
          <w:tcPr>
            <w:tcW w:w="100" w:type="dxa"/>
            <w:vAlign w:val="bottom"/>
            <w:shd w:val="clear" w:color="auto" w:fill="CCEEFF"/>
          </w:tcPr>
          <w:p>
            <w:pPr>
              <w:spacing w:after="0"/>
              <w:rPr>
                <w:sz w:val="21"/>
                <w:szCs w:val="21"/>
                <w:color w:val="auto"/>
              </w:rPr>
            </w:pPr>
          </w:p>
        </w:tc>
        <w:tc>
          <w:tcPr>
            <w:tcW w:w="108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i w:val="1"/>
                <w:iCs w:val="1"/>
                <w:color w:val="auto"/>
              </w:rPr>
              <w:t>n.m.</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41"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97"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March 31, 2023, Total net sales and revenue increased primarily due to: (1)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across multiple vehicle lines in Argentina, Brazil and in the Middle East; (2) increased net wholesale volumes in Brazil due to improved parts availability and a new compact pickup launch, partially offset by decreased volumes in Egypt, primarily due to industry downturn, and in Korea due to end of legacy vehicles production; and (3) favorable mix in Asia Pacific and in the Middle East, partially offset by unfavorable mix in South America; all partially offset by (4) unfavorable Other primarily due to the foreign currency effect resulting from the weakening of various currencies against the U.S. dollar, partially offset by increased components sales.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301" w:lineRule="auto"/>
        <w:rPr>
          <w:sz w:val="20"/>
          <w:szCs w:val="20"/>
          <w:color w:val="auto"/>
        </w:rPr>
      </w:pPr>
      <w:r>
        <w:rPr>
          <w:rFonts w:ascii="Arial" w:cs="Arial" w:eastAsia="Arial" w:hAnsi="Arial"/>
          <w:sz w:val="16"/>
          <w:szCs w:val="16"/>
          <w:b w:val="1"/>
          <w:bCs w:val="1"/>
          <w:i w:val="1"/>
          <w:iCs w:val="1"/>
          <w:color w:val="auto"/>
        </w:rPr>
        <w:t xml:space="preserve">GMI EBIT-Adjusted </w:t>
      </w:r>
      <w:r>
        <w:rPr>
          <w:rFonts w:ascii="Arial" w:cs="Arial" w:eastAsia="Arial" w:hAnsi="Arial"/>
          <w:sz w:val="16"/>
          <w:szCs w:val="16"/>
          <w:color w:val="auto"/>
        </w:rPr>
        <w:t>In the three months ended March 31, 2023, EBIT-adjusted increased primarily due to: (1) favorable price; partially offset by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unfavorable cost primarily due to increased material, logistic and other costs to support new vehicles launches in South America; and (3) unfavorable Other primarily due to decreased equity income and the foreign currency effect resulting from the weakening of various currencies against the U.S. dollar.</w:t>
      </w:r>
    </w:p>
    <w:p>
      <w:pPr>
        <w:spacing w:after="0" w:line="168"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while we are accelerating the development and rollout of EVs across our brands in China in response to our commitment to an all-electric future. We operate in the Chinese market through a number of joint ventures and maintaining strong relationships with our joint venture partners is an important part of our China growth strategy.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ind w:left="360"/>
              <w:spacing w:after="0"/>
              <w:rPr>
                <w:sz w:val="20"/>
                <w:szCs w:val="20"/>
                <w:color w:val="auto"/>
              </w:rPr>
            </w:pPr>
            <w:r>
              <w:rPr>
                <w:rFonts w:ascii="Arial" w:cs="Arial" w:eastAsia="Arial" w:hAnsi="Arial"/>
                <w:sz w:val="14"/>
                <w:szCs w:val="14"/>
                <w:b w:val="1"/>
                <w:bCs w:val="1"/>
                <w:color w:val="auto"/>
              </w:rPr>
              <w:t>March 31, 2023</w:t>
            </w:r>
          </w:p>
        </w:tc>
        <w:tc>
          <w:tcPr>
            <w:tcW w:w="166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28"/>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Wholesale vehicle sales, including vehicles exported to markets outside of China</w:t>
            </w:r>
          </w:p>
        </w:tc>
        <w:tc>
          <w:tcPr>
            <w:tcW w:w="1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8"/>
        </w:trPr>
        <w:tc>
          <w:tcPr>
            <w:tcW w:w="6000" w:type="dxa"/>
            <w:vAlign w:val="bottom"/>
          </w:tcPr>
          <w:p>
            <w:pPr>
              <w:ind w:left="20"/>
              <w:spacing w:after="0"/>
              <w:rPr>
                <w:sz w:val="20"/>
                <w:szCs w:val="20"/>
                <w:color w:val="auto"/>
              </w:rPr>
            </w:pPr>
            <w:r>
              <w:rPr>
                <w:rFonts w:ascii="Arial" w:cs="Arial" w:eastAsia="Arial" w:hAnsi="Arial"/>
                <w:sz w:val="18"/>
                <w:szCs w:val="18"/>
                <w:color w:val="auto"/>
              </w:rPr>
              <w:t>Total net sales and revenue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28"/>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538"/>
        </w:trPr>
        <w:tc>
          <w:tcPr>
            <w:tcW w:w="600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30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4"/>
              </w:rPr>
              <w:t>Favorable/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6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3"/>
                <w:szCs w:val="3"/>
                <w:color w:val="auto"/>
              </w:rPr>
            </w:pPr>
          </w:p>
        </w:tc>
        <w:tc>
          <w:tcPr>
            <w:tcW w:w="120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8"/>
              </w:rPr>
              <w:t>March 31, 2022</w:t>
            </w:r>
          </w:p>
        </w:tc>
        <w:tc>
          <w:tcPr>
            <w:tcW w:w="100" w:type="dxa"/>
            <w:vAlign w:val="bottom"/>
          </w:tcPr>
          <w:p>
            <w:pPr>
              <w:spacing w:after="0"/>
              <w:rPr>
                <w:sz w:val="3"/>
                <w:szCs w:val="3"/>
                <w:color w:val="auto"/>
              </w:rPr>
            </w:pPr>
          </w:p>
        </w:tc>
        <w:tc>
          <w:tcPr>
            <w:tcW w:w="1300" w:type="dxa"/>
            <w:vAlign w:val="bottom"/>
            <w:gridSpan w:val="4"/>
            <w:vMerge w:val="continue"/>
          </w:tcPr>
          <w:p>
            <w:pPr>
              <w:spacing w:after="0"/>
              <w:rPr>
                <w:sz w:val="3"/>
                <w:szCs w:val="3"/>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91"/>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(Unfavorable)</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 and revenue(a)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6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EBIT (loss)-adjusted(b)</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660" w:type="dxa"/>
            <w:vAlign w:val="bottom"/>
            <w:gridSpan w:val="2"/>
          </w:tcPr>
          <w:p>
            <w:pPr>
              <w:jc w:val="right"/>
              <w:ind w:right="3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47" w:lineRule="auto"/>
        <w:tabs>
          <w:tab w:leader="none" w:pos="3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Primarily reclassified to Interest income and other non-operating income, net in our condensed consolidated income statements in the three months ended March 31, 2023 and 2022.</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Excludes $1.1 billion in compensation expense in the three months ended March 31, 2022 resulting from modification of the Cruise stock incentive awards.</w:t>
      </w:r>
    </w:p>
    <w:p>
      <w:pPr>
        <w:spacing w:after="0" w:line="24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three months ended March 31, 2023, EBIT (loss)-adjusted increased primarily due to an increase in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as we progress towards the commercialization of a network of on-demand AVs.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
        </w:trPr>
        <w:tc>
          <w:tcPr>
            <w:tcW w:w="5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980" w:type="dxa"/>
            <w:vAlign w:val="bottom"/>
          </w:tcPr>
          <w:p>
            <w:pPr>
              <w:spacing w:after="0"/>
              <w:rPr>
                <w:sz w:val="2"/>
                <w:szCs w:val="2"/>
                <w:color w:val="auto"/>
              </w:rPr>
            </w:pPr>
          </w:p>
        </w:tc>
      </w:tr>
      <w:tr>
        <w:trPr>
          <w:trHeight w:val="210"/>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Increase/ (Decrease)</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25"/>
        </w:trPr>
        <w:tc>
          <w:tcPr>
            <w:tcW w:w="5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3,343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8"/>
        </w:trPr>
        <w:tc>
          <w:tcPr>
            <w:tcW w:w="56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122</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2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EBT-adjusted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1,284</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8"/>
        </w:trPr>
        <w:tc>
          <w:tcPr>
            <w:tcW w:w="5660" w:type="dxa"/>
            <w:vAlign w:val="bottom"/>
          </w:tcPr>
          <w:p>
            <w:pPr>
              <w:spacing w:after="0"/>
              <w:rPr>
                <w:sz w:val="20"/>
                <w:szCs w:val="20"/>
                <w:color w:val="auto"/>
              </w:rPr>
            </w:pPr>
            <w:r>
              <w:rPr>
                <w:rFonts w:ascii="Arial" w:cs="Arial" w:eastAsia="Arial" w:hAnsi="Arial"/>
                <w:sz w:val="18"/>
                <w:szCs w:val="18"/>
                <w:color w:val="auto"/>
              </w:rPr>
              <w:t>Average debt outstanding (dollars in billions)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92.8</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4.4 %</w:t>
            </w:r>
          </w:p>
        </w:tc>
      </w:tr>
      <w:tr>
        <w:trPr>
          <w:trHeight w:val="22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Effective rate of interest paid</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bl>
    <w:p>
      <w:pPr>
        <w:spacing w:after="0" w:line="308"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GM Financial Revenue </w:t>
      </w:r>
      <w:r>
        <w:rPr>
          <w:rFonts w:ascii="Arial" w:cs="Arial" w:eastAsia="Arial" w:hAnsi="Arial"/>
          <w:sz w:val="17"/>
          <w:szCs w:val="17"/>
          <w:color w:val="auto"/>
        </w:rPr>
        <w:t>In the three months ended March 31, 2023, total revenue increased primarily due to increased finance charge income of $0.4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billion primarily due to an increase in the effective yield resulting from higher benchmark rates and growth in the size of the portfolio, partially offset by decreased leased vehicle income of $0.2 billion primarily due to a decrease in the average balance of the leased vehicles portfolio.</w:t>
      </w:r>
    </w:p>
    <w:p>
      <w:pPr>
        <w:spacing w:after="0" w:line="193" w:lineRule="exact"/>
        <w:rPr>
          <w:sz w:val="20"/>
          <w:szCs w:val="20"/>
          <w:color w:val="auto"/>
        </w:rPr>
      </w:pPr>
    </w:p>
    <w:p>
      <w:pPr>
        <w:jc w:val="both"/>
        <w:ind w:firstLine="161"/>
        <w:spacing w:after="0" w:line="248" w:lineRule="auto"/>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three months ended March 31, 2023, EBT-adjusted decreased primarily due to: (1) decreased leased vehicle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leased vehicle expenses of $0.4 billion primarily due to decreased leased vehicle income resulting from a decrease in the average balance of the leased vehicles portfolio and decreased lease termination gains associated with higher leased portfolio net book values at termination and fewer terminated leases; and (2) increased interest expense of $0.4 billion primarily due to an increased effective rate of interest on debt, resulting from higher benchmark rates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increased credit spreads, as well as an increase in average debt outstanding; partially offset by (3) increased finance charge income of $0.4 billion primarily due to an increase in the effective yield resulting from higher benchmark rates and growth in the size of the portfolio.</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our current levels of cash, cash equivalents, marketable debt securities, available borrowing capacity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90"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7"/>
          <w:szCs w:val="17"/>
          <w:color w:val="auto"/>
        </w:rPr>
        <w:t>Our known current material uses of cash include, among other possible demands: (1) capital spending and our investments in our battery cell manufacturing joint ventures of approximately $11.0 billion to $13.0 billion per year through 2025; (2) payments for engineering and product development activities; (3) payments associated with previously announced vehicle recalls and any other recall-related contingencies; (4) payments to service debt and other long-term obligations, including discretionary and mandatory contributions to our pension plans; (5) payments associated with the liquidity program for holders of equity-based incentive awards issued to employees of Cruise; (6) dividend payments on our common stock that are declared by our Board of Directors; and (7) payments to purchase shares of our common stock authorized by our Board of Directors.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1"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w:t>
      </w:r>
    </w:p>
    <w:p>
      <w:pPr>
        <w:spacing w:after="0" w:line="18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of our 2022 Form 10-K, some of which are outside of our control.</w:t>
      </w:r>
    </w:p>
    <w:p>
      <w:pPr>
        <w:spacing w:after="0" w:line="184"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In 2022, our Board of Directors increased the capacity under our previously announced common stock repurchase program to $5.0 billion. In the three months ended March 31, 2023, we completed $0.4 billion of repurchases under the program and retired 9 million shares of our common stock. We have completed $2.9 billion of the $5.0 billion program through March 31, 2023.</w:t>
      </w:r>
    </w:p>
    <w:p>
      <w:pPr>
        <w:spacing w:after="0" w:line="210"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color w:val="auto"/>
        </w:rPr>
        <w:t>In 2022, we reinstated a quarterly dividend on our common stock. In the three months ended March 31, 2023, we paid dividends of $0.1 billion to holders of our common stock.</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March 2023, we redeemed our $1.5 billion, 4.875% senior unsecured notes with a maturity date of October 2023 and recorded an insignificant loss.</w:t>
      </w:r>
    </w:p>
    <w:p>
      <w:pPr>
        <w:spacing w:after="0" w:line="246" w:lineRule="exact"/>
        <w:rPr>
          <w:sz w:val="20"/>
          <w:szCs w:val="20"/>
          <w:color w:val="auto"/>
        </w:rPr>
      </w:pPr>
    </w:p>
    <w:p>
      <w:pPr>
        <w:jc w:val="both"/>
        <w:ind w:firstLine="161"/>
        <w:spacing w:after="0" w:line="239" w:lineRule="auto"/>
        <w:rPr>
          <w:sz w:val="20"/>
          <w:szCs w:val="20"/>
          <w:color w:val="auto"/>
        </w:rPr>
      </w:pPr>
      <w:r>
        <w:rPr>
          <w:rFonts w:ascii="Arial" w:cs="Arial" w:eastAsia="Arial" w:hAnsi="Arial"/>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and Cruise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debt securities and funds available under credit facilities.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available liquidity is subject to seasonal fluctuations and includes balances held by various business units and subsidiaries worldwide that are needed to fund their operations. We have not significantly changed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management of our liquidity, including our allocation of available liquidity, our portfolio composition and our investment guidelines since December 31, 2022. Refer to Part II, Item 7. MD&amp;A of our 2022 Form 10-K.</w:t>
      </w:r>
    </w:p>
    <w:p>
      <w:pPr>
        <w:spacing w:after="0" w:line="212" w:lineRule="exact"/>
        <w:rPr>
          <w:sz w:val="20"/>
          <w:szCs w:val="20"/>
          <w:color w:val="auto"/>
        </w:rPr>
      </w:pPr>
    </w:p>
    <w:p>
      <w:pPr>
        <w:jc w:val="both"/>
        <w:ind w:firstLine="161"/>
        <w:spacing w:after="0" w:line="266" w:lineRule="auto"/>
        <w:rPr>
          <w:sz w:val="20"/>
          <w:szCs w:val="20"/>
          <w:color w:val="auto"/>
        </w:rPr>
      </w:pPr>
      <w:r>
        <w:rPr>
          <w:rFonts w:ascii="Arial" w:cs="Arial" w:eastAsia="Arial" w:hAnsi="Arial"/>
          <w:sz w:val="17"/>
          <w:szCs w:val="17"/>
          <w:color w:val="auto"/>
        </w:rPr>
        <w:t>In March 2023, we renewed and reduced the total borrowing capacity of our five-year, $11.2 billion facility to $10.0 billion, which now matures March 31, 2028. We also renewed and reduced the total borrowing capacity of our three-year, $4.3 billion facility to $4.1 billion, which now matures March 31, 2026, and renewed our 364-day, $2.0 billion revolving credit facility allocated for the exclusive use of GM Financial, which now matures March 30, 2024. The renewed credit facilities are based on Term SOFR whereas the previous credit facilities were based on LIBOR.</w:t>
      </w:r>
    </w:p>
    <w:p>
      <w:pPr>
        <w:spacing w:after="0" w:line="195"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Automotive borrowing capacity under credit facilities totaled $14.1 billion at March 31, 2023 and $15.5 billion at December 31, 2022,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$0.6 billion and $0.4 billion at March 31, 2023 and December 31, 2022.</w:t>
      </w:r>
    </w:p>
    <w:p>
      <w:pPr>
        <w:spacing w:after="0" w:line="224"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If available capacity permits, GM Financial continues to have access to our automotive credit facilities. GM Financial did not have borrowings outstanding against any of these facilities at March 31, 2023 and December 31, 2022. We had intercompany loans from GM Financial of $0.2 billion at March 31, 2023 and December 31, 2022, which primarily consisted of commercial loans to dealers we consolidate. We did not have intercompany loans to GM Financial at March 31, 2023 and December 31, 2022. Refer to Note 4 to our condensed consolidated financial statements for additional information.</w:t>
      </w:r>
    </w:p>
    <w:p>
      <w:pPr>
        <w:spacing w:after="0" w:line="18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March 31, 2023 and determined we are in compliance and expect to remain in compliance in the future.</w:t>
      </w:r>
    </w:p>
    <w:p>
      <w:pPr>
        <w:spacing w:after="0" w:line="2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GM Financial's Board of Directors declared and paid dividends of $0.5 billion on its common stock in the three months ended March 31, 2023. Future dividends from GM Financial will depend on several factors including business and economic conditions, its financial condition, earnings, liquidity requirements and leverage ratio.</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under credit facilities(a)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We had letters of credit outstanding under our sub-facility of $0.6 billion and $0.4 billion at March 31, 2023 and December 31, 2022.</w:t>
      </w:r>
    </w:p>
    <w:p>
      <w:pPr>
        <w:spacing w:after="0" w:line="2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Three Months Ended March</w:t>
            </w:r>
          </w:p>
        </w:tc>
        <w:tc>
          <w:tcPr>
            <w:tcW w:w="0" w:type="dxa"/>
            <w:vAlign w:val="bottom"/>
          </w:tcPr>
          <w:p>
            <w:pPr>
              <w:spacing w:after="0"/>
              <w:rPr>
                <w:sz w:val="1"/>
                <w:szCs w:val="1"/>
                <w:color w:val="auto"/>
              </w:rPr>
            </w:pPr>
          </w:p>
        </w:tc>
      </w:tr>
      <w:tr>
        <w:trPr>
          <w:trHeight w:val="191"/>
        </w:trPr>
        <w:tc>
          <w:tcPr>
            <w:tcW w:w="4820" w:type="dxa"/>
            <w:vAlign w:val="bottom"/>
            <w:tcBorders>
              <w:bottom w:val="single" w:sz="8" w:color="CCEEFF"/>
            </w:tcBorders>
          </w:tcPr>
          <w:p>
            <w:pPr>
              <w:spacing w:after="0"/>
              <w:rPr>
                <w:sz w:val="16"/>
                <w:szCs w:val="16"/>
                <w:color w:val="auto"/>
              </w:rPr>
            </w:pPr>
          </w:p>
        </w:tc>
        <w:tc>
          <w:tcPr>
            <w:tcW w:w="45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31, 2023</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45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center"/>
              <w:ind w:left="992"/>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senior unsecured notes</w:t>
            </w:r>
          </w:p>
        </w:tc>
        <w:tc>
          <w:tcPr>
            <w:tcW w:w="4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center"/>
              <w:ind w:left="992"/>
              <w:spacing w:after="0"/>
              <w:rPr>
                <w:sz w:val="20"/>
                <w:szCs w:val="20"/>
                <w:color w:val="auto"/>
              </w:rPr>
            </w:pPr>
            <w:r>
              <w:rPr>
                <w:rFonts w:ascii="Arial" w:cs="Arial" w:eastAsia="Arial" w:hAnsi="Arial"/>
                <w:sz w:val="18"/>
                <w:szCs w:val="18"/>
                <w:color w:val="auto"/>
                <w:w w:val="91"/>
              </w:rPr>
              <w:t>(0.5)</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Lithium Americas Corp.</w:t>
            </w:r>
          </w:p>
        </w:tc>
        <w:tc>
          <w:tcPr>
            <w:tcW w:w="4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28"/>
        </w:trPr>
        <w:tc>
          <w:tcPr>
            <w:tcW w:w="4820" w:type="dxa"/>
            <w:vAlign w:val="bottom"/>
          </w:tcPr>
          <w:p>
            <w:pPr>
              <w:ind w:left="20"/>
              <w:spacing w:after="0"/>
              <w:rPr>
                <w:sz w:val="20"/>
                <w:szCs w:val="20"/>
                <w:color w:val="auto"/>
              </w:rPr>
            </w:pPr>
            <w:r>
              <w:rPr>
                <w:rFonts w:ascii="Arial" w:cs="Arial" w:eastAsia="Arial" w:hAnsi="Arial"/>
                <w:sz w:val="18"/>
                <w:szCs w:val="18"/>
                <w:color w:val="auto"/>
              </w:rPr>
              <w:t>Investment in Ultium Cells Holdings LLC</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60" w:type="dxa"/>
            <w:vAlign w:val="bottom"/>
          </w:tcPr>
          <w:p>
            <w:pPr>
              <w:jc w:val="center"/>
              <w:ind w:left="992"/>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2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available credit facilities</w:t>
            </w:r>
          </w:p>
        </w:tc>
        <w:tc>
          <w:tcPr>
            <w:tcW w:w="4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2"/>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w:t>
            </w:r>
          </w:p>
        </w:tc>
        <w:tc>
          <w:tcPr>
            <w:tcW w:w="45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992"/>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4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automotive available liquidity</w:t>
            </w:r>
          </w:p>
        </w:tc>
        <w:tc>
          <w:tcPr>
            <w:tcW w:w="45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992"/>
              <w:spacing w:after="0"/>
              <w:rPr>
                <w:sz w:val="20"/>
                <w:szCs w:val="20"/>
                <w:color w:val="auto"/>
              </w:rPr>
            </w:pPr>
            <w:r>
              <w:rPr>
                <w:rFonts w:ascii="Arial" w:cs="Arial" w:eastAsia="Arial" w:hAnsi="Arial"/>
                <w:sz w:val="18"/>
                <w:szCs w:val="18"/>
                <w:color w:val="auto"/>
                <w:w w:val="91"/>
              </w:rPr>
              <w:t>(4.6)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3570"/>
              <w:spacing w:after="0"/>
              <w:rPr>
                <w:sz w:val="20"/>
                <w:szCs w:val="20"/>
                <w:color w:val="auto"/>
              </w:rPr>
            </w:pPr>
            <w:r>
              <w:rPr>
                <w:rFonts w:ascii="Arial" w:cs="Arial" w:eastAsia="Arial" w:hAnsi="Arial"/>
                <w:sz w:val="18"/>
                <w:szCs w:val="18"/>
                <w:color w:val="auto"/>
              </w:rPr>
              <w:t>37</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482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9"/>
                <w:szCs w:val="19"/>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3"/>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240" w:type="dxa"/>
            <w:vAlign w:val="bottom"/>
          </w:tcPr>
          <w:p>
            <w:pPr>
              <w:spacing w:after="0"/>
              <w:rPr>
                <w:sz w:val="19"/>
                <w:szCs w:val="19"/>
                <w:color w:val="auto"/>
              </w:rPr>
            </w:pPr>
          </w:p>
        </w:tc>
        <w:tc>
          <w:tcPr>
            <w:tcW w:w="1400" w:type="dxa"/>
            <w:vAlign w:val="bottom"/>
          </w:tcPr>
          <w:p>
            <w:pPr>
              <w:jc w:val="center"/>
              <w:ind w:left="954"/>
              <w:spacing w:after="0"/>
              <w:rPr>
                <w:sz w:val="20"/>
                <w:szCs w:val="20"/>
                <w:color w:val="auto"/>
              </w:rPr>
            </w:pPr>
            <w:r>
              <w:rPr>
                <w:rFonts w:ascii="Arial" w:cs="Arial" w:eastAsia="Arial" w:hAnsi="Arial"/>
                <w:sz w:val="18"/>
                <w:szCs w:val="18"/>
                <w:color w:val="auto"/>
                <w:w w:val="95"/>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53"/>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w w:val="91"/>
              </w:rPr>
              <w:t>(0.3)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3"/>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9"/>
                <w:szCs w:val="19"/>
                <w:color w:val="auto"/>
              </w:rPr>
            </w:pPr>
          </w:p>
        </w:tc>
        <w:tc>
          <w:tcPr>
            <w:tcW w:w="1400" w:type="dxa"/>
            <w:vAlign w:val="bottom"/>
          </w:tcPr>
          <w:p>
            <w:pPr>
              <w:jc w:val="center"/>
              <w:ind w:left="934"/>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left="913"/>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13"/>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54"/>
              <w:spacing w:after="0"/>
              <w:rPr>
                <w:sz w:val="20"/>
                <w:szCs w:val="20"/>
                <w:color w:val="auto"/>
              </w:rPr>
            </w:pPr>
            <w:r>
              <w:rPr>
                <w:rFonts w:ascii="Arial" w:cs="Arial" w:eastAsia="Arial" w:hAnsi="Arial"/>
                <w:sz w:val="18"/>
                <w:szCs w:val="18"/>
                <w:color w:val="auto"/>
                <w:w w:val="95"/>
              </w:rPr>
              <w:t>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913"/>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center"/>
              <w:ind w:left="954"/>
              <w:spacing w:after="0"/>
              <w:rPr>
                <w:sz w:val="20"/>
                <w:szCs w:val="20"/>
                <w:color w:val="auto"/>
              </w:rPr>
            </w:pPr>
            <w:r>
              <w:rPr>
                <w:rFonts w:ascii="Arial" w:cs="Arial" w:eastAsia="Arial" w:hAnsi="Arial"/>
                <w:sz w:val="18"/>
                <w:szCs w:val="18"/>
                <w:color w:val="auto"/>
                <w:w w:val="95"/>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center"/>
              <w:ind w:left="953"/>
              <w:spacing w:after="0"/>
              <w:rPr>
                <w:sz w:val="20"/>
                <w:szCs w:val="20"/>
                <w:color w:val="auto"/>
              </w:rPr>
            </w:pPr>
            <w:r>
              <w:rPr>
                <w:rFonts w:ascii="Arial" w:cs="Arial" w:eastAsia="Arial" w:hAnsi="Arial"/>
                <w:sz w:val="18"/>
                <w:szCs w:val="18"/>
                <w:color w:val="auto"/>
                <w:w w:val="87"/>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three months ended March 31, 2023, the increase in Net automotive cash provided by operating activities was primarily due to higher dividends received from GM Financial of $0.5 billion.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36"/>
              <w:spacing w:after="0"/>
              <w:rPr>
                <w:sz w:val="20"/>
                <w:szCs w:val="20"/>
                <w:color w:val="auto"/>
              </w:rPr>
            </w:pPr>
            <w:r>
              <w:rPr>
                <w:rFonts w:ascii="Arial" w:cs="Arial" w:eastAsia="Arial" w:hAnsi="Arial"/>
                <w:sz w:val="18"/>
                <w:szCs w:val="18"/>
                <w:color w:val="auto"/>
                <w:w w:val="91"/>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91"/>
              </w:rPr>
              <w:t>(0.8)</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w:t>
            </w:r>
          </w:p>
        </w:tc>
        <w:tc>
          <w:tcPr>
            <w:tcW w:w="240" w:type="dxa"/>
            <w:vAlign w:val="bottom"/>
          </w:tcPr>
          <w:p>
            <w:pPr>
              <w:spacing w:after="0"/>
              <w:rPr>
                <w:sz w:val="19"/>
                <w:szCs w:val="19"/>
                <w:color w:val="auto"/>
              </w:rPr>
            </w:pPr>
          </w:p>
        </w:tc>
        <w:tc>
          <w:tcPr>
            <w:tcW w:w="1400" w:type="dxa"/>
            <w:vAlign w:val="bottom"/>
          </w:tcPr>
          <w:p>
            <w:pPr>
              <w:jc w:val="center"/>
              <w:ind w:left="956"/>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54"/>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36"/>
              <w:spacing w:after="0"/>
              <w:rPr>
                <w:sz w:val="20"/>
                <w:szCs w:val="20"/>
                <w:color w:val="auto"/>
              </w:rPr>
            </w:pPr>
            <w:r>
              <w:rPr>
                <w:rFonts w:ascii="Arial" w:cs="Arial" w:eastAsia="Arial" w:hAnsi="Arial"/>
                <w:sz w:val="18"/>
                <w:szCs w:val="18"/>
                <w:color w:val="auto"/>
                <w:w w:val="91"/>
              </w:rPr>
              <w:t>(0.7)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Arial" w:cs="Arial" w:eastAsia="Arial" w:hAnsi="Arial"/>
                <w:sz w:val="18"/>
                <w:szCs w:val="18"/>
                <w:color w:val="auto"/>
              </w:rPr>
              <w:t>Net automotive cash provided by (used in) investing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center"/>
              <w:ind w:left="936"/>
              <w:spacing w:after="0"/>
              <w:rPr>
                <w:sz w:val="20"/>
                <w:szCs w:val="20"/>
                <w:color w:val="auto"/>
              </w:rPr>
            </w:pPr>
            <w:r>
              <w:rPr>
                <w:rFonts w:ascii="Arial" w:cs="Arial" w:eastAsia="Arial" w:hAnsi="Arial"/>
                <w:sz w:val="18"/>
                <w:szCs w:val="18"/>
                <w:color w:val="auto"/>
                <w:w w:val="91"/>
              </w:rPr>
              <w:t>(1.6)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87"/>
              </w:rPr>
              <w:t>5.2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59" w:lineRule="auto"/>
        <w:tabs>
          <w:tab w:leader="none" w:pos="331"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$0.3 billion investment in Lithium Americas Corp. in the three months ended March 31, 2023 and a $0.2 billion investment in Ultium Cells Holdings LLC in the three months ended March 31, 2023 and 2022; and $3.5 billion for the redemption of Cruise preferred shares from SoftBank and GM's investment in Cruise in the three months ended March 31, 2022.</w:t>
      </w:r>
    </w:p>
    <w:p>
      <w:pPr>
        <w:spacing w:after="0" w:line="20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March 31, 2023, cash provided by acquisitions and liquidations of marketable securities, net increased due to liquidations of securities and investments compared to acquisitions of securities to fund operating activities and investments during the three months ended March 31, 2022.</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9"/>
                <w:szCs w:val="19"/>
                <w:color w:val="auto"/>
              </w:rPr>
            </w:pP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(payments) from short-term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Other(a)</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60" w:hanging="353"/>
        <w:spacing w:after="0"/>
        <w:tabs>
          <w:tab w:leader="none" w:pos="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$0.5 billion for dividends paid and payments to purchase common stock in the three months ended March 31, 2023.</w:t>
      </w:r>
    </w:p>
    <w:p>
      <w:pPr>
        <w:spacing w:after="0" w:line="22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i w:val="1"/>
          <w:iCs w:val="1"/>
          <w:color w:val="auto"/>
        </w:rPr>
        <w:t xml:space="preserve">Adjusted Automotive Free Cash Flow </w:t>
      </w:r>
      <w:r>
        <w:rPr>
          <w:rFonts w:ascii="Arial" w:cs="Arial" w:eastAsia="Arial" w:hAnsi="Arial"/>
          <w:sz w:val="18"/>
          <w:szCs w:val="18"/>
          <w:color w:val="auto"/>
        </w:rPr>
        <w:t>We measure adjusted automotive free cash flow as automotive operating cash flow from operations less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adjusted for management actions. In the three months ended March 31, 2023, net automotive cash provided by operating activities under U.S. GAAP was $2.2 billion, capital expenditures were $2.4 billion and adjustments were insignificant.</w:t>
      </w:r>
    </w:p>
    <w:p>
      <w:pPr>
        <w:spacing w:after="0" w:line="209"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In the three months ended March 31, 2022, net automotive cash provided by operating activities under U.S. GAAP was $1.6 billion, capital expenditures were $1.6 billion and adjustments for management actions were insignificant.</w:t>
      </w:r>
    </w:p>
    <w:p>
      <w:pPr>
        <w:spacing w:after="0" w:line="197"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i w:val="1"/>
          <w:iCs w:val="1"/>
          <w:color w:val="auto"/>
        </w:rPr>
        <w:t xml:space="preserve">Status of Credit Ratings </w:t>
      </w:r>
      <w:r>
        <w:rPr>
          <w:rFonts w:ascii="Arial" w:cs="Arial" w:eastAsia="Arial" w:hAnsi="Arial"/>
          <w:sz w:val="16"/>
          <w:szCs w:val="16"/>
          <w:color w:val="auto"/>
        </w:rPr>
        <w:t>We receive ratings from four independent credit rating agencies: DBRS Limited, Fitch Ratings, Moody's Investors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(Moody's) and Standard &amp; Poor's. All four credit rating agencies currently rate our corporate credit at investment grade. In March 2023, Moody's upgraded our senior unsecured notes to Baa2 from Baa3. As of April 16, 2023, all other credit ratings remained unchanged since December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Cruise Liquidity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Cruise's available liquidity (dollars in billions):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cash and cash equivalents</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Cruise marketable securities</w:t>
            </w:r>
          </w:p>
        </w:tc>
        <w:tc>
          <w:tcPr>
            <w:tcW w:w="1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Cruise available liquidity(a)</w:t>
            </w: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3"/>
        <w:spacing w:after="0" w:line="260" w:lineRule="auto"/>
        <w:tabs>
          <w:tab w:leader="none" w:pos="3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Excludes a multi-year credit agreement between Cruise and GM Financial whereby Cruise can request to borrow, over time, up to an additional aggregate of $4.5 billion, through 2024, to fund exclusively the purchase of AVs from GM.</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Cruise's available liquidity (dollars in billions):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1"/>
        </w:trPr>
        <w:tc>
          <w:tcPr>
            <w:tcW w:w="67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March 31, 2023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flow(a)</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1"/>
              </w:rPr>
              <w:t>(0.5)</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93"/>
              <w:spacing w:after="0"/>
              <w:rPr>
                <w:sz w:val="20"/>
                <w:szCs w:val="20"/>
                <w:color w:val="auto"/>
              </w:rPr>
            </w:pPr>
            <w:r>
              <w:rPr>
                <w:rFonts w:ascii="Arial" w:cs="Arial" w:eastAsia="Arial" w:hAnsi="Arial"/>
                <w:sz w:val="18"/>
                <w:szCs w:val="18"/>
                <w:color w:val="auto"/>
                <w:w w:val="87"/>
              </w:rPr>
              <w:t>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Cruise 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672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8460" w:type="dxa"/>
            <w:vAlign w:val="bottom"/>
            <w:gridSpan w:val="4"/>
          </w:tcPr>
          <w:p>
            <w:pPr>
              <w:spacing w:after="0"/>
              <w:rPr>
                <w:sz w:val="20"/>
                <w:szCs w:val="20"/>
                <w:color w:val="auto"/>
              </w:rPr>
            </w:pPr>
            <w:r>
              <w:rPr>
                <w:rFonts w:ascii="Arial" w:cs="Arial" w:eastAsia="Arial" w:hAnsi="Arial"/>
                <w:sz w:val="16"/>
                <w:szCs w:val="16"/>
                <w:color w:val="auto"/>
              </w:rPr>
              <w:t>(a)  Includes $0.1 billion cash outflows related to tendered Cruise Class B Common Shares classified as liabilities.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9"/>
        </w:trPr>
        <w:tc>
          <w:tcPr>
            <w:tcW w:w="6720" w:type="dxa"/>
            <w:vAlign w:val="bottom"/>
          </w:tcPr>
          <w:p>
            <w:pPr>
              <w:ind w:left="160"/>
              <w:spacing w:after="0"/>
              <w:rPr>
                <w:sz w:val="20"/>
                <w:szCs w:val="20"/>
                <w:color w:val="auto"/>
              </w:rPr>
            </w:pPr>
            <w:r>
              <w:rPr>
                <w:rFonts w:ascii="Arial" w:cs="Arial" w:eastAsia="Arial" w:hAnsi="Arial"/>
                <w:sz w:val="18"/>
                <w:szCs w:val="18"/>
                <w:i w:val="1"/>
                <w:iCs w:val="1"/>
                <w:color w:val="auto"/>
              </w:rPr>
              <w:t>Cruise Cash Flow (dollars in billions)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5"/>
          </w:tcPr>
          <w:p>
            <w:pPr>
              <w:jc w:val="right"/>
              <w:ind w:right="95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142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center"/>
              <w:ind w:left="918"/>
              <w:spacing w:after="0"/>
              <w:rPr>
                <w:sz w:val="20"/>
                <w:szCs w:val="20"/>
                <w:color w:val="auto"/>
              </w:rPr>
            </w:pPr>
            <w:r>
              <w:rPr>
                <w:rFonts w:ascii="Arial" w:cs="Arial" w:eastAsia="Arial" w:hAnsi="Arial"/>
                <w:sz w:val="18"/>
                <w:szCs w:val="18"/>
                <w:color w:val="auto"/>
                <w:w w:val="91"/>
              </w:rPr>
              <w:t>(0.5)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958"/>
              <w:spacing w:after="0"/>
              <w:rPr>
                <w:sz w:val="20"/>
                <w:szCs w:val="20"/>
                <w:color w:val="auto"/>
              </w:rPr>
            </w:pPr>
            <w:r>
              <w:rPr>
                <w:rFonts w:ascii="Arial" w:cs="Arial" w:eastAsia="Arial" w:hAnsi="Arial"/>
                <w:sz w:val="18"/>
                <w:szCs w:val="18"/>
                <w:color w:val="auto"/>
                <w:w w:val="87"/>
              </w:rPr>
              <w:t>0.8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87"/>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8"/>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2022</w:t>
            </w:r>
          </w:p>
        </w:tc>
      </w:tr>
      <w:tr>
        <w:trPr>
          <w:trHeight w:val="25"/>
        </w:trPr>
        <w:tc>
          <w:tcPr>
            <w:tcW w:w="7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At March 31, 2023, GM Financial's available liquidity increased from December 31, 2022 due to increased available borrowing capacity on unpledged eligible assets, resulting from the issuance of securitization transactions and unsecured debt and an increase in cash and cash equivalents. GM Financial structures liquidity to support at least six months of GM Financial's expected net cash flows, including new originations, without access to new debt financing transactions or other capital markets activity.</w:t>
      </w:r>
    </w:p>
    <w:p>
      <w:pPr>
        <w:spacing w:after="0" w:line="212"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March 31, 2023 and December 31, 2022. Refer to the Automotive Liquidity section of this MD&amp;A for additional details.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March 31, 2023, secured, committed unsecured and uncommitted unsecured credit facilities totaled $26.2 billion, $0.6 billion and $1.5 billion with advances outstanding of $2.8 billion, an insignificant amount and $1.5 billion.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center"/>
              <w:ind w:left="958"/>
              <w:spacing w:after="0"/>
              <w:rPr>
                <w:sz w:val="20"/>
                <w:szCs w:val="20"/>
                <w:color w:val="auto"/>
              </w:rPr>
            </w:pPr>
            <w:r>
              <w:rPr>
                <w:rFonts w:ascii="Arial" w:cs="Arial" w:eastAsia="Arial" w:hAnsi="Arial"/>
                <w:sz w:val="18"/>
                <w:szCs w:val="18"/>
                <w:color w:val="auto"/>
                <w:w w:val="95"/>
              </w:rPr>
              <w:t>1.7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87"/>
              </w:rPr>
              <w:t>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center"/>
              <w:ind w:left="395"/>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938"/>
              <w:spacing w:after="0"/>
              <w:rPr>
                <w:sz w:val="20"/>
                <w:szCs w:val="20"/>
                <w:color w:val="auto"/>
              </w:rPr>
            </w:pPr>
            <w:r>
              <w:rPr>
                <w:rFonts w:ascii="Arial" w:cs="Arial" w:eastAsia="Arial" w:hAnsi="Arial"/>
                <w:sz w:val="18"/>
                <w:szCs w:val="18"/>
                <w:color w:val="auto"/>
                <w:w w:val="91"/>
              </w:rPr>
              <w:t>(1.5)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915"/>
              <w:spacing w:after="0"/>
              <w:rPr>
                <w:sz w:val="20"/>
                <w:szCs w:val="20"/>
                <w:color w:val="auto"/>
              </w:rPr>
            </w:pPr>
            <w:r>
              <w:rPr>
                <w:rFonts w:ascii="Arial" w:cs="Arial" w:eastAsia="Arial" w:hAnsi="Arial"/>
                <w:sz w:val="18"/>
                <w:szCs w:val="18"/>
                <w:color w:val="auto"/>
                <w:w w:val="91"/>
              </w:rPr>
              <w:t>(1.0)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55"/>
              <w:spacing w:after="0"/>
              <w:rPr>
                <w:sz w:val="20"/>
                <w:szCs w:val="20"/>
                <w:color w:val="auto"/>
              </w:rPr>
            </w:pPr>
            <w:r>
              <w:rPr>
                <w:rFonts w:ascii="Arial" w:cs="Arial" w:eastAsia="Arial" w:hAnsi="Arial"/>
                <w:sz w:val="18"/>
                <w:szCs w:val="18"/>
                <w:color w:val="auto"/>
                <w:w w:val="91"/>
              </w:rPr>
              <w:t>(0.5)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58"/>
              <w:spacing w:after="0"/>
              <w:rPr>
                <w:sz w:val="20"/>
                <w:szCs w:val="20"/>
                <w:color w:val="auto"/>
              </w:rPr>
            </w:pPr>
            <w:r>
              <w:rPr>
                <w:rFonts w:ascii="Arial" w:cs="Arial" w:eastAsia="Arial" w:hAnsi="Arial"/>
                <w:sz w:val="18"/>
                <w:szCs w:val="18"/>
                <w:color w:val="auto"/>
                <w:w w:val="95"/>
              </w:rPr>
              <w:t>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87"/>
              </w:rPr>
              <w:t>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161"/>
        <w:spacing w:after="0" w:line="237" w:lineRule="auto"/>
        <w:rPr>
          <w:sz w:val="20"/>
          <w:szCs w:val="20"/>
          <w:color w:val="auto"/>
        </w:rPr>
      </w:pPr>
      <w:r>
        <w:rPr>
          <w:rFonts w:ascii="Arial" w:cs="Arial" w:eastAsia="Arial" w:hAnsi="Arial"/>
          <w:sz w:val="18"/>
          <w:szCs w:val="18"/>
          <w:color w:val="auto"/>
        </w:rPr>
        <w:t>In the three months ended March 31, 2023, Net cash provided by operating activities increased primarily due to: (1) a net increase in cash provided by counterparty derivative collateral posting activities of $0.6 billion; (2) an increase in finance charge income of $0.4 billion; (3) a decrease in taxes paid to GM of $0.1 billion; and (4) an increase in investment income of $0.1 billion; partially offset by (5) an increase in interest paid of $0.4 billion; and (6) a decrease in leased vehicle income of $0.2 billion.</w:t>
      </w:r>
    </w:p>
    <w:p>
      <w:pPr>
        <w:spacing w:after="0" w:line="230"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three months ended March 31, 2023, Net cash used in investing activities increased primarily due to: (1) an increase in purchases and originations of finance receivables of $1.0 billion; (2) a decrease in proceeds from termination of leased vehicles of $0.5 billion; (3) an increase in purchases of leased vehicles, net of $0.2 billion; and (4) a decrease in principal collections and recoveries on finance receivables $0.1 billion; partially offset by (5) the net change in commercial finance receivables of $1.3 billion.</w:t>
      </w:r>
    </w:p>
    <w:p>
      <w:pPr>
        <w:spacing w:after="0" w:line="21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March 31, 2023, Net cash provided by financing activities decreased primarily due to: (1) an increase in cash dividend payments of $0.5 billion; and (2) a net decrease in short-term debt &amp; borrowings of $0.1 billion; partially offset by (3) a decrease in payments on debt of $0.2 billion.</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2022 Form 10-K.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7" w:lineRule="exact"/>
        <w:rPr>
          <w:sz w:val="20"/>
          <w:szCs w:val="20"/>
          <w:color w:val="auto"/>
        </w:rPr>
      </w:pPr>
    </w:p>
    <w:p>
      <w:pPr>
        <w:jc w:val="both"/>
        <w:ind w:firstLine="7"/>
        <w:spacing w:after="0" w:line="251" w:lineRule="auto"/>
        <w:tabs>
          <w:tab w:leader="none" w:pos="2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deliver new products, services, technologies and customer experiences in response to increased competition and changing consumer preferences in the automotive industry; (2) our ability to timely fund and introduce new and improved vehicle models, including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timing and commercialization of AVs; (7) risks associated with climate change, including increased regulation of greenhouse gas emissions, our transition to EVs and the potential increased impacts of severe weather events; (8) global automobile market sales volume, which can be volatile; (9) inflationary pressures and persistently high prices and uncertain availability of raw materials and commodities used by us and our suppliers, and instability in logistics and related costs; (10) our business in China, which is subject to unique operational, competitive, regulatory and economic risks; (11) 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pandemics, epidemics, disease outbreaks and other public health crises, including the COVID-19 pandemic;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 and products, including those relating to fuel economy, emissions and AVs; (20) costs and risks associated with litigation and government investigations; (21) the costs and effect on our reputation of product safety recalls and alleged defects in products and services; (22) any additional tax expense or exposure or failure to fully realize available tax incentives; (23) our continued ability to develop captive financing capability through GM Financial; and (24) any significant increase in our pension funding requirements. A further list and description of these risks, uncertainties and other factors can be found in our 2022 Form 10-K and our subsequent filings with the SEC.</w:t>
      </w:r>
    </w:p>
    <w:p>
      <w:pPr>
        <w:spacing w:after="0" w:line="19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There have been no significant changes in our exposure to market risk since December 31, 2022. For further discussion on market risk, refer to Part II, Item 7A. of our 2022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March 31, 2023 as required by paragraph (b) of Rules 13a-15 or 15d-15. Based on this evaluation, our CEO and CFO concluded that our disclosure controls and procedures were effective as of March 31, 2023.</w:t>
      </w:r>
    </w:p>
    <w:p>
      <w:pPr>
        <w:spacing w:after="0" w:line="189" w:lineRule="exact"/>
        <w:rPr>
          <w:sz w:val="20"/>
          <w:szCs w:val="20"/>
          <w:color w:val="auto"/>
        </w:rPr>
      </w:pPr>
    </w:p>
    <w:p>
      <w:pPr>
        <w:jc w:val="both"/>
        <w:ind w:firstLine="161"/>
        <w:spacing w:after="0" w:line="345"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March 31, 2023 that have materially affected, or are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discussion under Note 13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2022 Form 10-K.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March 31, 2023: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Purchased Under</w:t>
            </w:r>
          </w:p>
        </w:tc>
        <w:tc>
          <w:tcPr>
            <w:tcW w:w="12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14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Shares Purchased(a)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Paid per</w:t>
            </w:r>
          </w:p>
        </w:tc>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8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86"/>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Share(c)</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2023 through January 31, 2023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$2.5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8"/>
                <w:szCs w:val="18"/>
                <w:color w:val="auto"/>
              </w:rPr>
              <w:t>February 1, 2023 through February 28, 2023</w:t>
            </w:r>
          </w:p>
        </w:tc>
        <w:tc>
          <w:tcPr>
            <w:tcW w:w="1460" w:type="dxa"/>
            <w:vAlign w:val="bottom"/>
          </w:tcPr>
          <w:p>
            <w:pPr>
              <w:jc w:val="right"/>
              <w:spacing w:after="0"/>
              <w:rPr>
                <w:sz w:val="20"/>
                <w:szCs w:val="20"/>
                <w:color w:val="auto"/>
              </w:rPr>
            </w:pPr>
            <w:r>
              <w:rPr>
                <w:rFonts w:ascii="Arial" w:cs="Arial" w:eastAsia="Arial" w:hAnsi="Arial"/>
                <w:sz w:val="18"/>
                <w:szCs w:val="18"/>
                <w:color w:val="auto"/>
              </w:rPr>
              <w:t>6,180,726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41.24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3,985,294</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$2.3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2023 through March 31,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5,276,241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5,276,241</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11,479,183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9,261,535</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22" w:lineRule="exact"/>
        <w:rPr>
          <w:sz w:val="20"/>
          <w:szCs w:val="20"/>
          <w:color w:val="auto"/>
        </w:rPr>
      </w:pPr>
    </w:p>
    <w:p>
      <w:pPr>
        <w:ind w:left="340" w:hanging="333"/>
        <w:spacing w:after="0" w:line="251" w:lineRule="auto"/>
        <w:tabs>
          <w:tab w:leader="none" w:pos="3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the issuance of common stock upon the vesting of RSUs and PSUs relating to compensation plans. Refer to our 2022 Form 10-K for additional details on employee stock incentive plans.</w:t>
      </w:r>
    </w:p>
    <w:p>
      <w:pPr>
        <w:spacing w:after="0" w:line="1" w:lineRule="exact"/>
        <w:rPr>
          <w:rFonts w:ascii="Arial" w:cs="Arial" w:eastAsia="Arial" w:hAnsi="Arial"/>
          <w:sz w:val="16"/>
          <w:szCs w:val="16"/>
          <w:color w:val="auto"/>
        </w:rPr>
      </w:pPr>
    </w:p>
    <w:p>
      <w:pPr>
        <w:ind w:left="340" w:hanging="333"/>
        <w:spacing w:after="0" w:line="254"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 In August 2022, the Board of Directors increased the capacity to $5.0 billion from the $3.3 billion that remained as of June 30, 2022, with no expiration.</w:t>
      </w: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weighted-average price paid per share excludes broker commissions.</w:t>
      </w:r>
    </w:p>
    <w:p>
      <w:pPr>
        <w:spacing w:after="0" w:line="240"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360" w:type="dxa"/>
            <w:vAlign w:val="bottom"/>
            <w:gridSpan w:val="13"/>
          </w:tcPr>
          <w:p>
            <w:pPr>
              <w:ind w:left="1060"/>
              <w:spacing w:after="0"/>
              <w:rPr>
                <w:sz w:val="20"/>
                <w:szCs w:val="20"/>
                <w:color w:val="auto"/>
              </w:rPr>
            </w:pPr>
            <w:r>
              <w:rPr>
                <w:rFonts w:ascii="Arial" w:cs="Arial" w:eastAsia="Arial" w:hAnsi="Arial"/>
                <w:sz w:val="18"/>
                <w:szCs w:val="18"/>
                <w:b w:val="1"/>
                <w:bCs w:val="1"/>
                <w:color w:val="auto"/>
              </w:rPr>
              <w:t>GENERAL MOTORS COMPANY AND SUBSIDIARIES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0" w:type="dxa"/>
            <w:vAlign w:val="bottom"/>
            <w:gridSpan w:val="12"/>
          </w:tcPr>
          <w:p>
            <w:pPr>
              <w:ind w:left="700"/>
              <w:spacing w:after="0"/>
              <w:rPr>
                <w:sz w:val="20"/>
                <w:szCs w:val="20"/>
                <w:color w:val="auto"/>
              </w:rPr>
            </w:pPr>
            <w:r>
              <w:rPr>
                <w:rFonts w:ascii="Arial" w:cs="Arial" w:eastAsia="Arial" w:hAnsi="Arial"/>
                <w:sz w:val="18"/>
                <w:szCs w:val="18"/>
                <w:b w:val="1"/>
                <w:bCs w:val="1"/>
                <w:color w:val="auto"/>
              </w:rPr>
              <w:t>Exhibit Name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200" w:type="dxa"/>
            <w:vAlign w:val="bottom"/>
            <w:tcBorders>
              <w:top w:val="single" w:sz="8" w:color="auto"/>
            </w:tcBorders>
            <w:gridSpan w:val="15"/>
            <w:shd w:val="clear" w:color="auto" w:fill="CCEEFF"/>
          </w:tcPr>
          <w:p>
            <w:pPr>
              <w:spacing w:after="0" w:line="168"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Restated Certificate of Incorporation of General Motors Company dated December 7, 2010, incorporated herein</w:t>
              </w:r>
            </w:hyperlink>
          </w:p>
        </w:tc>
        <w:tc>
          <w:tcPr>
            <w:tcW w:w="152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80" w:type="dxa"/>
            <w:vAlign w:val="bottom"/>
            <w:tcBorders>
              <w:top w:val="single" w:sz="8" w:color="0000FF"/>
              <w:bottom w:val="single" w:sz="8" w:color="0000FF"/>
            </w:tcBorders>
            <w:gridSpan w:val="9"/>
            <w:shd w:val="clear" w:color="auto" w:fill="CCEEFF"/>
          </w:tcPr>
          <w:p>
            <w:pPr>
              <w:spacing w:after="0" w:line="161"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52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spacing w:after="0" w:line="154" w:lineRule="exact"/>
              <w:rPr>
                <w:rFonts w:ascii="Arial" w:cs="Arial" w:eastAsia="Arial" w:hAnsi="Arial"/>
                <w:sz w:val="17"/>
                <w:szCs w:val="17"/>
                <w:color w:val="0000FF"/>
              </w:rPr>
            </w:pPr>
            <w:hyperlink r:id="rId70">
              <w:r>
                <w:rPr>
                  <w:rFonts w:ascii="Arial" w:cs="Arial" w:eastAsia="Arial" w:hAnsi="Arial"/>
                  <w:sz w:val="17"/>
                  <w:szCs w:val="17"/>
                  <w:color w:val="0000FF"/>
                </w:rPr>
                <w:t>2010</w:t>
              </w:r>
            </w:hyperlink>
          </w:p>
        </w:tc>
        <w:tc>
          <w:tcPr>
            <w:tcW w:w="1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5"/>
          </w:tcPr>
          <w:p>
            <w:pPr>
              <w:spacing w:after="0" w:line="189"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General Motors Company Amended and Restated Bylaws, as amended April 20, 2023, incorporated by</w:t>
              </w:r>
            </w:hyperlink>
          </w:p>
        </w:tc>
        <w:tc>
          <w:tcPr>
            <w:tcW w:w="1520" w:type="dxa"/>
            <w:vAlign w:val="bottom"/>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8"/>
          </w:tcPr>
          <w:p>
            <w:pPr>
              <w:spacing w:after="0" w:line="154" w:lineRule="exact"/>
              <w:rPr>
                <w:rFonts w:ascii="Arial" w:cs="Arial" w:eastAsia="Arial" w:hAnsi="Arial"/>
                <w:sz w:val="17"/>
                <w:szCs w:val="17"/>
                <w:color w:val="0000FF"/>
              </w:rPr>
            </w:pPr>
            <w:hyperlink r:id="rId71">
              <w:r>
                <w:rPr>
                  <w:rFonts w:ascii="Arial" w:cs="Arial" w:eastAsia="Arial" w:hAnsi="Arial"/>
                  <w:sz w:val="17"/>
                  <w:szCs w:val="17"/>
                  <w:color w:val="0000FF"/>
                </w:rPr>
                <w:t>reference to Exhibit 3.1 to the Current Report on Form 8-K of General Motors Company filed April 21,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6"/>
                <w:szCs w:val="16"/>
                <w:color w:val="auto"/>
              </w:rPr>
            </w:pPr>
          </w:p>
        </w:tc>
        <w:tc>
          <w:tcPr>
            <w:tcW w:w="8200" w:type="dxa"/>
            <w:vAlign w:val="bottom"/>
            <w:gridSpan w:val="15"/>
            <w:shd w:val="clear" w:color="auto" w:fill="CCEEFF"/>
          </w:tcPr>
          <w:p>
            <w:pPr>
              <w:spacing w:after="0" w:line="189"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Fourth Amended and Restated 5-Year Revolving Credit Agreement among General Motors Company, General</w:t>
              </w:r>
            </w:hyperlink>
          </w:p>
        </w:tc>
        <w:tc>
          <w:tcPr>
            <w:tcW w:w="1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40" w:type="dxa"/>
            <w:vAlign w:val="bottom"/>
            <w:tcBorders>
              <w:top w:val="single" w:sz="8" w:color="0000FF"/>
              <w:bottom w:val="single" w:sz="8" w:color="0000FF"/>
            </w:tcBorders>
            <w:gridSpan w:val="7"/>
            <w:shd w:val="clear" w:color="auto" w:fill="CCEEFF"/>
          </w:tcPr>
          <w:p>
            <w:pPr>
              <w:spacing w:after="0" w:line="154" w:lineRule="exact"/>
              <w:rPr>
                <w:rFonts w:ascii="Arial" w:cs="Arial" w:eastAsia="Arial" w:hAnsi="Arial"/>
                <w:sz w:val="17"/>
                <w:szCs w:val="17"/>
                <w:color w:val="0000FF"/>
                <w:w w:val="96"/>
              </w:rPr>
            </w:pPr>
            <w:hyperlink r:id="rId72">
              <w:r>
                <w:rPr>
                  <w:rFonts w:ascii="Arial" w:cs="Arial" w:eastAsia="Arial" w:hAnsi="Arial"/>
                  <w:sz w:val="17"/>
                  <w:szCs w:val="17"/>
                  <w:color w:val="0000FF"/>
                  <w:w w:val="96"/>
                </w:rPr>
                <w:t>Motors Financial Company, Inc., the subsidiary borrowers from time to time parties thereto, the several lenders</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180" w:type="dxa"/>
            <w:vAlign w:val="bottom"/>
            <w:gridSpan w:val="14"/>
            <w:shd w:val="clear" w:color="auto" w:fill="CCEEFF"/>
          </w:tcPr>
          <w:p>
            <w:pPr>
              <w:spacing w:after="0" w:line="154" w:lineRule="exact"/>
              <w:rPr>
                <w:rFonts w:ascii="Arial" w:cs="Arial" w:eastAsia="Arial" w:hAnsi="Arial"/>
                <w:sz w:val="17"/>
                <w:szCs w:val="17"/>
                <w:color w:val="0000FF"/>
                <w:w w:val="98"/>
              </w:rPr>
            </w:pPr>
            <w:hyperlink r:id="rId72">
              <w:r>
                <w:rPr>
                  <w:rFonts w:ascii="Arial" w:cs="Arial" w:eastAsia="Arial" w:hAnsi="Arial"/>
                  <w:sz w:val="17"/>
                  <w:szCs w:val="17"/>
                  <w:color w:val="0000FF"/>
                  <w:w w:val="98"/>
                </w:rPr>
                <w:t>from time to time parties thereto, JPMorgan Chase Bank, N.A., as administrative agent, and Citibank, N.A., as</w:t>
              </w:r>
            </w:hyperlink>
          </w:p>
        </w:tc>
        <w:tc>
          <w:tcPr>
            <w:tcW w:w="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160" w:type="dxa"/>
            <w:vAlign w:val="bottom"/>
            <w:tcBorders>
              <w:top w:val="single" w:sz="8" w:color="0000FF"/>
            </w:tcBorders>
            <w:gridSpan w:val="13"/>
            <w:shd w:val="clear" w:color="auto" w:fill="CCEEFF"/>
          </w:tcPr>
          <w:p>
            <w:pPr>
              <w:spacing w:after="0" w:line="168" w:lineRule="exact"/>
              <w:rPr>
                <w:rFonts w:ascii="Arial" w:cs="Arial" w:eastAsia="Arial" w:hAnsi="Arial"/>
                <w:sz w:val="18"/>
                <w:szCs w:val="18"/>
                <w:color w:val="0000FF"/>
                <w:w w:val="96"/>
              </w:rPr>
            </w:pPr>
            <w:hyperlink r:id="rId72">
              <w:r>
                <w:rPr>
                  <w:rFonts w:ascii="Arial" w:cs="Arial" w:eastAsia="Arial" w:hAnsi="Arial"/>
                  <w:sz w:val="18"/>
                  <w:szCs w:val="18"/>
                  <w:color w:val="0000FF"/>
                  <w:w w:val="96"/>
                </w:rPr>
                <w:t>syndication agent, incorporated by reference to Exhibit 10.1 to the Current Report on Form 8-K of General</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100" w:type="dxa"/>
            <w:vAlign w:val="bottom"/>
            <w:tcBorders>
              <w:top w:val="single" w:sz="8" w:color="0000FF"/>
            </w:tcBorders>
            <w:gridSpan w:val="10"/>
            <w:shd w:val="clear" w:color="auto" w:fill="CCEEFF"/>
          </w:tcPr>
          <w:p>
            <w:pPr>
              <w:spacing w:after="0" w:line="154" w:lineRule="exact"/>
              <w:rPr>
                <w:rFonts w:ascii="Arial" w:cs="Arial" w:eastAsia="Arial" w:hAnsi="Arial"/>
                <w:sz w:val="17"/>
                <w:szCs w:val="17"/>
                <w:color w:val="0000FF"/>
              </w:rPr>
            </w:pPr>
            <w:hyperlink r:id="rId72">
              <w:r>
                <w:rPr>
                  <w:rFonts w:ascii="Arial" w:cs="Arial" w:eastAsia="Arial" w:hAnsi="Arial"/>
                  <w:sz w:val="17"/>
                  <w:szCs w:val="17"/>
                  <w:color w:val="0000FF"/>
                </w:rPr>
                <w:t>Motors Company filed March 31, 2023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tcPr>
          <w:p>
            <w:pPr>
              <w:spacing w:after="0" w:line="189"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6"/>
                <w:szCs w:val="16"/>
                <w:color w:val="auto"/>
              </w:rPr>
            </w:pPr>
          </w:p>
        </w:tc>
        <w:tc>
          <w:tcPr>
            <w:tcW w:w="8200" w:type="dxa"/>
            <w:vAlign w:val="bottom"/>
            <w:gridSpan w:val="15"/>
          </w:tcPr>
          <w:p>
            <w:pPr>
              <w:spacing w:after="0" w:line="189"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Fifth Amended and Restated 3-Year Revolving Credit Agreement among General Motors Company, General</w:t>
              </w:r>
            </w:hyperlink>
          </w:p>
        </w:tc>
        <w:tc>
          <w:tcPr>
            <w:tcW w:w="1520" w:type="dxa"/>
            <w:vAlign w:val="bottom"/>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12"/>
          </w:tcPr>
          <w:p>
            <w:pPr>
              <w:spacing w:after="0" w:line="154" w:lineRule="exact"/>
              <w:rPr>
                <w:rFonts w:ascii="Arial" w:cs="Arial" w:eastAsia="Arial" w:hAnsi="Arial"/>
                <w:sz w:val="17"/>
                <w:szCs w:val="17"/>
                <w:color w:val="0000FF"/>
                <w:w w:val="97"/>
              </w:rPr>
            </w:pPr>
            <w:hyperlink r:id="rId73">
              <w:r>
                <w:rPr>
                  <w:rFonts w:ascii="Arial" w:cs="Arial" w:eastAsia="Arial" w:hAnsi="Arial"/>
                  <w:sz w:val="17"/>
                  <w:szCs w:val="17"/>
                  <w:color w:val="0000FF"/>
                  <w:w w:val="97"/>
                </w:rPr>
                <w:t>Motors Financial Company, Inc., the subsidiary borrowers from time to time parties thereto, the several lenders</w:t>
              </w:r>
            </w:hyperlink>
          </w:p>
        </w:tc>
        <w:tc>
          <w:tcPr>
            <w:tcW w:w="60" w:type="dxa"/>
            <w:vAlign w:val="bottom"/>
            <w:gridSpan w:val="3"/>
          </w:tcPr>
          <w:p>
            <w:pPr>
              <w:spacing w:after="0"/>
              <w:rPr>
                <w:sz w:val="13"/>
                <w:szCs w:val="13"/>
                <w:color w:val="auto"/>
              </w:rPr>
            </w:pPr>
          </w:p>
        </w:tc>
        <w:tc>
          <w:tcPr>
            <w:tcW w:w="1520" w:type="dxa"/>
            <w:vAlign w:val="bottom"/>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4"/>
          </w:tcPr>
          <w:p>
            <w:pPr>
              <w:spacing w:after="0" w:line="154" w:lineRule="exact"/>
              <w:rPr>
                <w:rFonts w:ascii="Arial" w:cs="Arial" w:eastAsia="Arial" w:hAnsi="Arial"/>
                <w:sz w:val="17"/>
                <w:szCs w:val="17"/>
                <w:color w:val="0000FF"/>
                <w:w w:val="98"/>
              </w:rPr>
            </w:pPr>
            <w:hyperlink r:id="rId73">
              <w:r>
                <w:rPr>
                  <w:rFonts w:ascii="Arial" w:cs="Arial" w:eastAsia="Arial" w:hAnsi="Arial"/>
                  <w:sz w:val="17"/>
                  <w:szCs w:val="17"/>
                  <w:color w:val="0000FF"/>
                  <w:w w:val="98"/>
                </w:rPr>
                <w:t>from time to time parties thereto, JPMorgan Chase Bank, N.A., as administrative agent, and Citibank, N.A., as</w:t>
              </w:r>
            </w:hyperlink>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60" w:type="dxa"/>
            <w:vAlign w:val="bottom"/>
            <w:tcBorders>
              <w:top w:val="single" w:sz="8" w:color="0000FF"/>
            </w:tcBorders>
            <w:gridSpan w:val="13"/>
          </w:tcPr>
          <w:p>
            <w:pPr>
              <w:spacing w:after="0" w:line="168" w:lineRule="exact"/>
              <w:rPr>
                <w:rFonts w:ascii="Arial" w:cs="Arial" w:eastAsia="Arial" w:hAnsi="Arial"/>
                <w:sz w:val="18"/>
                <w:szCs w:val="18"/>
                <w:color w:val="0000FF"/>
                <w:w w:val="96"/>
              </w:rPr>
            </w:pPr>
            <w:hyperlink r:id="rId73">
              <w:r>
                <w:rPr>
                  <w:rFonts w:ascii="Arial" w:cs="Arial" w:eastAsia="Arial" w:hAnsi="Arial"/>
                  <w:sz w:val="18"/>
                  <w:szCs w:val="18"/>
                  <w:color w:val="0000FF"/>
                  <w:w w:val="96"/>
                </w:rPr>
                <w:t>syndication agent, incorporated by reference to Exhibit 10.2 to the Current Report on Form 8-K of General</w:t>
              </w:r>
            </w:hyperlink>
          </w:p>
        </w:tc>
        <w:tc>
          <w:tcPr>
            <w:tcW w:w="40" w:type="dxa"/>
            <w:vAlign w:val="bottom"/>
            <w:gridSpan w:val="2"/>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r:id="rId73">
              <w:r>
                <w:rPr>
                  <w:rFonts w:ascii="Arial" w:cs="Arial" w:eastAsia="Arial" w:hAnsi="Arial"/>
                  <w:sz w:val="17"/>
                  <w:szCs w:val="17"/>
                  <w:color w:val="0000FF"/>
                </w:rPr>
                <w:t>Motors Company filed March 31, 2023</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6"/>
                <w:szCs w:val="16"/>
                <w:color w:val="auto"/>
              </w:rPr>
            </w:pPr>
          </w:p>
        </w:tc>
        <w:tc>
          <w:tcPr>
            <w:tcW w:w="8200" w:type="dxa"/>
            <w:vAlign w:val="bottom"/>
            <w:gridSpan w:val="15"/>
            <w:shd w:val="clear" w:color="auto" w:fill="CCEEFF"/>
          </w:tcPr>
          <w:p>
            <w:pPr>
              <w:spacing w:after="0" w:line="189"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Fifth Amended and Restated 364-Day Revolving Credit Agreement among General Motors Company, General</w:t>
              </w:r>
            </w:hyperlink>
          </w:p>
        </w:tc>
        <w:tc>
          <w:tcPr>
            <w:tcW w:w="1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120" w:type="dxa"/>
            <w:vAlign w:val="bottom"/>
            <w:tcBorders>
              <w:top w:val="single" w:sz="8" w:color="0000FF"/>
            </w:tcBorders>
            <w:gridSpan w:val="11"/>
            <w:shd w:val="clear" w:color="auto" w:fill="CCEEFF"/>
          </w:tcPr>
          <w:p>
            <w:pPr>
              <w:spacing w:after="0" w:line="154" w:lineRule="exact"/>
              <w:rPr>
                <w:rFonts w:ascii="Arial" w:cs="Arial" w:eastAsia="Arial" w:hAnsi="Arial"/>
                <w:sz w:val="17"/>
                <w:szCs w:val="17"/>
                <w:color w:val="0000FF"/>
                <w:w w:val="97"/>
              </w:rPr>
            </w:pPr>
            <w:hyperlink r:id="rId74">
              <w:r>
                <w:rPr>
                  <w:rFonts w:ascii="Arial" w:cs="Arial" w:eastAsia="Arial" w:hAnsi="Arial"/>
                  <w:sz w:val="17"/>
                  <w:szCs w:val="17"/>
                  <w:color w:val="0000FF"/>
                  <w:w w:val="97"/>
                </w:rPr>
                <w:t>Motors Financial Company, Inc., the subsidiary borrowers from time to time parties thereto, the several lenders</w:t>
              </w:r>
            </w:hyperlink>
          </w:p>
        </w:tc>
        <w:tc>
          <w:tcPr>
            <w:tcW w:w="80" w:type="dxa"/>
            <w:vAlign w:val="bottom"/>
            <w:tcBorders>
              <w:top w:val="single" w:sz="8" w:color="CCEEFF"/>
            </w:tcBorders>
            <w:gridSpan w:val="4"/>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180" w:type="dxa"/>
            <w:vAlign w:val="bottom"/>
            <w:tcBorders>
              <w:top w:val="single" w:sz="8" w:color="0000FF"/>
            </w:tcBorders>
            <w:gridSpan w:val="14"/>
            <w:shd w:val="clear" w:color="auto" w:fill="CCEEFF"/>
          </w:tcPr>
          <w:p>
            <w:pPr>
              <w:spacing w:after="0" w:line="154" w:lineRule="exact"/>
              <w:rPr>
                <w:rFonts w:ascii="Arial" w:cs="Arial" w:eastAsia="Arial" w:hAnsi="Arial"/>
                <w:sz w:val="17"/>
                <w:szCs w:val="17"/>
                <w:color w:val="0000FF"/>
                <w:w w:val="98"/>
              </w:rPr>
            </w:pPr>
            <w:hyperlink r:id="rId74">
              <w:r>
                <w:rPr>
                  <w:rFonts w:ascii="Arial" w:cs="Arial" w:eastAsia="Arial" w:hAnsi="Arial"/>
                  <w:sz w:val="17"/>
                  <w:szCs w:val="17"/>
                  <w:color w:val="0000FF"/>
                  <w:w w:val="98"/>
                </w:rPr>
                <w:t>from time to time parties thereto, JPMorgan Chase Bank, N.A., as administrative agent, and Citibank, N.A., as</w:t>
              </w:r>
            </w:hyperlink>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160" w:type="dxa"/>
            <w:vAlign w:val="bottom"/>
            <w:tcBorders>
              <w:top w:val="single" w:sz="8" w:color="0000FF"/>
            </w:tcBorders>
            <w:gridSpan w:val="13"/>
            <w:shd w:val="clear" w:color="auto" w:fill="CCEEFF"/>
          </w:tcPr>
          <w:p>
            <w:pPr>
              <w:spacing w:after="0" w:line="168" w:lineRule="exact"/>
              <w:rPr>
                <w:rFonts w:ascii="Arial" w:cs="Arial" w:eastAsia="Arial" w:hAnsi="Arial"/>
                <w:sz w:val="18"/>
                <w:szCs w:val="18"/>
                <w:color w:val="0000FF"/>
                <w:w w:val="96"/>
              </w:rPr>
            </w:pPr>
            <w:hyperlink r:id="rId74">
              <w:r>
                <w:rPr>
                  <w:rFonts w:ascii="Arial" w:cs="Arial" w:eastAsia="Arial" w:hAnsi="Arial"/>
                  <w:sz w:val="18"/>
                  <w:szCs w:val="18"/>
                  <w:color w:val="0000FF"/>
                  <w:w w:val="96"/>
                </w:rPr>
                <w:t>syndication agent, incorporated by reference to Exhibit 10.3 to the Current Report on Form 8-K of General</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100" w:type="dxa"/>
            <w:vAlign w:val="bottom"/>
            <w:tcBorders>
              <w:top w:val="single" w:sz="8" w:color="0000FF"/>
            </w:tcBorders>
            <w:gridSpan w:val="10"/>
            <w:shd w:val="clear" w:color="auto" w:fill="CCEEFF"/>
          </w:tcPr>
          <w:p>
            <w:pPr>
              <w:spacing w:after="0" w:line="154" w:lineRule="exact"/>
              <w:rPr>
                <w:rFonts w:ascii="Arial" w:cs="Arial" w:eastAsia="Arial" w:hAnsi="Arial"/>
                <w:sz w:val="17"/>
                <w:szCs w:val="17"/>
                <w:color w:val="0000FF"/>
              </w:rPr>
            </w:pPr>
            <w:hyperlink r:id="rId74">
              <w:r>
                <w:rPr>
                  <w:rFonts w:ascii="Arial" w:cs="Arial" w:eastAsia="Arial" w:hAnsi="Arial"/>
                  <w:sz w:val="17"/>
                  <w:szCs w:val="17"/>
                  <w:color w:val="0000FF"/>
                </w:rPr>
                <w:t>Motors Company filed March 31, 2023</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96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5"/>
          </w:tcPr>
          <w:p>
            <w:pPr>
              <w:spacing w:after="0" w:line="189" w:lineRule="exact"/>
              <w:rPr>
                <w:sz w:val="20"/>
                <w:szCs w:val="20"/>
                <w:color w:val="auto"/>
              </w:rPr>
            </w:pPr>
            <w:r>
              <w:rPr>
                <w:rFonts w:ascii="Arial" w:cs="Arial" w:eastAsia="Arial" w:hAnsi="Arial"/>
                <w:sz w:val="18"/>
                <w:szCs w:val="18"/>
                <w:color w:val="0000FF"/>
              </w:rPr>
              <w:t>Section 302 Certification of the Chief Executive Officer</w:t>
            </w:r>
          </w:p>
        </w:tc>
        <w:tc>
          <w:tcPr>
            <w:tcW w:w="1520" w:type="dxa"/>
            <w:vAlign w:val="bottom"/>
          </w:tcPr>
          <w:p>
            <w:pPr>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96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0" w:type="dxa"/>
            <w:vAlign w:val="bottom"/>
            <w:gridSpan w:val="15"/>
            <w:shd w:val="clear" w:color="auto" w:fill="CCEEFF"/>
          </w:tcPr>
          <w:p>
            <w:pPr>
              <w:spacing w:after="0" w:line="189" w:lineRule="exact"/>
              <w:rPr>
                <w:sz w:val="20"/>
                <w:szCs w:val="20"/>
                <w:color w:val="auto"/>
              </w:rPr>
            </w:pPr>
            <w:r>
              <w:rPr>
                <w:rFonts w:ascii="Arial" w:cs="Arial" w:eastAsia="Arial" w:hAnsi="Arial"/>
                <w:sz w:val="18"/>
                <w:szCs w:val="18"/>
                <w:color w:val="0000FF"/>
              </w:rPr>
              <w:t>Section 302 Certification of the Chief Financial Officer</w:t>
            </w:r>
          </w:p>
        </w:tc>
        <w:tc>
          <w:tcPr>
            <w:tcW w:w="1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96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0" w:type="dxa"/>
            <w:vAlign w:val="bottom"/>
            <w:gridSpan w:val="15"/>
          </w:tcPr>
          <w:p>
            <w:pPr>
              <w:spacing w:after="0" w:line="189" w:lineRule="exact"/>
              <w:rPr>
                <w:sz w:val="20"/>
                <w:szCs w:val="20"/>
                <w:color w:val="auto"/>
              </w:rPr>
            </w:pPr>
            <w:r>
              <w:rPr>
                <w:rFonts w:ascii="Arial" w:cs="Arial" w:eastAsia="Arial" w:hAnsi="Arial"/>
                <w:sz w:val="18"/>
                <w:szCs w:val="18"/>
                <w:color w:val="0000FF"/>
                <w:w w:val="94"/>
              </w:rPr>
              <w:t>Certification Pursuant to 18 U.S.C. Section 1350, As Adopted Pursuant to Section 906 of the Sarbanes-Oxley</w:t>
            </w:r>
          </w:p>
        </w:tc>
        <w:tc>
          <w:tcPr>
            <w:tcW w:w="1520" w:type="dxa"/>
            <w:vAlign w:val="bottom"/>
          </w:tcPr>
          <w:p>
            <w:pPr>
              <w:spacing w:after="0" w:line="189" w:lineRule="exact"/>
              <w:rPr>
                <w:sz w:val="20"/>
                <w:szCs w:val="20"/>
                <w:color w:val="auto"/>
              </w:rPr>
            </w:pPr>
            <w:r>
              <w:rPr>
                <w:rFonts w:ascii="Arial" w:cs="Arial" w:eastAsia="Arial" w:hAnsi="Arial"/>
                <w:sz w:val="18"/>
                <w:szCs w:val="18"/>
                <w:color w:val="auto"/>
                <w:w w:val="99"/>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8"/>
          </w:tcPr>
          <w:p>
            <w:pPr>
              <w:spacing w:after="0" w:line="154" w:lineRule="exact"/>
              <w:rPr>
                <w:sz w:val="20"/>
                <w:szCs w:val="20"/>
                <w:color w:val="auto"/>
              </w:rPr>
            </w:pPr>
            <w:r>
              <w:rPr>
                <w:rFonts w:ascii="Arial" w:cs="Arial" w:eastAsia="Arial" w:hAnsi="Arial"/>
                <w:sz w:val="17"/>
                <w:szCs w:val="17"/>
                <w:color w:val="0000FF"/>
              </w:rPr>
              <w:t>Act of 2002</w:t>
            </w:r>
          </w:p>
        </w:tc>
        <w:tc>
          <w:tcPr>
            <w:tcW w:w="140" w:type="dxa"/>
            <w:vAlign w:val="bottom"/>
            <w:gridSpan w:val="7"/>
          </w:tcPr>
          <w:p>
            <w:pPr>
              <w:spacing w:after="0"/>
              <w:rPr>
                <w:sz w:val="13"/>
                <w:szCs w:val="13"/>
                <w:color w:val="auto"/>
              </w:rPr>
            </w:pPr>
          </w:p>
        </w:tc>
        <w:tc>
          <w:tcPr>
            <w:tcW w:w="1520" w:type="dxa"/>
            <w:vAlign w:val="bottom"/>
          </w:tcPr>
          <w:p>
            <w:pPr>
              <w:spacing w:after="0" w:line="154" w:lineRule="exact"/>
              <w:rPr>
                <w:sz w:val="20"/>
                <w:szCs w:val="20"/>
                <w:color w:val="auto"/>
              </w:rPr>
            </w:pPr>
            <w:r>
              <w:rPr>
                <w:rFonts w:ascii="Arial" w:cs="Arial" w:eastAsia="Arial" w:hAnsi="Arial"/>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5"/>
            <w:shd w:val="clear" w:color="auto" w:fill="CCEEFF"/>
          </w:tcPr>
          <w:p>
            <w:pPr>
              <w:spacing w:after="0" w:line="175" w:lineRule="exact"/>
              <w:rPr>
                <w:sz w:val="20"/>
                <w:szCs w:val="20"/>
                <w:color w:val="auto"/>
              </w:rPr>
            </w:pPr>
            <w:r>
              <w:rPr>
                <w:rFonts w:ascii="Arial" w:cs="Arial" w:eastAsia="Arial" w:hAnsi="Arial"/>
                <w:sz w:val="18"/>
                <w:szCs w:val="18"/>
                <w:color w:val="auto"/>
                <w:w w:val="94"/>
              </w:rPr>
              <w:t>The following financial information from the Company’s Quarterly Report on Form 10-Q for the quarter ended</w:t>
            </w:r>
          </w:p>
        </w:tc>
        <w:tc>
          <w:tcPr>
            <w:tcW w:w="15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5"/>
            <w:shd w:val="clear" w:color="auto" w:fill="CCEEFF"/>
          </w:tcPr>
          <w:p>
            <w:pPr>
              <w:spacing w:after="0" w:line="175" w:lineRule="exact"/>
              <w:rPr>
                <w:sz w:val="20"/>
                <w:szCs w:val="20"/>
                <w:color w:val="auto"/>
              </w:rPr>
            </w:pPr>
            <w:r>
              <w:rPr>
                <w:rFonts w:ascii="Arial" w:cs="Arial" w:eastAsia="Arial" w:hAnsi="Arial"/>
                <w:sz w:val="18"/>
                <w:szCs w:val="18"/>
                <w:color w:val="auto"/>
              </w:rPr>
              <w:t>March 31, 2023, formatted in Inline Extensible Business Reporting Language (iXBRL) includes: (i) the</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200" w:type="dxa"/>
            <w:vAlign w:val="bottom"/>
            <w:gridSpan w:val="15"/>
            <w:shd w:val="clear" w:color="auto" w:fill="CCEEFF"/>
          </w:tcPr>
          <w:p>
            <w:pPr>
              <w:spacing w:after="0" w:line="188" w:lineRule="exact"/>
              <w:rPr>
                <w:sz w:val="20"/>
                <w:szCs w:val="20"/>
                <w:color w:val="auto"/>
              </w:rPr>
            </w:pPr>
            <w:r>
              <w:rPr>
                <w:rFonts w:ascii="Arial" w:cs="Arial" w:eastAsia="Arial" w:hAnsi="Arial"/>
                <w:sz w:val="18"/>
                <w:szCs w:val="18"/>
                <w:color w:val="auto"/>
                <w:w w:val="93"/>
              </w:rPr>
              <w:t>Condensed Consolidated Income Statements, (ii) the Condensed Consolidated Statements of Comprehensive</w:t>
            </w: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5"/>
            <w:shd w:val="clear" w:color="auto" w:fill="CCEEFF"/>
          </w:tcPr>
          <w:p>
            <w:pPr>
              <w:spacing w:after="0" w:line="176" w:lineRule="exact"/>
              <w:rPr>
                <w:sz w:val="20"/>
                <w:szCs w:val="20"/>
                <w:color w:val="auto"/>
              </w:rPr>
            </w:pPr>
            <w:r>
              <w:rPr>
                <w:rFonts w:ascii="Arial" w:cs="Arial" w:eastAsia="Arial" w:hAnsi="Arial"/>
                <w:sz w:val="18"/>
                <w:szCs w:val="18"/>
                <w:color w:val="auto"/>
                <w:w w:val="91"/>
              </w:rPr>
              <w:t>Income, (iii) the Condensed Consolidated Balance Sheets, (iv) the Condensed Consolidated Statements of Cash</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0" w:type="dxa"/>
            <w:vAlign w:val="bottom"/>
            <w:gridSpan w:val="15"/>
            <w:shd w:val="clear" w:color="auto" w:fill="CCEEFF"/>
          </w:tcPr>
          <w:p>
            <w:pPr>
              <w:spacing w:after="0" w:line="175" w:lineRule="exact"/>
              <w:rPr>
                <w:sz w:val="20"/>
                <w:szCs w:val="20"/>
                <w:color w:val="auto"/>
              </w:rPr>
            </w:pPr>
            <w:r>
              <w:rPr>
                <w:rFonts w:ascii="Arial" w:cs="Arial" w:eastAsia="Arial" w:hAnsi="Arial"/>
                <w:sz w:val="18"/>
                <w:szCs w:val="18"/>
                <w:color w:val="auto"/>
                <w:w w:val="95"/>
              </w:rPr>
              <w:t>Flows, (v) the Condensed Consolidated Statements of Equity and (vi) Notes to the Condensed Consolidated</w:t>
            </w: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20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gridSpan w:val="15"/>
          </w:tcPr>
          <w:p>
            <w:pPr>
              <w:spacing w:after="0" w:line="175" w:lineRule="exact"/>
              <w:rPr>
                <w:sz w:val="20"/>
                <w:szCs w:val="20"/>
                <w:color w:val="auto"/>
              </w:rPr>
            </w:pPr>
            <w:r>
              <w:rPr>
                <w:rFonts w:ascii="Arial" w:cs="Arial" w:eastAsia="Arial" w:hAnsi="Arial"/>
                <w:sz w:val="18"/>
                <w:szCs w:val="18"/>
                <w:color w:val="auto"/>
                <w:w w:val="95"/>
              </w:rPr>
              <w:t>The cover page from the Company's Quarterly Report on Form 10-Q for the quarter ended March 31, 2023,</w:t>
            </w:r>
          </w:p>
        </w:tc>
        <w:tc>
          <w:tcPr>
            <w:tcW w:w="1520" w:type="dxa"/>
            <w:vAlign w:val="bottom"/>
          </w:tcPr>
          <w:p>
            <w:pPr>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0" w:type="dxa"/>
            <w:vAlign w:val="bottom"/>
            <w:gridSpan w:val="15"/>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58" w:lineRule="exact"/>
        <w:rPr>
          <w:sz w:val="20"/>
          <w:szCs w:val="20"/>
          <w:color w:val="auto"/>
        </w:rPr>
      </w:pPr>
    </w:p>
    <w:p>
      <w:pPr>
        <w:ind w:left="340" w:hanging="333"/>
        <w:spacing w:after="0" w:line="273" w:lineRule="auto"/>
        <w:tabs>
          <w:tab w:leader="none" w:pos="306"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Rule 601(b)(10) of Regulation S-K. The omitted information is not material and would likely cause competitive harm to the registrant if publicly disclosed.</w:t>
      </w:r>
    </w:p>
    <w:p>
      <w:pPr>
        <w:spacing w:after="0" w:line="208"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246"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13970</wp:posOffset>
            </wp:positionV>
            <wp:extent cx="3259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Christopher T. Hatto, Vice President, Global Business Solutions and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25, 2023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25768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25, 2023</w:t>
      </w:r>
    </w:p>
    <w:p>
      <w:pPr>
        <w:sectPr>
          <w:pgSz w:w="11900" w:h="16838" w:orient="portrait"/>
          <w:cols w:equalWidth="0" w:num="1">
            <w:col w:w="11240"/>
          </w:cols>
          <w:pgMar w:left="320" w:top="363"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13970</wp:posOffset>
            </wp:positionV>
            <wp:extent cx="3276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Paul A. Jacobson</w:t>
      </w: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25, 2023</w:t>
      </w:r>
    </w:p>
    <w:p>
      <w:pPr>
        <w:sectPr>
          <w:pgSz w:w="11900" w:h="16838" w:orient="portrait"/>
          <w:cols w:equalWidth="0" w:num="1">
            <w:col w:w="11240"/>
          </w:cols>
          <w:pgMar w:left="320" w:top="363"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ind w:firstLine="202"/>
        <w:spacing w:after="0" w:line="289"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2023 as filed with the Securities and Exchange Commission on the date hereof (the “Report”), each of the undersigned officers of the Company, certify, pursuant to 18 U.S.C.</w:t>
      </w:r>
    </w:p>
    <w:p>
      <w:pPr>
        <w:spacing w:after="0" w:line="1" w:lineRule="exact"/>
        <w:rPr>
          <w:sz w:val="20"/>
          <w:szCs w:val="20"/>
          <w:color w:val="auto"/>
        </w:rPr>
      </w:pPr>
    </w:p>
    <w:p>
      <w:pPr>
        <w:ind w:left="140" w:hanging="133"/>
        <w:spacing w:after="0"/>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such officer's knowledge:</w:t>
      </w:r>
    </w:p>
    <w:p>
      <w:pPr>
        <w:spacing w:after="0" w:line="235" w:lineRule="exact"/>
        <w:rPr>
          <w:rFonts w:ascii="Arial" w:cs="Arial" w:eastAsia="Arial" w:hAnsi="Arial"/>
          <w:sz w:val="18"/>
          <w:szCs w:val="18"/>
          <w:color w:val="auto"/>
        </w:rPr>
      </w:pPr>
    </w:p>
    <w:p>
      <w:pPr>
        <w:ind w:left="760" w:hanging="188"/>
        <w:spacing w:after="0"/>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760" w:hanging="188"/>
        <w:spacing w:after="0"/>
        <w:tabs>
          <w:tab w:leader="none" w:pos="7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2937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2937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1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25, 2023</w:t>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lvl w:ilvl="1">
      <w:lvlJc w:val="left"/>
      <w:lvlText w:val="*"/>
      <w:numFmt w:val="bullet"/>
      <w:start w:val="1"/>
    </w:lvl>
  </w:abstractNum>
  <w:abstractNum w:abstractNumId="28">
    <w:nsid w:val="1E7FF521"/>
    <w:multiLevelType w:val="hybridMultilevel"/>
    <w:lvl w:ilvl="0">
      <w:lvlJc w:val="left"/>
      <w:lvlText w:val="†"/>
      <w:numFmt w:val="bullet"/>
      <w:start w:val="1"/>
    </w:lvl>
    <w:lvl w:ilvl="1">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70" Type="http://schemas.openxmlformats.org/officeDocument/2006/relationships/hyperlink" Target="http://www.sec.gov/Archives/edgar/data/1467858/000119312510279214/dex32.htm" TargetMode="External"/><Relationship Id="rId71" Type="http://schemas.openxmlformats.org/officeDocument/2006/relationships/hyperlink" Target="https://www.sec.gov/Archives/edgar/data/1467858/000119312523110552/d415489dex31.htm" TargetMode="External"/><Relationship Id="rId72" Type="http://schemas.openxmlformats.org/officeDocument/2006/relationships/hyperlink" Target="https://www.sec.gov/Archives/edgar/data/1467858/000119312523086956/d826843dex101.htm" TargetMode="External"/><Relationship Id="rId73" Type="http://schemas.openxmlformats.org/officeDocument/2006/relationships/hyperlink" Target="https://www.sec.gov/Archives/edgar/data/1467858/000119312523086956/d826843dex102.htm" TargetMode="External"/><Relationship Id="rId74" Type="http://schemas.openxmlformats.org/officeDocument/2006/relationships/hyperlink" Target="https://www.sec.gov/Archives/edgar/data/1467858/000119312523086956/d82684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2023-04-25T14:41:39Z</dcterms:created>
  <dcterms:modified xsi:type="dcterms:W3CDTF">2023-04-25T14:41:39Z</dcterms:modified>
</cp:coreProperties>
</file>