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Bingol Selim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980"/>
        <w:spacing w:after="0" w:line="296" w:lineRule="auto"/>
        <w:rPr>
          <w:sz w:val="20"/>
          <w:szCs w:val="20"/>
          <w:color w:val="auto"/>
        </w:rPr>
      </w:pPr>
      <w:r>
        <w:rPr>
          <w:rFonts w:ascii="Times New Roman" w:cs="Times New Roman" w:eastAsia="Times New Roman" w:hAnsi="Times New Roman"/>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General Motors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12/31/2011</w:t>
      </w:r>
    </w:p>
    <w:p>
      <w:pPr>
        <w:spacing w:after="0" w:line="20" w:lineRule="exact"/>
        <w:rPr>
          <w:sz w:val="24"/>
          <w:szCs w:val="24"/>
          <w:color w:val="auto"/>
        </w:rPr>
      </w:pPr>
      <w:r>
        <w:rPr>
          <w:sz w:val="24"/>
          <w:szCs w:val="24"/>
          <w:color w:val="auto"/>
        </w:rPr>
        <w:br w:type="column"/>
      </w:r>
    </w:p>
    <w:p>
      <w:pPr>
        <w:ind w:left="3" w:right="58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39" w:lineRule="exact"/>
        <w:rPr>
          <w:sz w:val="24"/>
          <w:szCs w:val="24"/>
          <w:color w:val="auto"/>
        </w:rPr>
      </w:pPr>
    </w:p>
    <w:p>
      <w:pPr>
        <w:sectPr>
          <w:pgSz w:w="11900" w:h="16838" w:orient="portrait"/>
          <w:cols w:equalWidth="0" w:num="3">
            <w:col w:w="3360" w:space="720"/>
            <w:col w:w="3257" w:space="720"/>
            <w:col w:w="3423"/>
          </w:cols>
          <w:pgMar w:left="240" w:top="220" w:right="17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760" w:type="dxa"/>
            <w:vAlign w:val="bottom"/>
            <w:gridSpan w:val="7"/>
          </w:tcPr>
          <w:p>
            <w:pPr>
              <w:jc w:val="right"/>
              <w:ind w:right="112"/>
              <w:spacing w:after="0" w:line="119"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19"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80" w:type="dxa"/>
            <w:vAlign w:val="bottom"/>
            <w:gridSpan w:val="2"/>
            <w:vMerge w:val="restart"/>
          </w:tcPr>
          <w:p>
            <w:pPr>
              <w:jc w:val="right"/>
              <w:ind w:right="3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12/31/2011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4"/>
                <w:szCs w:val="14"/>
                <w:color w:val="0000FF"/>
                <w:w w:val="96"/>
              </w:rPr>
              <w:t>M</w:t>
            </w:r>
          </w:p>
        </w:tc>
        <w:tc>
          <w:tcPr>
            <w:tcW w:w="70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8"/>
                <w:szCs w:val="18"/>
                <w:color w:val="0000FF"/>
              </w:rPr>
              <w:t>454</w:t>
            </w:r>
          </w:p>
        </w:tc>
        <w:tc>
          <w:tcPr>
            <w:tcW w:w="68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5"/>
                <w:vertAlign w:val="subscript"/>
              </w:rPr>
              <w:t>$</w:t>
            </w:r>
            <w:r>
              <w:rPr>
                <w:rFonts w:ascii="Times New Roman" w:cs="Times New Roman" w:eastAsia="Times New Roman" w:hAnsi="Times New Roman"/>
                <w:sz w:val="35"/>
                <w:szCs w:val="35"/>
                <w:color w:val="0000FF"/>
                <w:w w:val="85"/>
                <w:vertAlign w:val="subscript"/>
              </w:rPr>
              <w:t>0</w:t>
            </w:r>
            <w:r>
              <w:rPr>
                <w:rFonts w:ascii="Times New Roman" w:cs="Times New Roman" w:eastAsia="Times New Roman" w:hAnsi="Times New Roman"/>
                <w:sz w:val="11"/>
                <w:szCs w:val="11"/>
                <w:color w:val="008000"/>
                <w:w w:val="85"/>
              </w:rPr>
              <w:t>(2)</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8,374</w:t>
            </w:r>
          </w:p>
        </w:tc>
        <w:tc>
          <w:tcPr>
            <w:tcW w:w="9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12/31/2011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8"/>
                <w:szCs w:val="18"/>
                <w:color w:val="0000FF"/>
              </w:rPr>
              <w:t>165</w:t>
            </w:r>
          </w:p>
        </w:tc>
        <w:tc>
          <w:tcPr>
            <w:tcW w:w="68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20.21</w:t>
            </w:r>
            <w:r>
              <w:rPr>
                <w:rFonts w:ascii="Times New Roman" w:cs="Times New Roman" w:eastAsia="Times New Roman" w:hAnsi="Times New Roman"/>
                <w:sz w:val="22"/>
                <w:szCs w:val="22"/>
                <w:color w:val="008000"/>
                <w:w w:val="91"/>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8,209</w:t>
            </w:r>
          </w:p>
        </w:tc>
        <w:tc>
          <w:tcPr>
            <w:tcW w:w="9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12/31/2011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Times New Roman" w:cs="Times New Roman" w:eastAsia="Times New Roman" w:hAnsi="Times New Roman"/>
                <w:sz w:val="14"/>
                <w:szCs w:val="14"/>
                <w:color w:val="0000FF"/>
                <w:w w:val="98"/>
              </w:rPr>
              <w:t>A</w:t>
            </w:r>
          </w:p>
        </w:tc>
        <w:tc>
          <w:tcPr>
            <w:tcW w:w="70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8"/>
                <w:szCs w:val="18"/>
                <w:color w:val="0000FF"/>
                <w:w w:val="98"/>
              </w:rPr>
              <w:t>3,402</w:t>
            </w:r>
          </w:p>
        </w:tc>
        <w:tc>
          <w:tcPr>
            <w:tcW w:w="68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5"/>
                <w:vertAlign w:val="subscript"/>
              </w:rPr>
              <w:t>$</w:t>
            </w:r>
            <w:r>
              <w:rPr>
                <w:rFonts w:ascii="Times New Roman" w:cs="Times New Roman" w:eastAsia="Times New Roman" w:hAnsi="Times New Roman"/>
                <w:sz w:val="35"/>
                <w:szCs w:val="35"/>
                <w:color w:val="0000FF"/>
                <w:w w:val="85"/>
                <w:vertAlign w:val="subscript"/>
              </w:rPr>
              <w:t>0</w:t>
            </w:r>
            <w:r>
              <w:rPr>
                <w:rFonts w:ascii="Times New Roman" w:cs="Times New Roman" w:eastAsia="Times New Roman" w:hAnsi="Times New Roman"/>
                <w:sz w:val="11"/>
                <w:szCs w:val="11"/>
                <w:color w:val="008000"/>
                <w:w w:val="85"/>
              </w:rPr>
              <w:t>(2)</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11,611</w:t>
            </w:r>
          </w:p>
        </w:tc>
        <w:tc>
          <w:tcPr>
            <w:tcW w:w="9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gridSpan w:val="11"/>
          </w:tcPr>
          <w:p>
            <w:pPr>
              <w:jc w:val="center"/>
              <w:ind w:left="3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color w:val="0000FF"/>
              </w:rPr>
              <w:t>454</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8" w:lineRule="exact"/>
              <w:rPr>
                <w:sz w:val="20"/>
                <w:szCs w:val="20"/>
                <w:color w:val="auto"/>
              </w:rPr>
            </w:pPr>
            <w:r>
              <w:rPr>
                <w:rFonts w:ascii="Times New Roman" w:cs="Times New Roman" w:eastAsia="Times New Roman" w:hAnsi="Times New Roman"/>
                <w:sz w:val="14"/>
                <w:szCs w:val="14"/>
                <w:color w:val="0000FF"/>
              </w:rPr>
              <w:t>12/31/2011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220" w:type="dxa"/>
            <w:vAlign w:val="bottom"/>
          </w:tcPr>
          <w:p>
            <w:pPr>
              <w:spacing w:after="0"/>
              <w:rPr>
                <w:sz w:val="7"/>
                <w:szCs w:val="7"/>
                <w:color w:val="auto"/>
              </w:rPr>
            </w:pPr>
          </w:p>
        </w:tc>
        <w:tc>
          <w:tcPr>
            <w:tcW w:w="800" w:type="dxa"/>
            <w:vAlign w:val="bottom"/>
            <w:vMerge w:val="restart"/>
          </w:tcPr>
          <w:p>
            <w:pPr>
              <w:ind w:left="460"/>
              <w:spacing w:after="0" w:line="148" w:lineRule="exact"/>
              <w:rPr>
                <w:sz w:val="20"/>
                <w:szCs w:val="20"/>
                <w:color w:val="auto"/>
              </w:rPr>
            </w:pPr>
            <w:r>
              <w:rPr>
                <w:rFonts w:ascii="Times New Roman" w:cs="Times New Roman" w:eastAsia="Times New Roman" w:hAnsi="Times New Roman"/>
                <w:sz w:val="14"/>
                <w:szCs w:val="14"/>
                <w:color w:val="0000FF"/>
              </w:rPr>
              <w:t>454</w:t>
            </w:r>
          </w:p>
        </w:tc>
        <w:tc>
          <w:tcPr>
            <w:tcW w:w="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8" w:lineRule="exact"/>
              <w:rPr>
                <w:sz w:val="20"/>
                <w:szCs w:val="20"/>
                <w:color w:val="auto"/>
              </w:rPr>
            </w:pPr>
            <w:r>
              <w:rPr>
                <w:rFonts w:ascii="Times New Roman" w:cs="Times New Roman" w:eastAsia="Times New Roman" w:hAnsi="Times New Roman"/>
                <w:sz w:val="14"/>
                <w:szCs w:val="14"/>
                <w:color w:val="0000FF"/>
              </w:rPr>
              <w:t>906</w:t>
            </w:r>
          </w:p>
        </w:tc>
        <w:tc>
          <w:tcPr>
            <w:tcW w:w="940" w:type="dxa"/>
            <w:vAlign w:val="bottom"/>
            <w:vMerge w:val="restart"/>
          </w:tcPr>
          <w:p>
            <w:pPr>
              <w:ind w:left="56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3" w:lineRule="exact"/>
        <w:rPr>
          <w:sz w:val="24"/>
          <w:szCs w:val="24"/>
          <w:color w:val="auto"/>
        </w:rPr>
      </w:pPr>
    </w:p>
    <w:p>
      <w:pPr>
        <w:ind w:left="40" w:right="1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Common Stock reported in this item was issued upon the settlement of a portion of a grant of Salary Stock Units ("SSUs) issued on December 31, 2010 pursuant to the Company's Salary Stock Plan (the "GMSSP") and vested upon grant. The portion of this award currently payable was settled on December 31, 2011 in shares of the Company's Common Stock, less a portion withheld for taxes.</w:t>
      </w:r>
    </w:p>
    <w:p>
      <w:pPr>
        <w:spacing w:after="0" w:line="27" w:lineRule="exact"/>
        <w:rPr>
          <w:rFonts w:ascii="Times New Roman" w:cs="Times New Roman" w:eastAsia="Times New Roman" w:hAnsi="Times New Roman"/>
          <w:sz w:val="14"/>
          <w:szCs w:val="14"/>
          <w:color w:val="008000"/>
        </w:rPr>
      </w:pPr>
    </w:p>
    <w:p>
      <w:pPr>
        <w:ind w:left="40" w:right="2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8" w:lineRule="exact"/>
        <w:rPr>
          <w:rFonts w:ascii="Times New Roman" w:cs="Times New Roman" w:eastAsia="Times New Roman" w:hAnsi="Times New Roman"/>
          <w:sz w:val="14"/>
          <w:szCs w:val="14"/>
          <w:color w:val="008000"/>
        </w:rPr>
      </w:pPr>
    </w:p>
    <w:p>
      <w:pPr>
        <w:ind w:left="40" w:right="3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6"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01/04/2012</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 for Mr. Bingol</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2019-12-17T01:18:53Z</dcterms:created>
  <dcterms:modified xsi:type="dcterms:W3CDTF">2019-12-17T01:18:53Z</dcterms:modified>
</cp:coreProperties>
</file>