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333-236276</w:t>
      </w:r>
    </w:p>
    <w:p>
      <w:pPr>
        <w:spacing w:after="0" w:line="135" w:lineRule="exact"/>
        <w:rPr>
          <w:sz w:val="24"/>
          <w:szCs w:val="24"/>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This preliminary prospectus supplement and the accompanying prospectus are not an offer to sell these securities, and we are not soliciting offers to buy these securities, in any state or jurisdiction where the offer or sale is not permitted.</w:t>
      </w:r>
    </w:p>
    <w:p>
      <w:pPr>
        <w:spacing w:after="0" w:line="103"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FF4338"/>
        </w:rPr>
        <w:t>SUBJECT TO COMPLETION, DATED JULY 28, 2022</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5, 2020)</w:t>
      </w:r>
    </w:p>
    <w:p>
      <w:pPr>
        <w:spacing w:after="0" w:line="178"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1830705</wp:posOffset>
            </wp:positionH>
            <wp:positionV relativeFrom="paragraph">
              <wp:posOffset>182245</wp:posOffset>
            </wp:positionV>
            <wp:extent cx="348043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04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4740" w:hanging="939"/>
        <w:spacing w:after="0"/>
        <w:tabs>
          <w:tab w:leader="none" w:pos="474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w:t>
      </w:r>
    </w:p>
    <w:p>
      <w:pPr>
        <w:spacing w:after="0" w:line="43" w:lineRule="exact"/>
        <w:rPr>
          <w:rFonts w:ascii="Times New Roman" w:cs="Times New Roman" w:eastAsia="Times New Roman" w:hAnsi="Times New Roman"/>
          <w:sz w:val="25"/>
          <w:szCs w:val="25"/>
          <w:b w:val="1"/>
          <w:bCs w:val="1"/>
          <w:color w:val="auto"/>
        </w:rPr>
      </w:pPr>
    </w:p>
    <w:p>
      <w:pPr>
        <w:ind w:left="4740" w:hanging="939"/>
        <w:spacing w:after="0"/>
        <w:tabs>
          <w:tab w:leader="none" w:pos="474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234315</wp:posOffset>
            </wp:positionV>
            <wp:extent cx="1491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p>
      <w:pPr>
        <w:spacing w:after="0" w:line="200" w:lineRule="exact"/>
        <w:rPr>
          <w:sz w:val="24"/>
          <w:szCs w:val="24"/>
          <w:color w:val="auto"/>
        </w:rPr>
      </w:pPr>
    </w:p>
    <w:p>
      <w:pPr>
        <w:spacing w:after="0" w:line="380" w:lineRule="exact"/>
        <w:rPr>
          <w:sz w:val="24"/>
          <w:szCs w:val="24"/>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General Motors Company is offering $ principal amount of % Senior Notes due 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0" w:lineRule="exact"/>
        <w:rPr>
          <w:sz w:val="24"/>
          <w:szCs w:val="24"/>
          <w:color w:val="auto"/>
        </w:rPr>
      </w:pPr>
    </w:p>
    <w:p>
      <w:pPr>
        <w:ind w:left="120"/>
        <w:spacing w:after="0"/>
        <w:tabs>
          <w:tab w:leader="none" w:pos="2680" w:val="left"/>
          <w:tab w:leader="none" w:pos="4560" w:val="left"/>
          <w:tab w:leader="none" w:pos="5360" w:val="left"/>
          <w:tab w:leader="none" w:pos="6780" w:val="left"/>
        </w:tabs>
        <w:rPr>
          <w:sz w:val="20"/>
          <w:szCs w:val="20"/>
          <w:color w:val="auto"/>
        </w:rPr>
      </w:pPr>
      <w:r>
        <w:rPr>
          <w:rFonts w:ascii="Times New Roman" w:cs="Times New Roman" w:eastAsia="Times New Roman" w:hAnsi="Times New Roman"/>
          <w:sz w:val="18"/>
          <w:szCs w:val="18"/>
          <w:color w:val="auto"/>
        </w:rPr>
        <w:t>in aggregate principal amount of</w:t>
        <w:tab/>
        <w:t>% Senior Notes due 20</w:t>
        <w:tab/>
        <w:t>(the “20</w:t>
        <w:tab/>
        <w:t>Notes”) and $</w:t>
      </w:r>
      <w:r>
        <w:rPr>
          <w:sz w:val="20"/>
          <w:szCs w:val="20"/>
          <w:color w:val="auto"/>
        </w:rPr>
        <w:tab/>
      </w:r>
      <w:r>
        <w:rPr>
          <w:rFonts w:ascii="Times New Roman" w:cs="Times New Roman" w:eastAsia="Times New Roman" w:hAnsi="Times New Roman"/>
          <w:sz w:val="17"/>
          <w:szCs w:val="17"/>
          <w:color w:val="auto"/>
        </w:rPr>
        <w:t>in aggregate</w:t>
      </w:r>
    </w:p>
    <w:p>
      <w:pPr>
        <w:spacing w:after="0" w:line="27" w:lineRule="exact"/>
        <w:rPr>
          <w:sz w:val="24"/>
          <w:szCs w:val="24"/>
          <w:color w:val="auto"/>
        </w:rPr>
      </w:pPr>
    </w:p>
    <w:p>
      <w:pPr>
        <w:spacing w:after="0"/>
        <w:tabs>
          <w:tab w:leader="none" w:pos="780" w:val="left"/>
          <w:tab w:leader="none" w:pos="3600" w:val="left"/>
        </w:tabs>
        <w:rPr>
          <w:sz w:val="20"/>
          <w:szCs w:val="20"/>
          <w:color w:val="auto"/>
        </w:rPr>
      </w:pPr>
      <w:r>
        <w:rPr>
          <w:rFonts w:ascii="Times New Roman" w:cs="Times New Roman" w:eastAsia="Times New Roman" w:hAnsi="Times New Roman"/>
          <w:sz w:val="18"/>
          <w:szCs w:val="18"/>
          <w:color w:val="auto"/>
        </w:rPr>
        <w:t>(the “20</w:t>
        <w:tab/>
        <w:t>Notes” and, collectively with the 20</w:t>
      </w:r>
      <w:r>
        <w:rPr>
          <w:sz w:val="20"/>
          <w:szCs w:val="20"/>
          <w:color w:val="auto"/>
        </w:rPr>
        <w:tab/>
      </w:r>
      <w:r>
        <w:rPr>
          <w:rFonts w:ascii="Times New Roman" w:cs="Times New Roman" w:eastAsia="Times New Roman" w:hAnsi="Times New Roman"/>
          <w:sz w:val="17"/>
          <w:szCs w:val="17"/>
          <w:color w:val="auto"/>
        </w:rPr>
        <w:t>Notes, the “Notes”).</w:t>
      </w:r>
    </w:p>
    <w:p>
      <w:pPr>
        <w:spacing w:after="0" w:line="207" w:lineRule="exact"/>
        <w:rPr>
          <w:sz w:val="24"/>
          <w:szCs w:val="24"/>
          <w:color w:val="auto"/>
        </w:rPr>
      </w:pPr>
    </w:p>
    <w:p>
      <w:pPr>
        <w:sectPr>
          <w:pgSz w:w="11900" w:h="16838" w:orient="portrait"/>
          <w:cols w:equalWidth="0" w:num="2">
            <w:col w:w="3320" w:space="220"/>
            <w:col w:w="7700"/>
          </w:cols>
          <w:pgMar w:left="320" w:top="226" w:right="339" w:bottom="1440" w:gutter="0" w:footer="0" w:header="0"/>
          <w:type w:val="continuous"/>
        </w:sectPr>
      </w:pPr>
    </w:p>
    <w:p>
      <w:pPr>
        <w:ind w:left="460"/>
        <w:spacing w:after="0"/>
        <w:tabs>
          <w:tab w:leader="none" w:pos="1160" w:val="left"/>
          <w:tab w:leader="none" w:pos="3440" w:val="left"/>
          <w:tab w:leader="none" w:pos="3940" w:val="left"/>
          <w:tab w:leader="none" w:pos="4920" w:val="left"/>
          <w:tab w:leader="none" w:pos="7200" w:val="left"/>
          <w:tab w:leader="none" w:pos="7640" w:val="left"/>
        </w:tabs>
        <w:rPr>
          <w:sz w:val="20"/>
          <w:szCs w:val="20"/>
          <w:color w:val="auto"/>
        </w:rPr>
      </w:pPr>
      <w:r>
        <w:rPr>
          <w:rFonts w:ascii="Times New Roman" w:cs="Times New Roman" w:eastAsia="Times New Roman" w:hAnsi="Times New Roman"/>
          <w:sz w:val="18"/>
          <w:szCs w:val="18"/>
          <w:color w:val="auto"/>
        </w:rPr>
        <w:t>The 20</w:t>
        <w:tab/>
        <w:t>Notes will mature on</w:t>
      </w:r>
      <w:r>
        <w:rPr>
          <w:sz w:val="20"/>
          <w:szCs w:val="20"/>
          <w:color w:val="auto"/>
        </w:rPr>
        <w:tab/>
      </w:r>
      <w:r>
        <w:rPr>
          <w:rFonts w:ascii="Times New Roman" w:cs="Times New Roman" w:eastAsia="Times New Roman" w:hAnsi="Times New Roman"/>
          <w:sz w:val="18"/>
          <w:szCs w:val="18"/>
          <w:color w:val="auto"/>
        </w:rPr>
        <w:t>, 20</w:t>
        <w:tab/>
        <w:t>and the 20</w:t>
        <w:tab/>
        <w:t>Notes will mature on</w:t>
      </w:r>
      <w:r>
        <w:rPr>
          <w:sz w:val="20"/>
          <w:szCs w:val="20"/>
          <w:color w:val="auto"/>
        </w:rPr>
        <w:tab/>
      </w:r>
      <w:r>
        <w:rPr>
          <w:rFonts w:ascii="Times New Roman" w:cs="Times New Roman" w:eastAsia="Times New Roman" w:hAnsi="Times New Roman"/>
          <w:sz w:val="18"/>
          <w:szCs w:val="18"/>
          <w:color w:val="auto"/>
        </w:rPr>
        <w:t>, 20</w:t>
        <w:tab/>
        <w:t>. Interest on the Notes will accrue from</w:t>
      </w:r>
    </w:p>
    <w:p>
      <w:pPr>
        <w:spacing w:after="0" w:line="27" w:lineRule="exact"/>
        <w:rPr>
          <w:sz w:val="24"/>
          <w:szCs w:val="24"/>
          <w:color w:val="auto"/>
        </w:rPr>
      </w:pPr>
    </w:p>
    <w:p>
      <w:pPr>
        <w:ind w:left="720"/>
        <w:spacing w:after="0"/>
        <w:tabs>
          <w:tab w:leader="none" w:pos="5740" w:val="left"/>
          <w:tab w:leader="none" w:pos="6800" w:val="left"/>
          <w:tab w:leader="none" w:pos="9700" w:val="left"/>
        </w:tabs>
        <w:rPr>
          <w:sz w:val="20"/>
          <w:szCs w:val="20"/>
          <w:color w:val="auto"/>
        </w:rPr>
      </w:pPr>
      <w:r>
        <w:rPr>
          <w:rFonts w:ascii="Times New Roman" w:cs="Times New Roman" w:eastAsia="Times New Roman" w:hAnsi="Times New Roman"/>
          <w:sz w:val="18"/>
          <w:szCs w:val="18"/>
          <w:color w:val="auto"/>
        </w:rPr>
        <w:t>, 2022. We will pay interest on the Notes semi-annually 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of each year, commencing on</w:t>
      </w:r>
      <w:r>
        <w:rPr>
          <w:sz w:val="20"/>
          <w:szCs w:val="20"/>
          <w:color w:val="auto"/>
        </w:rPr>
        <w:tab/>
      </w:r>
      <w:r>
        <w:rPr>
          <w:rFonts w:ascii="Times New Roman" w:cs="Times New Roman" w:eastAsia="Times New Roman" w:hAnsi="Times New Roman"/>
          <w:sz w:val="17"/>
          <w:szCs w:val="17"/>
          <w:color w:val="auto"/>
        </w:rPr>
        <w:t>, 2023. The Notes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will be our senior unsecured obligations and will rank equally in right of payment with all of our existing and future senior unsecured indebtedness.</w:t>
      </w:r>
    </w:p>
    <w:p>
      <w:pPr>
        <w:spacing w:after="0" w:line="207" w:lineRule="exact"/>
        <w:rPr>
          <w:sz w:val="24"/>
          <w:szCs w:val="24"/>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We may, at our option, redeem some or all of the 20 Notes and the 20 Notes at any time and from time to time at the applicable redemption prices described under “Description of the Notes—Optional Redemption.”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200025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right="120" w:firstLine="449"/>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S-6 of this prospectus supplement, in the accompanying prospectus and in our periodic reports filed from time to time with the Securities and Exchange Commission.</w:t>
      </w:r>
    </w:p>
    <w:p>
      <w:pPr>
        <w:spacing w:after="0" w:line="180" w:lineRule="exact"/>
        <w:rPr>
          <w:sz w:val="24"/>
          <w:szCs w:val="24"/>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Per</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Per</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60" w:type="dxa"/>
            <w:vAlign w:val="bottom"/>
            <w:gridSpan w:val="2"/>
          </w:tcPr>
          <w:p>
            <w:pPr>
              <w:ind w:left="3180"/>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60" w:type="dxa"/>
            <w:vAlign w:val="bottom"/>
            <w:gridSpan w:val="2"/>
          </w:tcPr>
          <w:p>
            <w:pPr>
              <w:ind w:left="318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1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Price to Public</w:t>
            </w:r>
            <w:r>
              <w:rPr>
                <w:rFonts w:ascii="Times New Roman" w:cs="Times New Roman" w:eastAsia="Times New Roman" w:hAnsi="Times New Roman"/>
                <w:sz w:val="24"/>
                <w:szCs w:val="24"/>
                <w:color w:val="auto"/>
                <w:vertAlign w:val="superscript"/>
              </w:rPr>
              <w:t>(1)</w:t>
            </w:r>
          </w:p>
        </w:tc>
        <w:tc>
          <w:tcPr>
            <w:tcW w:w="3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72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before expenses, to us</w:t>
            </w:r>
            <w:r>
              <w:rPr>
                <w:rFonts w:ascii="Times New Roman" w:cs="Times New Roman" w:eastAsia="Times New Roman" w:hAnsi="Times New Roman"/>
                <w:sz w:val="25"/>
                <w:szCs w:val="25"/>
                <w:color w:val="auto"/>
                <w:vertAlign w:val="superscript"/>
              </w:rPr>
              <w:t>(1)</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72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auto"/>
            </w:tcBorders>
            <w:gridSpan w:val="2"/>
          </w:tcPr>
          <w:p>
            <w:pPr>
              <w:spacing w:after="0"/>
              <w:rPr>
                <w:sz w:val="11"/>
                <w:szCs w:val="11"/>
                <w:color w:val="auto"/>
              </w:rPr>
            </w:pPr>
          </w:p>
        </w:tc>
        <w:tc>
          <w:tcPr>
            <w:tcW w:w="3040" w:type="dxa"/>
            <w:vAlign w:val="bottom"/>
          </w:tcPr>
          <w:p>
            <w:pPr>
              <w:spacing w:after="0"/>
              <w:rPr>
                <w:sz w:val="11"/>
                <w:szCs w:val="11"/>
                <w:color w:val="auto"/>
              </w:rPr>
            </w:pPr>
          </w:p>
        </w:tc>
        <w:tc>
          <w:tcPr>
            <w:tcW w:w="34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Plus accrued interest, if any, from and including</w:t>
            </w: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2022 to but excluding the delivery date.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underwriters expect to deliver the Notes to purchasers in book-entry form through the facilities of The Depository Trust Company and its participants,</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including Euroclear Bank SA/NV (“Euroclear”) and Clearstream Banking, S.A. (“Clearstream”), on or about</w:t>
            </w:r>
          </w:p>
        </w:tc>
        <w:tc>
          <w:tcPr>
            <w:tcW w:w="1640" w:type="dxa"/>
            <w:vAlign w:val="bottom"/>
          </w:tcPr>
          <w:p>
            <w:pPr>
              <w:jc w:val="right"/>
              <w:ind w:right="281"/>
              <w:spacing w:after="0"/>
              <w:rPr>
                <w:sz w:val="20"/>
                <w:szCs w:val="20"/>
                <w:color w:val="auto"/>
              </w:rPr>
            </w:pPr>
            <w:r>
              <w:rPr>
                <w:rFonts w:ascii="Times New Roman" w:cs="Times New Roman" w:eastAsia="Times New Roman" w:hAnsi="Times New Roman"/>
                <w:sz w:val="18"/>
                <w:szCs w:val="18"/>
                <w:color w:val="auto"/>
              </w:rPr>
              <w:t>, 2022.</w:t>
            </w:r>
          </w:p>
        </w:tc>
        <w:tc>
          <w:tcPr>
            <w:tcW w:w="1740" w:type="dxa"/>
            <w:vAlign w:val="bottom"/>
          </w:tcPr>
          <w:p>
            <w:pPr>
              <w:spacing w:after="0"/>
              <w:rPr>
                <w:sz w:val="20"/>
                <w:szCs w:val="20"/>
                <w:color w:val="auto"/>
              </w:rPr>
            </w:pPr>
          </w:p>
        </w:tc>
      </w:tr>
      <w:tr>
        <w:trPr>
          <w:trHeight w:val="333"/>
        </w:trPr>
        <w:tc>
          <w:tcPr>
            <w:tcW w:w="1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25"/>
        </w:trPr>
        <w:tc>
          <w:tcPr>
            <w:tcW w:w="1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20" w:type="dxa"/>
            <w:vAlign w:val="bottom"/>
            <w:gridSpan w:val="2"/>
          </w:tcPr>
          <w:p>
            <w:pPr>
              <w:jc w:val="center"/>
              <w:ind w:right="932"/>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563"/>
        </w:trPr>
        <w:tc>
          <w:tcPr>
            <w:tcW w:w="1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21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BNP PARIBAS</w:t>
            </w:r>
          </w:p>
        </w:tc>
        <w:tc>
          <w:tcPr>
            <w:tcW w:w="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00" w:type="dxa"/>
            <w:vAlign w:val="bottom"/>
            <w:gridSpan w:val="2"/>
          </w:tcPr>
          <w:p>
            <w:pPr>
              <w:jc w:val="right"/>
              <w:ind w:right="181"/>
              <w:spacing w:after="0"/>
              <w:rPr>
                <w:sz w:val="20"/>
                <w:szCs w:val="20"/>
                <w:color w:val="auto"/>
              </w:rPr>
            </w:pPr>
            <w:r>
              <w:rPr>
                <w:rFonts w:ascii="Times New Roman" w:cs="Times New Roman" w:eastAsia="Times New Roman" w:hAnsi="Times New Roman"/>
                <w:sz w:val="22"/>
                <w:szCs w:val="22"/>
                <w:b w:val="1"/>
                <w:bCs w:val="1"/>
                <w:color w:val="auto"/>
              </w:rPr>
              <w:t>BofA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Citigroup</w:t>
            </w:r>
          </w:p>
        </w:tc>
      </w:tr>
      <w:tr>
        <w:trPr>
          <w:trHeight w:val="286"/>
        </w:trPr>
        <w:tc>
          <w:tcPr>
            <w:tcW w:w="1780" w:type="dxa"/>
            <w:vAlign w:val="bottom"/>
          </w:tcPr>
          <w:p>
            <w:pPr>
              <w:spacing w:after="0"/>
              <w:rPr>
                <w:sz w:val="24"/>
                <w:szCs w:val="24"/>
                <w:color w:val="auto"/>
              </w:rPr>
            </w:pPr>
          </w:p>
        </w:tc>
        <w:tc>
          <w:tcPr>
            <w:tcW w:w="2160" w:type="dxa"/>
            <w:vAlign w:val="bottom"/>
          </w:tcPr>
          <w:p>
            <w:pPr>
              <w:ind w:left="40"/>
              <w:spacing w:after="0"/>
              <w:rPr>
                <w:sz w:val="20"/>
                <w:szCs w:val="20"/>
                <w:color w:val="auto"/>
              </w:rPr>
            </w:pPr>
            <w:r>
              <w:rPr>
                <w:rFonts w:ascii="Times New Roman" w:cs="Times New Roman" w:eastAsia="Times New Roman" w:hAnsi="Times New Roman"/>
                <w:sz w:val="22"/>
                <w:szCs w:val="22"/>
                <w:i w:val="1"/>
                <w:iCs w:val="1"/>
                <w:color w:val="auto"/>
              </w:rPr>
              <w:t>Sustainability Agent</w:t>
            </w:r>
          </w:p>
        </w:tc>
        <w:tc>
          <w:tcPr>
            <w:tcW w:w="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1"/>
        </w:trPr>
        <w:tc>
          <w:tcPr>
            <w:tcW w:w="3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Credit Agricole CIB</w:t>
            </w:r>
          </w:p>
        </w:tc>
        <w:tc>
          <w:tcPr>
            <w:tcW w:w="3920" w:type="dxa"/>
            <w:vAlign w:val="bottom"/>
            <w:gridSpan w:val="3"/>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8"/>
              </w:rPr>
              <w:t>Goldman Sachs &amp; Co. LLC</w:t>
            </w:r>
          </w:p>
        </w:tc>
        <w:tc>
          <w:tcPr>
            <w:tcW w:w="1640" w:type="dxa"/>
            <w:vAlign w:val="bottom"/>
          </w:tcPr>
          <w:p>
            <w:pPr>
              <w:jc w:val="right"/>
              <w:ind w:right="401"/>
              <w:spacing w:after="0"/>
              <w:rPr>
                <w:sz w:val="20"/>
                <w:szCs w:val="20"/>
                <w:color w:val="auto"/>
              </w:rPr>
            </w:pPr>
            <w:r>
              <w:rPr>
                <w:rFonts w:ascii="Times New Roman" w:cs="Times New Roman" w:eastAsia="Times New Roman" w:hAnsi="Times New Roman"/>
                <w:sz w:val="22"/>
                <w:szCs w:val="22"/>
                <w:b w:val="1"/>
                <w:bCs w:val="1"/>
                <w:color w:val="auto"/>
                <w:w w:val="95"/>
              </w:rPr>
              <w:t>J.P. Morgan</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Morgan Stanley</w:t>
            </w:r>
          </w:p>
        </w:tc>
      </w:tr>
      <w:tr>
        <w:trPr>
          <w:trHeight w:val="286"/>
        </w:trPr>
        <w:tc>
          <w:tcPr>
            <w:tcW w:w="17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w w:val="98"/>
              </w:rPr>
              <w:t>Sustainability Agent</w:t>
            </w: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95" w:lineRule="exact"/>
        <w:rPr>
          <w:sz w:val="24"/>
          <w:szCs w:val="24"/>
          <w:color w:val="auto"/>
        </w:rPr>
      </w:pPr>
    </w:p>
    <w:p>
      <w:pPr>
        <w:sectPr>
          <w:pgSz w:w="11900" w:h="16838" w:orient="portrait"/>
          <w:cols w:equalWidth="0" w:num="1">
            <w:col w:w="11240"/>
          </w:cols>
          <w:pgMar w:left="320" w:top="226" w:right="339" w:bottom="1440" w:gutter="0" w:footer="0" w:header="0"/>
          <w:type w:val="continuous"/>
        </w:sect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The date of this prospectus supplement is July</w:t>
        <w:tab/>
        <w:t>, 2022.</w:t>
      </w:r>
    </w:p>
    <w:p>
      <w:pPr>
        <w:sectPr>
          <w:pgSz w:w="11900" w:h="16838" w:orient="portrait"/>
          <w:cols w:equalWidth="0" w:num="1">
            <w:col w:w="11240"/>
          </w:cols>
          <w:pgMar w:left="320" w:top="2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60" w:type="dxa"/>
            <w:vAlign w:val="bottom"/>
          </w:tcPr>
          <w:p>
            <w:pPr>
              <w:spacing w:after="0"/>
              <w:rPr>
                <w:sz w:val="17"/>
                <w:szCs w:val="17"/>
                <w:color w:val="auto"/>
              </w:rPr>
            </w:pPr>
          </w:p>
        </w:tc>
      </w:tr>
      <w:tr>
        <w:trPr>
          <w:trHeight w:val="533"/>
        </w:trPr>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6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60" w:type="dxa"/>
            <w:vAlign w:val="bottom"/>
          </w:tcPr>
          <w:p>
            <w:pPr>
              <w:spacing w:after="0"/>
              <w:rPr>
                <w:sz w:val="24"/>
                <w:szCs w:val="24"/>
                <w:color w:val="auto"/>
              </w:rPr>
            </w:pPr>
          </w:p>
        </w:tc>
      </w:tr>
      <w:tr>
        <w:trPr>
          <w:trHeight w:val="418"/>
        </w:trPr>
        <w:tc>
          <w:tcPr>
            <w:tcW w:w="87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29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500" w:type="dxa"/>
            <w:vAlign w:val="bottom"/>
            <w:tcBorders>
              <w:top w:val="single" w:sz="8" w:color="0000EE"/>
            </w:tcBorders>
            <w:gridSpan w:val="6"/>
          </w:tcPr>
          <w:p>
            <w:pPr>
              <w:spacing w:after="0"/>
              <w:rPr>
                <w:sz w:val="17"/>
                <w:szCs w:val="17"/>
                <w:color w:val="auto"/>
              </w:rPr>
            </w:pPr>
          </w:p>
        </w:tc>
        <w:tc>
          <w:tcPr>
            <w:tcW w:w="528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SUMMARY</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46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NOTES</w:t>
            </w:r>
          </w:p>
        </w:tc>
        <w:tc>
          <w:tcPr>
            <w:tcW w:w="624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U.S. FEDERAL TAX CONSIDERATIONS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14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UNDERWRITING</w:t>
            </w:r>
          </w:p>
        </w:tc>
        <w:tc>
          <w:tcPr>
            <w:tcW w:w="1760" w:type="dxa"/>
            <w:vAlign w:val="bottom"/>
            <w:tcBorders>
              <w:top w:val="single" w:sz="8" w:color="0000EE"/>
            </w:tcBorders>
            <w:gridSpan w:val="12"/>
          </w:tcPr>
          <w:p>
            <w:pPr>
              <w:spacing w:after="0"/>
              <w:rPr>
                <w:sz w:val="17"/>
                <w:szCs w:val="17"/>
                <w:color w:val="auto"/>
              </w:rPr>
            </w:pPr>
          </w:p>
        </w:tc>
        <w:tc>
          <w:tcPr>
            <w:tcW w:w="556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DOCUMENTS BY REFERENCE</w:t>
            </w:r>
          </w:p>
        </w:tc>
        <w:tc>
          <w:tcPr>
            <w:tcW w:w="364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S-32</w:t>
            </w:r>
          </w:p>
        </w:tc>
      </w:tr>
      <w:tr>
        <w:trPr>
          <w:trHeight w:val="561"/>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6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60" w:type="dxa"/>
            <w:vAlign w:val="bottom"/>
          </w:tcPr>
          <w:p>
            <w:pPr>
              <w:spacing w:after="0"/>
              <w:rPr>
                <w:sz w:val="24"/>
                <w:szCs w:val="24"/>
                <w:color w:val="auto"/>
              </w:rPr>
            </w:pPr>
          </w:p>
        </w:tc>
      </w:tr>
      <w:tr>
        <w:trPr>
          <w:trHeight w:val="418"/>
        </w:trPr>
        <w:tc>
          <w:tcPr>
            <w:tcW w:w="2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6480" w:type="dxa"/>
            <w:vAlign w:val="bottom"/>
            <w:gridSpan w:val="14"/>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3800" w:type="dxa"/>
            <w:vAlign w:val="bottom"/>
            <w:tcBorders>
              <w:top w:val="single" w:sz="8" w:color="0000EE"/>
            </w:tcBorders>
            <w:gridSpan w:val="17"/>
          </w:tcPr>
          <w:p>
            <w:pPr>
              <w:spacing w:after="0"/>
              <w:rPr>
                <w:sz w:val="17"/>
                <w:szCs w:val="17"/>
                <w:color w:val="auto"/>
              </w:rPr>
            </w:pPr>
          </w:p>
        </w:tc>
        <w:tc>
          <w:tcPr>
            <w:tcW w:w="366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GENERAL MOTORS COMPANY</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5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16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578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0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OVERVIEW OF OUR CAPITAL STOCK</w:t>
            </w:r>
          </w:p>
        </w:tc>
        <w:tc>
          <w:tcPr>
            <w:tcW w:w="564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4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DESCRIPTION OF SECURITIES THAT MAY BE OFFERED</w:t>
            </w:r>
          </w:p>
        </w:tc>
        <w:tc>
          <w:tcPr>
            <w:tcW w:w="324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8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PREFERRED STOCK</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29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COMMON STOCK</w:t>
            </w:r>
          </w:p>
        </w:tc>
        <w:tc>
          <w:tcPr>
            <w:tcW w:w="180" w:type="dxa"/>
            <w:vAlign w:val="bottom"/>
            <w:tcBorders>
              <w:top w:val="single" w:sz="8" w:color="0000EE"/>
            </w:tcBorders>
            <w:gridSpan w:val="3"/>
          </w:tcPr>
          <w:p>
            <w:pPr>
              <w:spacing w:after="0"/>
              <w:rPr>
                <w:sz w:val="17"/>
                <w:szCs w:val="17"/>
                <w:color w:val="auto"/>
              </w:rPr>
            </w:pPr>
          </w:p>
        </w:tc>
        <w:tc>
          <w:tcPr>
            <w:tcW w:w="558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0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420" w:type="dxa"/>
            <w:vAlign w:val="bottom"/>
            <w:tcBorders>
              <w:top w:val="single" w:sz="8" w:color="0000EE"/>
            </w:tcBorders>
            <w:gridSpan w:val="2"/>
          </w:tcPr>
          <w:p>
            <w:pPr>
              <w:spacing w:after="0"/>
              <w:rPr>
                <w:sz w:val="17"/>
                <w:szCs w:val="17"/>
                <w:color w:val="auto"/>
              </w:rPr>
            </w:pPr>
          </w:p>
        </w:tc>
        <w:tc>
          <w:tcPr>
            <w:tcW w:w="624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5"/>
          </w:tcPr>
          <w:p>
            <w:pPr>
              <w:spacing w:after="0"/>
              <w:rPr>
                <w:sz w:val="17"/>
                <w:szCs w:val="17"/>
                <w:color w:val="auto"/>
              </w:rPr>
            </w:pPr>
          </w:p>
        </w:tc>
        <w:tc>
          <w:tcPr>
            <w:tcW w:w="726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80"/>
          </w:cols>
          <w:pgMar w:left="320" w:top="446"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8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this prospectus supplement, unless the context indicates otherwise, references to “we,” “our,” “us,” “ourselves,” the “Company,” “General Motors” or “GM” refer to General Motors Company and, where appropriate, its subsidiaries. However, in the “Summary—The Offering,” “Risk Factors,”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80"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220"/>
          </w:cols>
          <w:pgMar w:left="320" w:top="45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preferences in the automotive industry; (2) our ability to timely fund and introduce new and improved vehicle models, including electric vehicles (“EVs”), that are able to attract a sufficient number of consumers; (3) our ability to profitably deliver a broad portfolio of EVs that will help drive consumer adoption; (4) the success of our current line of full-size SUVs and full-size pickup trucks; (5) our highly competitive industry, which has been historically characterized by excess manufacturing capacity and the use of incentives, and the introduction of new and improved vehicle models by our competitors;</w:t>
      </w:r>
    </w:p>
    <w:p>
      <w:pPr>
        <w:spacing w:after="0" w:line="1" w:lineRule="exact"/>
        <w:rPr>
          <w:sz w:val="20"/>
          <w:szCs w:val="20"/>
          <w:color w:val="auto"/>
        </w:rPr>
      </w:pPr>
    </w:p>
    <w:p>
      <w:pPr>
        <w:ind w:right="20" w:firstLine="8"/>
        <w:spacing w:after="0" w:line="266" w:lineRule="auto"/>
        <w:tabs>
          <w:tab w:leader="none" w:pos="2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unique technological, operational, regulatory and competitive risks related to the timing and commercialization of autonomous vehicles (“AVs”); (7) risks associated with climate change, including increased regulation of greenhouse gas emissions, our transition to EVs and the potential increased impacts of severe weather events; (8) global automobile market sales volume, which can be volatile; (9)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such as the COVID-19 pandemic; (13) any significant disruption, including any work stoppages, at any of our manufacturing facilities; (14) the ability of our suppliers to deliver parts, systems and components without disruption and at such times to allow us to meet production schedules; (15) the ongoing COVID-19 pandemic; (16) the success of any restructurings or other cost reduction actions; (17) the possibility that competitors may independently develop products and services similar to ours, or that our intellectual property rights are not sufficient to prevent competitors from developing or selling those products or services; (18) our ability to manage risks related to security breaches and other disruptions to our information technology systems and networked products, including connected vehicles and in-vehicle systems; (19) our ability to comply with increasingly complex, restrictive and punitive regulations relating to our enterprise data practices, including the collection, use, sharing and security of the Personal Identifiable Information of our customers, employees, or suppliers; (20) our ability to comply with extensive laws, regulations and policies applicable to our operations and products, including those relating to fuel economy, emissions and AVs; (21) costs and risks associated with litigation and government investigations; (22) the costs and effect on our reputation of product safety recalls and alleged defects in products and services; (23) any additional tax expense or exposure; (24) our continued ability to develop captive financing capability through GM Financial; and (25) any significant increase in our pension funding requirements.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240"/>
          </w:cols>
          <w:pgMar w:left="320" w:top="4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For a further discussion of these and other risks and uncertainties, refer to our Annual Report on Form 10-K for the year ended December 31, 2021, as updated by our subsequent filings under the Exchange Act, including Forms 10-Q and 8-K. 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80"/>
          </w:cols>
          <w:pgMar w:left="320" w:top="455"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98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7988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200" w:firstLine="434"/>
        <w:spacing w:after="0" w:line="274" w:lineRule="auto"/>
        <w:rPr>
          <w:sz w:val="20"/>
          <w:szCs w:val="20"/>
          <w:color w:val="auto"/>
        </w:rPr>
      </w:pPr>
      <w:r>
        <w:rPr>
          <w:rFonts w:ascii="Times New Roman" w:cs="Times New Roman" w:eastAsia="Times New Roman" w:hAnsi="Times New Roman"/>
          <w:sz w:val="17"/>
          <w:szCs w:val="17"/>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S-6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3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right="20" w:firstLine="434"/>
        <w:spacing w:after="0" w:line="266"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cars, trucks, crossovers and automobile parts worldwide. Cruise is our global segment responsible for the development and commercialization of autonomous vehicle technology. We also provide automotive financing services through General Motors Financial Company, Inc. (“GM Financial”).</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left="200" w:right="120" w:firstLine="434"/>
        <w:spacing w:after="0" w:line="256" w:lineRule="auto"/>
        <w:rPr>
          <w:sz w:val="20"/>
          <w:szCs w:val="20"/>
          <w:color w:val="auto"/>
        </w:rPr>
      </w:pPr>
      <w:r>
        <w:rPr>
          <w:rFonts w:ascii="Times New Roman" w:cs="Times New Roman" w:eastAsia="Times New Roman" w:hAnsi="Times New Roman"/>
          <w:sz w:val="18"/>
          <w:szCs w:val="18"/>
          <w:color w:val="auto"/>
        </w:rPr>
        <w:t>Our automotive operations meet the demands of our customers through our automotive segments: GM North America (GMNA) and GM International (GMI). 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and Wuling brands.</w:t>
      </w:r>
    </w:p>
    <w:p>
      <w:pPr>
        <w:spacing w:after="0" w:line="187" w:lineRule="exact"/>
        <w:rPr>
          <w:sz w:val="20"/>
          <w:szCs w:val="20"/>
          <w:color w:val="auto"/>
        </w:rPr>
      </w:pPr>
    </w:p>
    <w:p>
      <w:pPr>
        <w:ind w:left="200" w:right="20" w:firstLine="434"/>
        <w:spacing w:after="0" w:line="261" w:lineRule="auto"/>
        <w:rPr>
          <w:sz w:val="20"/>
          <w:szCs w:val="20"/>
          <w:color w:val="auto"/>
        </w:rPr>
      </w:pPr>
      <w:r>
        <w:rPr>
          <w:rFonts w:ascii="Times New Roman" w:cs="Times New Roman" w:eastAsia="Times New Roman" w:hAnsi="Times New Roman"/>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Financing—GM Financial</w:t>
      </w:r>
    </w:p>
    <w:p>
      <w:pPr>
        <w:spacing w:after="0" w:line="121" w:lineRule="exact"/>
        <w:rPr>
          <w:sz w:val="20"/>
          <w:szCs w:val="20"/>
          <w:color w:val="auto"/>
        </w:rPr>
      </w:pPr>
    </w:p>
    <w:p>
      <w:pPr>
        <w:ind w:left="200" w:right="580" w:firstLine="434"/>
        <w:spacing w:after="0" w:line="282" w:lineRule="auto"/>
        <w:rPr>
          <w:sz w:val="20"/>
          <w:szCs w:val="20"/>
          <w:color w:val="auto"/>
        </w:rPr>
      </w:pPr>
      <w:r>
        <w:rPr>
          <w:rFonts w:ascii="Times New Roman" w:cs="Times New Roman" w:eastAsia="Times New Roman" w:hAnsi="Times New Roman"/>
          <w:sz w:val="18"/>
          <w:szCs w:val="18"/>
          <w:color w:val="auto"/>
        </w:rPr>
        <w:t>GM Financial is our global captive automotive finance company and our global provider of automobile finance solutions. GM Financial conducts its business in North America, South America and through joint ventures in Asia/Pacific.</w:t>
      </w:r>
    </w:p>
    <w:p>
      <w:pPr>
        <w:spacing w:after="0" w:line="162" w:lineRule="exact"/>
        <w:rPr>
          <w:sz w:val="20"/>
          <w:szCs w:val="20"/>
          <w:color w:val="auto"/>
        </w:rPr>
      </w:pPr>
    </w:p>
    <w:p>
      <w:pPr>
        <w:ind w:left="200" w:right="40" w:firstLine="434"/>
        <w:spacing w:after="0" w:line="261" w:lineRule="auto"/>
        <w:rPr>
          <w:sz w:val="20"/>
          <w:szCs w:val="20"/>
          <w:color w:val="auto"/>
        </w:rPr>
      </w:pPr>
      <w:r>
        <w:rPr>
          <w:rFonts w:ascii="Times New Roman" w:cs="Times New Roman" w:eastAsia="Times New Roman" w:hAnsi="Times New Roman"/>
          <w:sz w:val="18"/>
          <w:szCs w:val="18"/>
          <w:color w:val="auto"/>
        </w:rPr>
        <w:t>GM Financial provides retail loan and lease lending across the credit spectrum. Additionally, GM Financial offers commercial lending products to dealers including new and used vehicle inventory floorplan financing and dealer loans, which are loans to finance improvements to dealership facilities, to provide working capital, and to purchase and/or finance dealership real estate. Other commercial lending products include financing for parts and accessories, dealer fleets and storage centers.</w:t>
      </w:r>
    </w:p>
    <w:p>
      <w:pPr>
        <w:spacing w:after="0" w:line="3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00"/>
          </w:cols>
          <w:pgMar w:left="320" w:top="455"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124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124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80" w:firstLine="434"/>
        <w:spacing w:after="0" w:line="266" w:lineRule="auto"/>
        <w:rPr>
          <w:sz w:val="20"/>
          <w:szCs w:val="20"/>
          <w:color w:val="auto"/>
        </w:rPr>
      </w:pPr>
      <w:r>
        <w:rPr>
          <w:rFonts w:ascii="Times New Roman" w:cs="Times New Roman" w:eastAsia="Times New Roman" w:hAnsi="Times New Roman"/>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176" w:lineRule="exact"/>
        <w:rPr>
          <w:sz w:val="20"/>
          <w:szCs w:val="20"/>
          <w:color w:val="auto"/>
        </w:rPr>
      </w:pPr>
    </w:p>
    <w:p>
      <w:pPr>
        <w:jc w:val="both"/>
        <w:ind w:left="200" w:right="40" w:firstLine="434"/>
        <w:spacing w:after="0" w:line="266" w:lineRule="auto"/>
        <w:rPr>
          <w:sz w:val="20"/>
          <w:szCs w:val="20"/>
          <w:color w:val="auto"/>
        </w:rPr>
      </w:pPr>
      <w:r>
        <w:rPr>
          <w:rFonts w:ascii="Times New Roman" w:cs="Times New Roman" w:eastAsia="Times New Roman" w:hAnsi="Times New Roman"/>
          <w:sz w:val="18"/>
          <w:szCs w:val="18"/>
          <w:color w:val="auto"/>
        </w:rPr>
        <w:t>GM Financial generally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and through the issuance of unsecured debt in public markets.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Autonomous</w:t>
      </w:r>
    </w:p>
    <w:p>
      <w:pPr>
        <w:spacing w:after="0" w:line="121"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Cruise is our global segment responsible for the development and commercialization of autonomous vehicle technology, and includes autonomous vehicle-related engineering and other costs. Cruise is driving leadership in the development and commercialization of AV technology. We believe that building all-electric vehicles with autonomous capabilities integrated from the beginning, rather than through retrofits, is the most efficient way to unlock the tremendous potential societal benefits of self-driving cars.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21" w:lineRule="exact"/>
        <w:rPr>
          <w:sz w:val="20"/>
          <w:szCs w:val="20"/>
          <w:color w:val="auto"/>
        </w:rPr>
      </w:pPr>
    </w:p>
    <w:p>
      <w:pPr>
        <w:ind w:left="200" w:right="420" w:firstLine="43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667-1500. Our website is www.gm.com.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3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20"/>
          </w:cols>
          <w:pgMar w:left="320" w:top="455"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579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5792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200" w:right="180" w:firstLine="434"/>
        <w:spacing w:after="0" w:line="261" w:lineRule="auto"/>
        <w:rPr>
          <w:sz w:val="20"/>
          <w:szCs w:val="20"/>
          <w:color w:val="auto"/>
        </w:rPr>
      </w:pPr>
      <w:r>
        <w:rPr>
          <w:rFonts w:ascii="Times New Roman" w:cs="Times New Roman" w:eastAsia="Times New Roman" w:hAnsi="Times New Roman"/>
          <w:sz w:val="18"/>
          <w:szCs w:val="18"/>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4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General Motors Company</w:t>
            </w:r>
          </w:p>
        </w:tc>
        <w:tc>
          <w:tcPr>
            <w:tcW w:w="3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4"/>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14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 aggregate principal amount of   % Senior Notes due 20   and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aggregate</w:t>
            </w:r>
          </w:p>
        </w:tc>
      </w:tr>
      <w:tr>
        <w:trPr>
          <w:trHeight w:val="234"/>
        </w:trPr>
        <w:tc>
          <w:tcPr>
            <w:tcW w:w="2960" w:type="dxa"/>
            <w:vAlign w:val="bottom"/>
          </w:tcPr>
          <w:p>
            <w:pPr>
              <w:spacing w:after="0"/>
              <w:rPr>
                <w:sz w:val="20"/>
                <w:szCs w:val="20"/>
                <w:color w:val="auto"/>
              </w:rPr>
            </w:pPr>
          </w:p>
        </w:tc>
        <w:tc>
          <w:tcPr>
            <w:tcW w:w="2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99"/>
              </w:rPr>
              <w:t>principal amount of</w:t>
            </w:r>
          </w:p>
        </w:tc>
        <w:tc>
          <w:tcPr>
            <w:tcW w:w="4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Senior Notes due 20  .</w:t>
            </w:r>
          </w:p>
        </w:tc>
        <w:tc>
          <w:tcPr>
            <w:tcW w:w="1140" w:type="dxa"/>
            <w:vAlign w:val="bottom"/>
          </w:tcPr>
          <w:p>
            <w:pPr>
              <w:spacing w:after="0"/>
              <w:rPr>
                <w:sz w:val="20"/>
                <w:szCs w:val="20"/>
                <w:color w:val="auto"/>
              </w:rPr>
            </w:pPr>
          </w:p>
        </w:tc>
      </w:tr>
      <w:tr>
        <w:trPr>
          <w:trHeight w:val="459"/>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Original Issue Date</w:t>
            </w:r>
          </w:p>
        </w:tc>
        <w:tc>
          <w:tcPr>
            <w:tcW w:w="1440" w:type="dxa"/>
            <w:vAlign w:val="bottom"/>
          </w:tcPr>
          <w:p>
            <w:pPr>
              <w:spacing w:after="0"/>
              <w:rPr>
                <w:sz w:val="24"/>
                <w:szCs w:val="24"/>
                <w:color w:val="auto"/>
              </w:rPr>
            </w:pP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2022.</w:t>
            </w:r>
          </w:p>
        </w:tc>
        <w:tc>
          <w:tcPr>
            <w:tcW w:w="8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4"/>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Dates</w:t>
            </w:r>
          </w:p>
        </w:tc>
        <w:tc>
          <w:tcPr>
            <w:tcW w:w="34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The 20   Notes will mature on</w:t>
            </w:r>
          </w:p>
        </w:tc>
        <w:tc>
          <w:tcPr>
            <w:tcW w:w="43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 20   and the 20   Notes will mature on</w:t>
            </w:r>
          </w:p>
        </w:tc>
      </w:tr>
      <w:tr>
        <w:trPr>
          <w:trHeight w:val="234"/>
        </w:trPr>
        <w:tc>
          <w:tcPr>
            <w:tcW w:w="29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20  .</w:t>
            </w:r>
          </w:p>
        </w:tc>
        <w:tc>
          <w:tcPr>
            <w:tcW w:w="8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1"/>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2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Interest on the 20</w:t>
            </w:r>
          </w:p>
        </w:tc>
        <w:tc>
          <w:tcPr>
            <w:tcW w:w="51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Notes will accrue at a rate of   % per year and interest on the 20</w:t>
            </w:r>
          </w:p>
        </w:tc>
      </w:tr>
      <w:tr>
        <w:trPr>
          <w:trHeight w:val="234"/>
        </w:trPr>
        <w:tc>
          <w:tcPr>
            <w:tcW w:w="2960" w:type="dxa"/>
            <w:vAlign w:val="bottom"/>
          </w:tcPr>
          <w:p>
            <w:pPr>
              <w:spacing w:after="0"/>
              <w:rPr>
                <w:sz w:val="20"/>
                <w:szCs w:val="20"/>
                <w:color w:val="auto"/>
              </w:rPr>
            </w:pPr>
          </w:p>
        </w:tc>
        <w:tc>
          <w:tcPr>
            <w:tcW w:w="34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Notes will accrue at a rate of</w:t>
            </w: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per year.</w:t>
            </w:r>
          </w:p>
        </w:tc>
        <w:tc>
          <w:tcPr>
            <w:tcW w:w="1140" w:type="dxa"/>
            <w:vAlign w:val="bottom"/>
          </w:tcPr>
          <w:p>
            <w:pPr>
              <w:spacing w:after="0"/>
              <w:rPr>
                <w:sz w:val="20"/>
                <w:szCs w:val="20"/>
                <w:color w:val="auto"/>
              </w:rPr>
            </w:pPr>
          </w:p>
        </w:tc>
      </w:tr>
      <w:tr>
        <w:trPr>
          <w:trHeight w:val="441"/>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664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w w:val="99"/>
              </w:rPr>
              <w:t>Interest on each series of Notes will be paid semi-annually and in arrears on</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and</w:t>
            </w:r>
          </w:p>
        </w:tc>
      </w:tr>
      <w:tr>
        <w:trPr>
          <w:trHeight w:val="234"/>
        </w:trPr>
        <w:tc>
          <w:tcPr>
            <w:tcW w:w="29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commencing on</w:t>
            </w:r>
          </w:p>
        </w:tc>
        <w:tc>
          <w:tcPr>
            <w:tcW w:w="3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2023, and will accrue from</w:t>
            </w: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 2022.</w:t>
            </w:r>
          </w:p>
        </w:tc>
      </w:tr>
      <w:tr>
        <w:trPr>
          <w:trHeight w:val="459"/>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 of the Notes</w:t>
            </w:r>
          </w:p>
        </w:tc>
        <w:tc>
          <w:tcPr>
            <w:tcW w:w="664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The Notes will be our general unsecured obligations and will be:</w:t>
            </w:r>
          </w:p>
        </w:tc>
        <w:tc>
          <w:tcPr>
            <w:tcW w:w="1140" w:type="dxa"/>
            <w:vAlign w:val="bottom"/>
          </w:tcPr>
          <w:p>
            <w:pPr>
              <w:spacing w:after="0"/>
              <w:rPr>
                <w:sz w:val="24"/>
                <w:szCs w:val="24"/>
                <w:color w:val="auto"/>
              </w:rPr>
            </w:pPr>
          </w:p>
        </w:tc>
      </w:tr>
    </w:tbl>
    <w:p>
      <w:pPr>
        <w:spacing w:after="0" w:line="117" w:lineRule="exact"/>
        <w:rPr>
          <w:sz w:val="20"/>
          <w:szCs w:val="20"/>
          <w:color w:val="auto"/>
        </w:rPr>
      </w:pPr>
    </w:p>
    <w:p>
      <w:pPr>
        <w:ind w:left="4520" w:right="340" w:hanging="164"/>
        <w:spacing w:after="0" w:line="266" w:lineRule="auto"/>
        <w:tabs>
          <w:tab w:leader="none" w:pos="4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 right of payment to all of our existing and future indebtedness and other obligations that are not, by their terms, expressly subordinated in right of payment to the Notes;</w:t>
      </w:r>
    </w:p>
    <w:p>
      <w:pPr>
        <w:spacing w:after="0" w:line="81" w:lineRule="exact"/>
        <w:rPr>
          <w:rFonts w:ascii="Times New Roman" w:cs="Times New Roman" w:eastAsia="Times New Roman" w:hAnsi="Times New Roman"/>
          <w:sz w:val="18"/>
          <w:szCs w:val="18"/>
          <w:color w:val="auto"/>
        </w:rPr>
      </w:pPr>
    </w:p>
    <w:p>
      <w:pPr>
        <w:ind w:left="4520" w:right="620" w:hanging="164"/>
        <w:spacing w:after="0" w:line="266" w:lineRule="auto"/>
        <w:tabs>
          <w:tab w:leader="none" w:pos="4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our existing or future indebtedness and other obligations that are, by their terms, expressly subordinated in right of payment to the Notes;</w:t>
      </w:r>
    </w:p>
    <w:p>
      <w:pPr>
        <w:spacing w:after="0" w:line="81" w:lineRule="exact"/>
        <w:rPr>
          <w:rFonts w:ascii="Times New Roman" w:cs="Times New Roman" w:eastAsia="Times New Roman" w:hAnsi="Times New Roman"/>
          <w:sz w:val="18"/>
          <w:szCs w:val="18"/>
          <w:color w:val="auto"/>
        </w:rPr>
      </w:pPr>
    </w:p>
    <w:p>
      <w:pPr>
        <w:ind w:left="4520" w:right="200" w:hanging="164"/>
        <w:spacing w:after="0" w:line="266" w:lineRule="auto"/>
        <w:tabs>
          <w:tab w:leader="none" w:pos="4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all of our secured indebtedness and other secured obligations to the extent of the value of the assets securing such secured indebtedness or other secured obligations; and</w:t>
      </w:r>
    </w:p>
    <w:p>
      <w:pPr>
        <w:spacing w:after="0" w:line="81" w:lineRule="exact"/>
        <w:rPr>
          <w:rFonts w:ascii="Times New Roman" w:cs="Times New Roman" w:eastAsia="Times New Roman" w:hAnsi="Times New Roman"/>
          <w:sz w:val="18"/>
          <w:szCs w:val="18"/>
          <w:color w:val="auto"/>
        </w:rPr>
      </w:pPr>
    </w:p>
    <w:p>
      <w:pPr>
        <w:ind w:left="4520" w:hanging="164"/>
        <w:spacing w:after="0"/>
        <w:tabs>
          <w:tab w:leader="none" w:pos="4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indebtedness and other obligations of our subsidiaries.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8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may, at our option, redeem some or all of the 20   Notes and the 20   Notes at any time</w:t>
            </w:r>
          </w:p>
        </w:tc>
      </w:tr>
      <w:tr>
        <w:trPr>
          <w:trHeight w:val="216"/>
        </w:trPr>
        <w:tc>
          <w:tcPr>
            <w:tcW w:w="3080" w:type="dxa"/>
            <w:vAlign w:val="bottom"/>
          </w:tcPr>
          <w:p>
            <w:pPr>
              <w:spacing w:after="0"/>
              <w:rPr>
                <w:sz w:val="18"/>
                <w:szCs w:val="18"/>
                <w:color w:val="auto"/>
              </w:rPr>
            </w:pPr>
          </w:p>
        </w:tc>
        <w:tc>
          <w:tcPr>
            <w:tcW w:w="8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and from time to time at redemption prices described under “Description of the Notes—</w:t>
            </w:r>
          </w:p>
        </w:tc>
      </w:tr>
      <w:tr>
        <w:trPr>
          <w:trHeight w:val="234"/>
        </w:trPr>
        <w:tc>
          <w:tcPr>
            <w:tcW w:w="3080" w:type="dxa"/>
            <w:vAlign w:val="bottom"/>
          </w:tcPr>
          <w:p>
            <w:pPr>
              <w:spacing w:after="0"/>
              <w:rPr>
                <w:sz w:val="20"/>
                <w:szCs w:val="20"/>
                <w:color w:val="auto"/>
              </w:rPr>
            </w:pPr>
          </w:p>
        </w:tc>
        <w:tc>
          <w:tcPr>
            <w:tcW w:w="8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Optional Redemption.”</w:t>
            </w:r>
          </w:p>
        </w:tc>
      </w:tr>
      <w:tr>
        <w:trPr>
          <w:trHeight w:val="459"/>
        </w:trPr>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8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Notes will be issued under the Indenture, which will contain covenants that will limit:</w:t>
            </w:r>
          </w:p>
        </w:tc>
      </w:tr>
      <w:tr>
        <w:trPr>
          <w:trHeight w:val="333"/>
        </w:trPr>
        <w:tc>
          <w:tcPr>
            <w:tcW w:w="3080" w:type="dxa"/>
            <w:vAlign w:val="bottom"/>
          </w:tcPr>
          <w:p>
            <w:pPr>
              <w:spacing w:after="0"/>
              <w:rPr>
                <w:sz w:val="24"/>
                <w:szCs w:val="24"/>
                <w:color w:val="auto"/>
              </w:rPr>
            </w:pPr>
          </w:p>
        </w:tc>
        <w:tc>
          <w:tcPr>
            <w:tcW w:w="81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 the ability of GM and certain of its subsidiaries to incur indebtedness secured by certain</w:t>
            </w:r>
          </w:p>
        </w:tc>
      </w:tr>
      <w:tr>
        <w:trPr>
          <w:trHeight w:val="234"/>
        </w:trPr>
        <w:tc>
          <w:tcPr>
            <w:tcW w:w="3080" w:type="dxa"/>
            <w:vAlign w:val="bottom"/>
          </w:tcPr>
          <w:p>
            <w:pPr>
              <w:spacing w:after="0"/>
              <w:rPr>
                <w:sz w:val="20"/>
                <w:szCs w:val="20"/>
                <w:color w:val="auto"/>
              </w:rPr>
            </w:pPr>
          </w:p>
        </w:tc>
        <w:tc>
          <w:tcPr>
            <w:tcW w:w="81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principal domestic manufacturing</w:t>
            </w:r>
          </w:p>
        </w:tc>
      </w:tr>
      <w:tr>
        <w:trPr>
          <w:trHeight w:val="172"/>
        </w:trPr>
        <w:tc>
          <w:tcPr>
            <w:tcW w:w="3080" w:type="dxa"/>
            <w:vAlign w:val="bottom"/>
            <w:tcBorders>
              <w:bottom w:val="single" w:sz="8" w:color="auto"/>
            </w:tcBorders>
          </w:tcPr>
          <w:p>
            <w:pPr>
              <w:spacing w:after="0"/>
              <w:rPr>
                <w:sz w:val="14"/>
                <w:szCs w:val="14"/>
                <w:color w:val="auto"/>
              </w:rPr>
            </w:pPr>
          </w:p>
        </w:tc>
        <w:tc>
          <w:tcPr>
            <w:tcW w:w="8160" w:type="dxa"/>
            <w:vAlign w:val="bottom"/>
            <w:tcBorders>
              <w:bottom w:val="single" w:sz="8" w:color="auto"/>
            </w:tcBorders>
          </w:tcPr>
          <w:p>
            <w:pPr>
              <w:spacing w:after="0"/>
              <w:rPr>
                <w:sz w:val="14"/>
                <w:szCs w:val="14"/>
                <w:color w:val="auto"/>
              </w:rPr>
            </w:pPr>
          </w:p>
        </w:tc>
      </w:tr>
      <w:tr>
        <w:trPr>
          <w:trHeight w:val="361"/>
        </w:trPr>
        <w:tc>
          <w:tcPr>
            <w:tcW w:w="3080" w:type="dxa"/>
            <w:vAlign w:val="bottom"/>
          </w:tcPr>
          <w:p>
            <w:pPr>
              <w:spacing w:after="0"/>
              <w:rPr>
                <w:sz w:val="24"/>
                <w:szCs w:val="24"/>
                <w:color w:val="auto"/>
              </w:rPr>
            </w:pPr>
          </w:p>
        </w:tc>
        <w:tc>
          <w:tcPr>
            <w:tcW w:w="81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320" w:top="45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56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20" w:right="260"/>
        <w:spacing w:after="0" w:line="266" w:lineRule="auto"/>
        <w:rPr>
          <w:sz w:val="20"/>
          <w:szCs w:val="20"/>
          <w:color w:val="auto"/>
        </w:rPr>
      </w:pPr>
      <w:r>
        <w:rPr>
          <w:rFonts w:ascii="Times New Roman" w:cs="Times New Roman" w:eastAsia="Times New Roman" w:hAnsi="Times New Roman"/>
          <w:sz w:val="18"/>
          <w:szCs w:val="18"/>
          <w:color w:val="auto"/>
        </w:rPr>
        <w:t>properties or by any shares of stock or indebtedness of certain manufacturing subsidiaries and to enter into certain sale and leaseback transactions with respect to certain principal domestic manufacturing properties; and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80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the ability of GM to enter into certain mergers or certain conveyances, transfers or leases</w:t>
            </w:r>
          </w:p>
        </w:tc>
      </w:tr>
      <w:tr>
        <w:trPr>
          <w:trHeight w:val="234"/>
        </w:trPr>
        <w:tc>
          <w:tcPr>
            <w:tcW w:w="3200" w:type="dxa"/>
            <w:vAlign w:val="bottom"/>
          </w:tcPr>
          <w:p>
            <w:pPr>
              <w:spacing w:after="0"/>
              <w:rPr>
                <w:sz w:val="20"/>
                <w:szCs w:val="20"/>
                <w:color w:val="auto"/>
              </w:rPr>
            </w:pPr>
          </w:p>
        </w:tc>
        <w:tc>
          <w:tcPr>
            <w:tcW w:w="80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of all or substantially all of its properties and assets.</w:t>
            </w:r>
          </w:p>
        </w:tc>
      </w:tr>
      <w:tr>
        <w:trPr>
          <w:trHeight w:val="441"/>
        </w:trPr>
        <w:tc>
          <w:tcPr>
            <w:tcW w:w="3200" w:type="dxa"/>
            <w:vAlign w:val="bottom"/>
          </w:tcPr>
          <w:p>
            <w:pPr>
              <w:spacing w:after="0"/>
              <w:rPr>
                <w:sz w:val="24"/>
                <w:szCs w:val="24"/>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Each of these covenants, however, is subject to significant exceptions. See “Description of</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Notes—Certain Covenants” in this prospectus supplement and “Description of Debt</w:t>
            </w:r>
          </w:p>
        </w:tc>
      </w:tr>
      <w:tr>
        <w:trPr>
          <w:trHeight w:val="234"/>
        </w:trPr>
        <w:tc>
          <w:tcPr>
            <w:tcW w:w="3200" w:type="dxa"/>
            <w:vAlign w:val="bottom"/>
          </w:tcPr>
          <w:p>
            <w:pPr>
              <w:spacing w:after="0"/>
              <w:rPr>
                <w:sz w:val="20"/>
                <w:szCs w:val="20"/>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Securities—Consolidation, Merger or Sale of Assets” in the accompanying prospectus.</w:t>
            </w:r>
          </w:p>
        </w:tc>
      </w:tr>
      <w:tr>
        <w:trPr>
          <w:trHeight w:val="441"/>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Further Issuances</w:t>
            </w: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Indenture does not limit the amount of Notes that we may issue. We may issue additional</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Notes of any series up to an aggregate principal amount as our board of directors may</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authorize from time to time; provided that if the additional Notes are not fungible with the</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Notes of a particular series for U.S. federal income tax purposes, the additional Notes will</w:t>
            </w:r>
          </w:p>
        </w:tc>
      </w:tr>
      <w:tr>
        <w:trPr>
          <w:trHeight w:val="234"/>
        </w:trPr>
        <w:tc>
          <w:tcPr>
            <w:tcW w:w="3200" w:type="dxa"/>
            <w:vAlign w:val="bottom"/>
          </w:tcPr>
          <w:p>
            <w:pPr>
              <w:spacing w:after="0"/>
              <w:rPr>
                <w:sz w:val="20"/>
                <w:szCs w:val="20"/>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have a separate CUSIP number.</w:t>
            </w:r>
          </w:p>
        </w:tc>
      </w:tr>
      <w:tr>
        <w:trPr>
          <w:trHeight w:val="441"/>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 Prior Markets</w:t>
            </w: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 will be new securities for which there are currently no existing markets. The</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Notes will not be listed on any securities exchange. Although the underwriters have advised</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us that they currently intend to make a market in the Notes of each series, they are not</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obligated to do so and may discontinue any market-making activities at any time without</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notice. Accordingly, we cannot assure you as to the liquidity of, or the trading markets for,</w:t>
            </w:r>
          </w:p>
        </w:tc>
      </w:tr>
      <w:tr>
        <w:trPr>
          <w:trHeight w:val="234"/>
        </w:trPr>
        <w:tc>
          <w:tcPr>
            <w:tcW w:w="3200" w:type="dxa"/>
            <w:vAlign w:val="bottom"/>
          </w:tcPr>
          <w:p>
            <w:pPr>
              <w:spacing w:after="0"/>
              <w:rPr>
                <w:sz w:val="20"/>
                <w:szCs w:val="20"/>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w:t>
            </w:r>
          </w:p>
        </w:tc>
      </w:tr>
      <w:tr>
        <w:trPr>
          <w:trHeight w:val="441"/>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 and Denomination</w:t>
            </w: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 will be issued in fully registered form and will be represented by global notes</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without interest coupons. The global notes will be deposited with a custodian for and</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registered in the name of a nominee of The Depository Trust Company (“DTC”) in New</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York, New York. Investors may elect to hold interests in the global notes through DTC and</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its direct or indirect participants as described under “Description of Debt Securities—Book-</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Entry; Delivery and Form; Global Securities” in the accompanying prospectus. The Notes of</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each series will be issued only in minimum denominations of $2,000 and integral multiples</w:t>
            </w:r>
          </w:p>
        </w:tc>
      </w:tr>
      <w:tr>
        <w:trPr>
          <w:trHeight w:val="234"/>
        </w:trPr>
        <w:tc>
          <w:tcPr>
            <w:tcW w:w="3200" w:type="dxa"/>
            <w:vAlign w:val="bottom"/>
          </w:tcPr>
          <w:p>
            <w:pPr>
              <w:spacing w:after="0"/>
              <w:rPr>
                <w:sz w:val="20"/>
                <w:szCs w:val="20"/>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of $1,000 in excess thereof.</w:t>
            </w:r>
          </w:p>
        </w:tc>
      </w:tr>
      <w:tr>
        <w:trPr>
          <w:trHeight w:val="441"/>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w:t>
            </w:r>
          </w:p>
        </w:tc>
      </w:tr>
      <w:tr>
        <w:trPr>
          <w:trHeight w:val="216"/>
        </w:trPr>
        <w:tc>
          <w:tcPr>
            <w:tcW w:w="3200" w:type="dxa"/>
            <w:vAlign w:val="bottom"/>
          </w:tcPr>
          <w:p>
            <w:pPr>
              <w:spacing w:after="0"/>
              <w:rPr>
                <w:sz w:val="18"/>
                <w:szCs w:val="18"/>
                <w:color w:val="auto"/>
              </w:rPr>
            </w:pPr>
          </w:p>
        </w:tc>
        <w:tc>
          <w:tcPr>
            <w:tcW w:w="80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 2022, which will be the third business day following the date of pricing of the Notes</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(such settlement cycle being referred to herein as “T+3”). Under Rule 15c6-1 of the</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Exchange Act, trades in the secondary market generally are required to settle in two business</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days, unless the parties to any such trade expressly agree otherwise. Accordingly, purchasers</w:t>
            </w:r>
          </w:p>
        </w:tc>
      </w:tr>
      <w:tr>
        <w:trPr>
          <w:trHeight w:val="216"/>
        </w:trPr>
        <w:tc>
          <w:tcPr>
            <w:tcW w:w="3200" w:type="dxa"/>
            <w:vAlign w:val="bottom"/>
          </w:tcPr>
          <w:p>
            <w:pPr>
              <w:spacing w:after="0"/>
              <w:rPr>
                <w:sz w:val="18"/>
                <w:szCs w:val="18"/>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who wish to trade the Notes on the date of pricing will be required, by virtue of the fact that</w:t>
            </w:r>
          </w:p>
        </w:tc>
      </w:tr>
      <w:tr>
        <w:trPr>
          <w:trHeight w:val="234"/>
        </w:trPr>
        <w:tc>
          <w:tcPr>
            <w:tcW w:w="3200" w:type="dxa"/>
            <w:vAlign w:val="bottom"/>
          </w:tcPr>
          <w:p>
            <w:pPr>
              <w:spacing w:after="0"/>
              <w:rPr>
                <w:sz w:val="20"/>
                <w:szCs w:val="20"/>
                <w:color w:val="auto"/>
              </w:rPr>
            </w:pPr>
          </w:p>
        </w:tc>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 initially will settle in T+3, to specify an alternate</w:t>
            </w:r>
          </w:p>
        </w:tc>
      </w:tr>
      <w:tr>
        <w:trPr>
          <w:trHeight w:val="172"/>
        </w:trPr>
        <w:tc>
          <w:tcPr>
            <w:tcW w:w="320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tcPr>
          <w:p>
            <w:pPr>
              <w:spacing w:after="0"/>
              <w:rPr>
                <w:sz w:val="14"/>
                <w:szCs w:val="14"/>
                <w:color w:val="auto"/>
              </w:rPr>
            </w:pPr>
          </w:p>
        </w:tc>
      </w:tr>
      <w:tr>
        <w:trPr>
          <w:trHeight w:val="361"/>
        </w:trPr>
        <w:tc>
          <w:tcPr>
            <w:tcW w:w="3200" w:type="dxa"/>
            <w:vAlign w:val="bottom"/>
          </w:tcPr>
          <w:p>
            <w:pPr>
              <w:spacing w:after="0"/>
              <w:rPr>
                <w:sz w:val="24"/>
                <w:szCs w:val="24"/>
                <w:color w:val="auto"/>
              </w:rPr>
            </w:pPr>
          </w:p>
        </w:tc>
        <w:tc>
          <w:tcPr>
            <w:tcW w:w="80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4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2860" w:type="dxa"/>
            <w:vAlign w:val="bottom"/>
            <w:tcBorders>
              <w:top w:val="single" w:sz="8" w:color="auto"/>
              <w:left w:val="single" w:sz="8" w:color="auto"/>
            </w:tcBorders>
          </w:tcPr>
          <w:p>
            <w:pPr>
              <w:spacing w:after="0"/>
              <w:rPr>
                <w:sz w:val="24"/>
                <w:szCs w:val="24"/>
                <w:color w:val="auto"/>
              </w:rPr>
            </w:pPr>
          </w:p>
        </w:tc>
        <w:tc>
          <w:tcPr>
            <w:tcW w:w="8380" w:type="dxa"/>
            <w:vAlign w:val="bottom"/>
            <w:tcBorders>
              <w:top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settlement cycle at the time of any such trade to prevent a failed settlement. Purchasers of the</w:t>
            </w:r>
          </w:p>
        </w:tc>
      </w:tr>
      <w:tr>
        <w:trPr>
          <w:trHeight w:val="234"/>
        </w:trPr>
        <w:tc>
          <w:tcPr>
            <w:tcW w:w="2860" w:type="dxa"/>
            <w:vAlign w:val="bottom"/>
            <w:tcBorders>
              <w:left w:val="single" w:sz="8" w:color="auto"/>
            </w:tcBorders>
          </w:tcPr>
          <w:p>
            <w:pPr>
              <w:spacing w:after="0"/>
              <w:rPr>
                <w:sz w:val="20"/>
                <w:szCs w:val="20"/>
                <w:color w:val="auto"/>
              </w:rPr>
            </w:pP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Notes who wish to trade those Notes on the date of pricing should consult their own advisor.</w:t>
            </w:r>
          </w:p>
        </w:tc>
      </w:tr>
      <w:tr>
        <w:trPr>
          <w:trHeight w:val="473"/>
        </w:trPr>
        <w:tc>
          <w:tcPr>
            <w:tcW w:w="28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The Bank of New York Mellon (the “Trustee”).</w:t>
            </w:r>
          </w:p>
        </w:tc>
      </w:tr>
      <w:tr>
        <w:trPr>
          <w:trHeight w:val="454"/>
        </w:trPr>
        <w:tc>
          <w:tcPr>
            <w:tcW w:w="28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finance or</w:t>
            </w:r>
          </w:p>
        </w:tc>
      </w:tr>
      <w:tr>
        <w:trPr>
          <w:trHeight w:val="216"/>
        </w:trPr>
        <w:tc>
          <w:tcPr>
            <w:tcW w:w="286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refinance, in whole or in part, one or more new or existing Eligible Projects (as defined</w:t>
            </w:r>
          </w:p>
        </w:tc>
      </w:tr>
      <w:tr>
        <w:trPr>
          <w:trHeight w:val="234"/>
        </w:trPr>
        <w:tc>
          <w:tcPr>
            <w:tcW w:w="2860" w:type="dxa"/>
            <w:vAlign w:val="bottom"/>
            <w:tcBorders>
              <w:left w:val="single" w:sz="8" w:color="auto"/>
            </w:tcBorders>
          </w:tcPr>
          <w:p>
            <w:pPr>
              <w:spacing w:after="0"/>
              <w:rPr>
                <w:sz w:val="20"/>
                <w:szCs w:val="20"/>
                <w:color w:val="auto"/>
              </w:rPr>
            </w:pP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herein). See “Use of Proceeds.”</w:t>
            </w:r>
          </w:p>
        </w:tc>
      </w:tr>
      <w:tr>
        <w:trPr>
          <w:trHeight w:val="459"/>
        </w:trPr>
        <w:tc>
          <w:tcPr>
            <w:tcW w:w="28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454"/>
        </w:trPr>
        <w:tc>
          <w:tcPr>
            <w:tcW w:w="28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See “Risk Factors” beginning on page S-6 of this prospectus supplement, in the</w:t>
            </w:r>
          </w:p>
        </w:tc>
      </w:tr>
      <w:tr>
        <w:trPr>
          <w:trHeight w:val="216"/>
        </w:trPr>
        <w:tc>
          <w:tcPr>
            <w:tcW w:w="286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accompanying prospectus and in our periodic reports filed from time to time with the SEC</w:t>
            </w:r>
          </w:p>
        </w:tc>
      </w:tr>
      <w:tr>
        <w:trPr>
          <w:trHeight w:val="234"/>
        </w:trPr>
        <w:tc>
          <w:tcPr>
            <w:tcW w:w="2860" w:type="dxa"/>
            <w:vAlign w:val="bottom"/>
            <w:tcBorders>
              <w:left w:val="single" w:sz="8" w:color="auto"/>
            </w:tcBorders>
          </w:tcPr>
          <w:p>
            <w:pPr>
              <w:spacing w:after="0"/>
              <w:rPr>
                <w:sz w:val="20"/>
                <w:szCs w:val="20"/>
                <w:color w:val="auto"/>
              </w:rPr>
            </w:pPr>
          </w:p>
        </w:tc>
        <w:tc>
          <w:tcPr>
            <w:tcW w:w="83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for a discussion of risks you should carefully consider before deciding to invest in the Notes.</w:t>
            </w:r>
          </w:p>
        </w:tc>
      </w:tr>
      <w:tr>
        <w:trPr>
          <w:trHeight w:val="432"/>
        </w:trPr>
        <w:tc>
          <w:tcPr>
            <w:tcW w:w="2860" w:type="dxa"/>
            <w:vAlign w:val="bottom"/>
            <w:tcBorders>
              <w:left w:val="single" w:sz="8" w:color="auto"/>
            </w:tcBorders>
          </w:tcPr>
          <w:p>
            <w:pPr>
              <w:spacing w:after="0"/>
              <w:rPr>
                <w:sz w:val="24"/>
                <w:szCs w:val="24"/>
                <w:color w:val="auto"/>
              </w:rPr>
            </w:pPr>
          </w:p>
        </w:tc>
        <w:tc>
          <w:tcPr>
            <w:tcW w:w="8380" w:type="dxa"/>
            <w:vAlign w:val="bottom"/>
            <w:tcBorders>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 * * * * * *</w:t>
            </w:r>
          </w:p>
        </w:tc>
      </w:tr>
      <w:tr>
        <w:trPr>
          <w:trHeight w:val="172"/>
        </w:trPr>
        <w:tc>
          <w:tcPr>
            <w:tcW w:w="2860" w:type="dxa"/>
            <w:vAlign w:val="bottom"/>
            <w:tcBorders>
              <w:left w:val="single" w:sz="8" w:color="auto"/>
              <w:bottom w:val="single" w:sz="8" w:color="auto"/>
            </w:tcBorders>
          </w:tcPr>
          <w:p>
            <w:pPr>
              <w:spacing w:after="0"/>
              <w:rPr>
                <w:sz w:val="14"/>
                <w:szCs w:val="14"/>
                <w:color w:val="auto"/>
              </w:rPr>
            </w:pPr>
          </w:p>
        </w:tc>
        <w:tc>
          <w:tcPr>
            <w:tcW w:w="8380" w:type="dxa"/>
            <w:vAlign w:val="bottom"/>
            <w:tcBorders>
              <w:bottom w:val="single" w:sz="8" w:color="auto"/>
              <w:right w:val="single" w:sz="8" w:color="auto"/>
            </w:tcBorders>
          </w:tcPr>
          <w:p>
            <w:pPr>
              <w:spacing w:after="0"/>
              <w:rPr>
                <w:sz w:val="14"/>
                <w:szCs w:val="14"/>
                <w:color w:val="auto"/>
              </w:rPr>
            </w:pPr>
          </w:p>
        </w:tc>
      </w:tr>
      <w:tr>
        <w:trPr>
          <w:trHeight w:val="361"/>
        </w:trPr>
        <w:tc>
          <w:tcPr>
            <w:tcW w:w="2860" w:type="dxa"/>
            <w:vAlign w:val="bottom"/>
          </w:tcPr>
          <w:p>
            <w:pPr>
              <w:spacing w:after="0"/>
              <w:rPr>
                <w:sz w:val="24"/>
                <w:szCs w:val="24"/>
                <w:color w:val="auto"/>
              </w:rPr>
            </w:pP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240"/>
          </w:cols>
          <w:pgMar w:left="320" w:top="45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2021, as updated by our subsequent filings under the Exchange Act that are incorporated by reference herein, including our Quarterly Reports on Form 10-Q and our Current Reports on Form 8-K and any amendments thereof, before investing in the Notes.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indebtedness and other liabilities of our subsidiaries.</w:t>
      </w:r>
    </w:p>
    <w:p>
      <w:pPr>
        <w:spacing w:after="0" w:line="12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June 30, 2022, we had total consolidated liabilities of approximately $185.1 billion (including consolidated indebtedness of approximately $110.4 billion), of which $15.7 billion represents the aggregate principal amount of indebtedness of General Motors Company (parent company only) under our 4.875% senior notes due 2023, 5.400% senior notes due 2023, 4.000% senior notes due 2025, 6.125% senior notes due 2025, 4.200% senior notes due 2027, 6.800% senior notes due 2027, 5.000% senior notes due 2028, 5.000% senior notes due 2035, 6.600% senior notes due 2036, 5.150% senior notes due 2038, 6.250% senior notes due 2043, 5.200% senior notes due 2045, 6.750% senior notes due 2046, 5.400% senior notes due 2048 and 5.950% senior notes due 2049 and substantially all of the remainder of which are liabilities of our subsidiaries. Furthermore, the credit agreements governing our revolving credit facilities (which provide for undrawn availability of up to $17.1 billion, which represents the full amount of our revolving credit facilities, less $0.4 billion of letters of credit outstanding thereunder, as of June 30, 2022) provide that, during any period in which our long term corporate credit rating is rated below investment grade by at least two of Moody’s Investors Service, Inc., Standard &amp; Poor’s Ratings Service or Fitch Ratings, certain of our domestic subsidiaries must guarantee the obligations of General Motors Company under such revolving credit facilities. In such event, the Notes would be structurally subordinated to the obligations of such subsidiaries under our revolving credit facilities.</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5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Because we are a holding company and conduct substantially all of our operations through subsidiaries, our cash flow and ability to service debt, including the Notes and $15.7 billion in aggregate principal amount of other senior notes, will depend to a significant extent on the generation of cash flow by our subsidiaries and their ability to make such cash available to us, whether by dividends, distributions or other payments. Our subsidiaries are separate and distinct legal entities and will have no obligation, contingent or otherwise, to pay any amounts due pursuant to the Notes or to make any funds available therefor. The financial condition and operating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20"/>
          </w:cols>
          <w:pgMar w:left="320" w:top="45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will not:</w:t>
      </w:r>
    </w:p>
    <w:p>
      <w:pPr>
        <w:spacing w:after="0" w:line="131" w:lineRule="exact"/>
        <w:rPr>
          <w:sz w:val="20"/>
          <w:szCs w:val="20"/>
          <w:color w:val="auto"/>
        </w:rPr>
      </w:pPr>
    </w:p>
    <w:p>
      <w:pPr>
        <w:ind w:left="1000" w:right="140" w:hanging="439"/>
        <w:spacing w:after="0" w:line="312" w:lineRule="auto"/>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45" w:lineRule="exact"/>
        <w:rPr>
          <w:rFonts w:ascii="Times New Roman" w:cs="Times New Roman" w:eastAsia="Times New Roman" w:hAnsi="Times New Roman"/>
          <w:sz w:val="17"/>
          <w:szCs w:val="17"/>
          <w:color w:val="auto"/>
        </w:rPr>
      </w:pPr>
    </w:p>
    <w:p>
      <w:pPr>
        <w:ind w:left="1000" w:right="280" w:hanging="439"/>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67" w:lineRule="exact"/>
        <w:rPr>
          <w:rFonts w:ascii="Times New Roman" w:cs="Times New Roman" w:eastAsia="Times New Roman" w:hAnsi="Times New Roman"/>
          <w:sz w:val="18"/>
          <w:szCs w:val="18"/>
          <w:color w:val="auto"/>
        </w:rPr>
      </w:pPr>
    </w:p>
    <w:p>
      <w:pPr>
        <w:ind w:left="1000" w:right="160" w:hanging="439"/>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entirely limit our ability to incur secured indebtedness that would effectively rank senior to the Notes to the extent of the value of the assets securing the indebtedness;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or subordinate in right of payment to the Notes (other than certain secured indebtedness);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our equity securities or prepay our other indebtedness;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our ability to make investments or pay dividends or make other payments in respect of our equity securities or our other indebtedness;</w:t>
      </w:r>
    </w:p>
    <w:p>
      <w:pPr>
        <w:spacing w:after="0" w:line="142"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make an offer to repurchase the Notes in the event of a change in control transaction.</w:t>
      </w:r>
    </w:p>
    <w:p>
      <w:pPr>
        <w:spacing w:after="0" w:line="225"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Although the Notes are referred to as “senior notes,” the Notes will be unsecured and will be effectively subordinated to any of our secured debt.</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or any of our subsidiaries defaults on obligations to pay indebtedness, we may not be able to make payments on the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default under agreements governing our indebtedness or the indebtedness of our subsidiaries, including any default under our three-year,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billion revolving credit facility, our five-year, $11.2 billion revolving credit facility, our 364-day $2.0 billion revolving credit facility or any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that we may enter into by us or certain of our subsidiaries, that is not waived by the required lenders, and the remedies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80"/>
          </w:cols>
          <w:pgMar w:left="320" w:top="455"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currently no markets for the Notes, and we cannot assure you that active trading markets for the Notes will develop.</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Notes will be new securities for which there currently are no established markets. The Notes will not be listed on any securities exchange, including any dedicated “green,” “environmental,” “social,” “sustainable” or other equivalently labeled segment of any stock exchange or securities market. See “Risk Factors—</w:t>
      </w:r>
      <w:r>
        <w:rPr>
          <w:rFonts w:ascii="Times New Roman" w:cs="Times New Roman" w:eastAsia="Times New Roman" w:hAnsi="Times New Roman"/>
          <w:sz w:val="18"/>
          <w:szCs w:val="18"/>
          <w:i w:val="1"/>
          <w:iCs w:val="1"/>
          <w:color w:val="auto"/>
        </w:rPr>
        <w:t>We do not intend to list Notes on, and the Notes may never be listed or admitted to, any dedicated “green,” “environmental,”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“social,” “sustainable” or other equivalently labeled segment of any stock exchange or securities market, and the Notes may not be included in any green bond or similar index, and any such potential listing, admission or inclusion may not be indicative that the Notes will be suitable for the investment criteria of an investor.</w:t>
      </w:r>
      <w:r>
        <w:rPr>
          <w:rFonts w:ascii="Times New Roman" w:cs="Times New Roman" w:eastAsia="Times New Roman" w:hAnsi="Times New Roman"/>
          <w:sz w:val="18"/>
          <w:szCs w:val="18"/>
          <w:color w:val="auto"/>
        </w:rPr>
        <w:t>” We can give you no assurance as to whether any trading markets for the Notes will ever develop or continue, as to your ability to sell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or as to the prices at which you may be able to sell your Notes. The liquidity of any market for the Notes of each series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currently intend to make a market in the Notes of each series. However, they are not obligated to do so and may discontinue such market-making at any time without notice. If no active trading markets develop or continue, you may be unable to resell the Notes at their fair value or at any price.</w:t>
      </w:r>
    </w:p>
    <w:p>
      <w:pPr>
        <w:spacing w:after="0" w:line="19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Additionally, the market price may be impacted by any failure by us to use the aggregated net proceeds of the Notes on Eligible Projects or to meet or continue to meet the investment requirements of certain environmentally or socially focused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trading markets do develop, changes in our credit ratings or the debt markets could adversely affect the market prices of the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market prices for the Notes will depend on many factors, including, among others:</w:t>
      </w:r>
    </w:p>
    <w:p>
      <w:pPr>
        <w:spacing w:after="0" w:line="131" w:lineRule="exact"/>
        <w:rPr>
          <w:sz w:val="20"/>
          <w:szCs w:val="20"/>
          <w:color w:val="auto"/>
        </w:rPr>
      </w:pPr>
    </w:p>
    <w:p>
      <w:pPr>
        <w:ind w:left="1000" w:hanging="43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on us and our debt securities, including the Notes, assigned by rating agencies;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condition and prospects;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financial markets.</w:t>
      </w:r>
    </w:p>
    <w:p>
      <w:pPr>
        <w:spacing w:after="0" w:line="225"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45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anticipated use of proceeds to finance or refinance, in whole or in part, Eligible Projects will be suitable for the investment criteria of an investor.</w:t>
      </w:r>
    </w:p>
    <w:p>
      <w:pPr>
        <w:spacing w:after="0" w:line="51"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the sale of the Notes to finance or refinance, in whole or in part, one or more new or existing Eligible Projects (as defined under “Use of Proceeds”), but no assurance can be given that any such Eligible Projects will be capable of being implemented in or substantially in such manner or in accordance with any timing schedule, or that such Eligible Projects will be completed within any specified period or at all or with the results or outcome (whether or not related to the environmental, sustainability or social impact) as we originally expected or anticipated. The examples of projects set forth in “Use of Proceeds” in this prospectus supplement are for illustrative purposes only, and no assurance can be provided that disbursements for projects with these specific characteristics will be made by us with the net proceeds from the Notes. We have significant flexibility in allocating the net proceeds of the Notes (including the ability to reallocate the net proceeds in the event we determine in our discretion that projects receiving allocation no longer meet the criteria for Eligible Projects) and there can be no assurance that the net proceeds will be totally or partially disbursed for any such Eligible Projects. Moreover, in the event that a project is divested, cannot be completed or no longer meets the criteria for being an Eligible Project, there is no assurance that there will be available another Eligible Project to which we can reallocate the proceeds or that any such reallocation will occur within a timeframe that an investor believes is reasonable. None of the underwriters for this offering are responsible for assessing or verifying whether or not the Eligible Projects to which we allocate the net proceeds of the Notes meet the criteria described in “Use of Proceeds,” or for the monitoring of the use of proceeds.</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Prospective investors should carefully review the information set out in this prospectus supplement regarding such use of the net proceeds of the Notes and must determine for themselves the relevance of such information for the purpose of any investment in the Notes together with any other investigation such investor deems necessary. In particular, no assurance is given by us or any underwriter of the Notes that the use of such net proceeds to fund any Eligible Projects will satisfy (or will continue to satisfy),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such investor’s own bylaws or other governing rules or investment portfolio mandates, ratings mandates or criteria, taxonomies or standards, or other independent expectations, in particular with regard to any direct or indirect environmental, sustainability or social impact of any projects or uses, the subject of or related to, any Eligible Projects. Any failure by us to allocate an amount equal to the net proceeds from the sale of the Notes to one or more Eligible Projects or the failure of those investments or financings to satisfy investor expectations or requirements or achieve expected outcomes could have a material adverse effect on the market price of the Notes.</w:t>
      </w:r>
    </w:p>
    <w:p>
      <w:pPr>
        <w:spacing w:after="0" w:line="2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legal, regulatory or market definition of or standardized criteria for what constitutes a “green,” “social,” “sustainable” or other equivalently labeled project, and any such designations made by third parties with respect to the Notes may not be suitable for the investment criteria of an investor.</w:t>
      </w:r>
    </w:p>
    <w:p>
      <w:pPr>
        <w:spacing w:after="0" w:line="67"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There is currently no single, agreed-upon definition (legal, regulatory or otherwise) of, nor market consensus as to what constitutes, a “green,” “social,” “sustainable” or an equivalently labeled project, or as to what precise attributes are required for a particular project to be defined as “green,” “social,” “sustainable” or such other equivalent label, and no assurance can be given that such a clear definition or consensus will develop over time or, if such definition or consensus develops in the future, that the Eligible Projects will meet such criteria. Accordingly, no assurance is or can be given to investors that any Eligible Projects selected to receive an allocation of funds from the net proceeds of the Notes will meet any or all investor expectations regarding such “green,” “social,” “sustainable” or other equivalently labeled performance objectives, or that any adverse environmental, social or other impacts, ESG controversies or material changes will not occur during the design, construction, operation or implementation of any Eligible Projects financed or refinanced in whole or in part by the net proceeds from the sale of the Notes.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00"/>
          </w:cols>
          <w:pgMar w:left="320" w:top="455"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assurance or representation is given as to the suitability or reliability for any purpose whatsoever of any opinion or certification of any third party (whether or not solicited by us), including the Second Party Opinion discussed under “Use of Proceeds” in this prospectus supplement, that may be made available in connection with the issuance of the Notes.</w:t>
      </w:r>
    </w:p>
    <w:p>
      <w:pPr>
        <w:spacing w:after="0" w:line="6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No assurance or representation is given as to the suitability or reliability for any purpose whatsoever of any opinion or certification of any third party (whether or not solicited by us) that may be made available in connection with the issuance of the Notes and, in particular, with respect to whether any Eligible Projects fulfill any environmental, social, sustainability or other criteria. For the avoidance of doubt, any such opinion or certification is not and shall not be deemed to be incorporated into or form part of this prospectus supplement and the accompanying prospectus. Any such opinion or certification is not, and should not be deemed to be, a recommendation by us or any underwriter, or any other person to buy, sell or hold the Notes. Any such opinion or certification is only current as of the date that opinion or certification was initially issued. Prospective investors must determine for themselves the relevance of any such opinion or certification or the information contained therein or the provider of such opinion or certification for the purpose of any investment in the Notes. Any withdrawal of any such opinion or certification or any additional opinion or certification attesting that we are not complying in whole or in part with any matters for which such opinion or certification is opining or certifying may have a material adverse effect on the market price of the Notes or result in adverse consequences for certain investors with mandates to invest in securities to be used for a particular purpose.</w:t>
      </w:r>
    </w:p>
    <w:p>
      <w:pPr>
        <w:spacing w:after="0" w:line="298" w:lineRule="exact"/>
        <w:rPr>
          <w:sz w:val="20"/>
          <w:szCs w:val="20"/>
          <w:color w:val="auto"/>
        </w:rPr>
      </w:pPr>
    </w:p>
    <w:p>
      <w:pPr>
        <w:jc w:val="both"/>
        <w:ind w:right="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do not intend to list Notes on, and the Notes may never be listed or admitted to, any dedicated “green,” “environmental,” “social,” “sustainable” or other equivalently labeled segment of any stock exchange or securities market, and the Notes may not be included in any green bond or similar index, and any such potential listing, admission or inclusion may not be indicative that the Notes will be suitable for the investment criteria of an investor.</w:t>
      </w:r>
    </w:p>
    <w:p>
      <w:pPr>
        <w:spacing w:after="0" w:line="4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do not intend to apply for the Notes to be listed or admitted to trading on any dedicated “green,” “environmental,” “social,” “sustainable” or other equivalently labeled segment of any stock exchange or securities market (whether or not regulated), and there is no assurance that the Notes will be included in any green bond or similar index. Moreover, even if the Notes were to be listed or admitted to trading on any such segment of any stock exchange or securities market or included in any green bond or similar index, no representation or assurance can be given by us, any underwriter or any other person:</w:t>
      </w:r>
    </w:p>
    <w:p>
      <w:pPr>
        <w:spacing w:after="0" w:line="89" w:lineRule="exact"/>
        <w:rPr>
          <w:sz w:val="20"/>
          <w:szCs w:val="20"/>
          <w:color w:val="auto"/>
        </w:rPr>
      </w:pPr>
    </w:p>
    <w:p>
      <w:pPr>
        <w:ind w:left="1000" w:right="40" w:hanging="439"/>
        <w:spacing w:after="0" w:line="255"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listing, admission or inclusion would satisfy (or would continue to satisfy),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such investor’s own bylaws or other governing rules or investment portfolio mandates, ratings mandates or other expectations, in particular with regard to any direct or indirect environmental, social or sustainability impact of any projects or uses, the subject of or related to, any Eligible Projects (and it should be noted that the criteria for any such listing, admission to trading or inclusion in an index may vary from one stock exchange, securities market or index to another); or</w:t>
      </w:r>
    </w:p>
    <w:p>
      <w:pPr>
        <w:spacing w:after="0" w:line="94"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such listing or admission to trading or inclusion in any index will be maintained during the life of the Notes.</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the event that the Notes are listed on any such exchange or securities market or included in any such index, any change to the listing or admission status of the Notes or their inclusion in any such index, including but not limited to any change that causes the Notes to no longer be listed or admitted to trading on any stock exchange or securities market or included in any index, may have a material adverse effect on the market price of the Notes or result in adverse consequences for certain investors with portfolio mandates to invest in securities to be used for a particular purpose.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4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Notes may be negatively affected to the extent that perception by investors of the suitability of the Notes as “green,” “social” or “sustainable” bonds deteriorates or demand for green or sustainability-themed investment products diminishes.</w:t>
      </w:r>
    </w:p>
    <w:p>
      <w:pPr>
        <w:spacing w:after="0" w:line="5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Perception by investors of the suitability of the Notes as “green,” “social” or “sustainable” bonds could be negatively affected by dissatisfaction with the framework, our compliance with the framework, how we determine Eligible Projects described under “Use of Proceeds,” controversies involving the environmental, social or sustainability impact of our business or industry, as well as our determination of whether controversies are material, evolving standards or market consensus as to what constitutes a “green,” “social” or “sustainable” bond or the desirability of investing in “green,” “social” or “sustainable” bonds or any opinion or certification as to the suitability of the Notes as “green,” “social” or “sustainable” bonds no longer being in effect.</w:t>
      </w:r>
    </w:p>
    <w:p>
      <w:pPr>
        <w:spacing w:after="0" w:line="18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 Eligible Projects to which we may allocate the proceeds from the Notes may have complex direct or indirect environmental, sustainability or social impacts, and adverse environmental or social impacts may occur during the design, construction and operation of such Eligible Projects. In addition, projects may become controversial or criticized by activist groups or other stakeholders, which could have a negative effect on the trading price of the Notes.</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market price of the Notes may be negatively affected to the extent investors are required or choose to sell their holdings due to deterioration in the perception by the investor or the market in general as to the suitability of this offering as “green,” “social” or “sustainable” bonds. The market price of the Notes may be also negatively affected to the extent demand for sustainability-themed investment products diminishes due to evolving investor preferences, increased regulatory or market scrutiny on funds and strategies dedicated to sustainability or environmental, social or governance themed investing or for other reasons. The market for investments denoted as “green,” “social” or “sustainable” is new and may be volatile.</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have no remedies under the Notes or the governing indenture if we fail to allocate an amount equal to the net proceeds from the sale of the Notes to Eligible Projects or to satisfy related reporting obligations and other undertakings.</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Neither the Notes nor the indenture governing the Notes requires or will require us to use the net proceeds from the sale of the Notes as described under “Use of Proceeds” or to satisfy the reporting and other undertakings described under “Use of Proceeds—Reporting.” Any failure by us to comply with the foregoing will not constitute a breach of or default under the Notes or the indenture governing the Notes. As a result, it will not be an event of default under the indenture if we fail to allocate an amount equivalent to the net proceeds from the sale of the Notes to Eligible Projects or to satisfy the reporting and other undertakings as described under “Use of Proceeds” in this prospectus supplement and holders of the Notes will have no remedies under the Notes or the indenture for any such failure.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80"/>
          </w:cols>
          <w:pgMar w:left="320" w:top="455"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 xml:space="preserve">We expect to receive total net proceeds of approximately $ billion from the issuance of the Notes, after deducting estimated underwriting discounts and commissions and estimated offering expenses payable by us. We intend to allocate an amount equal to the net proceeds from the Notes to finance or refinance, in whole or in part, new or existing green projects, assets, or activities (each, an “Eligible Project” and together, “Eligible Projects”) undertaken or owned by GM that meet one or more of the eligibility criteria described below (the “Eligibility Criteria”). In accordance with our strategy, we have established a Sustainability Financing Framework (the “Framework”) as a </w:t>
      </w:r>
      <w:r>
        <w:rPr>
          <w:rFonts w:ascii="Times New Roman" w:cs="Times New Roman" w:eastAsia="Times New Roman" w:hAnsi="Times New Roman"/>
          <w:sz w:val="18"/>
          <w:szCs w:val="18"/>
          <w:b w:val="1"/>
          <w:bCs w:val="1"/>
          <w:u w:val="single" w:color="auto"/>
          <w:color w:val="auto"/>
        </w:rPr>
        <w:t>voluntary</w:t>
      </w:r>
      <w:r>
        <w:rPr>
          <w:rFonts w:ascii="Times New Roman" w:cs="Times New Roman" w:eastAsia="Times New Roman" w:hAnsi="Times New Roman"/>
          <w:sz w:val="18"/>
          <w:szCs w:val="18"/>
          <w:color w:val="auto"/>
        </w:rPr>
        <w:t xml:space="preserve"> framework of guidelines for issuances of green, social and sustainability financings, including the Notes, by us or any of our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 Criteria</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Eligible Projects allocations are limited to investments and expenditures made by GM, as applicable, beginning with the issuance or incurrence of the Notes or in the 24 months prior to the issuance of the Notes. GM may allocate amounts equal to the net proceeds from the Notes to a single Eligible Project or any combination of Eligible Projects, and no assurances can be provided that any amount will be allocated to fund any particular category of Eligible Projects. Examples are for illustrative purposes only and no assurance can be made that disbursements for projects with these specific characteristics will be made with the net proceeds of the Notes.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of the following will be deemed an “Eligible Project”:</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Clean Transportation</w:t>
      </w:r>
    </w:p>
    <w:p>
      <w:pPr>
        <w:spacing w:after="0" w:line="119"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Investments (including equity investments in joint ventures) and expenditures for the design, development or manufacture of clean transportation technology and enabling solutions (jointly “Clean Transportation Solutions”), including:</w:t>
      </w:r>
    </w:p>
    <w:p>
      <w:pPr>
        <w:spacing w:after="0" w:line="67" w:lineRule="exact"/>
        <w:rPr>
          <w:sz w:val="20"/>
          <w:szCs w:val="20"/>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Zero-Emission Vehicles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 Technology, Battery Storage and Battery Management Systems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Cell Technology</w:t>
      </w:r>
    </w:p>
    <w:p>
      <w:pPr>
        <w:spacing w:after="0" w:line="130" w:lineRule="exact"/>
        <w:rPr>
          <w:rFonts w:ascii="Times New Roman" w:cs="Times New Roman" w:eastAsia="Times New Roman" w:hAnsi="Times New Roman"/>
          <w:sz w:val="18"/>
          <w:szCs w:val="18"/>
          <w:color w:val="auto"/>
        </w:rPr>
      </w:pPr>
    </w:p>
    <w:p>
      <w:pPr>
        <w:ind w:left="1000" w:right="340" w:hanging="439"/>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Batteries, Battery Cells, Fuel Cells, Electric Motors and Other Components used in Zero-Emission Propulsion Solutions for the Auto and Other Industries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Charging Solutions and Equipment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Energy-As-A-Service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Microgrid and Vehicle-to-Grid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Eligible Projects will fall into one or more of the categories below following the Clean Transportation Solution life cycle:</w:t>
      </w:r>
    </w:p>
    <w:p>
      <w:pPr>
        <w:spacing w:after="0" w:line="131" w:lineRule="exact"/>
        <w:rPr>
          <w:sz w:val="20"/>
          <w:szCs w:val="20"/>
          <w:color w:val="auto"/>
        </w:rPr>
      </w:pPr>
    </w:p>
    <w:p>
      <w:pPr>
        <w:ind w:left="1000" w:hanging="439"/>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expenditures dedicated to the advancement of Clean Transportation Solutions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Infrastructure</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capital and operating expenditures related to:</w:t>
      </w:r>
    </w:p>
    <w:p>
      <w:pPr>
        <w:spacing w:after="0" w:line="130" w:lineRule="exact"/>
        <w:rPr>
          <w:rFonts w:ascii="Times New Roman" w:cs="Times New Roman" w:eastAsia="Times New Roman" w:hAnsi="Times New Roman"/>
          <w:sz w:val="18"/>
          <w:szCs w:val="18"/>
          <w:color w:val="auto"/>
        </w:rPr>
      </w:pPr>
    </w:p>
    <w:p>
      <w:pPr>
        <w:ind w:left="2120" w:hanging="546"/>
        <w:spacing w:after="0"/>
        <w:tabs>
          <w:tab w:leader="none" w:pos="21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manufacturing facilities</w:t>
      </w:r>
    </w:p>
    <w:p>
      <w:pPr>
        <w:spacing w:after="0" w:line="130" w:lineRule="exact"/>
        <w:rPr>
          <w:rFonts w:ascii="Times New Roman" w:cs="Times New Roman" w:eastAsia="Times New Roman" w:hAnsi="Times New Roman"/>
          <w:sz w:val="18"/>
          <w:szCs w:val="18"/>
          <w:color w:val="auto"/>
        </w:rPr>
      </w:pPr>
    </w:p>
    <w:p>
      <w:pPr>
        <w:ind w:left="2120" w:right="20" w:hanging="546"/>
        <w:spacing w:after="0" w:line="282" w:lineRule="auto"/>
        <w:tabs>
          <w:tab w:leader="none" w:pos="21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Upgrades and modifications to existing manufacturing facilities, including conversion of Internal Combustion Engine (“ICE”) facilities to add capability to produce Clean Transportation Solutions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20"/>
          </w:cols>
          <w:pgMar w:left="320" w:top="45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120" w:hanging="546"/>
        <w:spacing w:after="0"/>
        <w:tabs>
          <w:tab w:leader="none" w:pos="21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related to Clean Transportation Solutions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w:t>
      </w:r>
    </w:p>
    <w:p>
      <w:pPr>
        <w:spacing w:after="0" w:line="130" w:lineRule="exact"/>
        <w:rPr>
          <w:rFonts w:ascii="Times New Roman" w:cs="Times New Roman" w:eastAsia="Times New Roman" w:hAnsi="Times New Roman"/>
          <w:sz w:val="18"/>
          <w:szCs w:val="18"/>
          <w:color w:val="auto"/>
        </w:rPr>
      </w:pPr>
    </w:p>
    <w:p>
      <w:pPr>
        <w:ind w:left="1460" w:right="80" w:hanging="332"/>
        <w:spacing w:after="0" w:line="282" w:lineRule="auto"/>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capital and operating expenditures related to the development and deployment of resource-efficient Clean Transportation Solutions, including:</w:t>
      </w:r>
    </w:p>
    <w:p>
      <w:pPr>
        <w:spacing w:after="0" w:line="67" w:lineRule="exact"/>
        <w:rPr>
          <w:rFonts w:ascii="Times New Roman" w:cs="Times New Roman" w:eastAsia="Times New Roman" w:hAnsi="Times New Roman"/>
          <w:sz w:val="18"/>
          <w:szCs w:val="18"/>
          <w:color w:val="auto"/>
        </w:rPr>
      </w:pPr>
    </w:p>
    <w:p>
      <w:pPr>
        <w:ind w:left="2120" w:hanging="546"/>
        <w:spacing w:after="0"/>
        <w:tabs>
          <w:tab w:leader="none" w:pos="21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waste from landfills including recycling facilities</w:t>
      </w:r>
    </w:p>
    <w:p>
      <w:pPr>
        <w:spacing w:after="0" w:line="130" w:lineRule="exact"/>
        <w:rPr>
          <w:rFonts w:ascii="Times New Roman" w:cs="Times New Roman" w:eastAsia="Times New Roman" w:hAnsi="Times New Roman"/>
          <w:sz w:val="18"/>
          <w:szCs w:val="18"/>
          <w:color w:val="auto"/>
        </w:rPr>
      </w:pPr>
    </w:p>
    <w:p>
      <w:pPr>
        <w:ind w:left="2120" w:hanging="546"/>
        <w:spacing w:after="0"/>
        <w:tabs>
          <w:tab w:leader="none" w:pos="21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Wastewater technologies and water efficiency upgrades</w:t>
      </w:r>
    </w:p>
    <w:p>
      <w:pPr>
        <w:spacing w:after="0" w:line="130" w:lineRule="exact"/>
        <w:rPr>
          <w:rFonts w:ascii="Times New Roman" w:cs="Times New Roman" w:eastAsia="Times New Roman" w:hAnsi="Times New Roman"/>
          <w:sz w:val="18"/>
          <w:szCs w:val="18"/>
          <w:color w:val="auto"/>
        </w:rPr>
      </w:pPr>
    </w:p>
    <w:p>
      <w:pPr>
        <w:ind w:left="2120" w:hanging="546"/>
        <w:spacing w:after="0"/>
        <w:tabs>
          <w:tab w:leader="none" w:pos="21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 upgrades and sourcing of renewable energy</w:t>
      </w:r>
    </w:p>
    <w:p>
      <w:pPr>
        <w:spacing w:after="0" w:line="225"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The examples of Eligible Projects noted above are for illustrative purposes only, and no assurance can be provided that disbursements for projects with these specific characteristics will be made by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of Project Evaluation and Selection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Sustainable Financing Council</w:t>
      </w:r>
    </w:p>
    <w:p>
      <w:pPr>
        <w:spacing w:after="0" w:line="119"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We have established a Sustainable Financing Council (the “Council”) that is responsible for monitoring compliance and alignment of Eligible Projects with the Sustainable Finance Framework (the “Framework”).</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Council will consist of GM senior representatives from:</w:t>
      </w:r>
    </w:p>
    <w:p>
      <w:pPr>
        <w:spacing w:after="0" w:line="131" w:lineRule="exact"/>
        <w:rPr>
          <w:sz w:val="20"/>
          <w:szCs w:val="20"/>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Controllership;</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Finance;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Relations;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Council will meet at least once a year and is responsible for:</w:t>
      </w:r>
    </w:p>
    <w:p>
      <w:pPr>
        <w:spacing w:after="0" w:line="131" w:lineRule="exact"/>
        <w:rPr>
          <w:sz w:val="20"/>
          <w:szCs w:val="20"/>
          <w:color w:val="auto"/>
        </w:rPr>
      </w:pPr>
    </w:p>
    <w:p>
      <w:pPr>
        <w:ind w:left="1000" w:hanging="43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Framework and any subsequent amendments thereto,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annual Sustainable Finance Report.</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GM Sustainable Finance Working Groups</w:t>
      </w:r>
    </w:p>
    <w:p>
      <w:pPr>
        <w:spacing w:after="0" w:line="11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To manage the entity specific responsibilities, GM will establish a Sustainable Finance Working Group (the “Working Group”). The Working Group, as appointed by the Council, will consist of representatives from the Treasury team, and representatives from the teams comprising the Council, as applicable. The Working Group will meet once a year, or more often as needed, and will be responsible for:</w:t>
      </w:r>
    </w:p>
    <w:p>
      <w:pPr>
        <w:spacing w:after="0" w:line="81" w:lineRule="exact"/>
        <w:rPr>
          <w:sz w:val="20"/>
          <w:szCs w:val="20"/>
          <w:color w:val="auto"/>
        </w:rPr>
      </w:pPr>
    </w:p>
    <w:p>
      <w:pPr>
        <w:ind w:left="1000" w:right="260" w:hanging="439"/>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selecting eligible investments and expenditures that meet the Eligibility Criteria, including confirming that a review of the environmental and social risks, as applicable, of an Eligible Project has been performed prior to selection:</w:t>
      </w:r>
    </w:p>
    <w:p>
      <w:pPr>
        <w:spacing w:after="0" w:line="67"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adjusting the balance of tracked proceeds to match allocation to Eligible Projects</w:t>
      </w:r>
    </w:p>
    <w:p>
      <w:pPr>
        <w:spacing w:after="0" w:line="130" w:lineRule="exact"/>
        <w:rPr>
          <w:rFonts w:ascii="Times New Roman" w:cs="Times New Roman" w:eastAsia="Times New Roman" w:hAnsi="Times New Roman"/>
          <w:sz w:val="18"/>
          <w:szCs w:val="18"/>
          <w:color w:val="auto"/>
        </w:rPr>
      </w:pPr>
    </w:p>
    <w:p>
      <w:pPr>
        <w:ind w:left="1460" w:hanging="332"/>
        <w:spacing w:after="0" w:line="312" w:lineRule="auto"/>
        <w:tabs>
          <w:tab w:leader="none" w:pos="146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and reviewing the Eligible Projects for conformance to the Eligibility Criteria and for material controversies, and replacing projects that no longer meet the Eligibility Criteria, are divested, or are subject to material controversies that are not promptly remedied</w:t>
      </w:r>
    </w:p>
    <w:p>
      <w:pPr>
        <w:spacing w:after="0" w:line="45"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internal register to track allocation of funds from the Notes to Eligible Projects;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00"/>
          </w:cols>
          <w:pgMar w:left="320" w:top="455"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reviewing the annual Sustainable Finance Report;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external limited assurance as described in “External Verification.”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Proceeds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So long as the Notes remain outstanding, our internal records will show the amount of the net proceeds from the issuance of the Notes allocated to Eligible Projects, as well as the amount of net proceeds pending allocation. Ultimately, an amount equal to the net proceeds of the Notes is intended to be allocated to finance or refinance new or existing Eligible Projects, within 24 months after issuance of the Notes, under the review of relevant members from GM’s Working Group. Pending full allocation, proceeds may be invested in cash or cash equivalents, used to repay existing borrowings, and/or held in accordance with GM general liquidity policy. We will not knowingly invest any unallocated proceeds in securities related to fossil fuels or other controversial activities. Payment of principal and interest on the Notes will be made from our general account and not be linked to the performance of the Eligible Projects.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121" w:lineRule="exact"/>
        <w:rPr>
          <w:sz w:val="20"/>
          <w:szCs w:val="20"/>
          <w:color w:val="auto"/>
        </w:rPr>
      </w:pPr>
    </w:p>
    <w:p>
      <w:pPr>
        <w:jc w:val="both"/>
        <w:ind w:right="400" w:firstLine="449"/>
        <w:spacing w:after="0" w:line="266" w:lineRule="auto"/>
        <w:rPr>
          <w:sz w:val="20"/>
          <w:szCs w:val="20"/>
          <w:color w:val="auto"/>
        </w:rPr>
      </w:pPr>
      <w:r>
        <w:rPr>
          <w:rFonts w:ascii="Times New Roman" w:cs="Times New Roman" w:eastAsia="Times New Roman" w:hAnsi="Times New Roman"/>
          <w:sz w:val="18"/>
          <w:szCs w:val="18"/>
          <w:color w:val="auto"/>
        </w:rPr>
        <w:t>In alignment with the company’s commitment to transparency and public reporting on ESG topics, on an annual basis until full allocation of an amount equal to the net proceeds of the Notes, GM will publish a Sustainable Finance Report (a “Sustainable Finance Report”) on its website that will include:</w:t>
      </w:r>
    </w:p>
    <w:p>
      <w:pPr>
        <w:spacing w:after="0" w:line="81" w:lineRule="exact"/>
        <w:rPr>
          <w:sz w:val="20"/>
          <w:szCs w:val="20"/>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raised from the Notes;</w:t>
      </w:r>
    </w:p>
    <w:p>
      <w:pPr>
        <w:spacing w:after="0" w:line="130" w:lineRule="exact"/>
        <w:rPr>
          <w:rFonts w:ascii="Times New Roman" w:cs="Times New Roman" w:eastAsia="Times New Roman" w:hAnsi="Times New Roman"/>
          <w:sz w:val="18"/>
          <w:szCs w:val="18"/>
          <w:color w:val="auto"/>
        </w:rPr>
      </w:pPr>
    </w:p>
    <w:p>
      <w:pPr>
        <w:ind w:left="1000" w:right="1000" w:hanging="439"/>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of funds allocated to each of the Eligible Projects either individually or by category, subject to confidentiality considerations;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financed or refinanced;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amount of third-party financing used for the Eligible Projects;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of unallocated proceeds;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reporting elements, where feasible and subject to confidentiality considerations, as described in the next sub-section; and</w:t>
      </w:r>
    </w:p>
    <w:p>
      <w:pPr>
        <w:spacing w:after="0" w:line="130" w:lineRule="exact"/>
        <w:rPr>
          <w:rFonts w:ascii="Times New Roman" w:cs="Times New Roman" w:eastAsia="Times New Roman" w:hAnsi="Times New Roman"/>
          <w:sz w:val="18"/>
          <w:szCs w:val="18"/>
          <w:color w:val="auto"/>
        </w:rPr>
      </w:pPr>
    </w:p>
    <w:p>
      <w:pPr>
        <w:ind w:left="1000" w:right="20" w:hanging="439"/>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developments related to the projects or assets financed, including ESG controversies, where feasible and subject to confidentiality considerations. In the case of material developments that impact allocation, GM will publish a revised allocation overview in a revised Sustainable Finance Report, including external verification as described below under “External Verification.”</w:t>
      </w:r>
    </w:p>
    <w:p>
      <w:pPr>
        <w:spacing w:after="0" w:line="176"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Where feasible, we intend to align our reporting practices with the ICMA recommendations as detailed in the ‘Handbook—Harmonized Framework for Impact Reporting (June 2021)’.</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Reporting</w:t>
      </w:r>
    </w:p>
    <w:p>
      <w:pPr>
        <w:spacing w:after="0" w:line="11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Subject to confidentiality considerations, where feasible and applicable, GM will include certain estimated impact metrics in the Sustainable Finance Report and the respective calculation methodology and key assumptions for each metric reported related to Eligible Projects that were included in the allocation of proceeds. Performance on estimated impact metrics will not be tied to the pricing or other characteristics of the Notes. Sample impact metrics are listed as follows (for the avoidance of doubt, GM would not expect to report on each example metric for each project): number of zero-emission vehicles sold; incremental capacity from use of proceeds of battery plant; annual Greenhouse Gas (GHG) emissions avoided (tCO2e) from vehicle use; annual energy savings; number of recharging stations installed; water use reduction; and installed renewable energy capacity.</w:t>
      </w:r>
    </w:p>
    <w:p>
      <w:pPr>
        <w:spacing w:after="0" w:line="187"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information on or accessible through our website is not part of this prospectus supplement or the accompanying prospectus (except for the SEC filings specifically incorporated by reference under “Incorporation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45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Certain Documents by Reference”) and should not be relied upon in connection with making any investment decision with respect to the Notes.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Review</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Second Party Opinion</w:t>
      </w:r>
    </w:p>
    <w:p>
      <w:pPr>
        <w:spacing w:after="0" w:line="119" w:lineRule="exact"/>
        <w:rPr>
          <w:sz w:val="20"/>
          <w:szCs w:val="20"/>
          <w:color w:val="auto"/>
        </w:rPr>
      </w:pPr>
    </w:p>
    <w:p>
      <w:pPr>
        <w:jc w:val="both"/>
        <w:ind w:firstLine="449"/>
        <w:spacing w:after="0" w:line="289" w:lineRule="auto"/>
        <w:rPr>
          <w:sz w:val="20"/>
          <w:szCs w:val="20"/>
          <w:color w:val="auto"/>
        </w:rPr>
      </w:pPr>
      <w:r>
        <w:rPr>
          <w:rFonts w:ascii="Times New Roman" w:cs="Times New Roman" w:eastAsia="Times New Roman" w:hAnsi="Times New Roman"/>
          <w:sz w:val="17"/>
          <w:szCs w:val="17"/>
          <w:color w:val="auto"/>
        </w:rPr>
        <w:t>We have retained a consultant with recognized environmental and social expertise to provide a Second Party Opinion (“SPO”) on the environmental and social benefits of our Framework as well as its alignment with the Green Bond Principles (2021), Social Bond Principles (2021), Sustainability Bond Guidelines (2021) and Green Loan Principles (2021) (collectively, the “ Principles”). The opinion can be found on the SPO provider’s website.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External Verification</w:t>
      </w:r>
    </w:p>
    <w:p>
      <w:pPr>
        <w:spacing w:after="0" w:line="119"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Each Sustainable Finance Report will be accompanied by a limited assurance report from an independent party in respect of its examination of management’s assertions about allocation of proceeds to Eligible Projects individually or by category under the Framework.</w:t>
      </w:r>
    </w:p>
    <w:p>
      <w:pPr>
        <w:spacing w:after="0" w:line="16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For the avoidance of doubt, none of the Framework, the Second Party Opinion, or the Sustainable Finance Report, are, and none shall be deemed to be, incorporated by reference into or form a part of this prospectus supplement or the accompanying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920" w:firstLine="449"/>
        <w:spacing w:after="0" w:line="276" w:lineRule="auto"/>
        <w:rPr>
          <w:sz w:val="20"/>
          <w:szCs w:val="20"/>
          <w:color w:val="auto"/>
        </w:rPr>
      </w:pPr>
      <w:r>
        <w:rPr>
          <w:rFonts w:ascii="Times New Roman" w:cs="Times New Roman" w:eastAsia="Times New Roman" w:hAnsi="Times New Roman"/>
          <w:sz w:val="17"/>
          <w:szCs w:val="17"/>
          <w:color w:val="auto"/>
        </w:rPr>
        <w:t>The Notes offered hereby will be issued as separate series of debt securities pursuant to the indenture (the “Base Indenture”) dated as of September 27, 2013 between GM and The Bank of New York Mellon, as trustee (the “Trustee”), as amended and supplemented by the seventh</w:t>
      </w:r>
    </w:p>
    <w:p>
      <w:pPr>
        <w:spacing w:after="0" w:line="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supplemental indenture (the “Supplemental Indenture”) to be dated on or about , 2022 between us and the Trustee. The Base Indenture and the Supplemental Indenture, as amended and supplemented, are together referred to herein as the “Indenture.” The Indenture and the Notes are governed by, and construed in accordance with, the laws of the State of New York, United States.</w:t>
      </w:r>
    </w:p>
    <w:p>
      <w:pPr>
        <w:spacing w:after="0" w:line="186"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87"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Notes will be senior, unsecured obligations of GM and will rank equally with all other unsecured and unsubordinated indebtedness of GM (other than obligations preferred by mandatory provisions of law).</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20 Notes will mature on , 20 and the 20 Notes will mature on , 20 ; in both cases unless we redeem such Notes prior to their respective maturity dates, as described below under “—Optional Redemption.”</w:t>
      </w:r>
    </w:p>
    <w:p>
      <w:pPr>
        <w:spacing w:after="0" w:line="162" w:lineRule="exact"/>
        <w:rPr>
          <w:sz w:val="20"/>
          <w:szCs w:val="20"/>
          <w:color w:val="auto"/>
        </w:rPr>
      </w:pPr>
    </w:p>
    <w:p>
      <w:pPr>
        <w:ind w:right="820" w:firstLine="449"/>
        <w:spacing w:after="0" w:line="282" w:lineRule="auto"/>
        <w:rPr>
          <w:sz w:val="20"/>
          <w:szCs w:val="20"/>
          <w:color w:val="auto"/>
        </w:rPr>
      </w:pPr>
      <w:r>
        <w:rPr>
          <w:rFonts w:ascii="Times New Roman" w:cs="Times New Roman" w:eastAsia="Times New Roman" w:hAnsi="Times New Roman"/>
          <w:sz w:val="18"/>
          <w:szCs w:val="18"/>
          <w:color w:val="auto"/>
        </w:rPr>
        <w:t>The Notes will be issued in book-entry form only through the facilities of DTC, including its participants, Euroclear and Clearstream. See “Description of Debt Securities—Book-Entry; Delivery and Form; Global Securities” in the accompanying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ectPr>
          <w:pgSz w:w="11900" w:h="16838" w:orient="portrait"/>
          <w:cols w:equalWidth="0" w:num="1">
            <w:col w:w="11200"/>
          </w:cols>
          <w:pgMar w:left="320" w:top="455" w:right="379" w:bottom="1440" w:gutter="0" w:footer="0" w:header="0"/>
        </w:sectPr>
      </w:pPr>
    </w:p>
    <w:p>
      <w:pPr>
        <w:spacing w:after="0" w:line="121" w:lineRule="exact"/>
        <w:rPr>
          <w:sz w:val="20"/>
          <w:szCs w:val="20"/>
          <w:color w:val="auto"/>
        </w:rPr>
      </w:pPr>
    </w:p>
    <w:p>
      <w:pPr>
        <w:jc w:val="center"/>
        <w:ind w:left="460"/>
        <w:spacing w:after="0"/>
        <w:tabs>
          <w:tab w:leader="none" w:pos="200" w:val="left"/>
        </w:tabs>
        <w:rPr>
          <w:sz w:val="20"/>
          <w:szCs w:val="20"/>
          <w:color w:val="auto"/>
        </w:rPr>
      </w:pPr>
      <w:r>
        <w:rPr>
          <w:rFonts w:ascii="Times New Roman" w:cs="Times New Roman" w:eastAsia="Times New Roman" w:hAnsi="Times New Roman"/>
          <w:sz w:val="18"/>
          <w:szCs w:val="18"/>
          <w:color w:val="auto"/>
        </w:rPr>
        <w:t>The 20</w:t>
      </w:r>
      <w:r>
        <w:rPr>
          <w:sz w:val="20"/>
          <w:szCs w:val="20"/>
          <w:color w:val="auto"/>
        </w:rPr>
        <w:tab/>
      </w:r>
      <w:r>
        <w:rPr>
          <w:rFonts w:ascii="Times New Roman" w:cs="Times New Roman" w:eastAsia="Times New Roman" w:hAnsi="Times New Roman"/>
          <w:sz w:val="17"/>
          <w:szCs w:val="17"/>
          <w:color w:val="auto"/>
        </w:rPr>
        <w:t>Notes will initially be limited to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principal amount and the 20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will initially be limited to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w:t>
      </w:r>
    </w:p>
    <w:p>
      <w:pPr>
        <w:spacing w:after="0" w:line="27" w:lineRule="exact"/>
        <w:rPr>
          <w:sz w:val="20"/>
          <w:szCs w:val="20"/>
          <w:color w:val="auto"/>
        </w:rPr>
      </w:pPr>
    </w:p>
    <w:p>
      <w:pPr>
        <w:sectPr>
          <w:pgSz w:w="11900" w:h="16838" w:orient="portrait"/>
          <w:cols w:equalWidth="0" w:num="4">
            <w:col w:w="3620" w:space="420"/>
            <w:col w:w="2760" w:space="220"/>
            <w:col w:w="2440" w:space="400"/>
            <w:col w:w="1340"/>
          </w:cols>
          <w:pgMar w:left="320" w:top="455"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7"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20 Notes will bear interest at a rate of % per year and the 20 Notes will bear interest at a rate of % per year. Each series of Notes will accrue interest, calculated on the basis of a 360-day year consisting of twelve 30-day months, from , 2022, or, in each case, from the most recent interest payment date to which interest has been paid or duly provided for, which, in each case, will be payable in arrears on and of each year, with the first payment to be made on , 2023, to the person in whose name such Notes are registered at the close of business on the or , as the case may be, next preceding the relevant interest payment date.</w:t>
      </w:r>
    </w:p>
    <w:p>
      <w:pPr>
        <w:sectPr>
          <w:pgSz w:w="11900" w:h="16838" w:orient="portrait"/>
          <w:cols w:equalWidth="0" w:num="1">
            <w:col w:w="11200"/>
          </w:cols>
          <w:pgMar w:left="320" w:top="455" w:right="379" w:bottom="1440" w:gutter="0" w:footer="0" w:header="0"/>
          <w:type w:val="continuous"/>
        </w:sectPr>
      </w:pPr>
    </w:p>
    <w:p>
      <w:pPr>
        <w:spacing w:after="0" w:line="183"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If any interest payment date, stated maturity date or earlier redemption date for any series of Notes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All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of each series will be issued in fully registered form only, in denominations of $2,000 and integral multiples of $1,000 in excess thereof.</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00"/>
          </w:cols>
          <w:pgMar w:left="320" w:top="455" w:right="3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Amounts due on the respective stated maturity date of the Notes (or the earlier redemption date of such Notes) will be payable at the corporate trust office of the Trustee, which at the date hereof is 240 Greenwich Street, New York, NY 10286, Attention: Corporate Trust Administration.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83"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The term “Business Day” means each Monday, Tuesday, Wednesday, Thursday and Friday that is not a day on which banking institutions are authorized or obligated by law, regulation or executive order to close in The City of New York or the city in which the corporate trust office of the Trustee is located.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provided that if any additional notes issued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460"/>
        <w:spacing w:after="0"/>
        <w:tabs>
          <w:tab w:leader="none" w:pos="1960" w:val="left"/>
          <w:tab w:leader="none" w:pos="2460" w:val="left"/>
          <w:tab w:leader="none" w:pos="2740" w:val="left"/>
          <w:tab w:leader="none" w:pos="7000" w:val="left"/>
          <w:tab w:leader="none" w:pos="8760" w:val="left"/>
          <w:tab w:leader="none" w:pos="9240" w:val="left"/>
          <w:tab w:leader="none" w:pos="9540" w:val="left"/>
        </w:tabs>
        <w:rPr>
          <w:sz w:val="20"/>
          <w:szCs w:val="20"/>
          <w:color w:val="auto"/>
        </w:rPr>
      </w:pPr>
      <w:r>
        <w:rPr>
          <w:rFonts w:ascii="Times New Roman" w:cs="Times New Roman" w:eastAsia="Times New Roman" w:hAnsi="Times New Roman"/>
          <w:sz w:val="18"/>
          <w:szCs w:val="18"/>
          <w:color w:val="auto"/>
        </w:rPr>
        <w:t>Prior to (i)</w:t>
      </w:r>
      <w:r>
        <w:rPr>
          <w:sz w:val="20"/>
          <w:szCs w:val="20"/>
          <w:color w:val="auto"/>
        </w:rPr>
        <w:tab/>
      </w:r>
      <w:r>
        <w:rPr>
          <w:rFonts w:ascii="Times New Roman" w:cs="Times New Roman" w:eastAsia="Times New Roman" w:hAnsi="Times New Roman"/>
          <w:sz w:val="18"/>
          <w:szCs w:val="18"/>
          <w:color w:val="auto"/>
        </w:rPr>
        <w:t>, 20</w:t>
        <w:tab/>
        <w:t>(</w:t>
        <w:tab/>
        <w:t>months prior to their maturity date) in the case of the 20</w:t>
        <w:tab/>
        <w:t>Notes and (ii)</w:t>
      </w:r>
      <w:r>
        <w:rPr>
          <w:sz w:val="20"/>
          <w:szCs w:val="20"/>
          <w:color w:val="auto"/>
        </w:rPr>
        <w:tab/>
      </w:r>
      <w:r>
        <w:rPr>
          <w:rFonts w:ascii="Times New Roman" w:cs="Times New Roman" w:eastAsia="Times New Roman" w:hAnsi="Times New Roman"/>
          <w:sz w:val="18"/>
          <w:szCs w:val="18"/>
          <w:color w:val="auto"/>
        </w:rPr>
        <w:t>, 20</w:t>
        <w:tab/>
        <w:t>(</w:t>
      </w:r>
      <w:r>
        <w:rPr>
          <w:sz w:val="20"/>
          <w:szCs w:val="20"/>
          <w:color w:val="auto"/>
        </w:rPr>
        <w:tab/>
      </w:r>
      <w:r>
        <w:rPr>
          <w:rFonts w:ascii="Times New Roman" w:cs="Times New Roman" w:eastAsia="Times New Roman" w:hAnsi="Times New Roman"/>
          <w:sz w:val="17"/>
          <w:szCs w:val="17"/>
          <w:color w:val="auto"/>
        </w:rPr>
        <w:t>months prior to their</w:t>
      </w:r>
    </w:p>
    <w:p>
      <w:pPr>
        <w:spacing w:after="0" w:line="2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maturity date) in the case of the 20 Notes (the foregoing dates in respect of the applicable series of Notes, the “Par Call Dates”), the Company may redeem the Notes of either series at its option, in whole or in part, at any time and from time to time, at a redemption price (expressed as a percentage of principal amount and rounded to three decimal places) equal to the greater of:</w:t>
      </w:r>
    </w:p>
    <w:p>
      <w:pPr>
        <w:spacing w:after="0" w:line="78" w:lineRule="exact"/>
        <w:rPr>
          <w:sz w:val="20"/>
          <w:szCs w:val="20"/>
          <w:color w:val="auto"/>
        </w:rPr>
      </w:pPr>
    </w:p>
    <w:p>
      <w:pPr>
        <w:ind w:left="720" w:hanging="263"/>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Notes matured on their applicable Par Call Date) on a semi-annual basis (assuming a 360-day year consisting of twelve 30-day</w:t>
      </w:r>
    </w:p>
    <w:p>
      <w:pPr>
        <w:spacing w:after="0" w:line="225" w:lineRule="exact"/>
        <w:rPr>
          <w:sz w:val="20"/>
          <w:szCs w:val="20"/>
          <w:color w:val="auto"/>
        </w:rPr>
      </w:pPr>
    </w:p>
    <w:p>
      <w:pPr>
        <w:ind w:left="460" w:right="260"/>
        <w:spacing w:after="0" w:line="282" w:lineRule="auto"/>
        <w:rPr>
          <w:sz w:val="20"/>
          <w:szCs w:val="20"/>
          <w:color w:val="auto"/>
        </w:rPr>
      </w:pPr>
      <w:r>
        <w:rPr>
          <w:rFonts w:ascii="Times New Roman" w:cs="Times New Roman" w:eastAsia="Times New Roman" w:hAnsi="Times New Roman"/>
          <w:sz w:val="18"/>
          <w:szCs w:val="18"/>
          <w:color w:val="auto"/>
        </w:rPr>
        <w:t>months) at the Treasury Rate plus basis points with respect to the 20 Notes and basis points with respect to the 20 Notes less (b) interest accrued to the date of redemption, and</w:t>
      </w:r>
    </w:p>
    <w:p>
      <w:pPr>
        <w:spacing w:after="0" w:line="54" w:lineRule="exact"/>
        <w:rPr>
          <w:sz w:val="20"/>
          <w:szCs w:val="20"/>
          <w:color w:val="auto"/>
        </w:rPr>
      </w:pPr>
    </w:p>
    <w:p>
      <w:pPr>
        <w:ind w:right="5240" w:firstLine="457"/>
        <w:spacing w:after="0" w:line="500" w:lineRule="auto"/>
        <w:tabs>
          <w:tab w:leader="none" w:pos="7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such series to be redeemed, plus, in either case, accrued and unpaid interest thereon to the redemption date.</w:t>
      </w:r>
    </w:p>
    <w:p>
      <w:pPr>
        <w:spacing w:after="0" w:line="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the Company may redeem the Notes of the applicable series, in whole or in part, at any time and from time to time, at a redemption price equal to 100% of the principal amount of the Notes of such series being redeemed plus accrued and unpaid interest thereon to the redemption date.</w:t>
      </w:r>
    </w:p>
    <w:p>
      <w:pPr>
        <w:spacing w:after="0" w:line="174" w:lineRule="exact"/>
        <w:rPr>
          <w:sz w:val="20"/>
          <w:szCs w:val="20"/>
          <w:color w:val="auto"/>
        </w:rPr>
      </w:pPr>
    </w:p>
    <w:p>
      <w:pPr>
        <w:ind w:right="60"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in respect of a series of Notes means, with respect to any redemption date, the yield determined by the Company in accordance with the following two paragraphs.</w:t>
      </w:r>
    </w:p>
    <w:p>
      <w:pPr>
        <w:spacing w:after="0" w:line="160"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4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for such series of Notes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for such series of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U.S. Treasury security maturing on, or with a maturity that is closest to, the Par Call Date for the relevant series of Notes, as applicable. If there is no U.S. Treasury security maturing on the applicable Par Call Date for such series of Notes but there are two or more U.S. Treasury securities with a maturity date equally distant from the applicable Par Call Date, one with a maturity date preceding the applicable Par Call Date and one with a maturity date following the applicable Par Call Date, the Company shall select the U.S. Treasury security with a maturity date preceding applicable the applicable Par Call Date. If there are two or more U.S. Treasury securities maturing on the applicable Par Call Date for such series of Notes or two or more U.S. Treasury securities meeting the criteria of the preceding sentence, the Company shall select from among these two or more U.S. Treasury securities the U.S. Treasury security that is trading closest to par based upon the average of the bid and asked prices for such U.S. Treasury securities at 11:00 a.m., New York City time. In determining the Treasury Rate in accordance with the terms of this paragraph, the semi-annual yield to maturity of the applicable U.S. Treasury security shall be based upon the average of the bid and asked prices (expressed as a percentage of principal amount) at 11:00 a.m., New York City time, of such U.S. Treasury security, and rounded to three decimal places.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of the Notes of a series,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of a series are held by DTC (or another depositary), the redemption of the Notes of such series shall be done in accordance with the policies and procedures of the depositary.</w:t>
      </w:r>
    </w:p>
    <w:p>
      <w:pPr>
        <w:spacing w:after="0" w:line="187"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40"/>
          </w:cols>
          <w:pgMar w:left="320" w:top="4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following definitions shall be applicable to the covenants specified below:</w:t>
      </w:r>
    </w:p>
    <w:p>
      <w:pPr>
        <w:spacing w:after="0" w:line="225"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87" w:lineRule="exact"/>
        <w:rPr>
          <w:sz w:val="20"/>
          <w:szCs w:val="20"/>
          <w:color w:val="auto"/>
        </w:rPr>
      </w:pPr>
    </w:p>
    <w:p>
      <w:pPr>
        <w:ind w:right="40"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Tangible Assets</w:t>
      </w:r>
      <w:r>
        <w:rPr>
          <w:rFonts w:ascii="Times New Roman" w:cs="Times New Roman" w:eastAsia="Times New Roman" w:hAnsi="Times New Roman"/>
          <w:sz w:val="18"/>
          <w:szCs w:val="18"/>
          <w:color w:val="auto"/>
        </w:rPr>
        <w:t>” means, on the date of determination, total assets less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means notes, bonds, debentures or other similar evidences of indebtedness for money borrowed.</w:t>
      </w:r>
    </w:p>
    <w:p>
      <w:pPr>
        <w:spacing w:after="0" w:line="225"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Manufacturing Subsidiary</w:t>
      </w:r>
      <w:r>
        <w:rPr>
          <w:rFonts w:ascii="Times New Roman" w:cs="Times New Roman" w:eastAsia="Times New Roman" w:hAnsi="Times New Roman"/>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means any mortgage, pledge, lien, security interest, conditional sale or other title retention agreement or other similar encumbrance.</w:t>
      </w:r>
    </w:p>
    <w:p>
      <w:pPr>
        <w:spacing w:after="0" w:line="225"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Domestic Manufacturing Property</w:t>
      </w:r>
      <w:r>
        <w:rPr>
          <w:rFonts w:ascii="Times New Roman" w:cs="Times New Roman" w:eastAsia="Times New Roman" w:hAnsi="Times New Roman"/>
          <w:sz w:val="18"/>
          <w:szCs w:val="18"/>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83" w:lineRule="exact"/>
        <w:rPr>
          <w:sz w:val="20"/>
          <w:szCs w:val="20"/>
          <w:color w:val="auto"/>
        </w:rPr>
      </w:pPr>
    </w:p>
    <w:p>
      <w:pPr>
        <w:ind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of which at least a majority of the outstanding stock having by the terms thereof ordinary voting power to elect a majority of the board of directors of such corporation (irrespective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20"/>
          </w:cols>
          <w:pgMar w:left="320" w:top="45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6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Limitation on Liens</w:t>
      </w:r>
      <w:r>
        <w:rPr>
          <w:rFonts w:ascii="Times New Roman" w:cs="Times New Roman" w:eastAsia="Times New Roman" w:hAnsi="Times New Roman"/>
          <w:sz w:val="18"/>
          <w:szCs w:val="18"/>
          <w:color w:val="auto"/>
        </w:rPr>
        <w:t>. For the benefit of the Notes, we will not, nor will we permit any Manufacturing Subsidiary to, issue or assume any Debt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above restrictions shall not apply to Debt secured by:</w:t>
      </w:r>
    </w:p>
    <w:p>
      <w:pPr>
        <w:spacing w:after="0" w:line="131" w:lineRule="exact"/>
        <w:rPr>
          <w:sz w:val="20"/>
          <w:szCs w:val="20"/>
          <w:color w:val="auto"/>
        </w:rPr>
      </w:pPr>
    </w:p>
    <w:p>
      <w:pPr>
        <w:ind w:left="1000" w:right="320" w:hanging="54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shares of stock or indebtedness of any corporation existing at the time such corporation becomes a Manufacturing Subsidiary;</w:t>
      </w:r>
    </w:p>
    <w:p>
      <w:pPr>
        <w:spacing w:after="0" w:line="67" w:lineRule="exact"/>
        <w:rPr>
          <w:rFonts w:ascii="Times New Roman" w:cs="Times New Roman" w:eastAsia="Times New Roman" w:hAnsi="Times New Roman"/>
          <w:sz w:val="18"/>
          <w:szCs w:val="18"/>
          <w:color w:val="auto"/>
        </w:rPr>
      </w:pPr>
    </w:p>
    <w:p>
      <w:pPr>
        <w:ind w:left="1000" w:right="240" w:hanging="547"/>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securing Debt of a Manufacturing Subsidiary owing to us or to another Manufacturing Subsidiary;</w:t>
      </w:r>
    </w:p>
    <w:p>
      <w:pPr>
        <w:spacing w:after="0" w:line="130" w:lineRule="exact"/>
        <w:rPr>
          <w:rFonts w:ascii="Times New Roman" w:cs="Times New Roman" w:eastAsia="Times New Roman" w:hAnsi="Times New Roman"/>
          <w:sz w:val="18"/>
          <w:szCs w:val="18"/>
          <w:color w:val="auto"/>
        </w:rPr>
      </w:pPr>
    </w:p>
    <w:p>
      <w:pPr>
        <w:ind w:left="1000" w:hanging="54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81" w:lineRule="exact"/>
        <w:rPr>
          <w:rFonts w:ascii="Times New Roman" w:cs="Times New Roman" w:eastAsia="Times New Roman" w:hAnsi="Times New Roman"/>
          <w:sz w:val="18"/>
          <w:szCs w:val="18"/>
          <w:color w:val="auto"/>
        </w:rPr>
      </w:pPr>
    </w:p>
    <w:p>
      <w:pPr>
        <w:ind w:left="1000" w:right="40" w:hanging="547"/>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21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issuance of the Notes; or</w:t>
      </w:r>
    </w:p>
    <w:p>
      <w:pPr>
        <w:spacing w:after="0" w:line="130" w:lineRule="exact"/>
        <w:rPr>
          <w:rFonts w:ascii="Times New Roman" w:cs="Times New Roman" w:eastAsia="Times New Roman" w:hAnsi="Times New Roman"/>
          <w:sz w:val="18"/>
          <w:szCs w:val="18"/>
          <w:color w:val="auto"/>
        </w:rPr>
      </w:pPr>
    </w:p>
    <w:p>
      <w:pPr>
        <w:ind w:left="1000" w:right="20" w:hanging="547"/>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1" w:lineRule="exact"/>
        <w:rPr>
          <w:sz w:val="20"/>
          <w:szCs w:val="20"/>
          <w:color w:val="auto"/>
        </w:rPr>
      </w:pPr>
    </w:p>
    <w:p>
      <w:pPr>
        <w:ind w:right="2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Limitation on Sales and Lease-Backs</w:t>
      </w:r>
      <w:r>
        <w:rPr>
          <w:rFonts w:ascii="Times New Roman" w:cs="Times New Roman" w:eastAsia="Times New Roman" w:hAnsi="Times New Roman"/>
          <w:sz w:val="18"/>
          <w:szCs w:val="18"/>
          <w:color w:val="auto"/>
        </w:rPr>
        <w:t>. For the benefit of the Notes, we will not, nor will we permit any Manufacturing Subsidiary to, enter into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with any person providing for the leasing by us or any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40"/>
          </w:cols>
          <w:pgMar w:left="320" w:top="4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85" w:lineRule="exact"/>
        <w:rPr>
          <w:sz w:val="20"/>
          <w:szCs w:val="20"/>
          <w:color w:val="auto"/>
        </w:rPr>
      </w:pPr>
    </w:p>
    <w:p>
      <w:pPr>
        <w:ind w:left="1000" w:right="100" w:hanging="547"/>
        <w:spacing w:after="0" w:line="255"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94" w:lineRule="exact"/>
        <w:rPr>
          <w:rFonts w:ascii="Times New Roman" w:cs="Times New Roman" w:eastAsia="Times New Roman" w:hAnsi="Times New Roman"/>
          <w:sz w:val="18"/>
          <w:szCs w:val="18"/>
          <w:color w:val="auto"/>
        </w:rPr>
      </w:pPr>
    </w:p>
    <w:p>
      <w:pPr>
        <w:ind w:left="1000" w:right="40" w:hanging="547"/>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Securities—Satisfaction, Discharge and Covenant Defeasance” in the accompanying prospectus are satisfied.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229"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The Bank of New York Mellon and its affiliates act as depositary for funds of, make loans to, act as trustee and perform certain other services for, certain of our affiliates and us in the normal course of its business.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4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FEDERAL TAX CONSIDERATIONS</w:t>
      </w:r>
    </w:p>
    <w:p>
      <w:pPr>
        <w:spacing w:after="0" w:line="22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following is a general discussion of U.S. generally applicable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U.S. federal income tax purposes (generally, property held for investment).</w:t>
      </w:r>
    </w:p>
    <w:p>
      <w:pPr>
        <w:spacing w:after="0" w:line="183"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Treasury regulations promulgated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persons required to accelerate the recognition of any item of gross income with respect to the Notes as a result of such income being recognized on any applicable financial statement,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8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76" w:lineRule="exact"/>
        <w:rPr>
          <w:sz w:val="20"/>
          <w:szCs w:val="20"/>
          <w:color w:val="auto"/>
        </w:rPr>
      </w:pPr>
    </w:p>
    <w:p>
      <w:pPr>
        <w:ind w:right="260"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75"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 Note that, for U.S. federal income tax purposes, is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87"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term “Non-U.S. Holder” means a beneficial owner of a Note that is, for U.S. federal income tax purposes, an individual, corporation, estate or trust that is not a U.S. Holder. For purposes of this “U.S. Federal Tax Considerations” section only, the term “Holder” means a U.S. Holder or a Non-U.S. Holder (as those terms are defined 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40"/>
          </w:cols>
          <w:pgMar w:left="320" w:top="45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Stated Interest</w:t>
      </w:r>
    </w:p>
    <w:p>
      <w:pPr>
        <w:spacing w:after="0" w:line="121" w:lineRule="exact"/>
        <w:rPr>
          <w:sz w:val="20"/>
          <w:szCs w:val="20"/>
          <w:color w:val="auto"/>
        </w:rPr>
      </w:pPr>
    </w:p>
    <w:p>
      <w:pPr>
        <w:ind w:right="660" w:firstLine="449"/>
        <w:spacing w:after="0" w:line="282" w:lineRule="auto"/>
        <w:rPr>
          <w:sz w:val="20"/>
          <w:szCs w:val="20"/>
          <w:color w:val="auto"/>
        </w:rPr>
      </w:pPr>
      <w:r>
        <w:rPr>
          <w:rFonts w:ascii="Times New Roman" w:cs="Times New Roman" w:eastAsia="Times New Roman" w:hAnsi="Times New Roman"/>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Original Issue Discount</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Notes are expected to be issued with less than a de minimis amount of original issue discount (“OID”) for U.S. federal income tax purposes. However, if the stated principal amount of any series of Notes exceeds their issue price (as defined above) by at least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such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Retirement or Other Taxable Disposition of the Notes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 and Disposition of Notes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discussion below:</w:t>
      </w:r>
    </w:p>
    <w:p>
      <w:pPr>
        <w:spacing w:after="0" w:line="131" w:lineRule="exact"/>
        <w:rPr>
          <w:sz w:val="20"/>
          <w:szCs w:val="20"/>
          <w:color w:val="auto"/>
        </w:rPr>
      </w:pPr>
    </w:p>
    <w:p>
      <w:pPr>
        <w:ind w:left="1000" w:right="42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to a Non-U.S. Holder (which, for purposes of this discussion of Non-U.S. Holders, includes any accrued OID) with respect to a Note generally will not be subject to U.S. federal income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45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00" w:right="80"/>
        <w:spacing w:after="0" w:line="261" w:lineRule="auto"/>
        <w:rPr>
          <w:sz w:val="20"/>
          <w:szCs w:val="20"/>
          <w:color w:val="auto"/>
        </w:rPr>
      </w:pPr>
      <w:r>
        <w:rPr>
          <w:rFonts w:ascii="Times New Roman" w:cs="Times New Roman" w:eastAsia="Times New Roman" w:hAnsi="Times New Roman"/>
          <w:sz w:val="18"/>
          <w:szCs w:val="18"/>
          <w:color w:val="auto"/>
        </w:rPr>
        <w:t>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and (iv) the certification requirements described below are satisfied; and</w:t>
      </w:r>
    </w:p>
    <w:p>
      <w:pPr>
        <w:spacing w:after="0" w:line="85" w:lineRule="exact"/>
        <w:rPr>
          <w:sz w:val="20"/>
          <w:szCs w:val="20"/>
          <w:color w:val="auto"/>
        </w:rPr>
      </w:pPr>
    </w:p>
    <w:p>
      <w:pPr>
        <w:ind w:left="1000" w:hanging="547"/>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w:t>
      </w:r>
    </w:p>
    <w:p>
      <w:pPr>
        <w:spacing w:after="0" w:line="18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If the requirements set forth in clause (a) above are not satisfied with respect to a Non-U.S. Holder, and subject to the immediately following paragraph,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If a Non-U.S. Holder is engaged in the conduct of a trade or business in the U.S., and if interest on the Notes, or any gain realized on the sale, exchange, redemption, retirement or other taxable disposition of the Notes, is effectively connected with such trade or business (and, if required by an applicable tax treaty, is attributable to a permanent establishment or fixed base maintained by such Non-U.S. Holder in the United States),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92"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Gain realized on the sale, exchange, redemption, retirement or other taxable disposition of a Note that is described in clause (b)(ii) above generally will be subject to a flat 30% U.S. federal income tax (or a lower rate if provided by an applicable tax treaty), which gain may be offset by U.S. source capital losses of the Non-U.S. Holder provided certain other requirements are satisfied.</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Provisions in the Code commonly referred to as “FATCA” impose withholding of 30% on payments of interest on the Notes and, subject to the discussion of proposed Treasury regulations below,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If FATCA withholding is imposed, a beneficial owner that is not a foreign financial institution generally will be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20"/>
          </w:cols>
          <w:pgMar w:left="320" w:top="45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entitled to a refund of any amounts withheld by filing a U.S. federal income tax return (which may entail a significant administrative burden). Proposed Treasury regulations eliminate the 30% FATCA withholding on payments of gross proceeds. The preamble to those proposed Treasury regulations provides that taxpayers may rely on the proposed Treasury regulations until final Treasury regulations are issued. There can be no assurance, however, that final Treasury regulations would provide an exemption from FATCA withholding for gross proceeds. Prospective investors should consult their tax advisers regarding the effects of FATCA on their investment in the Notes.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76"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89"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Federal Estate Tax</w:t>
      </w:r>
    </w:p>
    <w:p>
      <w:pPr>
        <w:spacing w:after="0" w:line="121" w:lineRule="exact"/>
        <w:rPr>
          <w:sz w:val="20"/>
          <w:szCs w:val="20"/>
          <w:color w:val="auto"/>
        </w:rPr>
      </w:pPr>
    </w:p>
    <w:p>
      <w:pPr>
        <w:ind w:right="20" w:firstLine="449"/>
        <w:spacing w:after="0" w:line="276" w:lineRule="auto"/>
        <w:rPr>
          <w:sz w:val="20"/>
          <w:szCs w:val="20"/>
          <w:color w:val="auto"/>
        </w:rPr>
      </w:pPr>
      <w:r>
        <w:rPr>
          <w:rFonts w:ascii="Times New Roman" w:cs="Times New Roman" w:eastAsia="Times New Roman" w:hAnsi="Times New Roman"/>
          <w:sz w:val="17"/>
          <w:szCs w:val="17"/>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w:t>
      </w:r>
    </w:p>
    <w:p>
      <w:pPr>
        <w:spacing w:after="0" w:line="1" w:lineRule="exact"/>
        <w:rPr>
          <w:sz w:val="20"/>
          <w:szCs w:val="20"/>
          <w:color w:val="auto"/>
        </w:rPr>
      </w:pPr>
    </w:p>
    <w:p>
      <w:pPr>
        <w:ind w:right="60" w:firstLine="8"/>
        <w:spacing w:after="0" w:line="260"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does not actually or constructively own 10% or more of the combined voting power of all classes of GM’s stock and (ii) amounts treated as interest earned on the Note are not effectively connected with the conduct of a trade or business in the United States by such Non-U.S. Holder.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45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the underwriters named below, for whom Barclays Capital Inc., BNP Paribas Securities Corp., BofA Securities, Inc., Citigroup Global Markets Inc., Credit Agricole Securities (USA) Inc., Goldman Sachs &amp; Co. LLC, J.P. Morgan Securities LLC and Morgan Stanley &amp; Co. LLC are acting as representatives, have severally agreed to purchase, and we have agreed to sell to each underwriter, the principal amount of the Notes set forth opposite the underwriter’s name.</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00" w:type="dxa"/>
            <w:vAlign w:val="bottom"/>
          </w:tcPr>
          <w:p>
            <w:pPr>
              <w:spacing w:after="0"/>
              <w:rPr>
                <w:sz w:val="13"/>
                <w:szCs w:val="13"/>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0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840" w:type="dxa"/>
            <w:vAlign w:val="bottom"/>
            <w:vMerge w:val="restart"/>
          </w:tcPr>
          <w:p>
            <w:pPr>
              <w:spacing w:after="0"/>
              <w:rPr>
                <w:sz w:val="12"/>
                <w:szCs w:val="12"/>
                <w:color w:val="auto"/>
              </w:rPr>
            </w:pPr>
          </w:p>
        </w:tc>
        <w:tc>
          <w:tcPr>
            <w:tcW w:w="580" w:type="dxa"/>
            <w:vAlign w:val="bottom"/>
          </w:tcPr>
          <w:p>
            <w:pPr>
              <w:jc w:val="right"/>
              <w:ind w:right="225"/>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1280" w:type="dxa"/>
            <w:vAlign w:val="bottom"/>
            <w:gridSpan w:val="2"/>
          </w:tcPr>
          <w:p>
            <w:pPr>
              <w:jc w:val="right"/>
              <w:ind w:right="226"/>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700" w:type="dxa"/>
            <w:vAlign w:val="bottom"/>
          </w:tcPr>
          <w:p>
            <w:pPr>
              <w:spacing w:after="0"/>
              <w:rPr>
                <w:sz w:val="15"/>
                <w:szCs w:val="15"/>
                <w:color w:val="auto"/>
              </w:rPr>
            </w:pPr>
          </w:p>
        </w:tc>
        <w:tc>
          <w:tcPr>
            <w:tcW w:w="6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8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shd w:val="clear" w:color="auto" w:fill="CCEEFF"/>
          </w:tcPr>
          <w:p>
            <w:pPr>
              <w:jc w:val="right"/>
              <w:ind w:right="426"/>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89"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58" w:lineRule="exact"/>
        <w:rPr>
          <w:sz w:val="20"/>
          <w:szCs w:val="20"/>
          <w:color w:val="auto"/>
        </w:rPr>
      </w:pPr>
    </w:p>
    <w:p>
      <w:pPr>
        <w:jc w:val="center"/>
        <w:ind w:right="100"/>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 of the principal amount</w:t>
      </w:r>
    </w:p>
    <w:p>
      <w:pPr>
        <w:ind w:right="220"/>
        <w:spacing w:after="0" w:line="250" w:lineRule="auto"/>
        <w:rPr>
          <w:sz w:val="20"/>
          <w:szCs w:val="20"/>
          <w:color w:val="auto"/>
        </w:rPr>
      </w:pPr>
      <w:r>
        <w:rPr>
          <w:rFonts w:ascii="Times New Roman" w:cs="Times New Roman" w:eastAsia="Times New Roman" w:hAnsi="Times New Roman"/>
          <w:sz w:val="18"/>
          <w:szCs w:val="18"/>
          <w:color w:val="auto"/>
        </w:rPr>
        <w:t>of the 20 Notes and % of the principal amount of the 20 Notes. In addition, the underwriters may allow, and those selected dealers may reallow, a concession of up to % of the principal amount of the 20 Notes and % of the principal amount of the 20 Notes to certain other dealers. After the</w:t>
      </w:r>
    </w:p>
    <w:p>
      <w:pPr>
        <w:spacing w:after="0" w:line="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initial offering, the underwriters may change the public offering prices and any other selling terms. The underwriters may offer and sell the Notes through certain of their affiliates. The offering of the Notes by the underwriters is subject to receipt and acceptance and subject to the underwriters’ right to reject any order in whole or in part.</w:t>
      </w:r>
    </w:p>
    <w:p>
      <w:pPr>
        <w:spacing w:after="0" w:line="186"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 on behalf of the underwriters.</w:t>
      </w:r>
    </w:p>
    <w:p>
      <w:pPr>
        <w:spacing w:after="0" w:line="180"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of each series. However, they are not obligated to do so and they may discontinue any market-making activities with respect to the Notes at any time without notice. Accordingly, we cannot assure you as to the liquidity of, or the maintenance of any trading market for, the Notes.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20"/>
          </w:cols>
          <w:pgMar w:left="320" w:top="45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to be paid to the underwriters by us in connection with this offering. These underwriting discounts are the difference between the public offering prices and the amount the underwriters pay to us to purchase the Notes.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w:t>
            </w:r>
          </w:p>
        </w:tc>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 (expressed as a percentage)</w:t>
            </w:r>
          </w:p>
        </w:tc>
        <w:tc>
          <w:tcPr>
            <w:tcW w:w="1060" w:type="dxa"/>
            <w:vAlign w:val="bottom"/>
            <w:shd w:val="clear" w:color="auto" w:fill="CCEEFF"/>
          </w:tcPr>
          <w:p>
            <w:pPr>
              <w:spacing w:after="0"/>
              <w:rPr>
                <w:sz w:val="18"/>
                <w:szCs w:val="18"/>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8"/>
                <w:szCs w:val="18"/>
                <w:color w:val="auto"/>
              </w:rPr>
            </w:pPr>
          </w:p>
        </w:tc>
        <w:tc>
          <w:tcPr>
            <w:tcW w:w="24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w:t>
            </w:r>
          </w:p>
        </w:tc>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 (expressed as a percentage)</w:t>
            </w:r>
          </w:p>
        </w:tc>
        <w:tc>
          <w:tcPr>
            <w:tcW w:w="1060" w:type="dxa"/>
            <w:vAlign w:val="bottom"/>
            <w:shd w:val="clear" w:color="auto" w:fill="CCEEFF"/>
          </w:tcPr>
          <w:p>
            <w:pPr>
              <w:spacing w:after="0"/>
              <w:rPr>
                <w:sz w:val="18"/>
                <w:szCs w:val="18"/>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20"/>
                <w:szCs w:val="20"/>
                <w:color w:val="auto"/>
              </w:rPr>
            </w:pPr>
          </w:p>
        </w:tc>
        <w:tc>
          <w:tcPr>
            <w:tcW w:w="24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r>
      <w:tr>
        <w:trPr>
          <w:trHeight w:val="395"/>
        </w:trPr>
        <w:tc>
          <w:tcPr>
            <w:tcW w:w="110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We estimate that our portion of the total expenses of the offering, exclusive of the underwriter discounts payable by us in the offering and</w:t>
            </w:r>
          </w:p>
        </w:tc>
      </w:tr>
      <w:tr>
        <w:trPr>
          <w:trHeight w:val="23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reimbursements of certain expenses incurred in connection with the offering, will be $</w:t>
            </w:r>
          </w:p>
        </w:tc>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74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w:t>
            </w:r>
          </w:p>
        </w:tc>
        <w:tc>
          <w:tcPr>
            <w:tcW w:w="3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 2022, which will be the third business day</w:t>
            </w:r>
          </w:p>
        </w:tc>
      </w:tr>
    </w:tbl>
    <w:p>
      <w:pPr>
        <w:ind w:right="140"/>
        <w:spacing w:after="0" w:line="253" w:lineRule="auto"/>
        <w:rPr>
          <w:sz w:val="20"/>
          <w:szCs w:val="20"/>
          <w:color w:val="auto"/>
        </w:rPr>
      </w:pPr>
      <w:r>
        <w:rPr>
          <w:rFonts w:ascii="Times New Roman" w:cs="Times New Roman" w:eastAsia="Times New Roman" w:hAnsi="Times New Roman"/>
          <w:sz w:val="18"/>
          <w:szCs w:val="18"/>
          <w:color w:val="auto"/>
        </w:rPr>
        <w:t>following the date of pricing of the Notes (such settlement cycle being referred to herein as “T+3”). Under Rule 15c6-1 of the Exchange Act, trades in the secondary market generally are required to settle in two business days, unless the parties to any such trade expressly agree otherwise. Accordingly, purchasers who wish to trade the Notes on the date of pricing will be required, by virtue of the fact that the Notes initially will settle in T+3, to specify an alternate settlement cycle at the time of any such trade to prevent a failed settlement. Purchasers of the Notes who wish to trade those Notes on the date of pricing should consult their own advisor.</w:t>
      </w:r>
    </w:p>
    <w:p>
      <w:pPr>
        <w:spacing w:after="0" w:line="187"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67" w:lineRule="exact"/>
        <w:rPr>
          <w:sz w:val="20"/>
          <w:szCs w:val="20"/>
          <w:color w:val="auto"/>
        </w:rPr>
      </w:pPr>
    </w:p>
    <w:p>
      <w:pPr>
        <w:ind w:left="1000" w:right="400" w:hanging="439"/>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the offering.</w:t>
      </w:r>
    </w:p>
    <w:p>
      <w:pPr>
        <w:spacing w:after="0" w:line="67" w:lineRule="exact"/>
        <w:rPr>
          <w:rFonts w:ascii="Times New Roman" w:cs="Times New Roman" w:eastAsia="Times New Roman" w:hAnsi="Times New Roman"/>
          <w:sz w:val="18"/>
          <w:szCs w:val="18"/>
          <w:color w:val="auto"/>
        </w:rPr>
      </w:pPr>
    </w:p>
    <w:p>
      <w:pPr>
        <w:ind w:left="1000" w:right="400" w:hanging="439"/>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45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83"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7"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45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PRIIPs Regulation. This prospectus supplement and the accompanying prospectus have been prepared on the basis that any offer of Notes in the UK will be made pursuant to an exemption under the UK Prospectus Regulation and the FSMA from the requirement to publish a prospectus for offers of Notes. This prospectus supplement and the accompanying prospectus are not a prospectus for the purposes of the UK Prospectus Regulation or the FSMA.</w:t>
      </w:r>
    </w:p>
    <w:p>
      <w:pPr>
        <w:spacing w:after="0" w:line="176"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in the UK, this prospectus supplement and the accompanying prospectus are being distributed only to, and are directed only at qualified investors within the meaning of Article 2 of the UK Prospectus Regulation who are (i) persons who have professional experience in matters relating to investments falling within Article 19(5) of the Financial Services and Markets Act 2000 (Financial Promotion) Order 2005 (as amended, the “Order”), and/or (ii) high net worth companies (or persons to whom it may otherwise be lawfully communicated) falling within Article 49(2)(a) to (d) of the Order, which persons together we refer to in this prospectus supplement and the accompanying prospectus as “relevant persons.” Accordingly, such documents and/or materials are not being distributed to, and must not be passed on to, the general public in the UK.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only.</w:t>
      </w:r>
    </w:p>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right="160" w:firstLine="449"/>
        <w:spacing w:after="0" w:line="270" w:lineRule="auto"/>
        <w:rPr>
          <w:sz w:val="20"/>
          <w:szCs w:val="20"/>
          <w:color w:val="auto"/>
        </w:rPr>
      </w:pPr>
      <w:r>
        <w:rPr>
          <w:rFonts w:ascii="Times New Roman" w:cs="Times New Roman" w:eastAsia="Times New Roman" w:hAnsi="Times New Roman"/>
          <w:sz w:val="17"/>
          <w:szCs w:val="17"/>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w:t>
      </w:r>
    </w:p>
    <w:p>
      <w:pPr>
        <w:spacing w:after="0" w:line="3" w:lineRule="exact"/>
        <w:rPr>
          <w:sz w:val="20"/>
          <w:szCs w:val="20"/>
          <w:color w:val="auto"/>
        </w:rPr>
      </w:pPr>
    </w:p>
    <w:p>
      <w:pPr>
        <w:ind w:right="40" w:firstLine="8"/>
        <w:spacing w:after="0" w:line="253"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40"/>
          </w:cols>
          <w:pgMar w:left="320" w:top="45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2"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 (a) to an institutional investor under Section 274 of the SFA or to a relevant person (as defined in Section 275(2) of the SFA), or to any person arising from an offer referred to in Section 275(1A), or</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276(4)(i)(B) of the SFA; (b) where no consideration is or will be given for the transfer; (c) where the transfer is by operation of law; (d) as specified in Section 276(7) of the SFA; or (e) as specified in Regulation 32 of the Securities and Futures (Offers of Investments) (Shares and Debentures) Regulations 2005 of Singapore.</w:t>
      </w:r>
    </w:p>
    <w:p>
      <w:pPr>
        <w:spacing w:after="0" w:line="184"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Singapore SFA Product Classification</w:t>
      </w:r>
      <w:r>
        <w:rPr>
          <w:rFonts w:ascii="Times New Roman" w:cs="Times New Roman" w:eastAsia="Times New Roman" w:hAnsi="Times New Roman"/>
          <w:sz w:val="18"/>
          <w:szCs w:val="18"/>
          <w:color w:val="auto"/>
        </w:rPr>
        <w:t>—Solely for the purposes of its obligations pursuant to sections 309B(1)(a) and 309B(1)(c) of the SFA,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prospectus nor any other offering or marketing material relating to the Notes constitutes a prospectus pursuant to the FinSA, and neither this prospectus supplement and the accompanying prospectus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right="180" w:firstLine="449"/>
        <w:spacing w:after="0" w:line="281" w:lineRule="auto"/>
        <w:rPr>
          <w:sz w:val="20"/>
          <w:szCs w:val="20"/>
          <w:color w:val="auto"/>
        </w:rPr>
      </w:pPr>
      <w:r>
        <w:rPr>
          <w:rFonts w:ascii="Times New Roman" w:cs="Times New Roman" w:eastAsia="Times New Roman" w:hAnsi="Times New Roman"/>
          <w:sz w:val="17"/>
          <w:szCs w:val="17"/>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45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validity of the Notes offered hereby will be passed upon for us by King &amp; Spalding LLP. Certain legal matters will be passed upon for the underwriters by Davis Polk &amp; Wardwell LLP.</w:t>
      </w:r>
    </w:p>
    <w:p>
      <w:pPr>
        <w:spacing w:after="0" w:line="9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0700"/>
          </w:cols>
          <w:pgMar w:left="320" w:top="455" w:right="8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at the SEC’s website at http://www.sec.gov and our website at http://www.gm.com.</w:t>
      </w:r>
    </w:p>
    <w:p>
      <w:pPr>
        <w:spacing w:after="0" w:line="16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220"/>
          </w:cols>
          <w:pgMar w:left="320" w:top="455" w:right="359" w:bottom="1440" w:gutter="0" w:footer="0" w:header="0"/>
        </w:sectPr>
      </w:pPr>
    </w:p>
    <w:p>
      <w:pPr>
        <w:spacing w:after="0" w:line="20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6429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Specifically Incorporated by Reference into our Annual Report on Form 10-K for the year ended December 31, 2021 from our Definitive Proxy Statement on Schedule 14A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Year ended December 31, 2021 (filed with the SEC on </w:t>
      </w:r>
      <w:hyperlink r:id="rId53">
        <w:r>
          <w:rPr>
            <w:rFonts w:ascii="Times New Roman" w:cs="Times New Roman" w:eastAsia="Times New Roman" w:hAnsi="Times New Roman"/>
            <w:sz w:val="17"/>
            <w:szCs w:val="17"/>
            <w:u w:val="single" w:color="auto"/>
            <w:color w:val="0000EE"/>
          </w:rPr>
          <w:t>February 2, 2022</w:t>
        </w:r>
      </w:hyperlink>
      <w:r>
        <w:rPr>
          <w:rFonts w:ascii="Times New Roman" w:cs="Times New Roman" w:eastAsia="Times New Roman" w:hAnsi="Times New Roman"/>
          <w:sz w:val="17"/>
          <w:szCs w:val="17"/>
          <w:color w:val="auto"/>
        </w:rPr>
        <w:t>)</w:t>
      </w:r>
    </w:p>
    <w:p>
      <w:pPr>
        <w:spacing w:after="0" w:line="66"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ended December 31, 2021 (filed with the SEC on </w:t>
      </w:r>
      <w:hyperlink r:id="rId54">
        <w:r>
          <w:rPr>
            <w:rFonts w:ascii="Times New Roman" w:cs="Times New Roman" w:eastAsia="Times New Roman" w:hAnsi="Times New Roman"/>
            <w:sz w:val="18"/>
            <w:szCs w:val="18"/>
            <w:u w:val="single" w:color="auto"/>
            <w:color w:val="0000EE"/>
          </w:rPr>
          <w:t>April 29, 2022</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Quarters ended March 31, 2022 (filed with the SEC on April 27, 2022)</w:t>
      </w:r>
    </w:p>
    <w:p>
      <w:pPr>
        <w:spacing w:after="0" w:line="27"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w:t>
      </w:r>
      <w:hyperlink r:id="rId55">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w:t>
      </w:r>
      <w:hyperlink r:id="rId56">
        <w:r>
          <w:rPr>
            <w:rFonts w:ascii="Times New Roman" w:cs="Times New Roman" w:eastAsia="Times New Roman" w:hAnsi="Times New Roman"/>
            <w:sz w:val="18"/>
            <w:szCs w:val="18"/>
            <w:u w:val="single" w:color="auto"/>
            <w:color w:val="0000EE"/>
          </w:rPr>
          <w:t>July 26, 2022</w:t>
        </w:r>
      </w:hyperlink>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right="600"/>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Dates filed: </w:t>
      </w:r>
      <w:hyperlink r:id="rId57">
        <w:r>
          <w:rPr>
            <w:rFonts w:ascii="Times New Roman" w:cs="Times New Roman" w:eastAsia="Times New Roman" w:hAnsi="Times New Roman"/>
            <w:sz w:val="18"/>
            <w:szCs w:val="18"/>
            <w:u w:val="single" w:color="auto"/>
            <w:color w:val="0000EE"/>
          </w:rPr>
          <w:t>March 18, 2022</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April 5, 2022</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April 29,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0">
        <w:r>
          <w:rPr>
            <w:rFonts w:ascii="Times New Roman" w:cs="Times New Roman" w:eastAsia="Times New Roman" w:hAnsi="Times New Roman"/>
            <w:sz w:val="18"/>
            <w:szCs w:val="18"/>
            <w:u w:val="single" w:color="auto"/>
            <w:color w:val="0000EE"/>
          </w:rPr>
          <w:t>June 15, 2022</w:t>
        </w:r>
      </w:hyperlink>
    </w:p>
    <w:p>
      <w:pPr>
        <w:spacing w:after="0" w:line="162" w:lineRule="exact"/>
        <w:rPr>
          <w:rFonts w:ascii="Times New Roman" w:cs="Times New Roman" w:eastAsia="Times New Roman" w:hAnsi="Times New Roman"/>
          <w:sz w:val="18"/>
          <w:szCs w:val="18"/>
          <w:color w:val="auto"/>
        </w:rPr>
      </w:pPr>
    </w:p>
    <w:p>
      <w:pPr>
        <w:sectPr>
          <w:pgSz w:w="11900" w:h="16838" w:orient="portrait"/>
          <w:cols w:equalWidth="0" w:num="2">
            <w:col w:w="5680" w:space="280"/>
            <w:col w:w="5260"/>
          </w:cols>
          <w:pgMar w:left="320" w:top="455" w:right="359" w:bottom="1440" w:gutter="0" w:footer="0" w:header="0"/>
          <w:type w:val="continuous"/>
        </w:sect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the General Counsel at the following address and telephone number:</w:t>
      </w:r>
    </w:p>
    <w:p>
      <w:pPr>
        <w:spacing w:after="0" w:line="176"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rFonts w:ascii="Times New Roman" w:cs="Times New Roman" w:eastAsia="Times New Roman" w:hAnsi="Times New Roman"/>
          <w:sz w:val="18"/>
          <w:szCs w:val="18"/>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20"/>
          </w:cols>
          <w:pgMar w:left="320" w:top="455"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173990</wp:posOffset>
            </wp:positionV>
            <wp:extent cx="404622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40462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234315</wp:posOffset>
            </wp:positionV>
            <wp:extent cx="14916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 contains summaries of the general terms of the securities that General Motors Company may offer from time to time:</w:t>
      </w:r>
    </w:p>
    <w:p>
      <w:pPr>
        <w:spacing w:after="0" w:line="131" w:lineRule="exact"/>
        <w:rPr>
          <w:sz w:val="20"/>
          <w:szCs w:val="20"/>
          <w:color w:val="auto"/>
        </w:rPr>
      </w:pPr>
    </w:p>
    <w:p>
      <w:pPr>
        <w:ind w:left="1000" w:hanging="43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2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200025</wp:posOffset>
            </wp:positionV>
            <wp:extent cx="14916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firstLine="449"/>
        <w:spacing w:after="0" w:line="241" w:lineRule="auto"/>
        <w:rPr>
          <w:sz w:val="20"/>
          <w:szCs w:val="20"/>
          <w:color w:val="auto"/>
        </w:rPr>
      </w:pPr>
      <w:r>
        <w:rPr>
          <w:rFonts w:ascii="Times New Roman" w:cs="Times New Roman" w:eastAsia="Times New Roman" w:hAnsi="Times New Roman"/>
          <w:sz w:val="22"/>
          <w:szCs w:val="22"/>
          <w:b w:val="1"/>
          <w:bCs w:val="1"/>
          <w:color w:val="auto"/>
        </w:rPr>
        <w:t>Investment in our securities involves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214630</wp:posOffset>
            </wp:positionV>
            <wp:extent cx="14916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340"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5, 2020.</w:t>
      </w:r>
    </w:p>
    <w:p>
      <w:pPr>
        <w:sectPr>
          <w:pgSz w:w="11900" w:h="16838" w:orient="portrait"/>
          <w:cols w:equalWidth="0" w:num="1">
            <w:col w:w="11220"/>
          </w:cols>
          <w:pgMar w:left="320" w:top="455"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88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80" w:type="dxa"/>
            <w:vAlign w:val="bottom"/>
          </w:tcPr>
          <w:p>
            <w:pPr>
              <w:spacing w:after="0"/>
              <w:rPr>
                <w:sz w:val="17"/>
                <w:szCs w:val="17"/>
                <w:color w:val="auto"/>
              </w:rPr>
            </w:pPr>
          </w:p>
        </w:tc>
      </w:tr>
      <w:tr>
        <w:trPr>
          <w:trHeight w:val="493"/>
        </w:trPr>
        <w:tc>
          <w:tcPr>
            <w:tcW w:w="8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4"/>
                <w:szCs w:val="24"/>
                <w:color w:val="auto"/>
              </w:rPr>
            </w:pPr>
          </w:p>
        </w:tc>
      </w:tr>
      <w:tr>
        <w:trPr>
          <w:trHeight w:val="547"/>
        </w:trPr>
        <w:tc>
          <w:tcPr>
            <w:tcW w:w="2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ABOUT THIS PROSPECTUS</w:t>
            </w:r>
          </w:p>
        </w:tc>
        <w:tc>
          <w:tcPr>
            <w:tcW w:w="2300" w:type="dxa"/>
            <w:vAlign w:val="bottom"/>
            <w:gridSpan w:val="9"/>
          </w:tcPr>
          <w:p>
            <w:pPr>
              <w:spacing w:after="0"/>
              <w:rPr>
                <w:sz w:val="24"/>
                <w:szCs w:val="24"/>
                <w:color w:val="auto"/>
              </w:rPr>
            </w:pPr>
          </w:p>
        </w:tc>
        <w:tc>
          <w:tcPr>
            <w:tcW w:w="1920" w:type="dxa"/>
            <w:vAlign w:val="bottom"/>
            <w:tcBorders>
              <w:top w:val="single" w:sz="8" w:color="auto"/>
            </w:tcBorders>
            <w:gridSpan w:val="3"/>
          </w:tcPr>
          <w:p>
            <w:pPr>
              <w:spacing w:after="0"/>
              <w:rPr>
                <w:sz w:val="24"/>
                <w:szCs w:val="24"/>
                <w:color w:val="auto"/>
              </w:rPr>
            </w:pPr>
          </w:p>
        </w:tc>
        <w:tc>
          <w:tcPr>
            <w:tcW w:w="222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04"/>
        </w:trPr>
        <w:tc>
          <w:tcPr>
            <w:tcW w:w="53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b w:val="1"/>
                <w:bCs w:val="1"/>
                <w:color w:val="0000EE"/>
                <w:w w:val="99"/>
              </w:rPr>
              <w:t>INCORPORATION OF CERTAIN DOCUMENTS BY REFERENCE</w:t>
            </w:r>
          </w:p>
        </w:tc>
        <w:tc>
          <w:tcPr>
            <w:tcW w:w="3420" w:type="dxa"/>
            <w:vAlign w:val="bottom"/>
            <w:gridSpan w:val="3"/>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04"/>
        </w:trPr>
        <w:tc>
          <w:tcPr>
            <w:tcW w:w="1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7460" w:type="dxa"/>
            <w:vAlign w:val="bottom"/>
            <w:gridSpan w:val="18"/>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04"/>
        </w:trPr>
        <w:tc>
          <w:tcPr>
            <w:tcW w:w="27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GENERAL MOTORS COMPANY</w:t>
            </w:r>
          </w:p>
        </w:tc>
        <w:tc>
          <w:tcPr>
            <w:tcW w:w="6080" w:type="dxa"/>
            <w:vAlign w:val="bottom"/>
            <w:gridSpan w:val="11"/>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04"/>
        </w:trPr>
        <w:tc>
          <w:tcPr>
            <w:tcW w:w="1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7120" w:type="dxa"/>
            <w:vAlign w:val="bottom"/>
            <w:gridSpan w:val="15"/>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04"/>
        </w:trPr>
        <w:tc>
          <w:tcPr>
            <w:tcW w:w="31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7"/>
              </w:rPr>
              <w:t>FORWARD-LOOKING STATEMENTS</w:t>
            </w:r>
          </w:p>
        </w:tc>
        <w:tc>
          <w:tcPr>
            <w:tcW w:w="5680" w:type="dxa"/>
            <w:vAlign w:val="bottom"/>
            <w:gridSpan w:val="10"/>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04"/>
        </w:trPr>
        <w:tc>
          <w:tcPr>
            <w:tcW w:w="32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9"/>
              </w:rPr>
              <w:t>OVERVIEW OF OUR CAPITAL STOCK</w:t>
            </w:r>
          </w:p>
        </w:tc>
        <w:tc>
          <w:tcPr>
            <w:tcW w:w="5520" w:type="dxa"/>
            <w:vAlign w:val="bottom"/>
            <w:gridSpan w:val="7"/>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04"/>
        </w:trPr>
        <w:tc>
          <w:tcPr>
            <w:tcW w:w="58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color w:val="0000EE"/>
                <w:w w:val="99"/>
              </w:rPr>
              <w:t>GENERAL DESCRIPTION OF SECURITIES THAT MAY BE OFFERED</w:t>
            </w:r>
          </w:p>
        </w:tc>
        <w:tc>
          <w:tcPr>
            <w:tcW w:w="2980" w:type="dxa"/>
            <w:vAlign w:val="bottom"/>
            <w:gridSpan w:val="2"/>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4"/>
        </w:trPr>
        <w:tc>
          <w:tcPr>
            <w:tcW w:w="88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8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4"/>
        </w:trPr>
        <w:tc>
          <w:tcPr>
            <w:tcW w:w="88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304"/>
        </w:trPr>
        <w:tc>
          <w:tcPr>
            <w:tcW w:w="336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5440" w:type="dxa"/>
            <w:vAlign w:val="bottom"/>
            <w:gridSpan w:val="6"/>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304"/>
        </w:trPr>
        <w:tc>
          <w:tcPr>
            <w:tcW w:w="31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5660" w:type="dxa"/>
            <w:vAlign w:val="bottom"/>
            <w:gridSpan w:val="9"/>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304"/>
        </w:trPr>
        <w:tc>
          <w:tcPr>
            <w:tcW w:w="26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180" w:type="dxa"/>
            <w:vAlign w:val="bottom"/>
            <w:gridSpan w:val="12"/>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304"/>
        </w:trPr>
        <w:tc>
          <w:tcPr>
            <w:tcW w:w="15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600" w:type="dxa"/>
            <w:vAlign w:val="bottom"/>
            <w:tcBorders>
              <w:top w:val="single" w:sz="8" w:color="0000EE"/>
            </w:tcBorders>
            <w:gridSpan w:val="2"/>
          </w:tcPr>
          <w:p>
            <w:pPr>
              <w:spacing w:after="0"/>
              <w:rPr>
                <w:sz w:val="24"/>
                <w:szCs w:val="24"/>
                <w:color w:val="auto"/>
              </w:rPr>
            </w:pPr>
          </w:p>
        </w:tc>
        <w:tc>
          <w:tcPr>
            <w:tcW w:w="6640" w:type="dxa"/>
            <w:vAlign w:val="bottom"/>
            <w:gridSpan w:val="14"/>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304"/>
        </w:trPr>
        <w:tc>
          <w:tcPr>
            <w:tcW w:w="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8"/>
              </w:rPr>
              <w:t>EXPERTS</w:t>
            </w:r>
          </w:p>
        </w:tc>
        <w:tc>
          <w:tcPr>
            <w:tcW w:w="7960" w:type="dxa"/>
            <w:vAlign w:val="bottom"/>
            <w:gridSpan w:val="19"/>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304"/>
        </w:trPr>
        <w:tc>
          <w:tcPr>
            <w:tcW w:w="40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4760" w:type="dxa"/>
            <w:vAlign w:val="bottom"/>
            <w:gridSpan w:val="5"/>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20" w:top="446"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89"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62"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45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prospectus does not incorporate by reference any documents, reports or filings, or portions of any documents, reports or filings, that are deemed to be furnished and not filed under applicable SEC rules):</w:t>
      </w:r>
    </w:p>
    <w:p>
      <w:pPr>
        <w:spacing w:after="0" w:line="94" w:lineRule="exact"/>
        <w:rPr>
          <w:sz w:val="20"/>
          <w:szCs w:val="20"/>
          <w:color w:val="auto"/>
        </w:rPr>
      </w:pPr>
    </w:p>
    <w:p>
      <w:pPr>
        <w:ind w:left="1000" w:hanging="43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69">
        <w:r>
          <w:rPr>
            <w:rFonts w:ascii="Times New Roman" w:cs="Times New Roman" w:eastAsia="Times New Roman" w:hAnsi="Times New Roman"/>
            <w:sz w:val="18"/>
            <w:szCs w:val="18"/>
            <w:u w:val="single" w:color="auto"/>
            <w:color w:val="0000EE"/>
          </w:rPr>
          <w:t>Annual Report on Form 10-K for the fiscal year ended December 31,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5, 2020); and</w:t>
      </w:r>
    </w:p>
    <w:p>
      <w:pPr>
        <w:spacing w:after="0" w:line="130" w:lineRule="exact"/>
        <w:rPr>
          <w:rFonts w:ascii="Times New Roman" w:cs="Times New Roman" w:eastAsia="Times New Roman" w:hAnsi="Times New Roman"/>
          <w:sz w:val="18"/>
          <w:szCs w:val="18"/>
          <w:color w:val="auto"/>
        </w:rPr>
      </w:pPr>
    </w:p>
    <w:p>
      <w:pPr>
        <w:ind w:left="1000" w:right="40" w:hanging="439"/>
        <w:spacing w:after="0" w:line="282" w:lineRule="auto"/>
        <w:tabs>
          <w:tab w:leader="none" w:pos="1000" w:val="left"/>
        </w:tabs>
        <w:numPr>
          <w:ilvl w:val="0"/>
          <w:numId w:val="25"/>
        </w:numPr>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auto"/>
          </w:rPr>
          <w:t xml:space="preserve">the description of our common stock set forth in </w:t>
        </w:r>
        <w:r>
          <w:rPr>
            <w:rFonts w:ascii="Times New Roman" w:cs="Times New Roman" w:eastAsia="Times New Roman" w:hAnsi="Times New Roman"/>
            <w:sz w:val="18"/>
            <w:szCs w:val="18"/>
            <w:u w:val="single" w:color="auto"/>
            <w:color w:val="0000EE"/>
          </w:rPr>
          <w:t>Exhibit 4.1 to our Annual Report on Form 10-K for the fiscal year ended December 31, 2019</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(filed with the SEC on February 5, 2020)</w:t>
        </w:r>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auto"/>
        </w:rPr>
      </w:pPr>
    </w:p>
    <w:p>
      <w:pPr>
        <w:ind w:right="280" w:firstLine="449"/>
        <w:spacing w:after="0" w:line="289" w:lineRule="auto"/>
        <w:rPr>
          <w:sz w:val="20"/>
          <w:szCs w:val="20"/>
          <w:color w:val="auto"/>
        </w:rPr>
      </w:pPr>
      <w:r>
        <w:rPr>
          <w:rFonts w:ascii="Times New Roman" w:cs="Times New Roman" w:eastAsia="Times New Roman" w:hAnsi="Times New Roman"/>
          <w:sz w:val="17"/>
          <w:szCs w:val="17"/>
          <w:color w:val="auto"/>
        </w:rPr>
        <w:t>We will provide to each person, including any beneficial owner, a copy of the documents incorporated by reference into this prospectus,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50"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rFonts w:ascii="Times New Roman" w:cs="Times New Roman" w:eastAsia="Times New Roman" w:hAnsi="Times New Roman"/>
          <w:sz w:val="18"/>
          <w:szCs w:val="18"/>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https://www.gm.com. Our website and the information included in, or linked to on, our website are not part of this prospectus. We have included our website address in this prospectus solely as a textual reference.</w:t>
      </w:r>
    </w:p>
    <w:p>
      <w:pPr>
        <w:spacing w:after="0" w:line="38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rFonts w:ascii="Times New Roman" w:cs="Times New Roman" w:eastAsia="Times New Roman" w:hAnsi="Times New Roman"/>
          <w:sz w:val="18"/>
          <w:szCs w:val="18"/>
          <w:color w:val="auto"/>
        </w:rPr>
      </w:pPr>
    </w:p>
    <w:p>
      <w:pPr>
        <w:ind w:right="20" w:firstLine="449"/>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Investment in any of the securities involves risk. In addition to all of the other information contained or incorporated by reference into this prospectus </w:t>
      </w:r>
      <w:hyperlink r:id="rId69">
        <w:r>
          <w:rPr>
            <w:rFonts w:ascii="Times New Roman" w:cs="Times New Roman" w:eastAsia="Times New Roman" w:hAnsi="Times New Roman"/>
            <w:sz w:val="18"/>
            <w:szCs w:val="18"/>
            <w:color w:val="auto"/>
          </w:rPr>
          <w:t xml:space="preserve">and the accompanying prospectus supplement, you should carefully consider the risk factors incorporated by reference from our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10-K for the year ended December 31, 2019</w:t>
        </w:r>
        <w:r>
          <w:rPr>
            <w:rFonts w:ascii="Times New Roman" w:cs="Times New Roman" w:eastAsia="Times New Roman" w:hAnsi="Times New Roman"/>
            <w:sz w:val="18"/>
            <w:szCs w:val="18"/>
            <w:color w:val="000000"/>
          </w:rPr>
          <w:t>, as updated by our subsequent filings under the Exchange Act, including Forms 10-Q and 8-K, and the risk</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factors contained or incorporated by reference into the accompanying prospectus supplement before acquiring any of the securities.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45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worldwide through our automotive segments: GM North America and GM International. Cruise, formerly GM Cruise, is our global segment responsible for the development and commercialization of autonomous vehicle technology. We also provide automotive financing services through General Motors Financial Company, Inc. (GM Financial).</w:t>
      </w:r>
    </w:p>
    <w:p>
      <w:pPr>
        <w:spacing w:after="0" w:line="180"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667-1500. Our website is www.gm.com. Our website and the information included in, or linked to, our website are not part of this prospectus. We have included our website address in this prospectus solely as a textual reference.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455"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may include or incorporate by reference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 of manufacturing electric vehicles and drive increased consumer adoption; (6) the unique technological, operational, regulatory and competitive risks related to the timing and commercialization of autonomous vehicles; (7) global automobile market sales volume, which can be volatile; (8) our significant business in China, which is subject to unique operational, competitive, regulatory and economic risks; (9) our joint ventures, which we cannot operate solely for our benefit and over which we may have limited control; (10)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novel coronavirus),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including any work stoppages, at any of our manufacturing facilities;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information technology systems and networked products, including connected vehicles and in-vehicle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regulations and policies applicable to our operations and products, including those relating to fuel economy and emissions and autonomous vehicles; (19) costs and risks associated with litigation and government investigations; (20) the costs and effect on our reputation of product safety recalls and alleged defects in products and services; (21) any additional tax expense or exposure; (22) our continued ability to develop captive financing capability through GM Financial; and (23) any significant increase in our pension funding requirements. For a further discussion of these and other risks and uncertainties, refer to our Annual Report on Form 10-K for the year ended December 31, 2019, as updated by our subsequent filings under the Exchange Act, including Forms 10-Q and 8-K.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45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455"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 OF OUR CAPITAL STOCK</w:t>
      </w:r>
    </w:p>
    <w:p>
      <w:pPr>
        <w:spacing w:after="0" w:line="229"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is based upon our restated certificate of incorporation (Certificate of Incorporation) and our amended and restated bylaws (Bylaws), in each case as currently in effect as of the date of this prospectus, and is qualified in its entirety by reference to the provisions of those documents.</w:t>
      </w:r>
    </w:p>
    <w:p>
      <w:pPr>
        <w:spacing w:after="0" w:line="176" w:lineRule="exact"/>
        <w:rPr>
          <w:sz w:val="20"/>
          <w:szCs w:val="20"/>
          <w:color w:val="auto"/>
        </w:rPr>
      </w:pPr>
    </w:p>
    <w:p>
      <w:pPr>
        <w:ind w:right="560" w:firstLine="449"/>
        <w:spacing w:after="0" w:line="266" w:lineRule="auto"/>
        <w:rPr>
          <w:sz w:val="20"/>
          <w:szCs w:val="20"/>
          <w:color w:val="auto"/>
        </w:rPr>
      </w:pPr>
      <w:r>
        <w:rPr>
          <w:rFonts w:ascii="Times New Roman" w:cs="Times New Roman" w:eastAsia="Times New Roman" w:hAnsi="Times New Roman"/>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As of January 24, 2020, 1,429,002,063 shares of our common stock were issued and outstanding. The general terms of our common stock are described below within the section of this prospectus entitled “Description of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w:t>
      </w:r>
    </w:p>
    <w:p>
      <w:pPr>
        <w:spacing w:after="0" w:line="12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85" w:lineRule="exact"/>
        <w:rPr>
          <w:sz w:val="20"/>
          <w:szCs w:val="20"/>
          <w:color w:val="auto"/>
        </w:rPr>
      </w:pPr>
    </w:p>
    <w:p>
      <w:pPr>
        <w:ind w:left="1000" w:hanging="43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such class;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par value of the shares of such class;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Vacancies in our Board of Directors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any vacancy occurring in our board of directors (Board of Directors) for any reason shall be filled exclusively pursuant to a resolution adopted by a majority of the remaining members of our Board of Directors then in office. Each director so elected shall hold office for a term expiring at the same time as the next annual meeting of stockholders. Each director shall hold office until his or her successor is elected and qualified, unless the director dies, resigns or otherwise leaves the Board of Directors before then.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Under our Bylaws, special meetings of stockholders may be called at any time by the chairman of the Board of Directors, by a majority of the members of the Board of Directors or as otherwise provided by Delaware law or the Certificate of Incorporation. Our Bylaws further provide that the Board of Directors shall call a special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45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meeting upon the written request of the record holders of at least 25%, in the aggregate, of the voting power of the outstanding shares of all classes of shares entitled to vote at such a meeting, subject to requirements and limitations set forth in our Bylaws.</w:t>
      </w:r>
    </w:p>
    <w:p>
      <w:pPr>
        <w:spacing w:after="0" w:line="162"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Notice of Stockholder Director Nominations and Stockholder Business</w:t>
      </w:r>
    </w:p>
    <w:p>
      <w:pPr>
        <w:spacing w:after="0" w:line="121" w:lineRule="exact"/>
        <w:rPr>
          <w:sz w:val="20"/>
          <w:szCs w:val="20"/>
          <w:color w:val="auto"/>
        </w:rPr>
      </w:pPr>
    </w:p>
    <w:p>
      <w:pPr>
        <w:jc w:val="both"/>
        <w:ind w:right="340" w:firstLine="449"/>
        <w:spacing w:after="0" w:line="282" w:lineRule="auto"/>
        <w:rPr>
          <w:sz w:val="20"/>
          <w:szCs w:val="20"/>
          <w:color w:val="auto"/>
        </w:rPr>
      </w:pPr>
      <w:r>
        <w:rPr>
          <w:rFonts w:ascii="Times New Roman" w:cs="Times New Roman" w:eastAsia="Times New Roman" w:hAnsi="Times New Roman"/>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62" w:lineRule="exact"/>
        <w:rPr>
          <w:sz w:val="20"/>
          <w:szCs w:val="20"/>
          <w:color w:val="auto"/>
        </w:rPr>
      </w:pPr>
    </w:p>
    <w:p>
      <w:pPr>
        <w:jc w:val="both"/>
        <w:ind w:right="320" w:firstLine="449"/>
        <w:spacing w:after="0" w:line="266" w:lineRule="auto"/>
        <w:rPr>
          <w:sz w:val="20"/>
          <w:szCs w:val="20"/>
          <w:color w:val="auto"/>
        </w:rPr>
      </w:pPr>
      <w:r>
        <w:rPr>
          <w:rFonts w:ascii="Times New Roman" w:cs="Times New Roman" w:eastAsia="Times New Roman" w:hAnsi="Times New Roman"/>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p>
      <w:pPr>
        <w:spacing w:after="0" w:line="12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1" w:lineRule="exact"/>
        <w:rPr>
          <w:sz w:val="20"/>
          <w:szCs w:val="20"/>
          <w:color w:val="auto"/>
        </w:rPr>
      </w:pPr>
    </w:p>
    <w:p>
      <w:pPr>
        <w:ind w:left="1000" w:right="60" w:hanging="439"/>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67"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4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40" w:hanging="439"/>
        <w:spacing w:after="0" w:line="312"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4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76"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455"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GENERAL DESCRIPTION OF SECURITIES THAT MAY BE OFFERED</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securities may be offered, at any time and from time to time, pursuant to this prospectus:</w:t>
      </w:r>
    </w:p>
    <w:p>
      <w:pPr>
        <w:spacing w:after="0" w:line="131" w:lineRule="exact"/>
        <w:rPr>
          <w:sz w:val="20"/>
          <w:szCs w:val="20"/>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in one or more series;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320" w:top="455"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7"/>
          <w:szCs w:val="17"/>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64"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83" w:lineRule="exact"/>
        <w:rPr>
          <w:sz w:val="20"/>
          <w:szCs w:val="20"/>
          <w:color w:val="auto"/>
        </w:rPr>
      </w:pPr>
    </w:p>
    <w:p>
      <w:pPr>
        <w:jc w:val="both"/>
        <w:ind w:right="40" w:firstLine="449"/>
        <w:spacing w:after="0" w:line="289" w:lineRule="auto"/>
        <w:rPr>
          <w:sz w:val="20"/>
          <w:szCs w:val="20"/>
          <w:color w:val="auto"/>
        </w:rPr>
      </w:pPr>
      <w:r>
        <w:rPr>
          <w:rFonts w:ascii="Times New Roman" w:cs="Times New Roman" w:eastAsia="Times New Roman" w:hAnsi="Times New Roman"/>
          <w:sz w:val="17"/>
          <w:szCs w:val="17"/>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3"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67" w:lineRule="exact"/>
        <w:rPr>
          <w:sz w:val="20"/>
          <w:szCs w:val="20"/>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that series;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or any tranche thereof, is payable;</w:t>
      </w:r>
    </w:p>
    <w:p>
      <w:pPr>
        <w:spacing w:after="0" w:line="130"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and the dates on which such interest will be payable;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extend the interest payment periods and the duration of any such extension;</w:t>
      </w:r>
    </w:p>
    <w:p>
      <w:pPr>
        <w:spacing w:after="0" w:line="130"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40" w:hanging="439"/>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any of our other debt;</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of that series will be issuable;</w:t>
      </w:r>
    </w:p>
    <w:p>
      <w:pPr>
        <w:spacing w:after="0" w:line="130" w:lineRule="exact"/>
        <w:rPr>
          <w:rFonts w:ascii="Times New Roman" w:cs="Times New Roman" w:eastAsia="Times New Roman" w:hAnsi="Times New Roman"/>
          <w:sz w:val="18"/>
          <w:szCs w:val="18"/>
          <w:color w:val="auto"/>
        </w:rPr>
      </w:pPr>
    </w:p>
    <w:p>
      <w:pPr>
        <w:ind w:left="1000" w:right="340" w:hanging="439"/>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1000" w:right="140" w:hanging="439"/>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principal of or any premium or interest on the debt securities of that series will be payable;</w:t>
      </w:r>
    </w:p>
    <w:p>
      <w:pPr>
        <w:spacing w:after="0" w:line="67" w:lineRule="exact"/>
        <w:rPr>
          <w:rFonts w:ascii="Times New Roman" w:cs="Times New Roman" w:eastAsia="Times New Roman" w:hAnsi="Times New Roman"/>
          <w:sz w:val="18"/>
          <w:szCs w:val="18"/>
          <w:color w:val="auto"/>
        </w:rPr>
      </w:pPr>
    </w:p>
    <w:p>
      <w:pPr>
        <w:ind w:left="1000" w:right="20" w:hanging="439"/>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1000" w:right="240" w:hanging="439"/>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apply to, and covenants for the benefit of the holders of, the debt securities of that series;</w:t>
      </w:r>
    </w:p>
    <w:p>
      <w:pPr>
        <w:spacing w:after="0" w:line="67"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of that series may be converted into or exchanged for securities or other property of us or any other person;</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collateral security, assurance or guaranty for the debt securities of that series;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guaranteed by any of our subsidiaries;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of that series.</w:t>
      </w:r>
    </w:p>
    <w:p>
      <w:pPr>
        <w:spacing w:after="0" w:line="225"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describe any restrictive covenants for any series of debt securities in the applicable prospectus supplement for such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Discharge and Covenant Defeasance</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with respect to the debt securities of any series under the indenture (with the exception of specified provisions as provided in the indenture), when:</w:t>
      </w:r>
    </w:p>
    <w:p>
      <w:pPr>
        <w:spacing w:after="0" w:line="67" w:lineRule="exact"/>
        <w:rPr>
          <w:sz w:val="20"/>
          <w:szCs w:val="20"/>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or</w:t>
      </w:r>
    </w:p>
    <w:p>
      <w:pPr>
        <w:spacing w:after="0" w:line="130" w:lineRule="exact"/>
        <w:rPr>
          <w:rFonts w:ascii="Times New Roman" w:cs="Times New Roman" w:eastAsia="Times New Roman" w:hAnsi="Times New Roman"/>
          <w:sz w:val="18"/>
          <w:szCs w:val="18"/>
          <w:color w:val="auto"/>
        </w:rPr>
      </w:pPr>
    </w:p>
    <w:p>
      <w:pPr>
        <w:ind w:left="1000" w:right="220" w:hanging="439"/>
        <w:spacing w:after="0" w:line="282"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not previously delivered to the trustee for cancellation (i) have become due and payable (whether at stated maturity, early redemption or otherwise), (ii) will become due and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20" w:top="455"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line="254" w:lineRule="auto"/>
        <w:rPr>
          <w:sz w:val="20"/>
          <w:szCs w:val="20"/>
          <w:color w:val="auto"/>
        </w:rPr>
      </w:pPr>
      <w:r>
        <w:rPr>
          <w:rFonts w:ascii="Times New Roman" w:cs="Times New Roman" w:eastAsia="Times New Roman" w:hAnsi="Times New Roman"/>
          <w:sz w:val="18"/>
          <w:szCs w:val="18"/>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w:t>
      </w:r>
    </w:p>
    <w:p>
      <w:pPr>
        <w:spacing w:after="0" w:line="97" w:lineRule="exact"/>
        <w:rPr>
          <w:sz w:val="20"/>
          <w:szCs w:val="20"/>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by us with respect to such series; and</w:t>
      </w:r>
    </w:p>
    <w:p>
      <w:pPr>
        <w:spacing w:after="0" w:line="130" w:lineRule="exact"/>
        <w:rPr>
          <w:rFonts w:ascii="Times New Roman" w:cs="Times New Roman" w:eastAsia="Times New Roman" w:hAnsi="Times New Roman"/>
          <w:sz w:val="18"/>
          <w:szCs w:val="18"/>
          <w:color w:val="auto"/>
        </w:rPr>
      </w:pPr>
    </w:p>
    <w:p>
      <w:pPr>
        <w:ind w:left="1000" w:right="680" w:hanging="54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2"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85" w:lineRule="exact"/>
        <w:rPr>
          <w:sz w:val="20"/>
          <w:szCs w:val="20"/>
          <w:color w:val="auto"/>
        </w:rPr>
      </w:pPr>
    </w:p>
    <w:p>
      <w:pPr>
        <w:ind w:left="1000" w:right="100" w:hanging="54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of such series to receive, solely from the funds deposited with the trustee, payment of the principal of (and premium, if any) and interest when due;</w:t>
      </w:r>
    </w:p>
    <w:p>
      <w:pPr>
        <w:spacing w:after="0" w:line="67" w:lineRule="exact"/>
        <w:rPr>
          <w:rFonts w:ascii="Times New Roman" w:cs="Times New Roman" w:eastAsia="Times New Roman" w:hAnsi="Times New Roman"/>
          <w:sz w:val="18"/>
          <w:szCs w:val="18"/>
          <w:color w:val="auto"/>
        </w:rPr>
      </w:pPr>
    </w:p>
    <w:p>
      <w:pPr>
        <w:ind w:left="1000" w:right="160" w:hanging="547"/>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120" w:right="580" w:hanging="667"/>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67"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dollars (or such other currency or composite currency in which such debt securities are denominated) in an amount sufficient;</w:t>
      </w:r>
    </w:p>
    <w:p>
      <w:pPr>
        <w:spacing w:after="0" w:line="130" w:lineRule="exact"/>
        <w:rPr>
          <w:rFonts w:ascii="Times New Roman" w:cs="Times New Roman" w:eastAsia="Times New Roman" w:hAnsi="Times New Roman"/>
          <w:sz w:val="18"/>
          <w:szCs w:val="18"/>
          <w:color w:val="auto"/>
        </w:rPr>
      </w:pPr>
    </w:p>
    <w:p>
      <w:pPr>
        <w:ind w:left="1460" w:right="140" w:hanging="332"/>
        <w:spacing w:after="0" w:line="282" w:lineRule="auto"/>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67"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such cash and eligible obligations in an amount sufficient,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45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20" w:right="200"/>
        <w:spacing w:after="0" w:line="261" w:lineRule="auto"/>
        <w:rPr>
          <w:sz w:val="20"/>
          <w:szCs w:val="20"/>
          <w:color w:val="auto"/>
        </w:rPr>
      </w:pPr>
      <w:r>
        <w:rPr>
          <w:rFonts w:ascii="Times New Roman" w:cs="Times New Roman" w:eastAsia="Times New Roman" w:hAnsi="Times New Roman"/>
          <w:sz w:val="18"/>
          <w:szCs w:val="18"/>
          <w:color w:val="auto"/>
        </w:rPr>
        <w:t>in each case, in the opinion of a nationally recognized firm of independent certified public accountants, expressed in a written certification delivered to the trustee, to pay and discharge (1)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85" w:lineRule="exact"/>
        <w:rPr>
          <w:sz w:val="20"/>
          <w:szCs w:val="20"/>
          <w:color w:val="auto"/>
        </w:rPr>
      </w:pPr>
    </w:p>
    <w:p>
      <w:pPr>
        <w:ind w:left="1120" w:right="100" w:hanging="667"/>
        <w:spacing w:after="0" w:line="261"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120" w:right="60" w:hanging="667"/>
        <w:spacing w:after="0" w:line="266"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81" w:lineRule="exact"/>
        <w:rPr>
          <w:rFonts w:ascii="Times New Roman" w:cs="Times New Roman" w:eastAsia="Times New Roman" w:hAnsi="Times New Roman"/>
          <w:sz w:val="18"/>
          <w:szCs w:val="18"/>
          <w:color w:val="auto"/>
        </w:rPr>
      </w:pPr>
    </w:p>
    <w:p>
      <w:pPr>
        <w:ind w:left="1120" w:right="100" w:hanging="667"/>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120" w:right="80" w:hanging="667"/>
        <w:spacing w:after="0" w:line="266"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81" w:lineRule="exact"/>
        <w:rPr>
          <w:rFonts w:ascii="Times New Roman" w:cs="Times New Roman" w:eastAsia="Times New Roman" w:hAnsi="Times New Roman"/>
          <w:sz w:val="18"/>
          <w:szCs w:val="18"/>
          <w:color w:val="auto"/>
        </w:rPr>
      </w:pPr>
    </w:p>
    <w:p>
      <w:pPr>
        <w:ind w:left="1120" w:right="420" w:hanging="667"/>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agreement whereby we irrevocably agree to forfeit our rights, if any, to extend the interest payment periods on such debt securities pursuant to the indenture;</w:t>
      </w:r>
    </w:p>
    <w:p>
      <w:pPr>
        <w:spacing w:after="0" w:line="67" w:lineRule="exact"/>
        <w:rPr>
          <w:rFonts w:ascii="Times New Roman" w:cs="Times New Roman" w:eastAsia="Times New Roman" w:hAnsi="Times New Roman"/>
          <w:sz w:val="18"/>
          <w:szCs w:val="18"/>
          <w:color w:val="auto"/>
        </w:rPr>
      </w:pPr>
    </w:p>
    <w:p>
      <w:pPr>
        <w:ind w:left="1120" w:right="300" w:hanging="667"/>
        <w:spacing w:after="0" w:line="289"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63" w:lineRule="exact"/>
        <w:rPr>
          <w:rFonts w:ascii="Times New Roman" w:cs="Times New Roman" w:eastAsia="Times New Roman" w:hAnsi="Times New Roman"/>
          <w:sz w:val="17"/>
          <w:szCs w:val="17"/>
          <w:color w:val="auto"/>
        </w:rPr>
      </w:pPr>
    </w:p>
    <w:p>
      <w:pPr>
        <w:ind w:left="1120" w:right="320" w:hanging="667"/>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67" w:lineRule="exact"/>
        <w:rPr>
          <w:rFonts w:ascii="Times New Roman" w:cs="Times New Roman" w:eastAsia="Times New Roman" w:hAnsi="Times New Roman"/>
          <w:sz w:val="18"/>
          <w:szCs w:val="18"/>
          <w:color w:val="auto"/>
        </w:rPr>
      </w:pPr>
    </w:p>
    <w:p>
      <w:pPr>
        <w:ind w:left="1120" w:right="80" w:hanging="667"/>
        <w:spacing w:after="0" w:line="258"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67" w:lineRule="exact"/>
        <w:rPr>
          <w:sz w:val="20"/>
          <w:szCs w:val="20"/>
          <w:color w:val="auto"/>
        </w:rPr>
      </w:pPr>
    </w:p>
    <w:p>
      <w:pPr>
        <w:ind w:left="1000" w:hanging="547"/>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455"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180"/>
        <w:spacing w:after="0" w:line="282" w:lineRule="auto"/>
        <w:rPr>
          <w:sz w:val="20"/>
          <w:szCs w:val="20"/>
          <w:color w:val="auto"/>
        </w:rPr>
      </w:pPr>
      <w:r>
        <w:rPr>
          <w:rFonts w:ascii="Times New Roman" w:cs="Times New Roman" w:eastAsia="Times New Roman" w:hAnsi="Times New Roman"/>
          <w:sz w:val="18"/>
          <w:szCs w:val="18"/>
          <w:color w:val="auto"/>
        </w:rPr>
        <w:t>expressly assume by a supplemental indenture the due and punctual payment of the principal of (and premium, if any) and interest on all of the outstanding debt securities and the performance of our covenants under the indenture;</w:t>
      </w:r>
    </w:p>
    <w:p>
      <w:pPr>
        <w:spacing w:after="0" w:line="67" w:lineRule="exact"/>
        <w:rPr>
          <w:sz w:val="20"/>
          <w:szCs w:val="20"/>
          <w:color w:val="auto"/>
        </w:rPr>
      </w:pPr>
    </w:p>
    <w:p>
      <w:pPr>
        <w:ind w:left="1000" w:right="8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00" w:right="180" w:hanging="547"/>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76" w:lineRule="exact"/>
        <w:rPr>
          <w:sz w:val="20"/>
          <w:szCs w:val="20"/>
          <w:color w:val="auto"/>
        </w:rPr>
      </w:pPr>
    </w:p>
    <w:p>
      <w:pPr>
        <w:jc w:val="both"/>
        <w:ind w:right="300" w:firstLine="449"/>
        <w:spacing w:after="0" w:line="266" w:lineRule="auto"/>
        <w:rPr>
          <w:sz w:val="20"/>
          <w:szCs w:val="20"/>
          <w:color w:val="auto"/>
        </w:rPr>
      </w:pPr>
      <w:r>
        <w:rPr>
          <w:rFonts w:ascii="Times New Roman" w:cs="Times New Roman" w:eastAsia="Times New Roman" w:hAnsi="Times New Roman"/>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without the consent of the holder of each outstanding debt security so affected, no such supplemental indenture may:</w:t>
      </w:r>
    </w:p>
    <w:p>
      <w:pPr>
        <w:spacing w:after="0" w:line="94" w:lineRule="exact"/>
        <w:rPr>
          <w:sz w:val="20"/>
          <w:szCs w:val="20"/>
          <w:color w:val="auto"/>
        </w:rPr>
      </w:pPr>
    </w:p>
    <w:p>
      <w:pPr>
        <w:ind w:left="1000" w:right="40" w:hanging="547"/>
        <w:spacing w:after="0" w:line="255"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w:t>
      </w:r>
    </w:p>
    <w:p>
      <w:pPr>
        <w:spacing w:after="0" w:line="94" w:lineRule="exact"/>
        <w:rPr>
          <w:rFonts w:ascii="Times New Roman" w:cs="Times New Roman" w:eastAsia="Times New Roman" w:hAnsi="Times New Roman"/>
          <w:sz w:val="18"/>
          <w:szCs w:val="18"/>
          <w:color w:val="auto"/>
        </w:rPr>
      </w:pPr>
    </w:p>
    <w:p>
      <w:pPr>
        <w:ind w:left="1000" w:right="260" w:hanging="547"/>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00" w:hanging="547"/>
        <w:spacing w:after="0" w:line="289"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any of the above provisions or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45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67" w:lineRule="exact"/>
        <w:rPr>
          <w:sz w:val="20"/>
          <w:szCs w:val="20"/>
          <w:color w:val="auto"/>
        </w:rPr>
      </w:pPr>
    </w:p>
    <w:p>
      <w:pPr>
        <w:ind w:left="1120" w:right="320" w:hanging="667"/>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and the assumption by any such successor of the covenants applicable to us under the indenture and in the debt securities;</w:t>
      </w:r>
    </w:p>
    <w:p>
      <w:pPr>
        <w:spacing w:after="0" w:line="67" w:lineRule="exact"/>
        <w:rPr>
          <w:rFonts w:ascii="Times New Roman" w:cs="Times New Roman" w:eastAsia="Times New Roman" w:hAnsi="Times New Roman"/>
          <w:sz w:val="18"/>
          <w:szCs w:val="18"/>
          <w:color w:val="auto"/>
        </w:rPr>
      </w:pPr>
    </w:p>
    <w:p>
      <w:pPr>
        <w:ind w:left="1120" w:hanging="667"/>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applicable to us for the benefit of the holders of all or any series of debt securities, or to surrender any right or power conferred upon us under the indenture;</w:t>
      </w:r>
    </w:p>
    <w:p>
      <w:pPr>
        <w:spacing w:after="0" w:line="67" w:lineRule="exact"/>
        <w:rPr>
          <w:rFonts w:ascii="Times New Roman" w:cs="Times New Roman" w:eastAsia="Times New Roman" w:hAnsi="Times New Roman"/>
          <w:sz w:val="18"/>
          <w:szCs w:val="18"/>
          <w:color w:val="auto"/>
        </w:rPr>
      </w:pPr>
    </w:p>
    <w:p>
      <w:pPr>
        <w:ind w:left="1120" w:hanging="667"/>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all or any series of debt securities;</w:t>
      </w:r>
    </w:p>
    <w:p>
      <w:pPr>
        <w:spacing w:after="0" w:line="130" w:lineRule="exact"/>
        <w:rPr>
          <w:rFonts w:ascii="Times New Roman" w:cs="Times New Roman" w:eastAsia="Times New Roman" w:hAnsi="Times New Roman"/>
          <w:sz w:val="18"/>
          <w:szCs w:val="18"/>
          <w:color w:val="auto"/>
        </w:rPr>
      </w:pPr>
    </w:p>
    <w:p>
      <w:pPr>
        <w:jc w:val="both"/>
        <w:ind w:left="1120" w:right="360" w:hanging="667"/>
        <w:spacing w:after="0" w:line="266"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81" w:lineRule="exact"/>
        <w:rPr>
          <w:rFonts w:ascii="Times New Roman" w:cs="Times New Roman" w:eastAsia="Times New Roman" w:hAnsi="Times New Roman"/>
          <w:sz w:val="18"/>
          <w:szCs w:val="18"/>
          <w:color w:val="auto"/>
        </w:rPr>
      </w:pPr>
    </w:p>
    <w:p>
      <w:pPr>
        <w:ind w:left="1120" w:right="120" w:hanging="667"/>
        <w:spacing w:after="0" w:line="258"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the indenture, or to add any new provision to the indenture, in respect of one or more series of debt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w:t>
      </w:r>
    </w:p>
    <w:p>
      <w:pPr>
        <w:spacing w:after="0" w:line="88" w:lineRule="exact"/>
        <w:rPr>
          <w:rFonts w:ascii="Times New Roman" w:cs="Times New Roman" w:eastAsia="Times New Roman" w:hAnsi="Times New Roman"/>
          <w:sz w:val="18"/>
          <w:szCs w:val="18"/>
          <w:color w:val="auto"/>
        </w:rPr>
      </w:pPr>
    </w:p>
    <w:p>
      <w:pPr>
        <w:ind w:left="1120" w:right="840" w:hanging="667"/>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security with respect to the debt securities of any series and to provide for the terms and conditions of release or substitution thereof;</w:t>
      </w:r>
    </w:p>
    <w:p>
      <w:pPr>
        <w:spacing w:after="0" w:line="67" w:lineRule="exact"/>
        <w:rPr>
          <w:rFonts w:ascii="Times New Roman" w:cs="Times New Roman" w:eastAsia="Times New Roman" w:hAnsi="Times New Roman"/>
          <w:sz w:val="18"/>
          <w:szCs w:val="18"/>
          <w:color w:val="auto"/>
        </w:rPr>
      </w:pPr>
    </w:p>
    <w:p>
      <w:pPr>
        <w:ind w:left="1120" w:right="140" w:hanging="667"/>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issuance of and establish the form, terms and conditions of any additional debt securities of any series or tranche thereof as permitted by the indenture;</w:t>
      </w:r>
    </w:p>
    <w:p>
      <w:pPr>
        <w:spacing w:after="0" w:line="67" w:lineRule="exact"/>
        <w:rPr>
          <w:rFonts w:ascii="Times New Roman" w:cs="Times New Roman" w:eastAsia="Times New Roman" w:hAnsi="Times New Roman"/>
          <w:sz w:val="18"/>
          <w:szCs w:val="18"/>
          <w:color w:val="auto"/>
        </w:rPr>
      </w:pPr>
    </w:p>
    <w:p>
      <w:pPr>
        <w:ind w:left="1120" w:hanging="667"/>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all, or any series or tranche of, certificated debt securities;</w:t>
      </w:r>
    </w:p>
    <w:p>
      <w:pPr>
        <w:spacing w:after="0" w:line="130" w:lineRule="exact"/>
        <w:rPr>
          <w:rFonts w:ascii="Times New Roman" w:cs="Times New Roman" w:eastAsia="Times New Roman" w:hAnsi="Times New Roman"/>
          <w:sz w:val="18"/>
          <w:szCs w:val="18"/>
          <w:color w:val="auto"/>
        </w:rPr>
      </w:pPr>
    </w:p>
    <w:p>
      <w:pPr>
        <w:ind w:left="1120" w:right="200" w:hanging="667"/>
        <w:spacing w:after="0" w:line="266"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w:t>
      </w:r>
    </w:p>
    <w:p>
      <w:pPr>
        <w:spacing w:after="0" w:line="81" w:lineRule="exact"/>
        <w:rPr>
          <w:rFonts w:ascii="Times New Roman" w:cs="Times New Roman" w:eastAsia="Times New Roman" w:hAnsi="Times New Roman"/>
          <w:sz w:val="18"/>
          <w:szCs w:val="18"/>
          <w:color w:val="auto"/>
        </w:rPr>
      </w:pPr>
    </w:p>
    <w:p>
      <w:pPr>
        <w:ind w:left="1120" w:hanging="667"/>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separate trustee or co-trustee;</w:t>
      </w:r>
    </w:p>
    <w:p>
      <w:pPr>
        <w:spacing w:after="0" w:line="130" w:lineRule="exact"/>
        <w:rPr>
          <w:rFonts w:ascii="Times New Roman" w:cs="Times New Roman" w:eastAsia="Times New Roman" w:hAnsi="Times New Roman"/>
          <w:sz w:val="18"/>
          <w:szCs w:val="18"/>
          <w:color w:val="auto"/>
        </w:rPr>
      </w:pPr>
    </w:p>
    <w:p>
      <w:pPr>
        <w:ind w:left="1120" w:right="100" w:hanging="667"/>
        <w:spacing w:after="0" w:line="261"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w:t>
      </w:r>
    </w:p>
    <w:p>
      <w:pPr>
        <w:spacing w:after="0" w:line="85" w:lineRule="exact"/>
        <w:rPr>
          <w:rFonts w:ascii="Times New Roman" w:cs="Times New Roman" w:eastAsia="Times New Roman" w:hAnsi="Times New Roman"/>
          <w:sz w:val="18"/>
          <w:szCs w:val="18"/>
          <w:color w:val="auto"/>
        </w:rPr>
      </w:pPr>
    </w:p>
    <w:p>
      <w:pPr>
        <w:ind w:left="1120" w:right="60" w:hanging="667"/>
        <w:spacing w:after="0" w:line="261"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debt securities of such series or tranche or any other series of debt securities in any material respect;</w:t>
      </w:r>
    </w:p>
    <w:p>
      <w:pPr>
        <w:spacing w:after="0" w:line="85" w:lineRule="exact"/>
        <w:rPr>
          <w:rFonts w:ascii="Times New Roman" w:cs="Times New Roman" w:eastAsia="Times New Roman" w:hAnsi="Times New Roman"/>
          <w:sz w:val="18"/>
          <w:szCs w:val="18"/>
          <w:color w:val="auto"/>
        </w:rPr>
      </w:pPr>
    </w:p>
    <w:p>
      <w:pPr>
        <w:ind w:left="1120" w:hanging="667"/>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w:t>
      </w:r>
    </w:p>
    <w:p>
      <w:pPr>
        <w:spacing w:after="0" w:line="67" w:lineRule="exact"/>
        <w:rPr>
          <w:rFonts w:ascii="Times New Roman" w:cs="Times New Roman" w:eastAsia="Times New Roman" w:hAnsi="Times New Roman"/>
          <w:sz w:val="18"/>
          <w:szCs w:val="18"/>
          <w:color w:val="auto"/>
        </w:rPr>
      </w:pPr>
    </w:p>
    <w:p>
      <w:pPr>
        <w:ind w:left="1120" w:right="300" w:hanging="667"/>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45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120" w:right="280" w:hanging="667"/>
        <w:spacing w:after="0" w:line="267"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other provisions with respect to matters or questions arising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75" w:lineRule="exact"/>
        <w:rPr>
          <w:sz w:val="20"/>
          <w:szCs w:val="20"/>
          <w:color w:val="auto"/>
        </w:rPr>
      </w:pPr>
    </w:p>
    <w:p>
      <w:pPr>
        <w:ind w:right="480" w:firstLine="449"/>
        <w:spacing w:after="0" w:line="266" w:lineRule="auto"/>
        <w:rPr>
          <w:sz w:val="20"/>
          <w:szCs w:val="20"/>
          <w:color w:val="auto"/>
        </w:rPr>
      </w:pPr>
      <w:r>
        <w:rPr>
          <w:rFonts w:ascii="Times New Roman" w:cs="Times New Roman" w:eastAsia="Times New Roman" w:hAnsi="Times New Roman"/>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67" w:lineRule="exact"/>
        <w:rPr>
          <w:sz w:val="20"/>
          <w:szCs w:val="20"/>
          <w:color w:val="auto"/>
        </w:rPr>
      </w:pPr>
    </w:p>
    <w:p>
      <w:pPr>
        <w:ind w:left="1000" w:right="140" w:hanging="547"/>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in the payment of interest on any debt security of that series when it becomes due and payable, and continuance of such default for a period of 30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valid extension of the interest payment period by us as permitted under the terms of any debt security of that series shall not constitute a failure to pay interest for this purpose;</w:t>
      </w:r>
    </w:p>
    <w:p>
      <w:pPr>
        <w:spacing w:after="0" w:line="81"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67"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00" w:hanging="547"/>
        <w:spacing w:after="0" w:line="25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w:t>
      </w:r>
    </w:p>
    <w:p>
      <w:pPr>
        <w:spacing w:after="0" w:line="88"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have occurred;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8"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455"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94"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67" w:lineRule="exact"/>
        <w:rPr>
          <w:sz w:val="20"/>
          <w:szCs w:val="20"/>
          <w:color w:val="auto"/>
        </w:rPr>
      </w:pPr>
    </w:p>
    <w:p>
      <w:pPr>
        <w:ind w:left="1000" w:hanging="43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written notice to the trustee of a continuing event of default with respect to the debt securities of that series;</w:t>
      </w:r>
    </w:p>
    <w:p>
      <w:pPr>
        <w:spacing w:after="0" w:line="130" w:lineRule="exact"/>
        <w:rPr>
          <w:rFonts w:ascii="Times New Roman" w:cs="Times New Roman" w:eastAsia="Times New Roman" w:hAnsi="Times New Roman"/>
          <w:sz w:val="18"/>
          <w:szCs w:val="18"/>
          <w:color w:val="auto"/>
        </w:rPr>
      </w:pPr>
    </w:p>
    <w:p>
      <w:pPr>
        <w:ind w:left="1000" w:right="180" w:hanging="439"/>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debt securities of that series have made written request to the trustee to institute the action;</w:t>
      </w:r>
    </w:p>
    <w:p>
      <w:pPr>
        <w:spacing w:after="0" w:line="67" w:lineRule="exact"/>
        <w:rPr>
          <w:rFonts w:ascii="Times New Roman" w:cs="Times New Roman" w:eastAsia="Times New Roman" w:hAnsi="Times New Roman"/>
          <w:sz w:val="18"/>
          <w:szCs w:val="18"/>
          <w:color w:val="auto"/>
        </w:rPr>
      </w:pPr>
    </w:p>
    <w:p>
      <w:pPr>
        <w:ind w:left="1000" w:right="80" w:hanging="439"/>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against the reasonable expenses and liabilities to be incurred in complying with the request;</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receipt of the request and offer of indemnity; and</w:t>
      </w:r>
    </w:p>
    <w:p>
      <w:pPr>
        <w:spacing w:after="0" w:line="130" w:lineRule="exact"/>
        <w:rPr>
          <w:rFonts w:ascii="Times New Roman" w:cs="Times New Roman" w:eastAsia="Times New Roman" w:hAnsi="Times New Roman"/>
          <w:sz w:val="18"/>
          <w:szCs w:val="18"/>
          <w:color w:val="auto"/>
        </w:rPr>
      </w:pPr>
    </w:p>
    <w:p>
      <w:pPr>
        <w:ind w:left="1000" w:right="440" w:hanging="439"/>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 event of default has occurred and is continuing with respect to more than one series of debt securities of equal ranking, the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 Global Securities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455"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00" w:right="460" w:hanging="439"/>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67" w:lineRule="exact"/>
        <w:rPr>
          <w:rFonts w:ascii="Times New Roman" w:cs="Times New Roman" w:eastAsia="Times New Roman" w:hAnsi="Times New Roman"/>
          <w:sz w:val="18"/>
          <w:szCs w:val="18"/>
          <w:color w:val="auto"/>
        </w:rPr>
      </w:pPr>
    </w:p>
    <w:p>
      <w:pPr>
        <w:ind w:left="1000" w:right="100" w:hanging="439"/>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76"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Beneficial interests in a global security may not be exchanged for debt securities in physical, certificated form except in the limited circumstances described below.</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the Global Securities</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right="100" w:firstLine="449"/>
        <w:spacing w:after="0" w:line="277" w:lineRule="auto"/>
        <w:rPr>
          <w:sz w:val="20"/>
          <w:szCs w:val="20"/>
          <w:color w:val="auto"/>
        </w:rPr>
      </w:pPr>
      <w:r>
        <w:rPr>
          <w:rFonts w:ascii="Times New Roman" w:cs="Times New Roman" w:eastAsia="Times New Roman" w:hAnsi="Times New Roman"/>
          <w:sz w:val="17"/>
          <w:szCs w:val="17"/>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68"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1" w:lineRule="exact"/>
        <w:rPr>
          <w:sz w:val="20"/>
          <w:szCs w:val="20"/>
          <w:color w:val="auto"/>
        </w:rPr>
      </w:pPr>
    </w:p>
    <w:p>
      <w:pPr>
        <w:ind w:left="1000" w:hanging="43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 debt security represented by the global security registered in their names;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a physical, certificated debt security; and</w:t>
      </w:r>
    </w:p>
    <w:p>
      <w:pPr>
        <w:spacing w:after="0" w:line="130" w:lineRule="exact"/>
        <w:rPr>
          <w:rFonts w:ascii="Times New Roman" w:cs="Times New Roman" w:eastAsia="Times New Roman" w:hAnsi="Times New Roman"/>
          <w:sz w:val="18"/>
          <w:szCs w:val="18"/>
          <w:color w:val="auto"/>
        </w:rPr>
      </w:pPr>
    </w:p>
    <w:p>
      <w:pPr>
        <w:ind w:left="1000" w:right="480" w:hanging="439"/>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62"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security must rely on the procedures of DTC to exercise any rights of a holder of the debt security under the indenture (and, if the investor is not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5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or an indirect participant in DTC, on the procedures of the DTC participant through which the investor owns its interest).</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global security may be exchanged for debt securities in physical, certificated form (which would be registered in such names as DTC shall direct)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if:</w:t>
      </w:r>
    </w:p>
    <w:p>
      <w:pPr>
        <w:spacing w:after="0" w:line="112" w:lineRule="exact"/>
        <w:rPr>
          <w:sz w:val="20"/>
          <w:szCs w:val="20"/>
          <w:color w:val="auto"/>
        </w:rPr>
      </w:pPr>
    </w:p>
    <w:p>
      <w:pPr>
        <w:ind w:left="1000" w:right="260" w:hanging="439"/>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security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that we elect to cause the issuance of certificated debt securities;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with respect to the debt securities under the indenture should occur and be continuing.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225"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455"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24, 2020, there were no shares of preferred stock outstanding. The terms of any shares of preferred stock offered pursuant to this prospectus will be set forth in an applicable prospectus supplement.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455"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only class of common stock is our common stock, par value $0.01 per share. Our Certificate of Incorporation currently authorizes our Board of Directors to issue 5,000,000,000 shares of common stock. As of January 24, 2020, 1,429,002,063 shares of our common stock were issued and outstanding. There are no redemption or sinking fund provisions applicable to our common stock. All outstanding shares of our common stock are fully paid and non-assessable.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0"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24, 2020, there were no shares of preferred stock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18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Computershare Trust Company, N.A. is the transfer agent and registrar for our common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45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320" w:top="455"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accompanying prospectus supplement, the validity of the securities offered hereby will be passed upon for us by Honigman LLP.</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4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General Motors Company as of and for the years ended December 31, 2019 and 2018, incorporated in this Prospectus by reference from the Company’s </w:t>
      </w:r>
      <w:hyperlink r:id="rId69">
        <w:r>
          <w:rPr>
            <w:rFonts w:ascii="Times New Roman" w:cs="Times New Roman" w:eastAsia="Times New Roman" w:hAnsi="Times New Roman"/>
            <w:sz w:val="18"/>
            <w:szCs w:val="18"/>
            <w:u w:val="single" w:color="auto"/>
            <w:color w:val="0000EE"/>
          </w:rPr>
          <w:t>Annual Report on Form 10-K for the year ended December 31, 2019</w:t>
        </w:r>
      </w:hyperlink>
      <w:r>
        <w:rPr>
          <w:rFonts w:ascii="Times New Roman" w:cs="Times New Roman" w:eastAsia="Times New Roman" w:hAnsi="Times New Roman"/>
          <w:sz w:val="18"/>
          <w:szCs w:val="18"/>
          <w:color w:val="auto"/>
        </w:rPr>
        <w:t>, and the effectiveness of General Motors Company’s internal control over financial reporting as of December 31,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3" w:lineRule="exact"/>
        <w:rPr>
          <w:sz w:val="20"/>
          <w:szCs w:val="20"/>
          <w:color w:val="auto"/>
        </w:rPr>
      </w:pPr>
    </w:p>
    <w:p>
      <w:pPr>
        <w:jc w:val="both"/>
        <w:ind w:right="140" w:firstLine="44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of General Motors Company as of and for the year ended December 31, 2017, incorporated in this Prospectus by reference from the Company’s </w:t>
      </w:r>
      <w:hyperlink r:id="rId69">
        <w:r>
          <w:rPr>
            <w:rFonts w:ascii="Times New Roman" w:cs="Times New Roman" w:eastAsia="Times New Roman" w:hAnsi="Times New Roman"/>
            <w:sz w:val="18"/>
            <w:szCs w:val="18"/>
            <w:u w:val="single" w:color="auto"/>
            <w:color w:val="0000EE"/>
          </w:rPr>
          <w:t>Annual Report on Form 10-K for the year ended December 31, 2019</w:t>
        </w:r>
      </w:hyperlink>
      <w:r>
        <w:rPr>
          <w:rFonts w:ascii="Times New Roman" w:cs="Times New Roman" w:eastAsia="Times New Roman" w:hAnsi="Times New Roman"/>
          <w:sz w:val="18"/>
          <w:szCs w:val="18"/>
          <w:color w:val="auto"/>
        </w:rPr>
        <w:t>,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Our SEC filings are available to the public through the Internet at the SEC’s website at http://www.sec.gov.</w:t>
      </w:r>
    </w:p>
    <w:p>
      <w:pPr>
        <w:spacing w:after="0" w:line="162"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auto"/>
        </w:rPr>
        <w:t>We also make available free of charge on our website at https://www.gm.com all of the documents that we file with the SEC. Information contained on, or that can be accessed through, our website is not incorporated by reference into this prospectus, and you should not consider such information as part of this prospectus.</w:t>
      </w:r>
    </w:p>
    <w:p>
      <w:pPr>
        <w:spacing w:after="0" w:line="176"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of the information in the registration statement. The full registration statement, including exhibits to the registration statement, provides additional information about us and may be obtained from the SEC or us, as provided above.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45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344170</wp:posOffset>
            </wp:positionV>
            <wp:extent cx="3480435" cy="445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34804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800"/>
        <w:spacing w:after="0"/>
        <w:tabs>
          <w:tab w:leader="none" w:pos="4720" w:val="left"/>
        </w:tabs>
        <w:rPr>
          <w:sz w:val="20"/>
          <w:szCs w:val="20"/>
          <w:color w:val="auto"/>
        </w:rPr>
      </w:pPr>
      <w:r>
        <w:rPr>
          <w:rFonts w:ascii="Times New Roman" w:cs="Times New Roman" w:eastAsia="Times New Roman" w:hAnsi="Times New Roman"/>
          <w:sz w:val="25"/>
          <w:szCs w:val="25"/>
          <w:b w:val="1"/>
          <w:bCs w:val="1"/>
          <w:color w:val="auto"/>
        </w:rPr>
        <w:t>$</w:t>
      </w:r>
      <w:r>
        <w:rPr>
          <w:sz w:val="20"/>
          <w:szCs w:val="20"/>
          <w:color w:val="auto"/>
        </w:rPr>
        <w:tab/>
      </w:r>
      <w:r>
        <w:rPr>
          <w:rFonts w:ascii="Times New Roman" w:cs="Times New Roman" w:eastAsia="Times New Roman" w:hAnsi="Times New Roman"/>
          <w:sz w:val="25"/>
          <w:szCs w:val="25"/>
          <w:b w:val="1"/>
          <w:bCs w:val="1"/>
          <w:color w:val="auto"/>
        </w:rPr>
        <w:t>% Senior Notes due 20</w:t>
      </w:r>
    </w:p>
    <w:p>
      <w:pPr>
        <w:spacing w:after="0" w:line="44" w:lineRule="exact"/>
        <w:rPr>
          <w:sz w:val="20"/>
          <w:szCs w:val="20"/>
          <w:color w:val="auto"/>
        </w:rPr>
      </w:pPr>
    </w:p>
    <w:p>
      <w:pPr>
        <w:ind w:left="3800"/>
        <w:spacing w:after="0"/>
        <w:tabs>
          <w:tab w:leader="none" w:pos="4720" w:val="left"/>
        </w:tabs>
        <w:rPr>
          <w:sz w:val="20"/>
          <w:szCs w:val="20"/>
          <w:color w:val="auto"/>
        </w:rPr>
      </w:pPr>
      <w:r>
        <w:rPr>
          <w:rFonts w:ascii="Times New Roman" w:cs="Times New Roman" w:eastAsia="Times New Roman" w:hAnsi="Times New Roman"/>
          <w:sz w:val="25"/>
          <w:szCs w:val="25"/>
          <w:b w:val="1"/>
          <w:bCs w:val="1"/>
          <w:color w:val="auto"/>
        </w:rPr>
        <w:t>$</w:t>
      </w:r>
      <w:r>
        <w:rPr>
          <w:sz w:val="20"/>
          <w:szCs w:val="20"/>
          <w:color w:val="auto"/>
        </w:rPr>
        <w:tab/>
      </w:r>
      <w:r>
        <w:rPr>
          <w:rFonts w:ascii="Times New Roman" w:cs="Times New Roman" w:eastAsia="Times New Roman" w:hAnsi="Times New Roman"/>
          <w:sz w:val="25"/>
          <w:szCs w:val="25"/>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1391285</wp:posOffset>
            </wp:positionV>
            <wp:extent cx="14916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Credit Agricole CIB</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1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412750</wp:posOffset>
            </wp:positionV>
            <wp:extent cx="14916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20"/>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July</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6"/>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2CA886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lvl w:ilvl="1">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lowerRoman"/>
      <w:start w:val="1"/>
    </w:lvl>
  </w:abstractNum>
  <w:abstractNum w:abstractNumId="17">
    <w:nsid w:val="22221A70"/>
    <w:multiLevelType w:val="hybridMultilevel"/>
    <w:lvl w:ilvl="0">
      <w:lvlJc w:val="left"/>
      <w:lvlText w:val="(%1)"/>
      <w:numFmt w:val="lowerRoman"/>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2"/>
    </w:lvl>
  </w:abstractNum>
  <w:abstractNum w:abstractNumId="20">
    <w:nsid w:val="614FD4A1"/>
    <w:multiLevelType w:val="hybridMultilevel"/>
    <w:lvl w:ilvl="0">
      <w:lvlJc w:val="left"/>
      <w:lvlText w:val="(%1)"/>
      <w:numFmt w:val="lowerRoman"/>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Roman"/>
      <w:start w:val="2"/>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lowerRoman"/>
      <w:start w:val="1"/>
    </w:lvl>
    <w:lvl w:ilvl="1">
      <w:lvlJc w:val="left"/>
      <w:lvlText w:val="•"/>
      <w:numFmt w:val="bullet"/>
      <w:start w:val="1"/>
    </w:lvl>
  </w:abstractNum>
  <w:abstractNum w:abstractNumId="32">
    <w:nsid w:val="2D517796"/>
    <w:multiLevelType w:val="hybridMultilevel"/>
    <w:lvl w:ilvl="0">
      <w:lvlJc w:val="left"/>
      <w:lvlText w:val="(%1)"/>
      <w:numFmt w:val="lowerRoman"/>
      <w:start w:val="2"/>
    </w:lvl>
  </w:abstractNum>
  <w:abstractNum w:abstractNumId="33">
    <w:nsid w:val="580BD78F"/>
    <w:multiLevelType w:val="hybridMultilevel"/>
    <w:lvl w:ilvl="0">
      <w:lvlJc w:val="left"/>
      <w:lvlText w:val="(%1)"/>
      <w:numFmt w:val="lowerRoman"/>
      <w:start w:val="1"/>
    </w:lvl>
  </w:abstractNum>
  <w:abstractNum w:abstractNumId="34">
    <w:nsid w:val="153EA438"/>
    <w:multiLevelType w:val="hybridMultilevel"/>
    <w:lvl w:ilvl="0">
      <w:lvlJc w:val="left"/>
      <w:lvlText w:val="(%1)"/>
      <w:numFmt w:val="lowerRoman"/>
      <w:start w:val="1"/>
    </w:lvl>
    <w:lvl w:ilvl="1">
      <w:lvlJc w:val="left"/>
      <w:lvlText w:val="•"/>
      <w:numFmt w:val="bullet"/>
      <w:start w:val="1"/>
    </w:lvl>
  </w:abstractNum>
  <w:abstractNum w:abstractNumId="35">
    <w:nsid w:val="3855585C"/>
    <w:multiLevelType w:val="hybridMultilevel"/>
    <w:lvl w:ilvl="0">
      <w:lvlJc w:val="left"/>
      <w:lvlText w:val="(%1)"/>
      <w:numFmt w:val="lowerRoman"/>
      <w:start w:val="2"/>
    </w:lvl>
  </w:abstractNum>
  <w:abstractNum w:abstractNumId="36">
    <w:nsid w:val="70A64E2A"/>
    <w:multiLevelType w:val="hybridMultilevel"/>
    <w:lvl w:ilvl="0">
      <w:lvlJc w:val="left"/>
      <w:lvlText w:val="(%1)"/>
      <w:numFmt w:val="lowerRoman"/>
      <w:start w:val="1"/>
    </w:lvl>
  </w:abstractNum>
  <w:abstractNum w:abstractNumId="37">
    <w:nsid w:val="6A2342EC"/>
    <w:multiLevelType w:val="hybridMultilevel"/>
    <w:lvl w:ilvl="0">
      <w:lvlJc w:val="left"/>
      <w:lvlText w:val="(%1)"/>
      <w:numFmt w:val="lowerRoman"/>
      <w:start w:val="2"/>
    </w:lvl>
  </w:abstractNum>
  <w:abstractNum w:abstractNumId="38">
    <w:nsid w:val="2A487CB0"/>
    <w:multiLevelType w:val="hybridMultilevel"/>
    <w:lvl w:ilvl="0">
      <w:lvlJc w:val="left"/>
      <w:lvlText w:val="(%1)"/>
      <w:numFmt w:val="lowerRoman"/>
      <w:start w:val="1"/>
    </w:lvl>
  </w:abstractNum>
  <w:abstractNum w:abstractNumId="39">
    <w:nsid w:val="1D4ED43B"/>
    <w:multiLevelType w:val="hybridMultilevel"/>
    <w:lvl w:ilvl="0">
      <w:lvlJc w:val="left"/>
      <w:lvlText w:val="(%1)"/>
      <w:numFmt w:val="lowerRoman"/>
      <w:start w:val="1"/>
    </w:lvl>
  </w:abstractNum>
  <w:abstractNum w:abstractNumId="40">
    <w:nsid w:val="725A06FB"/>
    <w:multiLevelType w:val="hybridMultilevel"/>
    <w:lvl w:ilvl="0">
      <w:lvlJc w:val="left"/>
      <w:lvlText w:val="(%1)"/>
      <w:numFmt w:val="lowerRoman"/>
      <w:start w:val="15"/>
    </w:lvl>
  </w:abstractNum>
  <w:abstractNum w:abstractNumId="41">
    <w:nsid w:val="2CD89A32"/>
    <w:multiLevelType w:val="hybridMultilevel"/>
    <w:lvl w:ilvl="0">
      <w:lvlJc w:val="left"/>
      <w:lvlText w:val="(%1)"/>
      <w:numFmt w:val="lowerRoman"/>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jpe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jpe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53" Type="http://schemas.openxmlformats.org/officeDocument/2006/relationships/hyperlink" Target="http://www.sec.gov/ix?doc=/Archives/edgar/data/1467858/000146785822000034/gm-20211231.htm" TargetMode="External"/><Relationship Id="rId54" Type="http://schemas.openxmlformats.org/officeDocument/2006/relationships/hyperlink" Target="http://www.sec.gov/Archives/edgar/data/1467858/000119312522131642/d215687ddef14a.htm" TargetMode="External"/><Relationship Id="rId55" Type="http://schemas.openxmlformats.org/officeDocument/2006/relationships/hyperlink" Target="http://www.sec.gov/ix?doc=/Archives/edgar/data/1467858/000146785822000078/gm-20220331.htm" TargetMode="External"/><Relationship Id="rId56" Type="http://schemas.openxmlformats.org/officeDocument/2006/relationships/hyperlink" Target="http://www.sec.gov/ix?doc=/Archives/edgar/data/1467858/000146785822000094/gm-20220630.htm" TargetMode="External"/><Relationship Id="rId57" Type="http://schemas.openxmlformats.org/officeDocument/2006/relationships/hyperlink" Target="http://www.sec.gov/ix?doc=/Archives/edgar/data/1467858/000119312522079473/d333615d8k.htm" TargetMode="External"/><Relationship Id="rId58" Type="http://schemas.openxmlformats.org/officeDocument/2006/relationships/hyperlink" Target="http://www.sec.gov/ix?doc=/Archives/edgar/data/1467858/000119312522096284/d345200d8k.htm" TargetMode="External"/><Relationship Id="rId59" Type="http://schemas.openxmlformats.org/officeDocument/2006/relationships/hyperlink" Target="http://www.sec.gov/ix?doc=/Archives/edgar/data/1467858/000119312522133649/d357538d8k.htm" TargetMode="External"/><Relationship Id="rId60" Type="http://schemas.openxmlformats.org/officeDocument/2006/relationships/hyperlink" Target="http://www.sec.gov/ix?doc=/Archives/edgar/data/1467858/000119312522174774/d333832d8k.htm" TargetMode="External"/><Relationship Id="rId69" Type="http://schemas.openxmlformats.org/officeDocument/2006/relationships/hyperlink" Target="http://www.sec.gov/ix?doc=/Archives/edgar/data/1467858/000146785820000028/gm201910k.htm" TargetMode="External"/><Relationship Id="rId70" Type="http://schemas.openxmlformats.org/officeDocument/2006/relationships/hyperlink" Target="http://www.sec.gov/Archives/edgar/data/1467858/000146785820000028/ex-41xdescriptionofs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2022-07-28T08:08:35Z</dcterms:created>
  <dcterms:modified xsi:type="dcterms:W3CDTF">2022-07-28T08:08:35Z</dcterms:modified>
</cp:coreProperties>
</file>