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14,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January 14, 2015, General Motors Company issued a news release announcing 2014 global sales. The release and charts are attached as Exhibit 99.1.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73"/>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2014 Global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January 14, 2015</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020"/>
          </w:cols>
          <w:pgMar w:left="240" w:top="796"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January 15, 2015</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Wednesday, Jan. 14,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Delivers its Second Consecutive Year of Record Global Sales</w:t>
      </w:r>
    </w:p>
    <w:p>
      <w:pPr>
        <w:spacing w:after="0" w:line="70" w:lineRule="exact"/>
        <w:rPr>
          <w:sz w:val="20"/>
          <w:szCs w:val="20"/>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Record China sales and market share</w:t>
      </w:r>
    </w:p>
    <w:p>
      <w:pPr>
        <w:spacing w:after="0" w:line="15" w:lineRule="exact"/>
        <w:rPr>
          <w:rFonts w:ascii="Arial" w:cs="Arial" w:eastAsia="Arial" w:hAnsi="Arial"/>
          <w:sz w:val="18"/>
          <w:szCs w:val="18"/>
          <w:color w:val="auto"/>
        </w:rPr>
      </w:pP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20"/>
          <w:szCs w:val="20"/>
          <w:color w:val="auto"/>
        </w:rPr>
        <w:t>Global Cadillac sales up 5 percent</w:t>
      </w: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Record global Buick sales</w:t>
      </w:r>
    </w:p>
    <w:p>
      <w:pPr>
        <w:ind w:left="1620" w:hanging="315"/>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Opel/Vauxhall sales outpace the European industry</w:t>
      </w:r>
    </w:p>
    <w:p>
      <w:pPr>
        <w:spacing w:after="0" w:line="194"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is reporting its second consecutive year of record global sales. In 2014, the company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dealers delivered 9,924,880 vehicles around the world, surpassing by 2 percent the old record set in 2013.</w:t>
      </w:r>
    </w:p>
    <w:p>
      <w:pPr>
        <w:spacing w:after="0" w:line="170" w:lineRule="exact"/>
        <w:rPr>
          <w:sz w:val="20"/>
          <w:szCs w:val="20"/>
          <w:color w:val="auto"/>
        </w:rPr>
      </w:pPr>
    </w:p>
    <w:p>
      <w:pPr>
        <w:jc w:val="both"/>
        <w:ind w:right="260"/>
        <w:spacing w:after="0" w:line="269" w:lineRule="auto"/>
        <w:rPr>
          <w:sz w:val="20"/>
          <w:szCs w:val="20"/>
          <w:color w:val="auto"/>
        </w:rPr>
      </w:pPr>
      <w:r>
        <w:rPr>
          <w:rFonts w:ascii="Arial" w:cs="Arial" w:eastAsia="Arial" w:hAnsi="Arial"/>
          <w:sz w:val="19"/>
          <w:szCs w:val="19"/>
          <w:color w:val="auto"/>
        </w:rPr>
        <w:t>“GM is making solid progress and has good momentum. Our customer focus, the new cars, trucks and crossovers we launched in China and North America, technologies like OnStar with 4GLTE and the revitalization underway at Opel helped us achieve another record year, despite very challenging market conditions in different parts of the world,” said GM CEO Mary Barra.</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Among GM’s major launches are the new Opel Corsa, which arrives in European showrooms later this month and the Chevrolet Trax small crossover in the United States, which began arriving in showrooms in December 2014. In addition, GM is increasing U.S. production of the Chevrolet Colorado and GMC Canyon mid-size pickups, which launched late last year. Launches in China include three Chevrolets, two Buicks and two Cadillacs. OnStar is also expanding into Europe and launching 4GLTE service in China.</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Deliveries in North America rose 6 percent in 2014 to 3,412,714 units and the company’s estimated market share of 16.9 percent was equal to 2013.</w:t>
      </w:r>
    </w:p>
    <w:p>
      <w:pPr>
        <w:spacing w:after="0" w:line="17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redesigned full-size pickups and large SUVs introduced by Chevrolet and GMC starting in the second half of 2013, along with the Cadillac Escalade, were major contributors to the company’s success in North America. Dealers delivered almost 1 million units in the United States alone, up 11 percent year over year, which helped drive average transaction prices to a full-year record of nearly $33,900, up about $2,600 from 2013, according to J.D. Power PIN estimates.</w:t>
      </w:r>
    </w:p>
    <w:p>
      <w:pPr>
        <w:spacing w:after="0" w:line="192"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Deliveries in China rose 12 percent to a record 3,539,972 and the company’s estimated market share increased 0.6 percentage points to 14.8 percent. Chevrolet, Cadillac, Buick, Wuling and Baojun all set annual sales records.</w:t>
      </w:r>
    </w:p>
    <w:p>
      <w:pPr>
        <w:spacing w:after="0" w:line="190" w:lineRule="exact"/>
        <w:rPr>
          <w:sz w:val="20"/>
          <w:szCs w:val="20"/>
          <w:color w:val="auto"/>
        </w:rPr>
      </w:pPr>
    </w:p>
    <w:p>
      <w:pPr>
        <w:ind w:right="580"/>
        <w:spacing w:after="0" w:line="287" w:lineRule="auto"/>
        <w:rPr>
          <w:sz w:val="20"/>
          <w:szCs w:val="20"/>
          <w:color w:val="auto"/>
        </w:rPr>
      </w:pPr>
      <w:r>
        <w:rPr>
          <w:rFonts w:ascii="Arial" w:cs="Arial" w:eastAsia="Arial" w:hAnsi="Arial"/>
          <w:sz w:val="19"/>
          <w:szCs w:val="19"/>
          <w:color w:val="auto"/>
        </w:rPr>
        <w:t>GM and its joint ventures expanded their lineup with several new and refreshed models in China, including the Buick Envision premium midsize SUV, Chevrolet Trax and Sail 3 family car, Cadillac ATS-L luxury sport sedan and Baojun 730 family vehicle.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 Sales Highlights (vs. 2013)</w:t>
      </w:r>
    </w:p>
    <w:p>
      <w:pPr>
        <w:spacing w:after="0" w:line="22" w:lineRule="exact"/>
        <w:rPr>
          <w:sz w:val="20"/>
          <w:szCs w:val="20"/>
          <w:color w:val="auto"/>
        </w:rPr>
      </w:pPr>
    </w:p>
    <w:p>
      <w:pPr>
        <w:ind w:left="660" w:right="500" w:hanging="328"/>
        <w:spacing w:after="0" w:line="26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Chevrolet sales in China were up 10 percent to a record 717,007 units, sales in the United States were up 4 percent to more than 2 million units and the brand was the market leader in South America. Global sales were down 4 percent, reflecting Chevrolet’s repositioning in Europe and weak industry conditions in a number of the brand’s major markets.</w:t>
      </w:r>
    </w:p>
    <w:p>
      <w:pPr>
        <w:sectPr>
          <w:pgSz w:w="11900" w:h="16838" w:orient="portrait"/>
          <w:cols w:equalWidth="0" w:num="1">
            <w:col w:w="11420"/>
          </w:cols>
          <w:pgMar w:left="240" w:top="568"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Cadillac increased its sales 5 percent on the strength of a 47 percent increase in China, where sales reached a record 73,500 units.</w:t>
      </w:r>
    </w:p>
    <w:p>
      <w:pPr>
        <w:spacing w:after="0" w:line="38" w:lineRule="exact"/>
        <w:rPr>
          <w:rFonts w:ascii="Arial" w:cs="Arial" w:eastAsia="Arial" w:hAnsi="Arial"/>
          <w:sz w:val="16"/>
          <w:szCs w:val="16"/>
          <w:color w:val="auto"/>
        </w:rPr>
      </w:pPr>
    </w:p>
    <w:p>
      <w:pPr>
        <w:ind w:left="66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Buick delivered nearly 1.2 million vehicles, with sales in North America and China both up 13 percent. In the United States, the Buick Encore has become the industry’s best-selling small crossover. On a global basis, the Encore ended 2014 with sales of 138,218 units, up 42 percent.</w:t>
      </w:r>
    </w:p>
    <w:p>
      <w:pPr>
        <w:spacing w:after="0" w:line="1" w:lineRule="exact"/>
        <w:rPr>
          <w:rFonts w:ascii="Arial" w:cs="Arial" w:eastAsia="Arial" w:hAnsi="Arial"/>
          <w:sz w:val="18"/>
          <w:szCs w:val="18"/>
          <w:color w:val="auto"/>
        </w:rPr>
      </w:pPr>
    </w:p>
    <w:p>
      <w:pPr>
        <w:ind w:left="660" w:right="140" w:hanging="328"/>
        <w:spacing w:after="0" w:line="26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color w:val="auto"/>
        </w:rPr>
        <w:t>Opel/Vauxhall delivered almost 1.1 million vehicles in Europe in 2014, and had its highest sales and market share since 2011. Sales in the region were up 3.4 percent, which nearly doubled the industry’s 1.8 percent increase. Sales were up in 16 European countries.</w:t>
      </w:r>
    </w:p>
    <w:p>
      <w:pPr>
        <w:ind w:left="660" w:right="420" w:hanging="328"/>
        <w:spacing w:after="0" w:line="26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color w:val="auto"/>
        </w:rPr>
        <w:t>In the United States, Chevrolet and GMC increased their combined share of the retail market for large pickups by a full percentage point to 38.9 percent. The brands’ retail share in the large SUV segment was up 7.8 points to 74.7 percent.</w:t>
      </w:r>
    </w:p>
    <w:p>
      <w:pPr>
        <w:spacing w:after="0" w:line="172"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 xml:space="preserve">(NYSE:GM, TSX: GMM) and its partners produce vehicles in 30 countries, and the company has leadership positions in 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32"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582"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04"/>
        </w:trPr>
        <w:tc>
          <w:tcPr>
            <w:tcW w:w="2700" w:type="dxa"/>
            <w:vAlign w:val="bottom"/>
            <w:tcBorders>
              <w:top w:val="single" w:sz="8" w:color="auto"/>
              <w:left w:val="single" w:sz="8" w:color="auto"/>
              <w:right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 '14</w:t>
            </w:r>
          </w:p>
        </w:tc>
        <w:tc>
          <w:tcPr>
            <w:tcW w:w="1340" w:type="dxa"/>
            <w:vAlign w:val="bottom"/>
            <w:tcBorders>
              <w:top w:val="single" w:sz="8" w:color="auto"/>
              <w:bottom w:val="single" w:sz="8" w:color="auto"/>
              <w:right w:val="single" w:sz="8" w:color="auto"/>
            </w:tcBorders>
          </w:tcPr>
          <w:p>
            <w:pPr>
              <w:spacing w:after="0"/>
              <w:rPr>
                <w:sz w:val="24"/>
                <w:szCs w:val="24"/>
                <w:color w:val="auto"/>
              </w:rPr>
            </w:pPr>
          </w:p>
        </w:tc>
        <w:tc>
          <w:tcPr>
            <w:tcW w:w="3760" w:type="dxa"/>
            <w:vAlign w:val="bottom"/>
            <w:tcBorders>
              <w:top w:val="single" w:sz="8" w:color="auto"/>
              <w:bottom w:val="single" w:sz="8" w:color="auto"/>
              <w:right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w w:val="94"/>
              </w:rPr>
              <w:t>2014 Calendar Year-to-Date</w:t>
            </w:r>
          </w:p>
        </w:tc>
      </w:tr>
      <w:tr>
        <w:trPr>
          <w:trHeight w:val="277"/>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Region</w:t>
            </w: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Sales</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 Change</w:t>
            </w:r>
          </w:p>
        </w:tc>
        <w:tc>
          <w:tcPr>
            <w:tcW w:w="13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Pct Change</w:t>
            </w: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Total Sales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YOY Change</w:t>
            </w:r>
          </w:p>
        </w:tc>
        <w:tc>
          <w:tcPr>
            <w:tcW w:w="1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Pct Change</w:t>
            </w:r>
          </w:p>
        </w:tc>
      </w:tr>
      <w:tr>
        <w:trPr>
          <w:trHeight w:val="257"/>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GM North America</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853,629</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69,298</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8.8%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3,412,714</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178,938</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5.5%</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GM Europe</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297,813</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(37,796)</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8"/>
              </w:rPr>
              <w:t>(11.3)%</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1,256,109</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(137,334)</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8"/>
              </w:rPr>
              <w:t>(9.9)%</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GM South America</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235,841</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(31,553)</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8"/>
              </w:rPr>
              <w:t>(11.8)%</w:t>
            </w:r>
          </w:p>
        </w:tc>
        <w:tc>
          <w:tcPr>
            <w:tcW w:w="1200" w:type="dxa"/>
            <w:vAlign w:val="bottom"/>
          </w:tcPr>
          <w:p>
            <w:pPr>
              <w:jc w:val="center"/>
              <w:spacing w:after="0"/>
              <w:rPr>
                <w:sz w:val="20"/>
                <w:szCs w:val="20"/>
                <w:color w:val="auto"/>
              </w:rPr>
            </w:pPr>
            <w:r>
              <w:rPr>
                <w:rFonts w:ascii="Arial" w:cs="Arial" w:eastAsia="Arial" w:hAnsi="Arial"/>
                <w:sz w:val="18"/>
                <w:szCs w:val="18"/>
                <w:color w:val="auto"/>
              </w:rPr>
              <w:t>878,075</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(159,041)</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(15.3)%</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GM International</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206,630</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(29,963)</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8"/>
              </w:rPr>
              <w:t>(12.7)%</w:t>
            </w:r>
          </w:p>
        </w:tc>
        <w:tc>
          <w:tcPr>
            <w:tcW w:w="1200" w:type="dxa"/>
            <w:vAlign w:val="bottom"/>
          </w:tcPr>
          <w:p>
            <w:pPr>
              <w:jc w:val="center"/>
              <w:spacing w:after="0"/>
              <w:rPr>
                <w:sz w:val="20"/>
                <w:szCs w:val="20"/>
                <w:color w:val="auto"/>
              </w:rPr>
            </w:pPr>
            <w:r>
              <w:rPr>
                <w:rFonts w:ascii="Arial" w:cs="Arial" w:eastAsia="Arial" w:hAnsi="Arial"/>
                <w:sz w:val="18"/>
                <w:szCs w:val="18"/>
                <w:color w:val="auto"/>
              </w:rPr>
              <w:t>838,010</w:t>
            </w:r>
          </w:p>
        </w:tc>
        <w:tc>
          <w:tcPr>
            <w:tcW w:w="1240" w:type="dxa"/>
            <w:vAlign w:val="bottom"/>
          </w:tcPr>
          <w:p>
            <w:pPr>
              <w:jc w:val="center"/>
              <w:spacing w:after="0"/>
              <w:rPr>
                <w:sz w:val="20"/>
                <w:szCs w:val="20"/>
                <w:color w:val="auto"/>
              </w:rPr>
            </w:pPr>
            <w:r>
              <w:rPr>
                <w:rFonts w:ascii="Arial" w:cs="Arial" w:eastAsia="Arial" w:hAnsi="Arial"/>
                <w:sz w:val="18"/>
                <w:szCs w:val="18"/>
                <w:color w:val="auto"/>
              </w:rPr>
              <w:t>(59,746)</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8"/>
              </w:rPr>
              <w:t>(6.7)%</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GM China</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958,840</w:t>
            </w:r>
          </w:p>
        </w:tc>
        <w:tc>
          <w:tcPr>
            <w:tcW w:w="1260" w:type="dxa"/>
            <w:vAlign w:val="bottom"/>
          </w:tcPr>
          <w:p>
            <w:pPr>
              <w:jc w:val="center"/>
              <w:spacing w:after="0"/>
              <w:rPr>
                <w:sz w:val="20"/>
                <w:szCs w:val="20"/>
                <w:color w:val="auto"/>
              </w:rPr>
            </w:pPr>
            <w:r>
              <w:rPr>
                <w:rFonts w:ascii="Arial" w:cs="Arial" w:eastAsia="Arial" w:hAnsi="Arial"/>
                <w:sz w:val="18"/>
                <w:szCs w:val="18"/>
                <w:color w:val="auto"/>
              </w:rPr>
              <w:t>110,881</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13.1%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3,539,972</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379,595</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9"/>
              </w:rPr>
              <w:t>12%</w:t>
            </w:r>
          </w:p>
        </w:tc>
      </w:tr>
      <w:tr>
        <w:trPr>
          <w:trHeight w:val="291"/>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2,552,753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80,867</w:t>
            </w:r>
          </w:p>
        </w:tc>
        <w:tc>
          <w:tcPr>
            <w:tcW w:w="134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8"/>
                <w:szCs w:val="18"/>
                <w:color w:val="auto"/>
              </w:rPr>
              <w:t>3.3%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9,924,880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202,412</w:t>
            </w:r>
          </w:p>
        </w:tc>
        <w:tc>
          <w:tcPr>
            <w:tcW w:w="132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2.1%</w:t>
            </w:r>
          </w:p>
        </w:tc>
      </w:tr>
      <w:tr>
        <w:trPr>
          <w:trHeight w:val="277"/>
        </w:trPr>
        <w:tc>
          <w:tcPr>
            <w:tcW w:w="2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7"/>
        </w:trPr>
        <w:tc>
          <w:tcPr>
            <w:tcW w:w="2700" w:type="dxa"/>
            <w:vAlign w:val="bottom"/>
            <w:tcBorders>
              <w:left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 '14</w:t>
            </w:r>
          </w:p>
        </w:tc>
        <w:tc>
          <w:tcPr>
            <w:tcW w:w="13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w w:val="94"/>
              </w:rPr>
              <w:t>2014 Calendar Year-to-Date</w:t>
            </w:r>
          </w:p>
        </w:tc>
      </w:tr>
      <w:tr>
        <w:trPr>
          <w:trHeight w:val="277"/>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Top Five Markets</w:t>
            </w: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Sales</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 Change</w:t>
            </w:r>
          </w:p>
        </w:tc>
        <w:tc>
          <w:tcPr>
            <w:tcW w:w="13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Pct Change</w:t>
            </w: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Total Sales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YOY Change</w:t>
            </w:r>
          </w:p>
        </w:tc>
        <w:tc>
          <w:tcPr>
            <w:tcW w:w="1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Pct Change</w:t>
            </w:r>
          </w:p>
        </w:tc>
      </w:tr>
      <w:tr>
        <w:trPr>
          <w:trHeight w:val="257"/>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China</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958,840</w:t>
            </w:r>
          </w:p>
        </w:tc>
        <w:tc>
          <w:tcPr>
            <w:tcW w:w="1260" w:type="dxa"/>
            <w:vAlign w:val="bottom"/>
          </w:tcPr>
          <w:p>
            <w:pPr>
              <w:jc w:val="center"/>
              <w:spacing w:after="0"/>
              <w:rPr>
                <w:sz w:val="20"/>
                <w:szCs w:val="20"/>
                <w:color w:val="auto"/>
              </w:rPr>
            </w:pPr>
            <w:r>
              <w:rPr>
                <w:rFonts w:ascii="Arial" w:cs="Arial" w:eastAsia="Arial" w:hAnsi="Arial"/>
                <w:sz w:val="18"/>
                <w:szCs w:val="18"/>
                <w:color w:val="auto"/>
              </w:rPr>
              <w:t>110,881</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13.1%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3,539,972</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379,595</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9"/>
              </w:rPr>
              <w:t>12%</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United States</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727,120</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58,501</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8.7%</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2,935,008</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148,930</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5.3%</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Brazil</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160,854</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(12,671)</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(7.3)%</w:t>
            </w:r>
          </w:p>
        </w:tc>
        <w:tc>
          <w:tcPr>
            <w:tcW w:w="1200" w:type="dxa"/>
            <w:vAlign w:val="bottom"/>
          </w:tcPr>
          <w:p>
            <w:pPr>
              <w:jc w:val="center"/>
              <w:spacing w:after="0"/>
              <w:rPr>
                <w:sz w:val="20"/>
                <w:szCs w:val="20"/>
                <w:color w:val="auto"/>
              </w:rPr>
            </w:pPr>
            <w:r>
              <w:rPr>
                <w:rFonts w:ascii="Arial" w:cs="Arial" w:eastAsia="Arial" w:hAnsi="Arial"/>
                <w:sz w:val="18"/>
                <w:szCs w:val="18"/>
                <w:color w:val="auto"/>
              </w:rPr>
              <w:t>578,875</w:t>
            </w:r>
          </w:p>
        </w:tc>
        <w:tc>
          <w:tcPr>
            <w:tcW w:w="1240" w:type="dxa"/>
            <w:vAlign w:val="bottom"/>
          </w:tcPr>
          <w:p>
            <w:pPr>
              <w:jc w:val="center"/>
              <w:spacing w:after="0"/>
              <w:rPr>
                <w:sz w:val="20"/>
                <w:szCs w:val="20"/>
                <w:color w:val="auto"/>
              </w:rPr>
            </w:pPr>
            <w:r>
              <w:rPr>
                <w:rFonts w:ascii="Arial" w:cs="Arial" w:eastAsia="Arial" w:hAnsi="Arial"/>
                <w:sz w:val="18"/>
                <w:szCs w:val="18"/>
                <w:color w:val="auto"/>
              </w:rPr>
              <w:t>(70,974)</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(10.9)%</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United Kingdom</w:t>
            </w:r>
          </w:p>
        </w:tc>
        <w:tc>
          <w:tcPr>
            <w:tcW w:w="1200" w:type="dxa"/>
            <w:vAlign w:val="bottom"/>
          </w:tcPr>
          <w:p>
            <w:pPr>
              <w:jc w:val="center"/>
              <w:spacing w:after="0"/>
              <w:rPr>
                <w:sz w:val="20"/>
                <w:szCs w:val="20"/>
                <w:color w:val="auto"/>
              </w:rPr>
            </w:pPr>
            <w:r>
              <w:rPr>
                <w:rFonts w:ascii="Arial" w:cs="Arial" w:eastAsia="Arial" w:hAnsi="Arial"/>
                <w:sz w:val="18"/>
                <w:szCs w:val="18"/>
                <w:color w:val="auto"/>
              </w:rPr>
              <w:t>68,976</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421</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0.6%</w:t>
            </w:r>
          </w:p>
        </w:tc>
        <w:tc>
          <w:tcPr>
            <w:tcW w:w="1200" w:type="dxa"/>
            <w:vAlign w:val="bottom"/>
          </w:tcPr>
          <w:p>
            <w:pPr>
              <w:jc w:val="center"/>
              <w:spacing w:after="0"/>
              <w:rPr>
                <w:sz w:val="20"/>
                <w:szCs w:val="20"/>
                <w:color w:val="auto"/>
              </w:rPr>
            </w:pPr>
            <w:r>
              <w:rPr>
                <w:rFonts w:ascii="Arial" w:cs="Arial" w:eastAsia="Arial" w:hAnsi="Arial"/>
                <w:sz w:val="18"/>
                <w:szCs w:val="18"/>
                <w:color w:val="auto"/>
              </w:rPr>
              <w:t>304,696</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3,741</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1.2%</w:t>
            </w:r>
          </w:p>
        </w:tc>
      </w:tr>
      <w:tr>
        <w:trPr>
          <w:trHeight w:val="291"/>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Canada</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60,513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5,492</w:t>
            </w:r>
          </w:p>
        </w:tc>
        <w:tc>
          <w:tcPr>
            <w:tcW w:w="1340" w:type="dxa"/>
            <w:vAlign w:val="bottom"/>
            <w:tcBorders>
              <w:bottom w:val="single" w:sz="8" w:color="auto"/>
              <w:right w:val="single" w:sz="8" w:color="auto"/>
            </w:tcBorders>
          </w:tcPr>
          <w:p>
            <w:pPr>
              <w:jc w:val="center"/>
              <w:ind w:right="93"/>
              <w:spacing w:after="0"/>
              <w:rPr>
                <w:sz w:val="20"/>
                <w:szCs w:val="20"/>
                <w:color w:val="auto"/>
              </w:rPr>
            </w:pPr>
            <w:r>
              <w:rPr>
                <w:rFonts w:ascii="Arial" w:cs="Arial" w:eastAsia="Arial" w:hAnsi="Arial"/>
                <w:sz w:val="18"/>
                <w:szCs w:val="18"/>
                <w:color w:val="auto"/>
                <w:w w:val="99"/>
              </w:rPr>
              <w:t>10%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249,800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14,856</w:t>
            </w:r>
          </w:p>
        </w:tc>
        <w:tc>
          <w:tcPr>
            <w:tcW w:w="132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6.3%</w:t>
            </w:r>
          </w:p>
        </w:tc>
      </w:tr>
      <w:tr>
        <w:trPr>
          <w:trHeight w:val="277"/>
        </w:trPr>
        <w:tc>
          <w:tcPr>
            <w:tcW w:w="2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7"/>
        </w:trPr>
        <w:tc>
          <w:tcPr>
            <w:tcW w:w="2700" w:type="dxa"/>
            <w:vAlign w:val="bottom"/>
            <w:tcBorders>
              <w:left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Q4 '14</w:t>
            </w:r>
          </w:p>
        </w:tc>
        <w:tc>
          <w:tcPr>
            <w:tcW w:w="1340" w:type="dxa"/>
            <w:vAlign w:val="bottom"/>
            <w:tcBorders>
              <w:bottom w:val="single" w:sz="8" w:color="auto"/>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gridSpan w:val="3"/>
          </w:tcPr>
          <w:p>
            <w:pPr>
              <w:jc w:val="center"/>
              <w:ind w:right="73"/>
              <w:spacing w:after="0"/>
              <w:rPr>
                <w:sz w:val="20"/>
                <w:szCs w:val="20"/>
                <w:color w:val="auto"/>
              </w:rPr>
            </w:pPr>
            <w:r>
              <w:rPr>
                <w:rFonts w:ascii="Arial" w:cs="Arial" w:eastAsia="Arial" w:hAnsi="Arial"/>
                <w:sz w:val="14"/>
                <w:szCs w:val="14"/>
                <w:b w:val="1"/>
                <w:bCs w:val="1"/>
                <w:color w:val="auto"/>
                <w:w w:val="94"/>
              </w:rPr>
              <w:t>2014 Calendar Year-to-Date</w:t>
            </w:r>
          </w:p>
        </w:tc>
      </w:tr>
      <w:tr>
        <w:trPr>
          <w:trHeight w:val="277"/>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Sales by Brand</w:t>
            </w: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Total Sales</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YOY Change</w:t>
            </w:r>
          </w:p>
        </w:tc>
        <w:tc>
          <w:tcPr>
            <w:tcW w:w="13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Pct Change</w:t>
            </w: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Total Sales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YOY Change</w:t>
            </w:r>
          </w:p>
        </w:tc>
        <w:tc>
          <w:tcPr>
            <w:tcW w:w="13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Pct Change</w:t>
            </w:r>
          </w:p>
        </w:tc>
      </w:tr>
      <w:tr>
        <w:trPr>
          <w:trHeight w:val="257"/>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Chevrolet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1,227,557</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(17,196)</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(1.4)%</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4,787,340</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(204,415)</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8"/>
              </w:rPr>
              <w:t>(4.1)%</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Opel/Vauxhall</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263,216</w:t>
            </w:r>
          </w:p>
        </w:tc>
        <w:tc>
          <w:tcPr>
            <w:tcW w:w="1260" w:type="dxa"/>
            <w:vAlign w:val="bottom"/>
          </w:tcPr>
          <w:p>
            <w:pPr>
              <w:jc w:val="center"/>
              <w:spacing w:after="0"/>
              <w:rPr>
                <w:sz w:val="20"/>
                <w:szCs w:val="20"/>
                <w:color w:val="auto"/>
              </w:rPr>
            </w:pPr>
            <w:r>
              <w:rPr>
                <w:rFonts w:ascii="Arial" w:cs="Arial" w:eastAsia="Arial" w:hAnsi="Arial"/>
                <w:sz w:val="18"/>
                <w:szCs w:val="18"/>
                <w:color w:val="auto"/>
              </w:rPr>
              <w:t>7,063</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2.8%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1,095,409</w:t>
            </w:r>
          </w:p>
        </w:tc>
        <w:tc>
          <w:tcPr>
            <w:tcW w:w="1240" w:type="dxa"/>
            <w:vAlign w:val="bottom"/>
          </w:tcPr>
          <w:p>
            <w:pPr>
              <w:jc w:val="center"/>
              <w:spacing w:after="0"/>
              <w:rPr>
                <w:sz w:val="20"/>
                <w:szCs w:val="20"/>
                <w:color w:val="auto"/>
              </w:rPr>
            </w:pPr>
            <w:r>
              <w:rPr>
                <w:rFonts w:ascii="Arial" w:cs="Arial" w:eastAsia="Arial" w:hAnsi="Arial"/>
                <w:sz w:val="18"/>
                <w:szCs w:val="18"/>
                <w:color w:val="auto"/>
              </w:rPr>
              <w:t>31,507</w:t>
            </w:r>
          </w:p>
        </w:tc>
        <w:tc>
          <w:tcPr>
            <w:tcW w:w="1320" w:type="dxa"/>
            <w:vAlign w:val="bottom"/>
            <w:tcBorders>
              <w:right w:val="single" w:sz="8" w:color="auto"/>
            </w:tcBorders>
          </w:tcPr>
          <w:p>
            <w:pPr>
              <w:jc w:val="center"/>
              <w:ind w:right="93"/>
              <w:spacing w:after="0"/>
              <w:rPr>
                <w:sz w:val="20"/>
                <w:szCs w:val="20"/>
                <w:color w:val="auto"/>
              </w:rPr>
            </w:pPr>
            <w:r>
              <w:rPr>
                <w:rFonts w:ascii="Arial" w:cs="Arial" w:eastAsia="Arial" w:hAnsi="Arial"/>
                <w:sz w:val="18"/>
                <w:szCs w:val="18"/>
                <w:color w:val="auto"/>
                <w:w w:val="99"/>
              </w:rPr>
              <w:t>3%</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Buick</w:t>
            </w: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312,043</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56,207</w:t>
            </w:r>
          </w:p>
        </w:tc>
        <w:tc>
          <w:tcPr>
            <w:tcW w:w="1340" w:type="dxa"/>
            <w:vAlign w:val="bottom"/>
            <w:tcBorders>
              <w:right w:val="single" w:sz="8" w:color="auto"/>
            </w:tcBorders>
          </w:tcPr>
          <w:p>
            <w:pPr>
              <w:jc w:val="center"/>
              <w:ind w:right="93"/>
              <w:spacing w:after="0"/>
              <w:rPr>
                <w:sz w:val="20"/>
                <w:szCs w:val="20"/>
                <w:color w:val="auto"/>
              </w:rPr>
            </w:pPr>
            <w:r>
              <w:rPr>
                <w:rFonts w:ascii="Arial" w:cs="Arial" w:eastAsia="Arial" w:hAnsi="Arial"/>
                <w:sz w:val="18"/>
                <w:szCs w:val="18"/>
                <w:color w:val="auto"/>
                <w:w w:val="99"/>
              </w:rPr>
              <w:t>22%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1,170,089</w:t>
            </w:r>
          </w:p>
        </w:tc>
        <w:tc>
          <w:tcPr>
            <w:tcW w:w="1240" w:type="dxa"/>
            <w:vAlign w:val="bottom"/>
          </w:tcPr>
          <w:p>
            <w:pPr>
              <w:jc w:val="center"/>
              <w:spacing w:after="0"/>
              <w:rPr>
                <w:sz w:val="20"/>
                <w:szCs w:val="20"/>
                <w:color w:val="auto"/>
              </w:rPr>
            </w:pPr>
            <w:r>
              <w:rPr>
                <w:rFonts w:ascii="Arial" w:cs="Arial" w:eastAsia="Arial" w:hAnsi="Arial"/>
                <w:sz w:val="18"/>
                <w:szCs w:val="18"/>
                <w:color w:val="auto"/>
                <w:w w:val="98"/>
              </w:rPr>
              <w:t>137,747</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13.3%</w:t>
            </w:r>
          </w:p>
        </w:tc>
      </w:tr>
      <w:tr>
        <w:trPr>
          <w:trHeight w:val="270"/>
        </w:trPr>
        <w:tc>
          <w:tcPr>
            <w:tcW w:w="27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Cadillac</w:t>
            </w:r>
          </w:p>
        </w:tc>
        <w:tc>
          <w:tcPr>
            <w:tcW w:w="1200" w:type="dxa"/>
            <w:vAlign w:val="bottom"/>
          </w:tcPr>
          <w:p>
            <w:pPr>
              <w:jc w:val="center"/>
              <w:spacing w:after="0"/>
              <w:rPr>
                <w:sz w:val="20"/>
                <w:szCs w:val="20"/>
                <w:color w:val="auto"/>
              </w:rPr>
            </w:pPr>
            <w:r>
              <w:rPr>
                <w:rFonts w:ascii="Arial" w:cs="Arial" w:eastAsia="Arial" w:hAnsi="Arial"/>
                <w:sz w:val="18"/>
                <w:szCs w:val="18"/>
                <w:color w:val="auto"/>
              </w:rPr>
              <w:t>69,202</w:t>
            </w:r>
          </w:p>
        </w:tc>
        <w:tc>
          <w:tcPr>
            <w:tcW w:w="1260" w:type="dxa"/>
            <w:vAlign w:val="bottom"/>
          </w:tcPr>
          <w:p>
            <w:pPr>
              <w:jc w:val="center"/>
              <w:spacing w:after="0"/>
              <w:rPr>
                <w:sz w:val="20"/>
                <w:szCs w:val="20"/>
                <w:color w:val="auto"/>
              </w:rPr>
            </w:pPr>
            <w:r>
              <w:rPr>
                <w:rFonts w:ascii="Arial" w:cs="Arial" w:eastAsia="Arial" w:hAnsi="Arial"/>
                <w:sz w:val="18"/>
                <w:szCs w:val="18"/>
                <w:color w:val="auto"/>
              </w:rPr>
              <w:t>(2,723)</w:t>
            </w:r>
          </w:p>
        </w:tc>
        <w:tc>
          <w:tcPr>
            <w:tcW w:w="134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rPr>
              <w:t>(3.8)%</w:t>
            </w:r>
          </w:p>
        </w:tc>
        <w:tc>
          <w:tcPr>
            <w:tcW w:w="1200" w:type="dxa"/>
            <w:vAlign w:val="bottom"/>
          </w:tcPr>
          <w:p>
            <w:pPr>
              <w:jc w:val="center"/>
              <w:spacing w:after="0"/>
              <w:rPr>
                <w:sz w:val="20"/>
                <w:szCs w:val="20"/>
                <w:color w:val="auto"/>
              </w:rPr>
            </w:pPr>
            <w:r>
              <w:rPr>
                <w:rFonts w:ascii="Arial" w:cs="Arial" w:eastAsia="Arial" w:hAnsi="Arial"/>
                <w:sz w:val="18"/>
                <w:szCs w:val="18"/>
                <w:color w:val="auto"/>
              </w:rPr>
              <w:t>263,782</w:t>
            </w:r>
          </w:p>
        </w:tc>
        <w:tc>
          <w:tcPr>
            <w:tcW w:w="1240" w:type="dxa"/>
            <w:vAlign w:val="bottom"/>
          </w:tcPr>
          <w:p>
            <w:pPr>
              <w:jc w:val="center"/>
              <w:spacing w:after="0"/>
              <w:rPr>
                <w:sz w:val="20"/>
                <w:szCs w:val="20"/>
                <w:color w:val="auto"/>
              </w:rPr>
            </w:pPr>
            <w:r>
              <w:rPr>
                <w:rFonts w:ascii="Arial" w:cs="Arial" w:eastAsia="Arial" w:hAnsi="Arial"/>
                <w:sz w:val="18"/>
                <w:szCs w:val="18"/>
                <w:color w:val="auto"/>
              </w:rPr>
              <w:t>12,985</w:t>
            </w:r>
          </w:p>
        </w:tc>
        <w:tc>
          <w:tcPr>
            <w:tcW w:w="1320" w:type="dxa"/>
            <w:vAlign w:val="bottom"/>
            <w:tcBorders>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5.2%</w:t>
            </w:r>
          </w:p>
        </w:tc>
      </w:tr>
      <w:tr>
        <w:trPr>
          <w:trHeight w:val="291"/>
        </w:trPr>
        <w:tc>
          <w:tcPr>
            <w:tcW w:w="27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All Others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680,735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37,516</w:t>
            </w:r>
          </w:p>
        </w:tc>
        <w:tc>
          <w:tcPr>
            <w:tcW w:w="134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8"/>
                <w:szCs w:val="18"/>
                <w:color w:val="auto"/>
              </w:rPr>
              <w:t>5.8%</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2,608,260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224,588</w:t>
            </w:r>
          </w:p>
        </w:tc>
        <w:tc>
          <w:tcPr>
            <w:tcW w:w="132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8"/>
                <w:szCs w:val="18"/>
                <w:color w:val="auto"/>
                <w:w w:val="97"/>
              </w:rPr>
              <w:t>9.4%</w:t>
            </w:r>
          </w:p>
        </w:tc>
      </w:tr>
    </w:tbl>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85" w:lineRule="exact"/>
        <w:rPr>
          <w:sz w:val="20"/>
          <w:szCs w:val="20"/>
          <w:color w:val="auto"/>
        </w:rPr>
      </w:pPr>
    </w:p>
    <w:p>
      <w:pPr>
        <w:ind w:left="40" w:right="3180"/>
        <w:spacing w:after="0" w:line="313" w:lineRule="auto"/>
        <w:rPr>
          <w:sz w:val="20"/>
          <w:szCs w:val="20"/>
          <w:color w:val="auto"/>
        </w:rPr>
      </w:pPr>
      <w:r>
        <w:rPr>
          <w:rFonts w:ascii="Arial" w:cs="Arial" w:eastAsia="Arial" w:hAnsi="Arial"/>
          <w:sz w:val="18"/>
          <w:szCs w:val="18"/>
          <w:color w:val="auto"/>
        </w:rPr>
        <w:t>GM North America = United States, Canada, Mexico, and other North American markets GM Europe = Western, Central and Eastern Europe</w:t>
      </w:r>
    </w:p>
    <w:p>
      <w:pPr>
        <w:ind w:left="40"/>
        <w:spacing w:after="0"/>
        <w:rPr>
          <w:sz w:val="20"/>
          <w:szCs w:val="20"/>
          <w:color w:val="auto"/>
        </w:rPr>
      </w:pPr>
      <w:r>
        <w:rPr>
          <w:rFonts w:ascii="Arial" w:cs="Arial" w:eastAsia="Arial" w:hAnsi="Arial"/>
          <w:sz w:val="18"/>
          <w:szCs w:val="18"/>
          <w:color w:val="auto"/>
        </w:rPr>
        <w:t>GM International = Asia-Pacific, Africa and the Middle East*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 China = China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*Cuba, Iran, North Korea, Syria and Sudan are excluded from sales volume calculations.</w:t>
      </w:r>
    </w:p>
    <w:sectPr>
      <w:pgSz w:w="11900" w:h="16838" w:orient="portrait"/>
      <w:cols w:equalWidth="0" w:num="1">
        <w:col w:w="10260"/>
      </w:cols>
      <w:pgMar w:left="820" w:top="71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2019-12-08T22:46:00Z</dcterms:created>
  <dcterms:modified xsi:type="dcterms:W3CDTF">2019-12-08T22:46:00Z</dcterms:modified>
</cp:coreProperties>
</file>