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Ammann Daniel</w:t>
              </w:r>
            </w:hyperlink>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340" w:type="dxa"/>
            <w:vAlign w:val="bottom"/>
          </w:tcPr>
          <w:p>
            <w:pPr>
              <w:spacing w:after="0"/>
              <w:rPr>
                <w:sz w:val="2"/>
                <w:szCs w:val="2"/>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bottom w:val="single" w:sz="8" w:color="0000EE"/>
            </w:tcBorders>
            <w:gridSpan w:val="3"/>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tcPr>
          <w:p>
            <w:pPr>
              <w:spacing w:after="0"/>
              <w:rPr>
                <w:sz w:val="4"/>
                <w:szCs w:val="4"/>
                <w:color w:val="auto"/>
              </w:rPr>
            </w:pPr>
          </w:p>
        </w:tc>
        <w:tc>
          <w:tcPr>
            <w:tcW w:w="6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340" w:type="dxa"/>
            <w:vAlign w:val="bottom"/>
          </w:tcPr>
          <w:p>
            <w:pPr>
              <w:spacing w:after="0"/>
              <w:rPr>
                <w:sz w:val="12"/>
                <w:szCs w:val="12"/>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6"/>
                <w:szCs w:val="6"/>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60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vMerge w:val="restart"/>
          </w:tcPr>
          <w:p>
            <w:pPr>
              <w:ind w:left="22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continue"/>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7"/>
            <w:vMerge w:val="continue"/>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gridSpan w:val="2"/>
            <w:vMerge w:val="restart"/>
          </w:tcPr>
          <w:p>
            <w:pPr>
              <w:ind w:left="320"/>
              <w:spacing w:after="0"/>
              <w:rPr>
                <w:sz w:val="20"/>
                <w:szCs w:val="20"/>
                <w:color w:val="auto"/>
              </w:rPr>
            </w:pPr>
            <w:r>
              <w:rPr>
                <w:rFonts w:ascii="Arial" w:cs="Arial" w:eastAsia="Arial" w:hAnsi="Arial"/>
                <w:sz w:val="18"/>
                <w:szCs w:val="18"/>
                <w:color w:val="0000FF"/>
                <w:w w:val="81"/>
              </w:rPr>
              <w:t>President</w:t>
            </w: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640" w:type="dxa"/>
            <w:vAlign w:val="bottom"/>
            <w:gridSpan w:val="6"/>
          </w:tcPr>
          <w:p>
            <w:pPr>
              <w:ind w:left="240"/>
              <w:spacing w:after="0"/>
              <w:rPr>
                <w:sz w:val="20"/>
                <w:szCs w:val="20"/>
                <w:color w:val="auto"/>
              </w:rPr>
            </w:pPr>
            <w:r>
              <w:rPr>
                <w:rFonts w:ascii="Arial" w:cs="Arial" w:eastAsia="Arial" w:hAnsi="Arial"/>
                <w:sz w:val="18"/>
                <w:szCs w:val="18"/>
                <w:color w:val="0000FF"/>
              </w:rPr>
              <w:t>09/30/2015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4"/>
          </w:tcPr>
          <w:p>
            <w:pPr>
              <w:spacing w:after="0" w:line="198" w:lineRule="exact"/>
              <w:rPr>
                <w:sz w:val="20"/>
                <w:szCs w:val="20"/>
                <w:color w:val="auto"/>
              </w:rPr>
            </w:pPr>
            <w:r>
              <w:rPr>
                <w:rFonts w:ascii="Arial" w:cs="Arial" w:eastAsia="Arial" w:hAnsi="Arial"/>
                <w:sz w:val="18"/>
                <w:szCs w:val="18"/>
                <w:color w:val="0000FF"/>
                <w:w w:val="98"/>
              </w:rPr>
              <w:t>M/C: 482-C25-A36</w:t>
            </w: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40" w:type="dxa"/>
            <w:vAlign w:val="bottom"/>
            <w:gridSpan w:val="8"/>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5"/>
                <w:szCs w:val="15"/>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7"/>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21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5"/>
          </w:tcPr>
          <w:p>
            <w:pPr>
              <w:jc w:val="center"/>
              <w:ind w:left="50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2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40"/>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6,545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gridSpan w:val="2"/>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175,122</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20"/>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2,891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172,231</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40"/>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3,654</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168,577</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40"/>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9,457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gridSpan w:val="2"/>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178,034</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20"/>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4,178</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173,856</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40"/>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5,279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168,577</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7"/>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5"/>
          </w:tcPr>
          <w:p>
            <w:pPr>
              <w:jc w:val="center"/>
              <w:ind w:left="34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jc w:val="right"/>
              <w:ind w:right="388"/>
              <w:spacing w:after="0"/>
              <w:rPr>
                <w:sz w:val="20"/>
                <w:szCs w:val="20"/>
                <w:color w:val="auto"/>
              </w:rPr>
            </w:pPr>
            <w:r>
              <w:rPr>
                <w:rFonts w:ascii="Arial" w:cs="Arial" w:eastAsia="Arial" w:hAnsi="Arial"/>
                <w:sz w:val="12"/>
                <w:szCs w:val="12"/>
                <w:b w:val="1"/>
                <w:bCs w:val="1"/>
                <w:color w:val="auto"/>
                <w:w w:val="95"/>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6,545</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09/30/2015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6,545</w:t>
            </w:r>
          </w:p>
        </w:tc>
        <w:tc>
          <w:tcPr>
            <w:tcW w:w="840" w:type="dxa"/>
            <w:vAlign w:val="bottom"/>
            <w:gridSpan w:val="3"/>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6,545</w:t>
            </w:r>
          </w:p>
        </w:tc>
        <w:tc>
          <w:tcPr>
            <w:tcW w:w="340" w:type="dxa"/>
            <w:vAlign w:val="bottom"/>
          </w:tcPr>
          <w:p>
            <w:pPr>
              <w:spacing w:after="0"/>
              <w:rPr>
                <w:sz w:val="7"/>
                <w:szCs w:val="7"/>
                <w:color w:val="auto"/>
              </w:rPr>
            </w:pPr>
          </w:p>
        </w:tc>
        <w:tc>
          <w:tcPr>
            <w:tcW w:w="640" w:type="dxa"/>
            <w:vAlign w:val="bottom"/>
            <w:vMerge w:val="restart"/>
          </w:tcPr>
          <w:p>
            <w:pPr>
              <w:ind w:left="28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9,457</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09/30/2015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9,457</w:t>
            </w:r>
          </w:p>
        </w:tc>
        <w:tc>
          <w:tcPr>
            <w:tcW w:w="840" w:type="dxa"/>
            <w:vAlign w:val="bottom"/>
            <w:gridSpan w:val="3"/>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right"/>
              <w:ind w:right="116"/>
              <w:spacing w:after="0" w:line="146" w:lineRule="exact"/>
              <w:rPr>
                <w:sz w:val="20"/>
                <w:szCs w:val="20"/>
                <w:color w:val="auto"/>
              </w:rPr>
            </w:pPr>
            <w:r>
              <w:rPr>
                <w:rFonts w:ascii="Arial" w:cs="Arial" w:eastAsia="Arial" w:hAnsi="Arial"/>
                <w:sz w:val="14"/>
                <w:szCs w:val="14"/>
                <w:color w:val="0000FF"/>
              </w:rPr>
              <w:t>0</w:t>
            </w:r>
          </w:p>
        </w:tc>
        <w:tc>
          <w:tcPr>
            <w:tcW w:w="340" w:type="dxa"/>
            <w:vAlign w:val="bottom"/>
          </w:tcPr>
          <w:p>
            <w:pPr>
              <w:spacing w:after="0"/>
              <w:rPr>
                <w:sz w:val="7"/>
                <w:szCs w:val="7"/>
                <w:color w:val="auto"/>
              </w:rPr>
            </w:pPr>
          </w:p>
        </w:tc>
        <w:tc>
          <w:tcPr>
            <w:tcW w:w="640" w:type="dxa"/>
            <w:vAlign w:val="bottom"/>
            <w:vMerge w:val="restart"/>
          </w:tcPr>
          <w:p>
            <w:pPr>
              <w:ind w:left="28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0"/>
          <w:szCs w:val="20"/>
          <w:color w:val="auto"/>
        </w:rPr>
      </w:pPr>
    </w:p>
    <w:p>
      <w:pPr>
        <w:ind w:left="40" w:right="22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2015 in cash, less a portion withheld for taxes.</w:t>
      </w: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on the New York Stock Exchange, on which it is listed, on the date of the transaction, which was $29.74.</w:t>
      </w:r>
    </w:p>
    <w:p>
      <w:pPr>
        <w:spacing w:after="0" w:line="8" w:lineRule="exact"/>
        <w:rPr>
          <w:rFonts w:ascii="Arial" w:cs="Arial" w:eastAsia="Arial" w:hAnsi="Arial"/>
          <w:sz w:val="12"/>
          <w:szCs w:val="12"/>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2012 pursuant to the GMSSP. The portion of this award currently payable was settled on September 30, 2015 in cash, less a portion withheld for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10/02/2015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14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46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2019-12-08T21:50:42Z</dcterms:created>
  <dcterms:modified xsi:type="dcterms:W3CDTF">2019-12-08T21:50:42Z</dcterms:modified>
</cp:coreProperties>
</file>